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970D6" w:rsidRPr="00C2153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C21532" w:rsidRDefault="007B633C" w:rsidP="00873F47">
            <w:pPr>
              <w:pStyle w:val="EPName"/>
              <w:spacing w:before="0" w:after="240"/>
            </w:pPr>
            <w:bookmarkStart w:id="0" w:name="_GoBack"/>
            <w:bookmarkEnd w:id="0"/>
            <w:r w:rsidRPr="00C21532">
              <w:t>Parlament Ewropew</w:t>
            </w:r>
          </w:p>
          <w:p w:rsidR="000B0AEA" w:rsidRPr="00C21532" w:rsidRDefault="007B633C" w:rsidP="00873F47">
            <w:pPr>
              <w:pStyle w:val="EPTerm"/>
              <w:spacing w:after="240"/>
            </w:pPr>
            <w:r w:rsidRPr="00C2153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0B0AEA" w:rsidRPr="00C21532" w:rsidRDefault="007B633C" w:rsidP="00873F47">
            <w:pPr>
              <w:pStyle w:val="EPLogo"/>
              <w:spacing w:after="240"/>
            </w:pPr>
            <w:r w:rsidRPr="00C2153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C21532" w:rsidRDefault="00921474" w:rsidP="00873F47">
      <w:pPr>
        <w:pStyle w:val="LineTop"/>
        <w:spacing w:after="240"/>
      </w:pPr>
    </w:p>
    <w:p w:rsidR="00921474" w:rsidRPr="00C21532" w:rsidRDefault="007B633C" w:rsidP="00873F47">
      <w:pPr>
        <w:pStyle w:val="EPBody"/>
        <w:spacing w:after="240"/>
      </w:pPr>
      <w:r w:rsidRPr="00C21532">
        <w:rPr>
          <w:rStyle w:val="HideTWBExt"/>
        </w:rPr>
        <w:t>&lt;</w:t>
      </w:r>
      <w:r w:rsidRPr="00C21532">
        <w:rPr>
          <w:rStyle w:val="HideTWBExt"/>
          <w:i w:val="0"/>
        </w:rPr>
        <w:t>Commission</w:t>
      </w:r>
      <w:r w:rsidRPr="00C21532">
        <w:rPr>
          <w:rStyle w:val="HideTWBExt"/>
        </w:rPr>
        <w:t>&gt;</w:t>
      </w:r>
      <w:r w:rsidRPr="00C21532">
        <w:rPr>
          <w:rStyle w:val="HideTWBInt"/>
          <w:color w:val="auto"/>
        </w:rPr>
        <w:t>{JURI}</w:t>
      </w:r>
      <w:r w:rsidRPr="00C21532">
        <w:t>Kumitat għall-Affarijiet Legali</w:t>
      </w:r>
      <w:r w:rsidRPr="00C21532">
        <w:rPr>
          <w:rStyle w:val="HideTWBExt"/>
        </w:rPr>
        <w:t>&lt;/</w:t>
      </w:r>
      <w:r w:rsidRPr="00C21532">
        <w:rPr>
          <w:rStyle w:val="HideTWBExt"/>
          <w:i w:val="0"/>
        </w:rPr>
        <w:t>Commission</w:t>
      </w:r>
      <w:r w:rsidRPr="00C21532">
        <w:rPr>
          <w:rStyle w:val="HideTWBExt"/>
        </w:rPr>
        <w:t>&gt;</w:t>
      </w:r>
    </w:p>
    <w:p w:rsidR="00921474" w:rsidRPr="00C21532" w:rsidRDefault="00921474" w:rsidP="00873F47">
      <w:pPr>
        <w:pStyle w:val="LineBottom"/>
      </w:pPr>
    </w:p>
    <w:p w:rsidR="009E6E1A" w:rsidRPr="00C21532" w:rsidRDefault="007B633C" w:rsidP="00873F47">
      <w:pPr>
        <w:pStyle w:val="CoverReference"/>
        <w:spacing w:before="0" w:after="240"/>
      </w:pPr>
      <w:r w:rsidRPr="00C21532">
        <w:rPr>
          <w:rStyle w:val="HideTWBExt"/>
          <w:b w:val="0"/>
        </w:rPr>
        <w:t>&lt;RefProc&gt;</w:t>
      </w:r>
      <w:r w:rsidRPr="00C21532">
        <w:t>2021/2161</w:t>
      </w:r>
      <w:r w:rsidRPr="00C21532">
        <w:rPr>
          <w:rStyle w:val="HideTWBExt"/>
          <w:b w:val="0"/>
        </w:rPr>
        <w:t>&lt;/RefProc&gt;&lt;RefTypeProc&gt;</w:t>
      </w:r>
      <w:r w:rsidRPr="00C21532">
        <w:t>(INL)</w:t>
      </w:r>
      <w:r w:rsidRPr="00C21532">
        <w:rPr>
          <w:rStyle w:val="HideTWBExt"/>
          <w:b w:val="0"/>
        </w:rPr>
        <w:t>&lt;/RefTypeProc&gt;</w:t>
      </w:r>
    </w:p>
    <w:p w:rsidR="009E6E1A" w:rsidRPr="00C21532" w:rsidRDefault="007B633C" w:rsidP="00873F47">
      <w:pPr>
        <w:pStyle w:val="CoverDate"/>
        <w:spacing w:before="0" w:after="240"/>
      </w:pPr>
      <w:r w:rsidRPr="00C21532">
        <w:rPr>
          <w:rStyle w:val="HideTWBExt"/>
        </w:rPr>
        <w:t>&lt;Date&gt;</w:t>
      </w:r>
      <w:r w:rsidRPr="00C21532">
        <w:rPr>
          <w:rStyle w:val="HideTWBInt"/>
          <w:color w:val="auto"/>
        </w:rPr>
        <w:t>{09/06/2023}</w:t>
      </w:r>
      <w:r w:rsidRPr="00C21532">
        <w:t>9.6.2023</w:t>
      </w:r>
      <w:r w:rsidRPr="00C21532">
        <w:rPr>
          <w:rStyle w:val="HideTWBExt"/>
        </w:rPr>
        <w:t>&lt;/Date&gt;</w:t>
      </w:r>
    </w:p>
    <w:p w:rsidR="00721690" w:rsidRPr="00C21532" w:rsidRDefault="00721690" w:rsidP="00721690">
      <w:pPr>
        <w:pStyle w:val="CoverDate"/>
        <w:spacing w:before="0" w:after="0"/>
      </w:pPr>
    </w:p>
    <w:p w:rsidR="00721690" w:rsidRPr="00C21532" w:rsidRDefault="00721690" w:rsidP="00721690">
      <w:pPr>
        <w:pStyle w:val="CoverDate"/>
        <w:spacing w:before="0" w:after="0"/>
      </w:pPr>
    </w:p>
    <w:p w:rsidR="00721690" w:rsidRPr="00C21532" w:rsidRDefault="00721690" w:rsidP="00721690">
      <w:pPr>
        <w:pStyle w:val="CoverDate"/>
        <w:spacing w:before="0" w:after="0"/>
      </w:pPr>
    </w:p>
    <w:p w:rsidR="00721690" w:rsidRPr="00C21532" w:rsidRDefault="00721690" w:rsidP="00721690">
      <w:pPr>
        <w:pStyle w:val="CoverDate"/>
        <w:spacing w:before="0" w:after="0"/>
      </w:pPr>
    </w:p>
    <w:p w:rsidR="009E6E1A" w:rsidRPr="00C21532" w:rsidRDefault="007B633C" w:rsidP="00873F47">
      <w:pPr>
        <w:pStyle w:val="CoverDocType24a"/>
        <w:spacing w:after="240"/>
      </w:pPr>
      <w:r w:rsidRPr="00C21532">
        <w:rPr>
          <w:rStyle w:val="HideTWBExt"/>
          <w:b w:val="0"/>
        </w:rPr>
        <w:t>&lt;TitreType&gt;</w:t>
      </w:r>
      <w:r w:rsidRPr="00C21532">
        <w:t>ABBOZZ TA’ OPINJONI</w:t>
      </w:r>
      <w:r w:rsidRPr="00C21532">
        <w:rPr>
          <w:rStyle w:val="HideTWBExt"/>
          <w:b w:val="0"/>
        </w:rPr>
        <w:t>&lt;/TitreType&gt;</w:t>
      </w:r>
    </w:p>
    <w:p w:rsidR="009E6E1A" w:rsidRPr="00C21532" w:rsidRDefault="007B633C" w:rsidP="00721690">
      <w:pPr>
        <w:pStyle w:val="CoverNormal"/>
      </w:pPr>
      <w:r w:rsidRPr="00C21532">
        <w:rPr>
          <w:rStyle w:val="HideTWBExt"/>
        </w:rPr>
        <w:t>&lt;Titre&gt;</w:t>
      </w:r>
      <w:r w:rsidRPr="00C21532">
        <w:t xml:space="preserve">li </w:t>
      </w:r>
      <w:r w:rsidRPr="00C21532">
        <w:t>jinkludi rakkomandazzjonijiet lill-Kummmissjoni dwar id-Diġitalizzazzjoni u l-Liġi Amministattiva</w:t>
      </w:r>
      <w:r w:rsidRPr="00C21532">
        <w:rPr>
          <w:rStyle w:val="HideTWBExt"/>
        </w:rPr>
        <w:t>&lt;/Titre&gt;</w:t>
      </w:r>
    </w:p>
    <w:p w:rsidR="009E6E1A" w:rsidRPr="00C21532" w:rsidRDefault="007B633C" w:rsidP="00721690">
      <w:pPr>
        <w:pStyle w:val="CoverNormal24a"/>
        <w:spacing w:after="240"/>
        <w:ind w:left="1418"/>
      </w:pPr>
      <w:r w:rsidRPr="00C21532">
        <w:rPr>
          <w:rStyle w:val="HideTWBExt"/>
        </w:rPr>
        <w:t>&lt;DocRef&gt;</w:t>
      </w:r>
      <w:r w:rsidRPr="00C21532">
        <w:t>(2021/2161(INL))</w:t>
      </w:r>
      <w:r w:rsidRPr="00C21532">
        <w:rPr>
          <w:rStyle w:val="HideTWBExt"/>
        </w:rPr>
        <w:t>&lt;/DocRef&gt;</w:t>
      </w:r>
    </w:p>
    <w:p w:rsidR="00721690" w:rsidRPr="00C21532" w:rsidRDefault="00721690" w:rsidP="00721690">
      <w:pPr>
        <w:pStyle w:val="CoverNormal24a"/>
        <w:spacing w:after="0"/>
        <w:ind w:left="1418"/>
      </w:pPr>
    </w:p>
    <w:p w:rsidR="00721690" w:rsidRPr="00C21532" w:rsidRDefault="00721690" w:rsidP="00721690">
      <w:pPr>
        <w:pStyle w:val="CoverNormal24a"/>
        <w:spacing w:after="0"/>
        <w:ind w:left="1418"/>
      </w:pPr>
    </w:p>
    <w:p w:rsidR="009E6E1A" w:rsidRPr="00C21532" w:rsidRDefault="007B633C" w:rsidP="00873F47">
      <w:pPr>
        <w:pStyle w:val="CoverNormal24a"/>
        <w:spacing w:after="240"/>
      </w:pPr>
      <w:r w:rsidRPr="00C21532">
        <w:rPr>
          <w:rStyle w:val="HideTWBExt"/>
        </w:rPr>
        <w:t>&lt;Commission&gt;</w:t>
      </w:r>
      <w:r w:rsidRPr="00C21532">
        <w:rPr>
          <w:rStyle w:val="HideTWBInt"/>
          <w:color w:val="auto"/>
        </w:rPr>
        <w:t>{JURI}</w:t>
      </w:r>
      <w:r w:rsidRPr="00C21532">
        <w:t>Kumitat għall-Affarijiet Legali</w:t>
      </w:r>
      <w:r w:rsidRPr="00C21532">
        <w:rPr>
          <w:rStyle w:val="HideTWBExt"/>
        </w:rPr>
        <w:t>&lt;/Commission&gt;</w:t>
      </w:r>
    </w:p>
    <w:p w:rsidR="00721690" w:rsidRPr="00C21532" w:rsidRDefault="00721690" w:rsidP="00721690">
      <w:pPr>
        <w:pStyle w:val="CoverNormal24a"/>
        <w:spacing w:after="0"/>
        <w:ind w:left="1418"/>
      </w:pPr>
    </w:p>
    <w:p w:rsidR="00721690" w:rsidRPr="00C21532" w:rsidRDefault="00721690" w:rsidP="00721690">
      <w:pPr>
        <w:pStyle w:val="CoverNormal24a"/>
        <w:spacing w:after="0"/>
        <w:ind w:left="1418"/>
      </w:pPr>
    </w:p>
    <w:p w:rsidR="009E6E1A" w:rsidRPr="00C21532" w:rsidRDefault="007B633C" w:rsidP="00873F47">
      <w:pPr>
        <w:pStyle w:val="CoverNormal24a"/>
        <w:spacing w:after="240"/>
        <w:rPr>
          <w:rStyle w:val="HideTWBExt"/>
          <w:noProof w:val="0"/>
        </w:rPr>
      </w:pPr>
      <w:r w:rsidRPr="00C21532">
        <w:t xml:space="preserve">Rapporteur: </w:t>
      </w:r>
      <w:r w:rsidRPr="00C21532">
        <w:rPr>
          <w:rStyle w:val="HideTWBExt"/>
        </w:rPr>
        <w:t>&lt;Depute&gt;</w:t>
      </w:r>
      <w:r w:rsidRPr="00C21532">
        <w:t>Karen Melchior</w:t>
      </w:r>
      <w:r w:rsidRPr="00C21532">
        <w:rPr>
          <w:rStyle w:val="HideTWBExt"/>
        </w:rPr>
        <w:t>&lt;/Depute&gt;</w:t>
      </w:r>
    </w:p>
    <w:p w:rsidR="00721690" w:rsidRPr="00C21532" w:rsidRDefault="00721690" w:rsidP="00721690">
      <w:pPr>
        <w:pStyle w:val="CoverNormal24a"/>
        <w:spacing w:after="0"/>
        <w:ind w:left="1418"/>
      </w:pPr>
    </w:p>
    <w:p w:rsidR="009E6E1A" w:rsidRPr="00C21532" w:rsidRDefault="007B633C" w:rsidP="00873F47">
      <w:pPr>
        <w:pStyle w:val="CoverNormal12a"/>
      </w:pPr>
      <w:r w:rsidRPr="00C21532">
        <w:t>(Ini</w:t>
      </w:r>
      <w:r w:rsidRPr="00C21532">
        <w:t>zjattiva – Artikolu 47 tar-Regoli ta’ Proċedura)</w:t>
      </w:r>
    </w:p>
    <w:p w:rsidR="001A502C" w:rsidRPr="00C21532" w:rsidRDefault="001A502C" w:rsidP="00873F47">
      <w:pPr>
        <w:pStyle w:val="CoverNormal"/>
        <w:spacing w:after="240"/>
      </w:pPr>
    </w:p>
    <w:p w:rsidR="009E6E1A" w:rsidRPr="00C21532" w:rsidRDefault="007B633C" w:rsidP="00873F47">
      <w:pPr>
        <w:widowControl/>
        <w:tabs>
          <w:tab w:val="center" w:pos="4677"/>
        </w:tabs>
        <w:spacing w:after="240"/>
      </w:pPr>
      <w:r w:rsidRPr="00C21532">
        <w:br w:type="page"/>
      </w:r>
      <w:r w:rsidRPr="00C21532">
        <w:lastRenderedPageBreak/>
        <w:t>PR_INL</w:t>
      </w:r>
    </w:p>
    <w:p w:rsidR="009E6E1A" w:rsidRPr="00C21532" w:rsidRDefault="007B633C" w:rsidP="00873F47">
      <w:pPr>
        <w:pStyle w:val="TOCHeading"/>
        <w:spacing w:before="0"/>
      </w:pPr>
      <w:r w:rsidRPr="00C21532">
        <w:t>WERREJ</w:t>
      </w:r>
    </w:p>
    <w:p w:rsidR="009E6E1A" w:rsidRPr="00C21532" w:rsidRDefault="007B633C" w:rsidP="00873F47">
      <w:pPr>
        <w:pStyle w:val="TOCPage"/>
      </w:pPr>
      <w:r w:rsidRPr="00C21532">
        <w:t>Paġna</w:t>
      </w:r>
    </w:p>
    <w:p w:rsidR="007B633C" w:rsidRDefault="007B63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21532">
        <w:fldChar w:fldCharType="begin"/>
      </w:r>
      <w:r w:rsidRPr="00C21532">
        <w:instrText xml:space="preserve"> TOC \t "PageHeading</w:instrText>
      </w:r>
      <w:r w:rsidR="00F25FD5" w:rsidRPr="00C21532">
        <w:instrText>;</w:instrText>
      </w:r>
      <w:r w:rsidRPr="00C21532">
        <w:instrText xml:space="preserve">1" </w:instrText>
      </w:r>
      <w:r w:rsidRPr="00C21532"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_Toc138167355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B633C" w:rsidRDefault="007B63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 GĦALL-MOZZJONI GĦAL RIŻOLUZZJONI: RAKKOMANDAZZJONIJIET DWAR IL-KONTENUT TAL-PROPOSTA MITLUBA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_Toc138167356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502C" w:rsidRPr="00C21532" w:rsidRDefault="007B633C" w:rsidP="00873F47">
      <w:pPr>
        <w:spacing w:after="240"/>
      </w:pPr>
      <w:r w:rsidRPr="00C21532">
        <w:fldChar w:fldCharType="end"/>
      </w:r>
    </w:p>
    <w:p w:rsidR="009E6E1A" w:rsidRPr="00C21532" w:rsidRDefault="007B633C" w:rsidP="00873F47">
      <w:pPr>
        <w:pStyle w:val="PageHeading"/>
        <w:spacing w:after="240"/>
      </w:pPr>
      <w:r w:rsidRPr="00C21532">
        <w:br w:type="page"/>
      </w:r>
      <w:bookmarkStart w:id="1" w:name="_Toc138167355"/>
      <w:r w:rsidRPr="00C21532">
        <w:lastRenderedPageBreak/>
        <w:t>MOZZJONI GĦAL RIŻOLUZZJONI TAL-PARLAMENT EWROPEW</w:t>
      </w:r>
      <w:bookmarkEnd w:id="1"/>
    </w:p>
    <w:p w:rsidR="009E6E1A" w:rsidRPr="00C21532" w:rsidRDefault="007B633C" w:rsidP="00873F47">
      <w:pPr>
        <w:pStyle w:val="NormalBold"/>
        <w:spacing w:after="240"/>
      </w:pPr>
      <w:r w:rsidRPr="00C21532">
        <w:t xml:space="preserve">li tinkludi rakkomandazzjonijiet lill-Kummissjoni dwar </w:t>
      </w:r>
      <w:r w:rsidRPr="00C21532">
        <w:t>id-Diġitalizzazzjoni u l-Liġi Amministrattiva</w:t>
      </w:r>
    </w:p>
    <w:p w:rsidR="009E6E1A" w:rsidRPr="00C21532" w:rsidRDefault="007B633C" w:rsidP="00873F47">
      <w:pPr>
        <w:pStyle w:val="NormalBold"/>
        <w:spacing w:after="240"/>
      </w:pPr>
      <w:r w:rsidRPr="00C21532">
        <w:t>(2021/2161(INL))</w:t>
      </w:r>
    </w:p>
    <w:p w:rsidR="009E6E1A" w:rsidRPr="00C21532" w:rsidRDefault="007B633C" w:rsidP="00873F47">
      <w:pPr>
        <w:pStyle w:val="EPComma"/>
        <w:spacing w:before="0"/>
      </w:pPr>
      <w:r w:rsidRPr="00C21532">
        <w:rPr>
          <w:i/>
          <w:iCs/>
        </w:rPr>
        <w:t>Il-Parlament Ewropew,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t>–</w:t>
      </w:r>
      <w:r w:rsidRPr="00C21532">
        <w:tab/>
        <w:t>wara li kkunsidra l-Artikolu 225 tat-Trattat dwar il-Funzjonament tal-Unjoni Ewropea,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–</w:t>
      </w:r>
      <w:r w:rsidRPr="00C21532">
        <w:rPr>
          <w:color w:val="000000"/>
        </w:rPr>
        <w:tab/>
        <w:t>wara li kkunsidra l-Artikolu 298 tat-Trattat dwar il-Funzjonament tal-Unjoni Ewro</w:t>
      </w:r>
      <w:r w:rsidRPr="00C21532">
        <w:rPr>
          <w:color w:val="000000"/>
        </w:rPr>
        <w:t>pea,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–</w:t>
      </w:r>
      <w:r w:rsidRPr="00C21532">
        <w:rPr>
          <w:color w:val="000000"/>
        </w:rPr>
        <w:tab/>
        <w:t>wara li kkunsidra l-Artikolu 41 tal-Karta tad-Drittijiet Fundamentali tal-Unjoni Ewropea, li tipprovdi li d-dritt għal amministrazzjoni tajba huwa dritt fundamentali,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kkunsidra d-dikjarazzjoni konġunta tal-Parlament Ewropew, tal-Kunsill u </w:t>
      </w:r>
      <w:r w:rsidRPr="00C21532">
        <w:rPr>
          <w:color w:val="000000"/>
        </w:rPr>
        <w:t>tal-Kummissjoni dwar id-Dikjarazzjoni Ewropea dwar id-Drittijiet u l-Prinċipji Diġitali għad-Deċennju Diġitali tal-15 ta’ Diċembru 2022,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r-Regolament (UE) 2018/1725 tal-Parlament Ewropew u tal-Kunsill tal-23 ta’ Ottubru 2018 dwar il-pro</w:t>
      </w:r>
      <w:r w:rsidRPr="00C21532">
        <w:rPr>
          <w:color w:val="000000"/>
        </w:rPr>
        <w:t>tezzjoni ta’ persuni fiżiċi fir-rigward tal-ipproċessar ta’ data personali mill-istituzzjonijiet, korpi, uffiċċji u aġenziji tal-Unjoni u dwar il-moviment liberu ta’ tali data, u li jħassar ir-Regolament (KE) Nru 45/2001 u d-Deċiżjoni Nru 1247/2002/KE</w:t>
      </w:r>
      <w:r w:rsidRPr="00C21532">
        <w:rPr>
          <w:color w:val="000000"/>
          <w:vertAlign w:val="superscript"/>
        </w:rPr>
        <w:footnoteReference w:id="1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r-Regolament (KE) Nru 1049/2001 tal-Parlament Ewropew u tal-Kunsill tat-30 ta’ Mejju 2001 dwar l-aċċess pubbliku għad-dokumenti tal-Parlament Ewropew, tal-Kunsill u tal-Kummissjoni</w:t>
      </w:r>
      <w:r w:rsidRPr="00C21532">
        <w:rPr>
          <w:color w:val="000000"/>
          <w:vertAlign w:val="superscript"/>
        </w:rPr>
        <w:footnoteReference w:id="2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l-proposta għal Regolament tal-Parl</w:t>
      </w:r>
      <w:r w:rsidRPr="00C21532">
        <w:rPr>
          <w:color w:val="000000"/>
        </w:rPr>
        <w:t>ament Ewropew u tal-Kunsill dwar is-sigurtà tal-informazzjoni fl-istituzzjonijiet, fil-korpi, fl-uffiċċji u fl-aġenziji tal-Unjoni (2022/0084(COD)),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t xml:space="preserve">wara li kkunsidra l-proposta għal Regolament tal-Parlament Ewropew u tal-Kunsill li jistabbilixxi miżuri </w:t>
      </w:r>
      <w:r w:rsidRPr="00C21532">
        <w:t xml:space="preserve">għal livell għoli komuni ta’ ċibersigurtà fl-istituzzjonijiet, fil-korpi, fl-uffiċċji u fl-aġenziji tal-Unjoni </w:t>
      </w:r>
      <w:r w:rsidRPr="00C21532">
        <w:rPr>
          <w:color w:val="000000"/>
        </w:rPr>
        <w:t>(</w:t>
      </w:r>
      <w:r w:rsidRPr="00C21532">
        <w:rPr>
          <w:color w:val="333333"/>
        </w:rPr>
        <w:t>2022/0085(COD)),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l-ġurisprudenza estensiva tal-Qorti tal-Ġustizzja tal-Unjoni Ewropea, li rrikonoxxiet sett ta’ prinċipji ġe</w:t>
      </w:r>
      <w:r w:rsidRPr="00C21532">
        <w:rPr>
          <w:color w:val="000000"/>
        </w:rPr>
        <w:t>nerali ta’ liġi amministrattiva bbażat fuq it-tradizzjonijiet kostituzzjonali tal-Istati Membri,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kkunsidra l-Komunikazzjoni tal-Kummissjoni tas-26 ta’ Jannar 2022 dwar l-istabbiliment ta’ Dikjarazzjoni Ewropea dwar id-Drittijiet u l-Prinċipji </w:t>
      </w:r>
      <w:r w:rsidRPr="00C21532">
        <w:rPr>
          <w:color w:val="000000"/>
        </w:rPr>
        <w:t>Diġitali għad-Deċennju Diġitali COM((2022) 27 final) u d-Dokument ta' Ħidma tal-Persunal tal-Kummissjoni li jakkumpanjaha, li jinkludi rapport dwar il-konsultazzjoni mal-partijiet ikkonċernati u l-attivitajiet ta’ involviment (SWD(2022) 14 final),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C21532">
        <w:rPr>
          <w:rFonts w:ascii="Noto Sans Symbols" w:hAnsi="Noto Sans Symbols"/>
          <w:color w:val="000000"/>
        </w:rPr>
        <w:lastRenderedPageBreak/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</w:t>
      </w:r>
      <w:r w:rsidRPr="00C21532">
        <w:rPr>
          <w:color w:val="000000"/>
        </w:rPr>
        <w:t>i kkunsidra l-istrateġija diġitali tal-Kummisjoni: Kummissjoni diġitali tal-ġenerazzjoni li jmiss tat-30 ta’ Ġunju 2022 (C(2022)4388),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r-riżoluzzjoni tiegħu tas-6 ta’ Settembru 2001 dwar ir-Rapport Speċjali tal-Ombudsman Ewropew lill-Pa</w:t>
      </w:r>
      <w:r w:rsidRPr="00C21532">
        <w:rPr>
          <w:color w:val="000000"/>
        </w:rPr>
        <w:t>rlament Ewropew wara inkjesta fuq inizjattiva proprja dwar l-eżistenza u l-aċċessibilità pubblika ta’ Kodiċi ta’ Mġiba Amministrattiva Tajba fl-istituzzjonijiet u l-korpi tal-Komunità</w:t>
      </w:r>
      <w:r w:rsidRPr="00C21532">
        <w:rPr>
          <w:color w:val="000000"/>
          <w:vertAlign w:val="superscript"/>
        </w:rPr>
        <w:footnoteReference w:id="3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d-Deċiżjoni tal-Kummissjoni 2000/633/KE, ECSC, Eur</w:t>
      </w:r>
      <w:r w:rsidRPr="00C21532">
        <w:rPr>
          <w:color w:val="000000"/>
        </w:rPr>
        <w:t>atom tal-17 ta’ Ottubru 2000 li temenda r-Regoli ta’ Proċedura tagħha biż-żieda ta’ anness dwar Kodiċi ta’ Mġiba Amministrattiva Tajba għal membri tal-persunal tal-Kummissjoni Ewropea fir-relazzjonijiet tagħhom mal-Pubbliku</w:t>
      </w:r>
      <w:r w:rsidRPr="00C21532">
        <w:rPr>
          <w:color w:val="000000"/>
          <w:vertAlign w:val="superscript"/>
        </w:rPr>
        <w:footnoteReference w:id="4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d-Deċiżjon</w:t>
      </w:r>
      <w:r w:rsidRPr="00C21532">
        <w:rPr>
          <w:color w:val="000000"/>
        </w:rPr>
        <w:t>i tas-segretarju ġenerali tal-kunsill/rappreżentattiv għoli għall-politika estera u ta’ sigurtà komuni tal-25 ta’Ġunju 2001 dwar kodiċi ta’ imġieba amministrattiva tajba għas-Segretarjat Ġenerali tal-Kunsill ta’ l-Unjoni Ewropea u ta’ l-impjegati u r-relaz</w:t>
      </w:r>
      <w:r w:rsidRPr="00C21532">
        <w:rPr>
          <w:color w:val="000000"/>
        </w:rPr>
        <w:t>zjonijiet professjonali tagħhom mal-pubbliku</w:t>
      </w:r>
      <w:r w:rsidRPr="00C21532">
        <w:rPr>
          <w:color w:val="000000"/>
          <w:vertAlign w:val="superscript"/>
        </w:rPr>
        <w:footnoteReference w:id="5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r-rakkomandazzjoni tal-Kunsill tal-Ewropa CM/Rec(2007)14 tal-Kumitat tal-Ministri lill-Istati Membri dwar amministrazzjoni tajba, datata l-20 ta’ Ġunju 2007,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‘l-Prinċipj</w:t>
      </w:r>
      <w:r w:rsidRPr="00C21532">
        <w:rPr>
          <w:color w:val="000000"/>
        </w:rPr>
        <w:t>i ta’servizz pubbliku għas-servizz pubbliku tal-UE’ ippubblikat mill-Ombudsman Ewropew fid-19 ta’ Ġunju 2012,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skedi informattivi suċċessivi dwar l-Amministrazzjoni Pubblika Diġitali li jikkonċernaw l-Istati Membri, ippubblikati online m</w:t>
      </w:r>
      <w:r w:rsidRPr="00C21532">
        <w:rPr>
          <w:color w:val="000000"/>
        </w:rPr>
        <w:t>ill-Kummissjoni,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kkunsidra l-eżistenza fl-Istati Membri kemm ta’ atti ta’ proċedura amministrattiva ġenerali, li jistabbilixxu l-prinċipji bażiċi tal-liġi amministrattiva, kif ukoll ta’ leġiżlazzjoni speċifika għad-dominju jew għal settur </w:t>
      </w:r>
      <w:r w:rsidRPr="00C21532">
        <w:rPr>
          <w:color w:val="000000"/>
        </w:rPr>
        <w:t>speċifiku,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l-istħarriġ ikkummissjonat mill-Gvern Żvediż mill-Aġenzija Żvediża għall-Ġestjoni Pubblika dwar il-prinċipji ta’ amministrazzjoni tajba fl-Istati Membri tal-Unjoni Ewropea,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t>wara li kkunsidra l-istudju li sar mill-Gvern Dani</w:t>
      </w:r>
      <w:r w:rsidRPr="00C21532">
        <w:t>ż mill-Aġenzija Daniża għad-Digitalizzazzjoni (digitaliseringsstyrelsen) dwar il-prinċipji ta’ użu tajjeb ta’ data fundamentali fl-implimentazzjoni ta’ servizzi diġitalizzati ta’ amministrazzjoni pubblika,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rPr>
          <w:rFonts w:ascii="Noto Sans Symbols" w:hAnsi="Noto Sans Symbols"/>
        </w:rPr>
        <w:lastRenderedPageBreak/>
        <w:t>−</w:t>
      </w:r>
      <w:r w:rsidRPr="00C21532">
        <w:rPr>
          <w:rFonts w:ascii="Noto Sans Symbols" w:hAnsi="Noto Sans Symbols"/>
        </w:rPr>
        <w:tab/>
      </w:r>
      <w:r w:rsidRPr="00C21532">
        <w:t>wara li kkunsidra r-rapport tal-2022 tal-Istitut</w:t>
      </w:r>
      <w:r w:rsidRPr="00C21532">
        <w:t xml:space="preserve"> tal-Liġi Ewropea dwar Regoli Mudell dwar il-Valutazzjoni tal-Impatt ta’ Sistemi Algoritmiċi ta’ Teħid ta’ Deċiżjonijiet Użati mill-Amministrazzjoni Pubblika</w:t>
      </w:r>
      <w:r w:rsidRPr="00C21532">
        <w:rPr>
          <w:rStyle w:val="FootnoteReference"/>
        </w:rPr>
        <w:footnoteReference w:id="6"/>
      </w:r>
      <w:r w:rsidRPr="00C21532"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kkunsidra n-noti informattivi ppreżentati fil-Konferenza dwar il-liġi amministrattiva </w:t>
      </w:r>
      <w:r w:rsidRPr="00C21532">
        <w:rPr>
          <w:color w:val="000000"/>
        </w:rPr>
        <w:t>tal-UE organizzata mid-Dipartiment tal-Politika tal-Kumitat għall-Affarijiet Legali tal-Parlament u l-Università ta’ León (León, 27-28 ta’ April 2011)</w:t>
      </w:r>
      <w:r w:rsidRPr="00C21532">
        <w:rPr>
          <w:color w:val="000000"/>
          <w:vertAlign w:val="superscript"/>
        </w:rPr>
        <w:footnoteReference w:id="7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r-rakkomandazzjonijiet inklużi fid-dokument ta’ ħidma dwar is-sitwazzjoni attwali u</w:t>
      </w:r>
      <w:r w:rsidRPr="00C21532">
        <w:rPr>
          <w:color w:val="000000"/>
        </w:rPr>
        <w:t xml:space="preserve"> l-prospetti futuri għal-liġi amministrattiva tal-UE ppreżentat mill-Grupp ta’ Ħidma dwar il-Liġi Amministrattiva tal-UE lill-Kumitat għall-Affarijiet Legali fit-22 ta’ Novembru 2011</w:t>
      </w:r>
      <w:r w:rsidRPr="00C21532">
        <w:rPr>
          <w:color w:val="000000"/>
          <w:vertAlign w:val="superscript"/>
        </w:rPr>
        <w:footnoteReference w:id="8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l-Valutazzjoni tal-Valur Miżjud Ewropew dwar Liġi t</w:t>
      </w:r>
      <w:r w:rsidRPr="00C21532">
        <w:rPr>
          <w:color w:val="000000"/>
        </w:rPr>
        <w:t>a’ Proċedura Amministrattiva tal-Unjoni Ewropea, ippreżentata mill-Unità tal-Valur Miżjud Ewropew lill-Kumitat għalal-Affarijiet Legali fis-6 ta’ Novembru 2012</w:t>
      </w:r>
      <w:r w:rsidRPr="00C21532">
        <w:rPr>
          <w:color w:val="000000"/>
          <w:vertAlign w:val="superscript"/>
        </w:rPr>
        <w:footnoteReference w:id="9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l-konsultazzjoni pubblika dwar ir-regoli ġenerali għal amministrazzjoni Ew</w:t>
      </w:r>
      <w:r w:rsidRPr="00C21532">
        <w:rPr>
          <w:color w:val="000000"/>
        </w:rPr>
        <w:t>ropea miftuħa, indipendenti u effiċjenti u r-rapport ta’ sinteżi tiegħu f’Lulju 2018 ippreżentat mill-Unità tal-Valur Miżjud Ewropew, is-Servizz ta’ Riċerka Parlamentari Ewropew lill-Kumitat għall-Affarijiet Legali fl-10 ta’ Lulju 2018</w:t>
      </w:r>
      <w:r w:rsidRPr="00C21532">
        <w:rPr>
          <w:color w:val="000000"/>
          <w:vertAlign w:val="superscript"/>
        </w:rPr>
        <w:footnoteReference w:id="10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</w:t>
      </w:r>
      <w:r w:rsidRPr="00C21532">
        <w:rPr>
          <w:color w:val="000000"/>
        </w:rPr>
        <w:t>a valutazzjoni tal-impatt ta’ azzjoni possibbli fil-livell tal-UE għal amministrazzjoni tal-UE miftuħa, effiċjenti u indipendenti konkluża f’Lulju 2018 mill-Unità tal-Valutazzjoni tal-Impatt Ex Ante tas-Servizz ta’ Riċerka tal-Parlament Ewropew u ppreżenta</w:t>
      </w:r>
      <w:r w:rsidRPr="00C21532">
        <w:rPr>
          <w:color w:val="000000"/>
        </w:rPr>
        <w:t>ta lill-Kumitat għall-Affarijiet Legali fl-10 ta’ Lulju 2018</w:t>
      </w:r>
      <w:r w:rsidRPr="00C21532">
        <w:rPr>
          <w:rStyle w:val="FootnoteReference"/>
          <w:color w:val="000000"/>
        </w:rPr>
        <w:footnoteReference w:id="11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l-Valutazzjoni tal-Valur Miżjud Ewropew tal-2022 dwar id-Diġitalizzazzjoni u l-Liġi Amministrattiva, ippreżentata mill-Unità tal-Valur Miżjud Ewropew lill-Kumitat għall-Affa</w:t>
      </w:r>
      <w:r w:rsidRPr="00C21532">
        <w:rPr>
          <w:color w:val="000000"/>
        </w:rPr>
        <w:t>rijiet Legali fit-[30 ta’ Mejju 2023]</w:t>
      </w:r>
      <w:r w:rsidRPr="00C21532">
        <w:rPr>
          <w:color w:val="000000"/>
          <w:vertAlign w:val="superscript"/>
        </w:rPr>
        <w:footnoteReference w:id="12"/>
      </w:r>
      <w:r w:rsidRPr="00C21532">
        <w:rPr>
          <w:color w:val="000000"/>
        </w:rPr>
        <w:t xml:space="preserve">, 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r-riżoluzzjoni tiegħu tal-15 ta’ Jannar 2013 b’rakkomandazzjonijiet lill-Kummissjoni dwar Liġi ta’ Proċedura Amministrattiva tal-Unjoni Ewropea</w:t>
      </w:r>
      <w:r w:rsidRPr="00C21532">
        <w:rPr>
          <w:color w:val="000000"/>
          <w:vertAlign w:val="superscript"/>
        </w:rPr>
        <w:footnoteReference w:id="13"/>
      </w:r>
      <w:r w:rsidRPr="00C21532">
        <w:rPr>
          <w:color w:val="000000"/>
        </w:rPr>
        <w:t>,</w:t>
      </w:r>
    </w:p>
    <w:p w:rsidR="00873F47" w:rsidRPr="00C21532" w:rsidRDefault="007B633C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r-riżoluzzjoni tiegħu tad-9 t</w:t>
      </w:r>
      <w:r w:rsidRPr="00C21532">
        <w:rPr>
          <w:color w:val="000000"/>
        </w:rPr>
        <w:t>a’ Ġunju 2016 għal amministrazzjoni tal-Unjoni Ewropea miftuħa, effiċjenti u indipendenti u l-proposta għal regolament tal-</w:t>
      </w:r>
      <w:r w:rsidRPr="00C21532">
        <w:rPr>
          <w:color w:val="000000"/>
        </w:rPr>
        <w:lastRenderedPageBreak/>
        <w:t>Parlament Ewropew u tal-Kunsill għal amministrazzjoni tal-Unjoni Ewropea miftuħa, effiċjenti u indipendenti,</w:t>
      </w:r>
      <w:r w:rsidRPr="00C21532">
        <w:rPr>
          <w:color w:val="000000"/>
          <w:vertAlign w:val="superscript"/>
        </w:rPr>
        <w:footnoteReference w:id="14"/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r-r</w:t>
      </w:r>
      <w:r w:rsidRPr="00C21532">
        <w:rPr>
          <w:color w:val="000000"/>
        </w:rPr>
        <w:t>iżoluzzjoni tiegħu tas-26 ta’ Ottubru 2017 dwar il-monitoraġġ tal-applikazzjoni tad-dritt tal-UE fl-2015 (2017/2011(INI)),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t>wara li kkunsidra r-riżoluzzjoni tiegħu tas-7 ta’ Lulju 2022 dwar Regolamentazzjoni aħjar: Ningħaqdu flimkien biex nagħmlu liġijiet</w:t>
      </w:r>
      <w:r w:rsidRPr="00C21532">
        <w:t xml:space="preserve"> aħjar (2021/2166(INI)),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t>wara li kkunsidra r-riżoluzzjoni tiegħu tal-20 ta’ Mejju 2021 dwar it-tiswir tal-futur diġitali tal-Ewropa: it-tneħħija tal-ostakli għall-funzjonament tas-suq uniku diġitali u t-titjib tal-użu tal-IA għall-konsumaturi Ewropej (20</w:t>
      </w:r>
      <w:r w:rsidRPr="00C21532">
        <w:t>20/2216(INI)),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kkunsidra s-segwitu tal-Kummissjoni għar-riżoluzzjoni tal-Parlament Ewropew bir-rakkomandazzjonijiet lill-Kummissjoni dwar Liġi ta’ Proċedura Amministrattiva tal-Unjoni Ewropea, adottata mill-Kummissjoni fl-24 ta’ April 2013, 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s-segwitu tal-Kummissjoni għar-riżoluzzjoni tal-Parlament Ewropew għal amministrazzjoni tal-Unjoni Ewropea miftuħa, effiċjenti u indipendenti, adottata mill-Kummissjoni fl-4 ta’ Ottubru 2016,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t xml:space="preserve">wara li kkunsidra s-segwitu tal-Kummissjoni </w:t>
      </w:r>
      <w:r w:rsidRPr="00C21532">
        <w:t>għar-riżoluzzjoni tal-Parlament Ewropew dwar Regolamentazzjoni Aħjar: Ningħaqdu flimkien biex nagħmlu liġijiet aħjar, adottata mill-Kummissjoni fit-22 ta’ Ottubru 2022,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>wara li kkunsidra l-Artikoli 47 u 54 tar-Regoli ta’ Proċedura tiegħu,</w:t>
      </w:r>
    </w:p>
    <w:p w:rsidR="00873F47" w:rsidRPr="00C21532" w:rsidRDefault="007B633C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rFonts w:ascii="Noto Sans Symbols" w:hAnsi="Noto Sans Symbols"/>
          <w:color w:val="000000"/>
        </w:rPr>
        <w:t>−</w:t>
      </w:r>
      <w:r w:rsidRPr="00C21532">
        <w:rPr>
          <w:rFonts w:ascii="Noto Sans Symbols" w:hAnsi="Noto Sans Symbols"/>
          <w:color w:val="000000"/>
        </w:rPr>
        <w:tab/>
      </w:r>
      <w:r w:rsidRPr="00C21532">
        <w:rPr>
          <w:color w:val="000000"/>
        </w:rPr>
        <w:t xml:space="preserve">wara li </w:t>
      </w:r>
      <w:r w:rsidRPr="00C21532">
        <w:rPr>
          <w:color w:val="000000"/>
        </w:rPr>
        <w:t>kkunsidra r-rapport tal-Kumitat għall-Affarijiet Legali (A9-xxxx/xxxx),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A.</w:t>
      </w:r>
      <w:r w:rsidRPr="00C21532">
        <w:rPr>
          <w:color w:val="000000"/>
        </w:rPr>
        <w:tab/>
        <w:t>billi d-dħul fis-seħħ tat-Trattat ta’ Lisbona pprovda lill-Unjoni b’bażi legali xierqa għall-adozzjoni ta’ liġi Ewropea dwar il-proċedura amministrattiva;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B.</w:t>
      </w:r>
      <w:r w:rsidRPr="00C21532">
        <w:rPr>
          <w:color w:val="000000"/>
        </w:rPr>
        <w:tab/>
        <w:t>billi d-dritt fundament</w:t>
      </w:r>
      <w:r w:rsidRPr="00C21532">
        <w:rPr>
          <w:color w:val="000000"/>
        </w:rPr>
        <w:t>ali għal amministrazzjoni tajba minqux fl-Artikolu 41 tal-Karta tad-Drittijiet Fundamentali tal-Unjoni Ewropea sar legalment vinkolanti bħala liġi primarja;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ascii="Arial" w:hAnsi="Arial" w:cs="Arial"/>
          <w:sz w:val="18"/>
          <w:szCs w:val="18"/>
          <w:shd w:val="clear" w:color="auto" w:fill="FFFFFF"/>
        </w:rPr>
      </w:pPr>
      <w:r w:rsidRPr="00C21532">
        <w:t>C.</w:t>
      </w:r>
      <w:r w:rsidRPr="00C21532">
        <w:tab/>
        <w:t xml:space="preserve">billi </w:t>
      </w:r>
      <w:r w:rsidRPr="00C21532">
        <w:rPr>
          <w:shd w:val="clear" w:color="auto" w:fill="FFFFFF"/>
        </w:rPr>
        <w:t>f’Unjoni taħt l-istat tad-dritt huwa meħtieġ li jiġi żgurat li d-drittijiet u l-obbligi pr</w:t>
      </w:r>
      <w:r w:rsidRPr="00C21532">
        <w:rPr>
          <w:shd w:val="clear" w:color="auto" w:fill="FFFFFF"/>
        </w:rPr>
        <w:t>oċedurali jkunu dejjem definiti, żviluppati u mħarsa b’mod adegwat; billi ċ-ċittadini huma intitolati li jistennew livell għoli ta’ trasparenza, effiċjenza, rispons u eżekuzzjoni rapida mill-istituzzjonijiet, il-korpi, l-uffiċċji u l-aġenziji tal-Unjoni, u</w:t>
      </w:r>
      <w:r w:rsidRPr="00C21532">
        <w:rPr>
          <w:shd w:val="clear" w:color="auto" w:fill="FFFFFF"/>
        </w:rPr>
        <w:t xml:space="preserve"> huma wkoll intitolati għall-informazzjoni dwar l-opzjonijiet li jeżistu għalihom biex jieħdu azzjoni ulterjuri fil-kwistjoni kkonċernata;</w:t>
      </w:r>
      <w:r w:rsidRPr="00C21532">
        <w:rPr>
          <w:rFonts w:ascii="Arial" w:hAnsi="Arial"/>
          <w:sz w:val="18"/>
          <w:shd w:val="clear" w:color="auto" w:fill="FFFFFF"/>
        </w:rPr>
        <w:t xml:space="preserve"> </w:t>
      </w:r>
    </w:p>
    <w:p w:rsidR="00873F47" w:rsidRPr="00C21532" w:rsidRDefault="007B633C" w:rsidP="00873F47">
      <w:pPr>
        <w:spacing w:after="240"/>
        <w:ind w:left="567" w:hanging="567"/>
        <w:rPr>
          <w:color w:val="000000"/>
        </w:rPr>
      </w:pPr>
      <w:r w:rsidRPr="00C21532">
        <w:t>D.</w:t>
      </w:r>
      <w:r w:rsidRPr="00C21532">
        <w:tab/>
        <w:t>billi amministrazzjoni effiċjenti tal-Unjoni hija essenzjali għall-interess pubbliku u eċċess kif ukoll in-nuqqas</w:t>
      </w:r>
      <w:r w:rsidRPr="00C21532">
        <w:t xml:space="preserve"> ta’ regoli u proċeduri jistgħu jwasslu għal amministrazzjoni ħażina, li tista’ tirriżulta wkoll mill-eżistenza ta’ regoli u proċeduri kontradittorji, inkonsistenti jew mhux ċari; billi proċeduri amministrattivi strutturati kif suppost u konsistenti jappoġ</w:t>
      </w:r>
      <w:r w:rsidRPr="00C21532">
        <w:t xml:space="preserve">ġjaw kemm amministrazzjoni effiċjenti kif ukoll infurzar xieraq tad-dritt fundamentali għal amministrazzjoni tajba u għandhom il-valur miżjud li </w:t>
      </w:r>
      <w:r w:rsidRPr="00C21532">
        <w:lastRenderedPageBreak/>
        <w:t>jippromwovu t-trasparenza u r-responsabbiltà, u b’hekk itejbu l-leġittimità tal-Unjoni u jżidu l-fiduċja taċ-ċi</w:t>
      </w:r>
      <w:r w:rsidRPr="00C21532">
        <w:t>ttadini fl-amministrazzjoni tal-Unjoni;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t>E</w:t>
      </w:r>
      <w:r w:rsidRPr="00C21532">
        <w:rPr>
          <w:color w:val="000000"/>
        </w:rPr>
        <w:t>.</w:t>
      </w:r>
      <w:r w:rsidRPr="00C21532">
        <w:rPr>
          <w:color w:val="000000"/>
        </w:rPr>
        <w:tab/>
        <w:t>billi n-nuqqas ta’ fiduċja min-naħa taċ-ċittadini għal dawn l-aħħar snin kienet problema urġenti li tiffaċċja l-Unjoni, li tista’ taffettwa l-leġittimità tagħha; billi l-Unjoni teħtieġ li tipprovdi tweġibiet malaj</w:t>
      </w:r>
      <w:r w:rsidRPr="00C21532">
        <w:rPr>
          <w:color w:val="000000"/>
        </w:rPr>
        <w:t>r, ċari u viżibbli liċ-ċittadini tal-Unjoni sabiex twieġeb għat-tħassib tagħhom;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F.</w:t>
      </w:r>
      <w:r w:rsidRPr="00C21532">
        <w:rPr>
          <w:color w:val="000000"/>
        </w:rPr>
        <w:tab/>
        <w:t>billi r-regoli u l-prinċipji eżistenti tal-Unjoni dwar amministrazzjoni tajba huma mifruxa fuq varjetà wiesgħa ta’ sorsi: il-liġi primarja, il-ġurisprudenza tal-Qorti tal-Ġ</w:t>
      </w:r>
      <w:r w:rsidRPr="00C21532">
        <w:rPr>
          <w:color w:val="000000"/>
        </w:rPr>
        <w:t xml:space="preserve">ustizzja tal-Unjoni Ewropea, il-leġiżlazzjoni sekondarja, il-liġi mhux vinkolanti u l-impenji unilaterali mill-istituzzjonijiet tal-Unjoni; 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G.</w:t>
      </w:r>
      <w:r w:rsidRPr="00C21532">
        <w:rPr>
          <w:color w:val="000000"/>
        </w:rPr>
        <w:tab/>
        <w:t>billi l-kodiċi ta’ kondotta interni eżistenti tal-istituzzjonijiet differenti għandhom effett limitat, huma dif</w:t>
      </w:r>
      <w:r w:rsidRPr="00C21532">
        <w:rPr>
          <w:color w:val="000000"/>
        </w:rPr>
        <w:t>ferenti minn xulxin u mhumiex legalment vinkolanti;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H.</w:t>
      </w:r>
      <w:r w:rsidRPr="00C21532">
        <w:rPr>
          <w:color w:val="000000"/>
        </w:rPr>
        <w:tab/>
        <w:t>billi, filwaqt li jitqiesu r-rakkomandazzjonijiet tal-Grupp ta’ Stati kontra l-Korruzzjoni (GRECO) tal-Kunsill tal-Ewropa, sett ta’ regoli ċari u vinkolanti għall-amministrazzjoni tal-Unjoni jkun sinja</w:t>
      </w:r>
      <w:r w:rsidRPr="00C21532">
        <w:rPr>
          <w:color w:val="000000"/>
        </w:rPr>
        <w:t xml:space="preserve">l pożittiv fil-ġlieda kontra l-korruzzjoni fl-amministrazzjonijiet pubbliċi;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I.</w:t>
      </w:r>
      <w:r w:rsidRPr="00C21532">
        <w:rPr>
          <w:color w:val="000000"/>
        </w:rPr>
        <w:tab/>
        <w:t>billi mill-2001 il-Parlament talab b’mod konsistenti, fir-riżoluzzjonijiet u l-annessi tiegħu, azzjoni leġiżlattiva mill-Kummissjoni f’dak il-qasam; billi fl-2013 il-Parlament</w:t>
      </w:r>
      <w:r w:rsidRPr="00C21532">
        <w:rPr>
          <w:color w:val="000000"/>
        </w:rPr>
        <w:t xml:space="preserve"> talab għal Liġi ta’ Proċedura Amministrattiva tal-Unjoni Ewropea, u fl-2016 sejjaħ b’mod partikolari għal proposta għal regolament tal-Parlament Ewropew u tal-Kunsill għal amministrazzjoni tal-Unjoni Ewropea miftuħa, effiċjenti u indipendenti; billi, esse</w:t>
      </w:r>
      <w:r w:rsidRPr="00C21532">
        <w:rPr>
          <w:color w:val="000000"/>
        </w:rPr>
        <w:t>nzjalment, is-sejħiet tal-Parlament ripetutament jimmiraw li jiġi adottat regolament dwar il-proċedura amministrattiva tal-Unjoni Ewropea li jistabbilixxi regoli proċedurali ġenerali li jirregolaw l-attivitajiet amministrattivi tal-amministrazzjoni tal-Unj</w:t>
      </w:r>
      <w:r w:rsidRPr="00C21532">
        <w:rPr>
          <w:color w:val="000000"/>
        </w:rPr>
        <w:t xml:space="preserve">oni, jiġifieri </w:t>
      </w:r>
      <w:r w:rsidRPr="00C21532">
        <w:rPr>
          <w:shd w:val="clear" w:color="auto" w:fill="FFFFFF"/>
        </w:rPr>
        <w:t>l-istituzzjonijiet, il-korpi, l-uffiċċji u l-aġenziji tal-Unjoni (il-liġi Ewropea dwar il-proċedura amministrattiva)</w:t>
      </w:r>
      <w:r w:rsidRPr="00C21532">
        <w:t>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J.</w:t>
      </w:r>
      <w:r w:rsidRPr="00C21532">
        <w:rPr>
          <w:color w:val="000000"/>
        </w:rPr>
        <w:tab/>
        <w:t>billi dik is-sejħa hija bbażata fuq valutazzjonijiet tal-impatt dettaljati, fost l-oħrajn, li jikkwantifikaw l-ispiża ta</w:t>
      </w:r>
      <w:r w:rsidRPr="00C21532">
        <w:rPr>
          <w:color w:val="000000"/>
        </w:rPr>
        <w:t>l-proċeduri amministrattivi; billi l-valutazzjoni tal-impatt tal-2018 sabet li l-frammentazzjoni fil-proċeduri amministrattivi fost l-istituzzjonijiet u l-korpi kollha tal-UE għandha impatt negattiv fuq il-ftuħ, l-effiċjenza u l-indipendenza tal-UE u kkonk</w:t>
      </w:r>
      <w:r w:rsidRPr="00C21532">
        <w:rPr>
          <w:color w:val="000000"/>
        </w:rPr>
        <w:t>ludiet li l-impatti negattivi x’aktarx se jmorru għall-agħar bit-tranżizzjoni lejn amministrazzjoni diġitalizzata; billi meta tippreżenta l-proposta l-Kummissjoni għandha tippreżenta wkoll valutazzjoni tal-impatt;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K.</w:t>
      </w:r>
      <w:r w:rsidRPr="00C21532">
        <w:rPr>
          <w:color w:val="000000"/>
        </w:rPr>
        <w:tab/>
        <w:t>billi l-Parlament impenja ruħu f’konsul</w:t>
      </w:r>
      <w:r w:rsidRPr="00C21532">
        <w:rPr>
          <w:color w:val="000000"/>
        </w:rPr>
        <w:t>tazzjoni pubblika fir-rigward tal-ħtieġa li tiġi stabbilita l-liġi Ewropea dwar il-proċedura amministrattiva, fejn 76 % ta’ dawk li wieġbu appoġġaw it-teħid ta’ miżuri addizzjonali fil-livell tal-Unjoni biex jissaħħu u jissimplifikaw il-proċeduri amministr</w:t>
      </w:r>
      <w:r w:rsidRPr="00C21532">
        <w:rPr>
          <w:color w:val="000000"/>
        </w:rPr>
        <w:t>attivi tal-Unjoni, innota t-titjib tal-effiċjenza u t-trasparenza fost ir-raġunijiet ewlenin għal intervent tal-UE u identifika inkoerenza operattiva u l-ispejjeż tal-piż amministrattiv fost l-iktar kwistjonijiet problematiċi; billi l-Kummissjoni għandha t</w:t>
      </w:r>
      <w:r w:rsidRPr="00C21532">
        <w:rPr>
          <w:color w:val="000000"/>
        </w:rPr>
        <w:t>kompli tniedi konsultazzjoni pubblika adegwata fl-2023 mal-atturi rilevanti kollha, u għandha b’mod partikolari tagħmel użu mill-għarfien u l-kompetenza speċjali tal-Ombudsman Ewropew, peress li l-ilmenti pubbliċi dwar l-abbużi fi ħdan il-korpi u l-istituz</w:t>
      </w:r>
      <w:r w:rsidRPr="00C21532">
        <w:rPr>
          <w:color w:val="000000"/>
        </w:rPr>
        <w:t>zjonijiet tal-Unjoni huma magħmula lill-Ombudsman Ewropew;</w:t>
      </w:r>
    </w:p>
    <w:p w:rsidR="00873F47" w:rsidRPr="00C21532" w:rsidRDefault="007B633C" w:rsidP="00873F47">
      <w:pPr>
        <w:spacing w:after="240"/>
        <w:ind w:left="567" w:hanging="567"/>
      </w:pPr>
      <w:r w:rsidRPr="00C21532">
        <w:lastRenderedPageBreak/>
        <w:t>L.</w:t>
      </w:r>
      <w:r w:rsidRPr="00C21532">
        <w:tab/>
        <w:t>billi l-Parlament wettaq konsultazzjonijiet mal-akkademja, mal-prattikanti u mal-komunità legali bi tħejjija għar-riżoluzzjoni tiegħu tal-2016 għal amministrazzjoni tal-Unjoni Ewropea miftuħa, e</w:t>
      </w:r>
      <w:r w:rsidRPr="00C21532">
        <w:t>ffiċjenti u indipendenti; billi, fis-segwitu tagħha adottat fl-24 ta’ April 2013 għar-riżoluzzjoni tal-Parlament tal-15 ta’ Jannar 2013, il-Kummissjoni ddikjarat li se tniedi rendikont dettaljat tal-korp eżistenti tal-liġi amministrattiva tal-UE u tan-nuqq</w:t>
      </w:r>
      <w:r w:rsidRPr="00C21532">
        <w:t>asijiet possibbli fl-istituzzjonijiet kollha, li se tkun qiegħda tivvaluta l-approċċi meħuda għal dawn il-kwistjonijiet fl-Istati Membri u tikkonsulta l-akkademja, il-prattikanti u l-komunità legali sabiex twettaq analiżi fil-fond tal-aspetti kollha tal-kw</w:t>
      </w:r>
      <w:r w:rsidRPr="00C21532">
        <w:t xml:space="preserve">istjoni; billi għaxar snin wara, il-Kummissjoni għad trid tinforma lill-Parlament dwar ir-riżultati tar-rendikont u l-analiżi fil-fond imsemmija msemmija; </w:t>
      </w:r>
    </w:p>
    <w:p w:rsidR="00873F47" w:rsidRPr="00C21532" w:rsidRDefault="007B633C" w:rsidP="00873F47">
      <w:pPr>
        <w:spacing w:after="240"/>
        <w:ind w:left="567" w:hanging="567"/>
      </w:pPr>
      <w:r w:rsidRPr="00C21532">
        <w:t xml:space="preserve">M. </w:t>
      </w:r>
      <w:r w:rsidRPr="00C21532">
        <w:tab/>
        <w:t>billi, fl-istess segwitu tal-2013, il-Kummissjoni ddikjarat ukoll li kwalunkwe inizjattiva futur</w:t>
      </w:r>
      <w:r w:rsidRPr="00C21532">
        <w:t xml:space="preserve">a jkollha tqis il-qafas eżistenti tar-regoli amministrattivi u r-relazzjoni kumplessa bejn ir-regoli orizzontali u speċifiċi għas-settur; il-kawżi multipli possibbli ta’ amministrazzjoni ħażina u l-ħafna modi possibbli li bihom dan jista’ jiġi indirizzat; </w:t>
      </w:r>
      <w:r w:rsidRPr="00C21532">
        <w:t xml:space="preserve">u l-limiti għall-użu tal-Artikolu 298 tat-TFUE; billi l-ebda valutazzjoni bħal din ma ġiet ippreżentata mill-Kummissjoni sal-lum; </w:t>
      </w:r>
    </w:p>
    <w:p w:rsidR="00873F47" w:rsidRPr="00C21532" w:rsidRDefault="007B633C" w:rsidP="00873F47">
      <w:pPr>
        <w:spacing w:after="240"/>
        <w:ind w:left="567" w:hanging="567"/>
      </w:pPr>
      <w:r w:rsidRPr="00C21532">
        <w:t>N.</w:t>
      </w:r>
      <w:r w:rsidRPr="00C21532">
        <w:tab/>
        <w:t>billi fl-2022 il-Kummissjoni ppreżentat, waqt li taġixxi għall-ewwel darba fuq il-bażi tal-Artikolu 298 tat-TFUE, żewġ pro</w:t>
      </w:r>
      <w:r w:rsidRPr="00C21532">
        <w:t>posti dwar, minn naħa, is-sigurtà tal-informazzjoni u, min-naħa l-oħra, iċ-ċibersigurtà fl-amministrazzjoni tal-Unjoni, jiġifieri l-istituzzjonijiet, il-korpi, l-uffiċċji u l-aġenziji tagħha, biex jindirizzaw in-nuqqas ta’ approċċ komuni f’dawk l-oqsma u l</w:t>
      </w:r>
      <w:r w:rsidRPr="00C21532">
        <w:t>-fatt li kull wieħed minnhom jew għandu r-regoli tiegħu f’dawk l-oqsma, ibbażati fuq regoli ta’ proċedura jew atti fundaturi, jew totalment m’għandu l-ebda regoli;</w:t>
      </w:r>
    </w:p>
    <w:p w:rsidR="00873F47" w:rsidRPr="00C21532" w:rsidRDefault="007B633C" w:rsidP="00873F47">
      <w:pPr>
        <w:spacing w:after="240"/>
        <w:ind w:left="567" w:right="380" w:hanging="567"/>
      </w:pPr>
      <w:r w:rsidRPr="00C21532">
        <w:t>O.</w:t>
      </w:r>
      <w:r w:rsidRPr="00C21532">
        <w:tab/>
        <w:t>billi l-eżistenza ta’ regoli orizzontali u speċifiċi għas-settur ma tistax tikkostitwixxi</w:t>
      </w:r>
      <w:r w:rsidRPr="00C21532">
        <w:t xml:space="preserve"> skuża biex ma tiġix stabbilita liġi Ewropea dwar proċedura amministrattiva, jew ostaklu biex tiġi stabbilita tali liġi, li tikkostitwixxi qafas ta’ referenza bażiku u ġenerali ta’ liġi dwar proċedura amministrattiva li għandha tiġi applikata minn kwalunkw</w:t>
      </w:r>
      <w:r w:rsidRPr="00C21532">
        <w:t>e amministrazzjoni tal-Unjoni irrispettivament mis-settur tal-operat tagħha; billi tali termini ġenerali ta’ promulgazzjoni jeżistu f’ħafna Stati Membri tal-Unjoni irrispettivament mill-istruttura, mid-dominju jew mis-settur tagħhom u b’mod parallel mar-re</w:t>
      </w:r>
      <w:r w:rsidRPr="00C21532">
        <w:t xml:space="preserve">goli speċifiċi għas-settur;  </w:t>
      </w:r>
    </w:p>
    <w:p w:rsidR="00873F47" w:rsidRPr="00C21532" w:rsidRDefault="007B633C" w:rsidP="00873F47">
      <w:pPr>
        <w:spacing w:after="240"/>
        <w:ind w:left="567" w:right="380" w:hanging="567"/>
      </w:pPr>
      <w:r w:rsidRPr="00C21532">
        <w:t>P.</w:t>
      </w:r>
      <w:r w:rsidRPr="00C21532">
        <w:tab/>
        <w:t>billi l-frammentazzjoni tal-oqfsa legali rilevanti bejn l-amministrazzjoni tal-Unjoni twassal għal duplikazzjoni sinifikanti tal-isforzi fir-rigward tal-istabbiliment u ż-żamma ta’ regoli interni kif ukoll prattiki amminist</w:t>
      </w:r>
      <w:r w:rsidRPr="00C21532">
        <w:t>rattivi mhux interoperabbli; billi, għaċ-ċittadini tal-Unjoni, id-diversità ta’ dawn ir-regoli żżid ir-riskji ta’ nuqqas ta’ ftehim, interpretazzjoni ħażina u nuqqas ta’ konformità; billi l-istabbiliment ta’ qafas ta’ referenza bażiku u ġenerali tal-liġi E</w:t>
      </w:r>
      <w:r w:rsidRPr="00C21532">
        <w:t>wropea dwar il-proċedura amministrattiva għall-amministrazzjoni tal-Unjoni joħloq ambjent amministrattiv bi prinċipji uniformi, regoli standardizzati u l-aħjar prattiki implimentati, billi dan ma jipprekludix l-eżistenza ta’ regoli speċifiċi għas-settur pe</w:t>
      </w:r>
      <w:r w:rsidRPr="00C21532">
        <w:t>ress li huwa wkoll magħruf fil-livell nazzjonali; billi, barra minn hekk, l-istabbiliment tal-liġi Ewropea dwar il-proċedura amministrattiva huwa konsistenti mar-rekwiżit li wieħed jaġixxi bir-rispett dovut għall-awtonomija jew il-kompetenzi ta’ kull istit</w:t>
      </w:r>
      <w:r w:rsidRPr="00C21532">
        <w:t xml:space="preserve">uzzjoni u korp tal-Unjoni, li se jibqgħu fis-seħħ bis-sħiħ; </w:t>
      </w:r>
    </w:p>
    <w:p w:rsidR="00873F47" w:rsidRPr="00C21532" w:rsidRDefault="007B633C" w:rsidP="00873F47">
      <w:pPr>
        <w:spacing w:after="240"/>
        <w:ind w:left="567" w:right="380" w:hanging="567"/>
        <w:rPr>
          <w:color w:val="000000"/>
        </w:rPr>
      </w:pPr>
      <w:r w:rsidRPr="00C21532">
        <w:rPr>
          <w:color w:val="000000"/>
        </w:rPr>
        <w:t>Q.</w:t>
      </w:r>
      <w:r w:rsidRPr="00C21532">
        <w:rPr>
          <w:color w:val="000000"/>
        </w:rPr>
        <w:tab/>
        <w:t xml:space="preserve">billi bl-avvanz tat-teknoloġija u bl-isforzi ta’ diġitalizzazzjoni meħtieġa min-naħa </w:t>
      </w:r>
      <w:r w:rsidRPr="00C21532">
        <w:rPr>
          <w:color w:val="000000"/>
        </w:rPr>
        <w:lastRenderedPageBreak/>
        <w:t>tal-Istati Membri, inkluż fir-rigward tal-amministrazzjoni pubblika u s-servizzi tagħhom, saru sforzi simil</w:t>
      </w:r>
      <w:r w:rsidRPr="00C21532">
        <w:rPr>
          <w:color w:val="000000"/>
        </w:rPr>
        <w:t xml:space="preserve">i ta’ diġitalizzazzjoni mill-amministrazzjoni tal-Unjoni; billi l-amministrazzjoni tal-Unjoni dejjem iktar ma toperax bħala entità separata iżda tinteraġġixxi mal-amministrazzjonijiet pubbliċi nazzjonali sabiex taqdi liċ-ċittadini;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R.</w:t>
      </w:r>
      <w:r w:rsidRPr="00C21532">
        <w:rPr>
          <w:color w:val="000000"/>
        </w:rPr>
        <w:tab/>
        <w:t>billi l-istudju Ewro</w:t>
      </w:r>
      <w:r w:rsidRPr="00C21532">
        <w:rPr>
          <w:color w:val="000000"/>
        </w:rPr>
        <w:t>pew tal-valutazzjoni tal-valur miżjud tal-2022 saħaq, kif għamel l-istudju tal-valutazzjoni tal-impatt tal-2018, il-fatt li bid-diġitalizzazzjoni, il-ħtieġa għal ċentralizzazzjoni u armonizzazzjoni hija akbar u li d-diġitalizzazzjoni kontinwa tqajjem kwist</w:t>
      </w:r>
      <w:r w:rsidRPr="00C21532">
        <w:rPr>
          <w:color w:val="000000"/>
        </w:rPr>
        <w:t xml:space="preserve">jonijiet u sfidi ġodda;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S.</w:t>
      </w:r>
      <w:r w:rsidRPr="00C21532">
        <w:rPr>
          <w:color w:val="000000"/>
        </w:rPr>
        <w:tab/>
        <w:t xml:space="preserve">billi l-ġurisprudenza tal-Qorti tal-Ġustizzja żviluppat prinċipji proċedurali stabbiliti sew li japplikaw għall-proċeduri tal-Istati Membri fi kwistjonijiet tal-Unjoni u li għandhom </w:t>
      </w:r>
      <w:r w:rsidRPr="00C21532">
        <w:rPr>
          <w:i/>
          <w:iCs/>
          <w:color w:val="000000"/>
        </w:rPr>
        <w:t>a fortiori</w:t>
      </w:r>
      <w:r w:rsidRPr="00C21532">
        <w:rPr>
          <w:color w:val="000000"/>
        </w:rPr>
        <w:t xml:space="preserve"> japplikaw għall-amministrazzjoni di</w:t>
      </w:r>
      <w:r w:rsidRPr="00C21532">
        <w:rPr>
          <w:color w:val="000000"/>
        </w:rPr>
        <w:t>retta mill-Unjoni; billi jista’ jkun mistenni li l-ġurisprudenza tal-Qorti tal-Ġustizzja dalwaqt se tiżviluppa iktar biex tkopri fenomeni relatati mal-iżvilupp tad-diġitalizzazzjoni fi proċeduri amministrattivi, bħat-teħid ta’ deċiżjonijiet awtomatiku;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T.</w:t>
      </w:r>
      <w:r w:rsidRPr="00C21532">
        <w:rPr>
          <w:color w:val="000000"/>
        </w:rPr>
        <w:tab/>
      </w:r>
      <w:r w:rsidRPr="00C21532">
        <w:rPr>
          <w:color w:val="000000"/>
        </w:rPr>
        <w:t>billi, id-Dikjarazzjoni Ewropea dwar id-Drittijiet u l-Prinċipji Diġitali għad-Deċennju Diġitali tipproklama prinċipji diġitali bil-għan li jaqdu lill-Ewropej kollha;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U.</w:t>
      </w:r>
      <w:r w:rsidRPr="00C21532">
        <w:rPr>
          <w:color w:val="000000"/>
        </w:rPr>
        <w:tab/>
        <w:t>billi, fil-Kumpass Diġitali tal-2030, il-Kummissjoni stabbiliet għall-Unjoni viżjoni g</w:t>
      </w:r>
      <w:r w:rsidRPr="00C21532">
        <w:rPr>
          <w:color w:val="000000"/>
        </w:rPr>
        <w:t>ħal Ewropa tal-2030 trasformata b’mod diġitali f’konformità mal-valuri Ewropej; billi l-“Programm ta’ Politika tal-2030 dwar id-Deċennju Diġitali” huwa mmirat biex ikompli jsaħħaħ it-tmexxija diġitali u jagħti s-setgħa liċ-ċittadini u lin-negozji, biex b’h</w:t>
      </w:r>
      <w:r w:rsidRPr="00C21532">
        <w:rPr>
          <w:color w:val="000000"/>
        </w:rPr>
        <w:t>ekk it-trasformazzjoni diġitali ssir il-mutur tat-tkabbir ekonomiku sostenibbli, u l-benessri soċjali fl-Ewropa, li għandhom jinkisbu, fost oħrajn, billi jibnew ħiliet u kompetenzi diġitali għall-forza tax-xogħol biex ikunu jistgħu jipparteċipaw bis-sħiħ f</w:t>
      </w:r>
      <w:r w:rsidRPr="00C21532">
        <w:rPr>
          <w:color w:val="000000"/>
        </w:rPr>
        <w:t>l-ekonomija diġitali u billi jiġu ddiġitalizzati s-servizzi pubbliċi, u billi jsiru iktar effiċjenti u faċli biex jintużaw għall-benefiċċju ta’ kulħadd fis-soċjetà tagħna;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V.</w:t>
      </w:r>
      <w:r w:rsidRPr="00C21532">
        <w:rPr>
          <w:color w:val="000000"/>
        </w:rPr>
        <w:tab/>
        <w:t>billi l-istrateġija diġitali tal-Kummissjoni għall-2022: ‘Kummissjoni diġitali ta</w:t>
      </w:r>
      <w:r w:rsidRPr="00C21532">
        <w:rPr>
          <w:color w:val="000000"/>
        </w:rPr>
        <w:t>l-ġenerazzjoni li jmiss’ tiddeskrivi l-objettivi biex tippermetti l-appoġġ tal-amministrazzjoni tal-Kummissjoni għat-twettiq tal-prijoritajiet strateġiċi tal-UE u tmexxi bl-eżempju, u tavvanza, fost oħrajn, l-elementi segwenti: tagħti s-setgħa lill-persuna</w:t>
      </w:r>
      <w:r w:rsidRPr="00C21532">
        <w:rPr>
          <w:color w:val="000000"/>
        </w:rPr>
        <w:t>l tagħha, tippermetti tfassil ta’ politika preparata għad-diġitalizzazzjoni permezz ta’ linji gwida u l-appoġġ tul iċ-ċiklu kollu tal-politika tal-Unjoni u l-isfruttar għaqli tal-benefiċċji tad-data u tat-teknoloġiji innovattivi biex jitfasslu mill-ġdid il</w:t>
      </w:r>
      <w:r w:rsidRPr="00C21532">
        <w:rPr>
          <w:color w:val="000000"/>
        </w:rPr>
        <w:t>-proċessi amministrattivi tagħha; filwaqt li l-istrateġija turi l-intenzjoni ta’ kif id-diġitalizzazzjoni tal-proċessi amministrattivi u l-interazzjoni tal-amministrazzjoni tal-Unjoni maċ-ċittadini se jevolvu fis-snin li ġejjin; billi din l-evoluzzjoni għa</w:t>
      </w:r>
      <w:r w:rsidRPr="00C21532">
        <w:rPr>
          <w:color w:val="000000"/>
        </w:rPr>
        <w:t xml:space="preserve">ndha tkun akkumpanjata minn sett ta’ regoli li jirregolaw il-proċeduri amministrattivi u għandha tkun armonizzata fost l-amministrazzjoni kollha tal-Unjoni;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333333"/>
        </w:rPr>
      </w:pPr>
      <w:r w:rsidRPr="00C21532">
        <w:rPr>
          <w:color w:val="000000"/>
        </w:rPr>
        <w:t>W</w:t>
      </w:r>
      <w:r w:rsidRPr="00C21532">
        <w:rPr>
          <w:b/>
          <w:color w:val="000000"/>
        </w:rPr>
        <w:t>.</w:t>
      </w:r>
      <w:r w:rsidRPr="00C21532">
        <w:rPr>
          <w:b/>
          <w:color w:val="000000"/>
        </w:rPr>
        <w:tab/>
      </w:r>
      <w:r w:rsidRPr="00C21532">
        <w:rPr>
          <w:color w:val="000000"/>
        </w:rPr>
        <w:t xml:space="preserve">billi l-iżvilupp ta’ teknoloġiji ġodda, bħall-intelliġenza artifiċjali u s-sistemi </w:t>
      </w:r>
      <w:r w:rsidRPr="00C21532">
        <w:rPr>
          <w:color w:val="000000"/>
        </w:rPr>
        <w:t xml:space="preserve">awtomatizzati ta’ teħid ta’ deċiżjonijiet (ADMSs), jista’ jkollu rwol importanti fil-modernizzazzjoni u t-titjib tal-funzjonament tal-amministrazzjoni pubblika sakemm it-teknoloġiji użati jkollhom grad għoli ta’ affidabbiltà; billi l-possibbiltà li wieħed </w:t>
      </w:r>
      <w:r w:rsidRPr="00C21532">
        <w:rPr>
          <w:color w:val="000000"/>
        </w:rPr>
        <w:t>jirrikorri għal teknoloġiji ġodda bħal dawn mill-amministrazzjoni pubblika, inkluża l-amministrazzjoni tal-Unjoni, għandha, madankollu, tkun limitata mill-prinċipju tal-</w:t>
      </w:r>
      <w:r w:rsidRPr="00C21532">
        <w:rPr>
          <w:color w:val="000000"/>
        </w:rPr>
        <w:lastRenderedPageBreak/>
        <w:t>legalità u l-ħtieġa li jiġi żgurat ir-rispett għad-drittijiet taċ-ċittadini; billi l-uż</w:t>
      </w:r>
      <w:r w:rsidRPr="00C21532">
        <w:rPr>
          <w:color w:val="000000"/>
        </w:rPr>
        <w:t>u ta’ teknoloġiji ġodda, bħall-IA u l-ADMSs jista’ joħloq problemi speċifiċi għall-prinċipju ta’ amministrazzjoni tajba u d-dritt għal reviżjoni legali u għalhekk jeħtieġ analiżi partikolari fir-rigward ta’ elementi bħat-trasparenza, ir-responsabbiltà, il-</w:t>
      </w:r>
      <w:r w:rsidRPr="00C21532">
        <w:rPr>
          <w:color w:val="000000"/>
        </w:rPr>
        <w:t>konformità u n-nondiskriminazzjoni, billi jiġi indirizzat ir riskju ta’ preġudizzju algoritmiku;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333333"/>
        </w:rPr>
        <w:t xml:space="preserve">X. </w:t>
      </w:r>
      <w:r w:rsidRPr="00C21532">
        <w:rPr>
          <w:color w:val="333333"/>
        </w:rPr>
        <w:tab/>
        <w:t xml:space="preserve">billi r-riskji tal-użu tal-intelliġenza artifiċjali u t-tagħlim awtomatiku, b’mod partikolari fil-kuntest tal-amministrazzjoni tal-Unjoni fejn jista’ jkun </w:t>
      </w:r>
      <w:r w:rsidRPr="00C21532">
        <w:rPr>
          <w:color w:val="333333"/>
        </w:rPr>
        <w:t xml:space="preserve">hemm differenza ta’ poter sinifikanti bejn iċ-ċittadini u l-amministrazzjoni, għandhom jiġu rikonoxxuti; billi għalhekk l-użu tat-tagħlim awtomatiku mill-amministrazzjoni tal-Unjoni għandu jkun limitat għall-ġbir, għall-organizzazzjoni, għall-istrutturar, </w:t>
      </w:r>
      <w:r w:rsidRPr="00C21532">
        <w:rPr>
          <w:color w:val="333333"/>
        </w:rPr>
        <w:t>għall-konverżjoni, għall-kombinazzjoni u għall-adattament tad-data, bħalma huma r-rikonoxximent ottiku tal-karattri, ir-rikonoxximent tal-oġġett jew it-traskrizzjoni awtomatika tat-taħdit;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rPr>
          <w:color w:val="333333"/>
        </w:rPr>
        <w:t>Y.</w:t>
      </w:r>
      <w:r w:rsidRPr="00C21532">
        <w:rPr>
          <w:color w:val="333333"/>
        </w:rPr>
        <w:tab/>
        <w:t>billi fl-2022 l-Istitut tal-Liġi Ewropea ppreżenta rapport b’Reg</w:t>
      </w:r>
      <w:r w:rsidRPr="00C21532">
        <w:rPr>
          <w:color w:val="333333"/>
        </w:rPr>
        <w:t>oli Mudell dwar il-Valutazzjoni tal-Impatt ta’ Sistemi Algoritmiċi ta’ Teħid ta’ Deċiżjonijiet Użati mill-Amministrazzjoni Pubblika, fejn ir-regoli mudell huma proposti meta tali sistemi algoritmiċi ta’ teħid ta’ deċiżjonijiet jieħdu deċiżjoni jew jappoġġj</w:t>
      </w:r>
      <w:r w:rsidRPr="00C21532">
        <w:rPr>
          <w:color w:val="333333"/>
        </w:rPr>
        <w:t>aw it-teħid ta’ deċiżjonijiet mill-bniedem - li hija determinazzjoni minn awtorità pubblika (inkluż fl-livell tal-Unjoni) li tieħu jew ma tiħux azzjoni - li x’aktarx ikollha impatti sinifikanti fuq il-pubbliku</w:t>
      </w:r>
      <w:r w:rsidRPr="00C21532">
        <w:rPr>
          <w:rStyle w:val="FootnoteReference"/>
        </w:rPr>
        <w:footnoteReference w:id="15"/>
      </w:r>
      <w:r w:rsidRPr="00C21532">
        <w:t>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t>Z.</w:t>
      </w:r>
      <w:r w:rsidRPr="00C21532">
        <w:tab/>
        <w:t>billi fil-passat, is-software żviluppat g</w:t>
      </w:r>
      <w:r w:rsidRPr="00C21532">
        <w:t>ħall-finijiet tal-amministrazzjoni pubblika ta’ spiss kien ta’ sors magħluq, li jfisser li minkejja li ħallsu għalih, iċ-ċittadini ma jistgħux jivverifikaw jew jerġgħu jużaw il-kodiċi; billi ta’ min wieħed jagħraf li l-amministrazzjoni tal-Unjoni tiżvilupp</w:t>
      </w:r>
      <w:r w:rsidRPr="00C21532">
        <w:t>a, tippubblika u tuża kodiċi ta’ sors miftuħ għas-software, li jikkontribwixxi għat-twettiq tal-prinċipju ta’ ‘fondi pubbliċi - kodiċi pubbliku’; billi dan il-prinċipju jippromwovi l-użu mill-ġdid u t-titjib tal-kodiċi eżistenti biex jitnaqqsu l-ispejjeż t</w:t>
      </w:r>
      <w:r w:rsidRPr="00C21532">
        <w:t>al-iżvilupp tas-software u għalhekk l-ispiża tad-diġitalizzazzjoni; billi għalhekk l-użu ta’ software ta’ sors miftuħ mill-amministrazzjoni tal-Unjoni għandu jiġi mħeġġeġ kontinwament</w:t>
      </w:r>
      <w:r w:rsidRPr="00C21532">
        <w:rPr>
          <w:rStyle w:val="FootnoteReference"/>
        </w:rPr>
        <w:footnoteReference w:id="16"/>
      </w:r>
      <w:r w:rsidRPr="00C21532">
        <w:t>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t xml:space="preserve">AA. </w:t>
      </w:r>
      <w:r w:rsidRPr="00C21532">
        <w:tab/>
        <w:t>billi l-aċċess għas-servizzi tal-amministrazzjoni diġitali għaċ-ċ</w:t>
      </w:r>
      <w:r w:rsidRPr="00C21532">
        <w:t>ittadini tal-Unjoni huwa affettwat minn fatturi bħall-età, il-kunfidenza jew ir-rieda li jħaddnu soluzzjonijiet teknoloġiċi; billi għalhekk l-amministrazzjoni tal-Unjoni għandha tqis dan meta tiżviluppa soluzzjonijiet diġitali għas-servizzi li tipprovdi sa</w:t>
      </w:r>
      <w:r w:rsidRPr="00C21532">
        <w:t xml:space="preserve">biex ma tintilifx il-fiduċja taċ-ċittadini u tippermetti liċ-ċittadini jaġġustaw għall-eżistenza tas-servizz diġitali;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AB.</w:t>
      </w:r>
      <w:r w:rsidRPr="00C21532">
        <w:rPr>
          <w:color w:val="000000"/>
        </w:rPr>
        <w:tab/>
        <w:t>billi l-prinċipji segwenti għas-servizzi pubbliċi diġitali u l-amministrazzjoni diġà ġew identifikati: (i) servizzi pubbliċi diġital</w:t>
      </w:r>
      <w:r w:rsidRPr="00C21532">
        <w:rPr>
          <w:color w:val="000000"/>
        </w:rPr>
        <w:t>i ċċentrati fuq il-bniedem u aċċessibbli fil-livelli kollha, (ii) il-possibbiltà għal kull persuna li tidħol fil-ħolqien u fit-titjib ta’ servizzi pubbliċi diġitali li huma mfassla għall-bżonnijiet u l-preferenzi tagħhom, (iii) il-prinċipju ta’ ‘darba biss</w:t>
      </w:r>
      <w:r w:rsidRPr="00C21532">
        <w:rPr>
          <w:color w:val="000000"/>
        </w:rPr>
        <w:t xml:space="preserve">’, jiġifieri li kull persuna għandha tissottometti d-data jew l-informazzjoni tagħha darba biss meta tkun qed tinteraġixxi b’mod diġitali ma’ amministrazzjonijiet pubbliċi madwar l-Unjoni, (iv) l-interoperabbiltà tas-servizzi </w:t>
      </w:r>
      <w:r w:rsidRPr="00C21532">
        <w:rPr>
          <w:color w:val="000000"/>
        </w:rPr>
        <w:lastRenderedPageBreak/>
        <w:t>diġitali offruti mis-settur pu</w:t>
      </w:r>
      <w:r w:rsidRPr="00C21532">
        <w:rPr>
          <w:color w:val="000000"/>
        </w:rPr>
        <w:t>bbliku bħal soluzzjonijiet ta’ identità diġitali b’portabbiltà tad-data permessa madwar l-Unjoni, (v) involviment wiesa’ tan-nies u minnhom iffaċilitat permezz ta’ teknoloġiji u soluzzjonijiet diġitali u stimulazzjoni tal-iżvilupp ta’ inizjattivi parteċipa</w:t>
      </w:r>
      <w:r w:rsidRPr="00C21532">
        <w:rPr>
          <w:color w:val="000000"/>
        </w:rPr>
        <w:t>ttivi fil-livelli kollha, (vi) kontribut ta’ teknoloġiji u soluzzjonijiet diġitali għal livelli aħjar ta’ sigurtà u sikurezza pubblika;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1.</w:t>
      </w:r>
      <w:r w:rsidRPr="00C21532">
        <w:rPr>
          <w:color w:val="000000"/>
        </w:rPr>
        <w:tab/>
        <w:t>Iqis li wara 70 sena ta’ żvilupp kostanti tal-amministrazzjoni pubblika tal-Unjoni u 13-il sena mid-dħul fis-seħħ tat</w:t>
      </w:r>
      <w:r w:rsidRPr="00C21532">
        <w:rPr>
          <w:color w:val="000000"/>
        </w:rPr>
        <w:t>-Trattat ta’ Lisbona, li jistabbilixxi l-bażi legali tal-Artikolu 298 tat-TFUE, m’hemm l-ebda ġustifikazzjoni biex ma jiddaħħlux il-prinċipji ta’ amministrazzjoni tajba fil-leġiżlazzjoni vinkolanti;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2.</w:t>
      </w:r>
      <w:r w:rsidRPr="00C21532">
        <w:rPr>
          <w:color w:val="000000"/>
        </w:rPr>
        <w:tab/>
      </w:r>
      <w:r w:rsidRPr="00C21532">
        <w:t>Ifakkar li, fir-riżoluzzjoni tiegħu tal-15 ta’ Jannar2</w:t>
      </w:r>
      <w:r w:rsidRPr="00C21532">
        <w:t>013 u fir-riżoluzzjoni tiegħu tad-9ta’Ġunju 2016, il-Parlament talab, skont l-Artikolu 225 tat-TFUE, għall-adozzjoni ta’ regolament dwar amministrazzjoni tal-Unjoni Ewropea miftuħa, effiċjenti u indipendenti skont l-Artikolu 298 tat-TFUE; ifakkar li, fir-r</w:t>
      </w:r>
      <w:r w:rsidRPr="00C21532">
        <w:t>iżoluzzjoni tiegħu tad-9 ta’ Ġunju 2016, il-Parlament b’mod partikolari talab lill-Kummissjoni biex tressaq proposta leġiżlattiva li għandha tiġi inkluża fil-programm ta’ ħidma tagħha għas-sena 2017; jiddispjaċih li t-talbiet tal-Parlament s’issa ma ġewx s</w:t>
      </w:r>
      <w:r w:rsidRPr="00C21532">
        <w:t>egwiti minn proposta tal-Kummissjoni;</w:t>
      </w:r>
      <w:r w:rsidRPr="00C21532">
        <w:rPr>
          <w:color w:val="000000"/>
        </w:rPr>
        <w:t xml:space="preserve"> 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3.</w:t>
      </w:r>
      <w:r w:rsidRPr="00C21532">
        <w:rPr>
          <w:color w:val="000000"/>
        </w:rPr>
        <w:tab/>
        <w:t>Jinnota li l-Kummissjoni ma pprovdiet l-ebda argument sostanzjat jew konvinċenti għan-nuqqas ta’ azzjoni tagħha u jiddispjaċih li sal-lum il-Kummissjoni ma ppreżentat l-ebda analiżi jew studji fil-fond dwar is-suġġ</w:t>
      </w:r>
      <w:r w:rsidRPr="00C21532">
        <w:rPr>
          <w:color w:val="000000"/>
        </w:rPr>
        <w:t>ett;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21532">
        <w:t>4.</w:t>
      </w:r>
      <w:r w:rsidRPr="00C21532">
        <w:tab/>
        <w:t>Jitlob lill-Kummissjoni biex tressaq b’mod urġenti proposta leġiżlattiva, abbażi tal-Artikolu 298 tat-TFUE, għal regolament dwar amministrazzjoni tal-Unjoni Ewropea miftuħa, effiċjenti u indipendenti biex jiġi inkluż fil-programm ta’ ħidma tagħha g</w:t>
      </w:r>
      <w:r w:rsidRPr="00C21532">
        <w:t xml:space="preserve">ħas-sena 2024 sabiex il-koleġiżlaturi jistgħu jibdew il-ħidma tagħhom fuqha immedjatament fil-bidu ta’ terminu leġiżlattiv ġdid; jitlob li l-proposta ssegwi r-rakkomandazzjonijiet stabbiliti fl-Anness hawnhekk u jistieden lill-Kummissjoni biex tikkunsidra </w:t>
      </w:r>
      <w:r w:rsidRPr="00C21532">
        <w:t>l-proposta għal regolament annessa mar-riżoluzzjoni tagħha tad-9 ta’ Ġunju 2016 bħala punt tat-tluq għat-tħejjija tal-proposta mitluba u biex tqis l-avvanz tad-diġitalizzazzjoni u l-impatt tagħha fuq l-amministrazzjoni u l-proċedura amministrattiva tal-Unj</w:t>
      </w:r>
      <w:r w:rsidRPr="00C21532">
        <w:t>oni;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5.</w:t>
      </w:r>
      <w:r w:rsidRPr="00C21532">
        <w:rPr>
          <w:color w:val="000000"/>
        </w:rPr>
        <w:tab/>
        <w:t>Iqis li l-proposta mitluba m’għandhiex implikazzjonijiet finanzjarji;</w:t>
      </w:r>
    </w:p>
    <w:p w:rsidR="00873F47" w:rsidRPr="00C21532" w:rsidRDefault="007B633C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C21532">
        <w:rPr>
          <w:color w:val="000000"/>
        </w:rPr>
        <w:t>6.</w:t>
      </w:r>
      <w:r w:rsidRPr="00C21532">
        <w:rPr>
          <w:color w:val="000000"/>
        </w:rPr>
        <w:tab/>
        <w:t>Jagħti istruzzjonijiet lill-President tiegħu biex tgħaddi din ir-riżoluzzjoni u r-rakkomandazzjonijiet li jakkumpanjawha lill-Kummissjoni u lill-Kunsill.</w:t>
      </w:r>
    </w:p>
    <w:p w:rsidR="009F6042" w:rsidRPr="00C21532" w:rsidRDefault="009F6042" w:rsidP="00873F47">
      <w:pPr>
        <w:pStyle w:val="NormalHanging12a"/>
      </w:pPr>
    </w:p>
    <w:p w:rsidR="006E50B6" w:rsidRPr="00C21532" w:rsidRDefault="006E50B6" w:rsidP="00873F47">
      <w:pPr>
        <w:spacing w:after="240"/>
        <w:sectPr w:rsidR="006E50B6" w:rsidRPr="00C21532" w:rsidSect="00AB49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C21532" w:rsidRDefault="007B633C" w:rsidP="00873F47">
      <w:pPr>
        <w:pStyle w:val="PageHeading"/>
        <w:spacing w:after="240"/>
      </w:pPr>
      <w:bookmarkStart w:id="2" w:name="_Toc138167356"/>
      <w:r w:rsidRPr="00C21532">
        <w:lastRenderedPageBreak/>
        <w:t>ANNESS GĦALL-MOZZJONI GĦAL RIŻOLUZZJONI:</w:t>
      </w:r>
      <w:r w:rsidRPr="00C21532">
        <w:br/>
        <w:t>RAKKOMANDAZZJONIJIET DWAR IL-KONTENUT TAL-PROPOSTA MITLUBA</w:t>
      </w:r>
      <w:bookmarkEnd w:id="2"/>
    </w:p>
    <w:p w:rsidR="00873F47" w:rsidRPr="00C21532" w:rsidRDefault="007B633C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C21532">
        <w:rPr>
          <w:b/>
          <w:color w:val="000000"/>
        </w:rPr>
        <w:t>Rakkomandazzjoni 1 (fuq il-bażi ta’ proposta tal-Kummissjoni dwar regolament dwar amministrazzjoni tal-Unjoni Ewropea miftuħa</w:t>
      </w:r>
      <w:r w:rsidRPr="00C21532">
        <w:rPr>
          <w:b/>
          <w:color w:val="000000"/>
        </w:rPr>
        <w:t>, effiċjenti u indipendenti):</w:t>
      </w:r>
    </w:p>
    <w:p w:rsidR="00873F47" w:rsidRPr="00C21532" w:rsidRDefault="007B633C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rPr>
          <w:color w:val="000000"/>
        </w:rPr>
        <w:t xml:space="preserve">Il-Parlament Ewropew iqis li l-proposta tal-Kummissjoni għandha tieħu l-forma ta’ regolament li jistabbilixxi att ġenerali relatat mal-proċedura amministrattiva, kif deskritt fl-Anness tar-riżoluzzjoni tal-Parlament tad-9 ta’ </w:t>
      </w:r>
      <w:r w:rsidRPr="00C21532">
        <w:rPr>
          <w:color w:val="000000"/>
        </w:rPr>
        <w:t xml:space="preserve">Ġunju 2016 għal amministrazzjoni tal-Unjoni Ewropea miftuħa, effiċjenti u indipendenti. </w:t>
      </w:r>
    </w:p>
    <w:p w:rsidR="00873F47" w:rsidRPr="00C21532" w:rsidRDefault="007B633C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C21532">
        <w:rPr>
          <w:b/>
          <w:color w:val="000000"/>
        </w:rPr>
        <w:t>Rakkomandazzjoni 2 (dwar il-prinċipji li jiggwidaw id-diġitalizzazzjoni tal-proċeduri amministrattivi tal-Unjoni)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rPr>
          <w:color w:val="000000"/>
        </w:rPr>
        <w:t xml:space="preserve">Il-Parlament Ewropew iqis li l-avvanzi </w:t>
      </w:r>
      <w:r w:rsidRPr="00C21532">
        <w:rPr>
          <w:color w:val="000000"/>
        </w:rPr>
        <w:t>fid-diġitalizzazzjoni u fl-impatt tagħha fuq il-proċeduri amministrattivi tal-amministrazzjoni tal-Unjoni għandhom jitqiesu mill-Kummissjoni meta tippreżenta l-proposta mitluba taħt din ir-riżoluzzjoni.  B’mod partikolari, għandu jitqies is-segwenti: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</w:pPr>
      <w:r w:rsidRPr="00C21532">
        <w:t>1.</w:t>
      </w:r>
      <w:r w:rsidRPr="00C21532">
        <w:tab/>
        <w:t>Fi</w:t>
      </w:r>
      <w:r w:rsidRPr="00C21532">
        <w:t>r-rigward tal-aspetti ġenerali: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rPr>
          <w:color w:val="000000"/>
        </w:rPr>
        <w:t xml:space="preserve">(i) </w:t>
      </w:r>
      <w:r w:rsidRPr="00C21532">
        <w:rPr>
          <w:color w:val="000000"/>
        </w:rPr>
        <w:tab/>
        <w:t>il-‘prinċipju ta’ darba biss’, jiġifieri li kull persuna għandha tissottometti d-data jew l-informazzjoni tagħha darba biss meta tkun qed tinteraġixxi b’mod diġitali mal-amministrazzjoni tal-Unjoni, abbażi f’dan ir-rigw</w:t>
      </w:r>
      <w:r w:rsidRPr="00C21532">
        <w:rPr>
          <w:color w:val="000000"/>
        </w:rPr>
        <w:t xml:space="preserve">ard ukoll tal-istabbiliment tal-Kartiera Ewropea tal-Identità Diġitali;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t xml:space="preserve">(ii) </w:t>
      </w:r>
      <w:r w:rsidRPr="00C21532">
        <w:tab/>
        <w:t>l-interoperabbiltà tas-servizzi diġitali offruti mill-amministrazzjoni tal-Unjoni;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rPr>
          <w:color w:val="000000"/>
        </w:rPr>
        <w:t>(</w:t>
      </w:r>
      <w:r w:rsidRPr="00C21532">
        <w:t>iii</w:t>
      </w:r>
      <w:r w:rsidRPr="00C21532">
        <w:rPr>
          <w:color w:val="000000"/>
        </w:rPr>
        <w:t xml:space="preserve">) </w:t>
      </w:r>
      <w:r w:rsidRPr="00C21532">
        <w:rPr>
          <w:color w:val="000000"/>
        </w:rPr>
        <w:tab/>
        <w:t>il-kontribut tat-teknoloġiji u s-soluzzjonijiet diġitali għal livelli ogħla ta’ sigurtà</w:t>
      </w:r>
      <w:r w:rsidRPr="00C21532">
        <w:rPr>
          <w:color w:val="000000"/>
        </w:rPr>
        <w:t xml:space="preserve"> u sikurezza pubbliċi;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t xml:space="preserve">(iv) </w:t>
      </w:r>
      <w:r w:rsidRPr="00C21532">
        <w:tab/>
        <w:t>l-istabbiliment ta’ proċeduri u tal-kjarifikazzjoni tal-użu tat-teknoloġiji diġitali fil-komunikazzjoni esterna tal-amministrazzjoni tal-Unjoni, bl-għanijiet li jittieħdu kontromiżuri biex jiġu ttrattati l-lakuni eżistenti, ti</w:t>
      </w:r>
      <w:r w:rsidRPr="00C21532">
        <w:t>żdied iċ-ċertezza legali, jiġi żgurat li n-numru ta’ każijiet ta’ inġustizzja amministrattiva li huma indirizzati jiżdied u jkissru ċ-ċiklu ta’ sfiduċja;</w:t>
      </w:r>
    </w:p>
    <w:p w:rsidR="00873F47" w:rsidRPr="00C21532" w:rsidRDefault="007B633C" w:rsidP="00873F47">
      <w:pPr>
        <w:spacing w:after="240"/>
      </w:pPr>
      <w:r w:rsidRPr="00C21532">
        <w:t>2.</w:t>
      </w:r>
      <w:r w:rsidRPr="00C21532">
        <w:tab/>
        <w:t>Fir-rigward tas-servizzi pubbliċi diġitali aċċessibbli u inklużivi:</w:t>
      </w:r>
    </w:p>
    <w:p w:rsidR="00873F47" w:rsidRPr="00C21532" w:rsidRDefault="007B633C" w:rsidP="00873F47">
      <w:pPr>
        <w:spacing w:after="240"/>
      </w:pPr>
      <w:r w:rsidRPr="00C21532">
        <w:t xml:space="preserve">(i) </w:t>
      </w:r>
      <w:r w:rsidRPr="00C21532">
        <w:tab/>
        <w:t>is-servizzi pubbliċi diġit</w:t>
      </w:r>
      <w:r w:rsidRPr="00C21532">
        <w:t xml:space="preserve">ali għandhom ikunu ċċentrati fuq il-bniedem u aċċessibbli fil-livelli kollha; </w:t>
      </w:r>
    </w:p>
    <w:p w:rsidR="00873F47" w:rsidRPr="00C21532" w:rsidRDefault="007B633C" w:rsidP="00873F47">
      <w:pPr>
        <w:spacing w:after="240"/>
      </w:pPr>
      <w:r w:rsidRPr="00C21532">
        <w:t xml:space="preserve">(ii) </w:t>
      </w:r>
      <w:r w:rsidRPr="00C21532">
        <w:tab/>
        <w:t>kull persuna għandu jkollha l-possibbiltà li tinvolvi ruħha fil-ħolqien u fit-titjib ta’ servizzi pubbliċi diġitali li huma mfassla għall-bżonnijiet u l-preferenzi tagħha;</w:t>
      </w:r>
      <w:r w:rsidRPr="00C21532">
        <w:t xml:space="preserve"> </w:t>
      </w:r>
    </w:p>
    <w:p w:rsidR="00873F47" w:rsidRPr="00C21532" w:rsidRDefault="007B633C" w:rsidP="00873F47">
      <w:pPr>
        <w:spacing w:after="240"/>
      </w:pPr>
      <w:r w:rsidRPr="00C21532">
        <w:t xml:space="preserve">(iii) </w:t>
      </w:r>
      <w:r w:rsidRPr="00C21532">
        <w:tab/>
        <w:t>alternattivi analogi għas-servizzi diġitali għandhom dejjem jiġu pprovduti, u punt ta’ kuntatt uman għandu jkun disponibbli biex jgħin jindirizza kwalunkwe kwistjoni li tista’ tqum fl-użu tas-servizzi diġitali miċ-ċittadini tal-Unjoni;</w:t>
      </w:r>
    </w:p>
    <w:p w:rsidR="00873F47" w:rsidRPr="00C21532" w:rsidRDefault="007B633C" w:rsidP="00873F47">
      <w:pPr>
        <w:spacing w:after="240"/>
      </w:pPr>
      <w:r w:rsidRPr="00C21532">
        <w:t xml:space="preserve">(iv) </w:t>
      </w:r>
      <w:r w:rsidRPr="00C21532">
        <w:tab/>
        <w:t>is-se</w:t>
      </w:r>
      <w:r w:rsidRPr="00C21532">
        <w:t>rvizzi pubbliċi diġitali għandhom ikunu aċċessibbli għall-persuni b’diżabilità;</w:t>
      </w:r>
    </w:p>
    <w:p w:rsidR="00873F47" w:rsidRPr="00C21532" w:rsidRDefault="007B633C" w:rsidP="00873F47">
      <w:pPr>
        <w:spacing w:after="240"/>
      </w:pPr>
      <w:r w:rsidRPr="00C21532">
        <w:t xml:space="preserve">(v) </w:t>
      </w:r>
      <w:r w:rsidRPr="00C21532">
        <w:rPr>
          <w:b/>
          <w:bCs/>
        </w:rPr>
        <w:tab/>
      </w:r>
      <w:r w:rsidRPr="00C21532">
        <w:t xml:space="preserve">is-servizzi pubbliċi diġitali għandhom ikunu aċċessibbli wkoll permezz ta’ firxa wiesgħa ta’ apparati; </w:t>
      </w:r>
    </w:p>
    <w:p w:rsidR="00873F47" w:rsidRPr="00C21532" w:rsidRDefault="007B633C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C21532">
        <w:lastRenderedPageBreak/>
        <w:t>3.</w:t>
      </w:r>
      <w:r w:rsidRPr="00C21532">
        <w:tab/>
        <w:t>Fir-rigward tas-sigurtà, ir-responsabbiltà u l-protezzjoni tad-d</w:t>
      </w:r>
      <w:r w:rsidRPr="00C21532">
        <w:t>ata</w:t>
      </w:r>
    </w:p>
    <w:p w:rsidR="00873F47" w:rsidRPr="00C21532" w:rsidRDefault="007B633C" w:rsidP="00873F47">
      <w:pPr>
        <w:spacing w:after="240"/>
      </w:pPr>
      <w:r w:rsidRPr="00C21532">
        <w:t xml:space="preserve">(i) </w:t>
      </w:r>
      <w:r w:rsidRPr="00C21532">
        <w:tab/>
        <w:t xml:space="preserve">il-prinċipju ta’ ‘fondi pubbliċi – kodiċi pubbliku’, jiġifieri li kodiċi tas-sors ta’ kwalunkwe software żviluppat bl-użu ta’ fondi pubbliċi għandu jkun disponibbli għall-pubbliku għal skopijiet ta’ studju u użu mill-ġdid; </w:t>
      </w:r>
    </w:p>
    <w:p w:rsidR="00873F47" w:rsidRPr="00C21532" w:rsidRDefault="007B633C" w:rsidP="00873F47">
      <w:pPr>
        <w:spacing w:after="240"/>
      </w:pPr>
      <w:r w:rsidRPr="00C21532">
        <w:t xml:space="preserve">(ii) </w:t>
      </w:r>
      <w:r w:rsidRPr="00C21532">
        <w:tab/>
        <w:t>il-privatezza u s</w:t>
      </w:r>
      <w:r w:rsidRPr="00C21532">
        <w:t>-sigurtà tal-utenti tas-servizzi pubbliċi diġitali għandhom ikunu protetti;</w:t>
      </w:r>
    </w:p>
    <w:p w:rsidR="00873F47" w:rsidRPr="00C21532" w:rsidRDefault="007B633C" w:rsidP="00873F47">
      <w:pPr>
        <w:spacing w:after="240"/>
      </w:pPr>
      <w:r w:rsidRPr="00C21532">
        <w:t xml:space="preserve">(iii) </w:t>
      </w:r>
      <w:r w:rsidRPr="00C21532">
        <w:tab/>
        <w:t xml:space="preserve">id-dritt ta’ żball u d-dritt ta’ rettifika; </w:t>
      </w:r>
    </w:p>
    <w:p w:rsidR="00873F47" w:rsidRPr="00C21532" w:rsidRDefault="007B633C" w:rsidP="00873F47">
      <w:pPr>
        <w:spacing w:after="240"/>
      </w:pPr>
      <w:r w:rsidRPr="00C21532">
        <w:t xml:space="preserve">(iv) </w:t>
      </w:r>
      <w:r w:rsidRPr="00C21532">
        <w:tab/>
        <w:t>id-dritt għal spjegazzjoni mifhum bħala d-dritt li tingħata spjegazzjoni għal output tal-algoritmu u tad-deċiżjoni milħuqa</w:t>
      </w:r>
      <w:r w:rsidRPr="00C21532">
        <w:t xml:space="preserve"> wara valutazzjoni algoritmika;</w:t>
      </w:r>
    </w:p>
    <w:p w:rsidR="00873F47" w:rsidRPr="00C21532" w:rsidRDefault="007B633C" w:rsidP="00873F47">
      <w:pPr>
        <w:spacing w:after="240"/>
      </w:pPr>
      <w:r w:rsidRPr="00C21532">
        <w:t xml:space="preserve">(v) </w:t>
      </w:r>
      <w:r w:rsidRPr="00C21532">
        <w:tab/>
        <w:t>il-prinċipju tat-trasparenza fir-rigward tal-kriterji li fuq il-bażi tagħhom jittieħdu deċiżjonijiet awtomatizzati, fejn it-tali deċiżjonijiet jaffettwaw liċ-ċittadini.</w:t>
      </w:r>
    </w:p>
    <w:p w:rsidR="00873F47" w:rsidRPr="00C21532" w:rsidRDefault="007B633C" w:rsidP="00873F47">
      <w:pPr>
        <w:spacing w:after="240"/>
        <w:rPr>
          <w:b/>
        </w:rPr>
      </w:pPr>
      <w:r w:rsidRPr="00C21532">
        <w:rPr>
          <w:b/>
        </w:rPr>
        <w:t xml:space="preserve">Rakkomandazzjoni 3 (dwar il-prinċipji </w:t>
      </w:r>
      <w:r w:rsidRPr="00C21532">
        <w:rPr>
          <w:b/>
        </w:rPr>
        <w:t>għall-iżvilupp u l-iskjerament ta’ soluzzjonijiet diġitali)</w:t>
      </w:r>
    </w:p>
    <w:p w:rsidR="00873F47" w:rsidRPr="00C21532" w:rsidRDefault="007B633C" w:rsidP="00873F47">
      <w:pPr>
        <w:spacing w:after="240"/>
      </w:pPr>
      <w:r w:rsidRPr="00C21532">
        <w:t>Għandha tiġi rikonoxxuta l-ħtieġa li jiġu żviluppati soluzzjonijiet diġitali ġodda sabiex jintlaħqu l-ħtiġijiet tal-amministrazzjoni tal-Unjoni fil-proċess tad-diġitalizzazzjoni. Sabiex jiġi żgura</w:t>
      </w:r>
      <w:r w:rsidRPr="00C21532">
        <w:t xml:space="preserve">t li tali soluzzjonijiet jaqdu bl-aħjar mod liċ-ċittadini tal-Unjoni u lill-persunal tal-Unjoni, għandhom jiġu kkunsidrati l-prinċipji segwenti: </w:t>
      </w:r>
    </w:p>
    <w:p w:rsidR="00873F47" w:rsidRPr="00C21532" w:rsidRDefault="007B633C" w:rsidP="00873F47">
      <w:pPr>
        <w:shd w:val="clear" w:color="auto" w:fill="FFFFFF"/>
        <w:spacing w:after="240"/>
        <w:rPr>
          <w:color w:val="4D5156"/>
        </w:rPr>
      </w:pPr>
      <w:r w:rsidRPr="00C21532">
        <w:t xml:space="preserve">(i) </w:t>
      </w:r>
      <w:r w:rsidRPr="00C21532">
        <w:tab/>
        <w:t>il-persunal tal-Unjoni għandu jkun fil-qalba tal-proċess tal-iżvilupp, peress li għandu l-aħjar fehim tal</w:t>
      </w:r>
      <w:r w:rsidRPr="00C21532">
        <w:t>-proċeduri amministrattivi u l-każijiet tat-tarf, jiġifieri problemi jew sitwazzjonijiet li jseħħu biss fl-ogħla jew fl-inqas tarf ta’ firxa ta’ valuri possibbli jew f’sitwazzjonijiet estremi;</w:t>
      </w:r>
    </w:p>
    <w:p w:rsidR="00873F47" w:rsidRPr="00C21532" w:rsidRDefault="007B633C" w:rsidP="00873F47">
      <w:pPr>
        <w:spacing w:after="240"/>
      </w:pPr>
      <w:r w:rsidRPr="00C21532">
        <w:t xml:space="preserve">(ii) </w:t>
      </w:r>
      <w:r w:rsidRPr="00C21532">
        <w:tab/>
        <w:t xml:space="preserve">għandu jiġi kkunsidrat l-iżvilupp ta’ soluzzjonijiet </w:t>
      </w:r>
      <w:r w:rsidRPr="00C21532">
        <w:t xml:space="preserve">diġitali interni li huma essenzjali għall-varar tas-servizz pubbliku kkonċernat; </w:t>
      </w:r>
    </w:p>
    <w:p w:rsidR="00873F47" w:rsidRPr="00C21532" w:rsidRDefault="007B633C" w:rsidP="00873F47">
      <w:pPr>
        <w:spacing w:after="240"/>
      </w:pPr>
      <w:r w:rsidRPr="00C21532">
        <w:t xml:space="preserve">(iii) </w:t>
      </w:r>
      <w:r w:rsidRPr="00C21532">
        <w:tab/>
        <w:t xml:space="preserve">meta jkun hemm esternalizzazzjoni, iktar milli sejħiet għal proposti għal proġetti monolitiċi kbar, li ftit kumpaniji kbar biss jistgħu jagħmlu offerta għalihom, u li </w:t>
      </w:r>
      <w:r w:rsidRPr="00C21532">
        <w:t>għandhom riskju akbar li jiġu mdewma u jaqbżu l-baġit, proċeduri ta’ akkwist pubbliku għad-diġitalizzazzjoni tal-proġetti u tal-proċessi għandhom jiġu suddiviżi f’sejħiet għal proposti għal proġetti iżgħar, sabiex il-kuntratti tad-diġitalizzazzjoni jsiru i</w:t>
      </w:r>
      <w:r w:rsidRPr="00C21532">
        <w:t>ktar aċċessibbli għall-SMEs;</w:t>
      </w:r>
    </w:p>
    <w:p w:rsidR="00873F47" w:rsidRPr="00C21532" w:rsidRDefault="007B633C" w:rsidP="00873F47">
      <w:pPr>
        <w:spacing w:after="240"/>
      </w:pPr>
      <w:r w:rsidRPr="00C21532">
        <w:t xml:space="preserve">(iv) </w:t>
      </w:r>
      <w:r w:rsidRPr="00C21532">
        <w:tab/>
        <w:t>id-diġitalizzazzjoni m’għandhiex titqies biss bħala proċess ta’ tnaqqis tal-ispejjeż: huwa importanti li wieħed jiftakar li d-diġitalizzazzjoni effettiva teħtieġ ukoll investiment kemm fit-teknoloġija kif ukoll fil-persun</w:t>
      </w:r>
      <w:r w:rsidRPr="00C21532">
        <w:t>al;</w:t>
      </w:r>
    </w:p>
    <w:p w:rsidR="00873F47" w:rsidRPr="00C21532" w:rsidRDefault="007B633C" w:rsidP="00873F47">
      <w:pPr>
        <w:spacing w:after="240"/>
      </w:pPr>
      <w:r w:rsidRPr="00C21532">
        <w:t xml:space="preserve">(v) </w:t>
      </w:r>
      <w:r w:rsidRPr="00C21532">
        <w:tab/>
        <w:t>id-diġitalizzazzjoni għandha titwettaq b’mod li jirriżulta li l-persunal ikollu iktar ħin biex jagħmel kompiti relatati mal-kompetenza tiegħu, billi jiġu awtomatizzati kompiti ripetittivi u jassisti lill-persunal biex jiżgura li l-amministrazzjoni</w:t>
      </w:r>
      <w:r w:rsidRPr="00C21532">
        <w:t xml:space="preserve"> tal-Unjoni tissodisfa l-prinċipji u l-għanijiet imsemmija fir-Rakkomandazzjoni 2; </w:t>
      </w:r>
    </w:p>
    <w:p w:rsidR="00007EDE" w:rsidRPr="00C21532" w:rsidRDefault="007B633C" w:rsidP="00873F47">
      <w:pPr>
        <w:spacing w:after="240"/>
      </w:pPr>
      <w:r w:rsidRPr="00C21532">
        <w:t xml:space="preserve">(vi) </w:t>
      </w:r>
      <w:r w:rsidRPr="00C21532">
        <w:tab/>
        <w:t>id-diġitalizzazzjoni m’għandhiex twassal li kompiti speċjalizzati jiġu mgħoddija fuq persunal b’kompetenzi mhux speċjalizzati, li ma jingħatax it-taħriġ u r-riżorsi m</w:t>
      </w:r>
      <w:r w:rsidRPr="00C21532">
        <w:t xml:space="preserve">eħtieġa biex </w:t>
      </w:r>
      <w:r w:rsidRPr="00C21532">
        <w:lastRenderedPageBreak/>
        <w:t>iwettaq dawn il-kompiti.</w:t>
      </w:r>
    </w:p>
    <w:sectPr w:rsidR="00007EDE" w:rsidRPr="00C21532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C21532" w:rsidRDefault="007B633C">
      <w:r w:rsidRPr="00C21532">
        <w:separator/>
      </w:r>
    </w:p>
  </w:endnote>
  <w:endnote w:type="continuationSeparator" w:id="0">
    <w:p w:rsidR="00000000" w:rsidRPr="00C21532" w:rsidRDefault="007B633C">
      <w:r w:rsidRPr="00C215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966" w:rsidRPr="00C21532" w:rsidRDefault="00AB4966" w:rsidP="00AB4966">
    <w:pPr>
      <w:pStyle w:val="EPFooter"/>
    </w:pPr>
    <w:r w:rsidRPr="00C21532">
      <w:t>PE</w:t>
    </w:r>
    <w:r w:rsidRPr="00C21532">
      <w:rPr>
        <w:rStyle w:val="HideTWBExt"/>
      </w:rPr>
      <w:t>&lt;NoPE&gt;</w:t>
    </w:r>
    <w:r w:rsidRPr="00C21532">
      <w:t>746.653</w:t>
    </w:r>
    <w:r w:rsidRPr="00C21532">
      <w:rPr>
        <w:rStyle w:val="HideTWBExt"/>
      </w:rPr>
      <w:t>&lt;/NoPE&gt;&lt;Version&gt;</w:t>
    </w:r>
    <w:r w:rsidRPr="00C21532">
      <w:t>v01-00</w:t>
    </w:r>
    <w:r w:rsidRPr="00C21532">
      <w:rPr>
        <w:rStyle w:val="HideTWBExt"/>
      </w:rPr>
      <w:t>&lt;/Version&gt;</w:t>
    </w:r>
    <w:r w:rsidRPr="00C21532">
      <w:tab/>
    </w:r>
    <w:r w:rsidRPr="00C21532">
      <w:fldChar w:fldCharType="begin"/>
    </w:r>
    <w:r w:rsidRPr="00C21532">
      <w:instrText xml:space="preserve"> PAGE  \* MERGEFORMAT </w:instrText>
    </w:r>
    <w:r w:rsidRPr="00C21532">
      <w:fldChar w:fldCharType="separate"/>
    </w:r>
    <w:r w:rsidR="007B633C">
      <w:rPr>
        <w:noProof/>
      </w:rPr>
      <w:t>2</w:t>
    </w:r>
    <w:r w:rsidRPr="00C21532">
      <w:fldChar w:fldCharType="end"/>
    </w:r>
    <w:r w:rsidRPr="00C21532">
      <w:t>/</w:t>
    </w:r>
    <w:fldSimple w:instr=" NUMPAGES  \* MERGEFORMAT ">
      <w:r w:rsidR="007B633C">
        <w:rPr>
          <w:noProof/>
        </w:rPr>
        <w:t>15</w:t>
      </w:r>
    </w:fldSimple>
    <w:r w:rsidRPr="00C21532">
      <w:tab/>
    </w:r>
    <w:r w:rsidRPr="00C21532">
      <w:rPr>
        <w:rStyle w:val="HideTWBExt"/>
      </w:rPr>
      <w:t>&lt;PathFdR&gt;</w:t>
    </w:r>
    <w:r w:rsidR="00C21532" w:rsidRPr="00C21532">
      <w:t>PR\1276129MT.docx</w:t>
    </w:r>
    <w:r w:rsidRPr="00C21532">
      <w:rPr>
        <w:rStyle w:val="HideTWBExt"/>
      </w:rPr>
      <w:t>&lt;/PathFdR&gt;</w:t>
    </w:r>
  </w:p>
  <w:p w:rsidR="007255C3" w:rsidRPr="00C21532" w:rsidRDefault="00AB4966" w:rsidP="00AB4966">
    <w:pPr>
      <w:pStyle w:val="EPFooter2"/>
    </w:pPr>
    <w:r w:rsidRPr="00C2153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966" w:rsidRPr="00C21532" w:rsidRDefault="00AB4966" w:rsidP="00AB4966">
    <w:pPr>
      <w:pStyle w:val="EPFooter"/>
    </w:pPr>
    <w:r w:rsidRPr="00C21532">
      <w:rPr>
        <w:rStyle w:val="HideTWBExt"/>
      </w:rPr>
      <w:t>&lt;PathFdR&gt;</w:t>
    </w:r>
    <w:r w:rsidR="00C21532" w:rsidRPr="00C21532">
      <w:t>PR\1276129MT.docx</w:t>
    </w:r>
    <w:r w:rsidRPr="00C21532">
      <w:rPr>
        <w:rStyle w:val="HideTWBExt"/>
      </w:rPr>
      <w:t>&lt;/PathFdR&gt;</w:t>
    </w:r>
    <w:r w:rsidRPr="00C21532">
      <w:tab/>
    </w:r>
    <w:r w:rsidRPr="00C21532">
      <w:fldChar w:fldCharType="begin"/>
    </w:r>
    <w:r w:rsidRPr="00C21532">
      <w:instrText xml:space="preserve"> PAGE  \* MERGEFORMAT </w:instrText>
    </w:r>
    <w:r w:rsidRPr="00C21532">
      <w:fldChar w:fldCharType="separate"/>
    </w:r>
    <w:r w:rsidR="007B633C">
      <w:rPr>
        <w:noProof/>
      </w:rPr>
      <w:t>14</w:t>
    </w:r>
    <w:r w:rsidRPr="00C21532">
      <w:fldChar w:fldCharType="end"/>
    </w:r>
    <w:r w:rsidRPr="00C21532">
      <w:t>/</w:t>
    </w:r>
    <w:fldSimple w:instr=" NUMPAGES  \* MERGEFORMAT ">
      <w:r w:rsidR="007B633C">
        <w:rPr>
          <w:noProof/>
        </w:rPr>
        <w:t>14</w:t>
      </w:r>
    </w:fldSimple>
    <w:r w:rsidRPr="00C21532">
      <w:tab/>
      <w:t>PE</w:t>
    </w:r>
    <w:r w:rsidRPr="00C21532">
      <w:rPr>
        <w:rStyle w:val="HideTWBExt"/>
      </w:rPr>
      <w:t>&lt;NoPE&gt;</w:t>
    </w:r>
    <w:r w:rsidRPr="00C21532">
      <w:t>746.653</w:t>
    </w:r>
    <w:r w:rsidRPr="00C21532">
      <w:rPr>
        <w:rStyle w:val="HideTWBExt"/>
      </w:rPr>
      <w:t>&lt;/NoPE&gt;&lt;Version&gt;</w:t>
    </w:r>
    <w:r w:rsidRPr="00C21532">
      <w:t>v01-00</w:t>
    </w:r>
    <w:r w:rsidRPr="00C21532">
      <w:rPr>
        <w:rStyle w:val="HideTWBExt"/>
      </w:rPr>
      <w:t>&lt;/Version&gt;</w:t>
    </w:r>
  </w:p>
  <w:p w:rsidR="007255C3" w:rsidRPr="00C21532" w:rsidRDefault="00AB4966" w:rsidP="00AB4966">
    <w:pPr>
      <w:pStyle w:val="EPFooter2"/>
    </w:pPr>
    <w:r w:rsidRPr="00C21532">
      <w:tab/>
    </w:r>
    <w:r w:rsidRPr="00C2153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966" w:rsidRPr="00C21532" w:rsidRDefault="00AB4966" w:rsidP="00AB4966">
    <w:pPr>
      <w:pStyle w:val="EPFooter"/>
    </w:pPr>
    <w:r w:rsidRPr="00C21532">
      <w:rPr>
        <w:rStyle w:val="HideTWBExt"/>
      </w:rPr>
      <w:t>&lt;PathFdR&gt;</w:t>
    </w:r>
    <w:r w:rsidR="00C21532" w:rsidRPr="00C21532">
      <w:t>PR\1276129MT.docx</w:t>
    </w:r>
    <w:r w:rsidRPr="00C21532">
      <w:rPr>
        <w:rStyle w:val="HideTWBExt"/>
      </w:rPr>
      <w:t>&lt;/PathFdR&gt;</w:t>
    </w:r>
    <w:r w:rsidRPr="00C21532">
      <w:tab/>
    </w:r>
    <w:r w:rsidRPr="00C21532">
      <w:tab/>
      <w:t>PE</w:t>
    </w:r>
    <w:r w:rsidRPr="00C21532">
      <w:rPr>
        <w:rStyle w:val="HideTWBExt"/>
      </w:rPr>
      <w:t>&lt;NoPE&gt;</w:t>
    </w:r>
    <w:r w:rsidRPr="00C21532">
      <w:t>746.653</w:t>
    </w:r>
    <w:r w:rsidRPr="00C21532">
      <w:rPr>
        <w:rStyle w:val="HideTWBExt"/>
      </w:rPr>
      <w:t>&lt;/NoPE&gt;&lt;Version&gt;</w:t>
    </w:r>
    <w:r w:rsidRPr="00C21532">
      <w:t>v01-00</w:t>
    </w:r>
    <w:r w:rsidRPr="00C21532">
      <w:rPr>
        <w:rStyle w:val="HideTWBExt"/>
      </w:rPr>
      <w:t>&lt;/Version&gt;</w:t>
    </w:r>
  </w:p>
  <w:p w:rsidR="007255C3" w:rsidRPr="00C21532" w:rsidRDefault="00AB4966" w:rsidP="00AB4966">
    <w:pPr>
      <w:pStyle w:val="EPFooter2"/>
    </w:pPr>
    <w:r w:rsidRPr="00C21532">
      <w:t>MT</w:t>
    </w:r>
    <w:r w:rsidRPr="00C21532">
      <w:tab/>
    </w:r>
    <w:r w:rsidRPr="00C21532">
      <w:rPr>
        <w:b w:val="0"/>
        <w:i/>
        <w:color w:val="C0C0C0"/>
        <w:sz w:val="22"/>
      </w:rPr>
      <w:t>Magħquda fid-diversità</w:t>
    </w:r>
    <w:r w:rsidRPr="00C2153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E25" w:rsidRPr="00C21532" w:rsidRDefault="007B633C">
      <w:r w:rsidRPr="00C21532">
        <w:separator/>
      </w:r>
    </w:p>
  </w:footnote>
  <w:footnote w:type="continuationSeparator" w:id="0">
    <w:p w:rsidR="005D4E25" w:rsidRPr="00C21532" w:rsidRDefault="007B633C">
      <w:r w:rsidRPr="00C21532">
        <w:continuationSeparator/>
      </w:r>
    </w:p>
  </w:footnote>
  <w:footnote w:id="1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 w:rsidRPr="00C21532">
        <w:rPr>
          <w:vertAlign w:val="superscript"/>
        </w:rPr>
        <w:footnoteRef/>
      </w:r>
      <w:r w:rsidRPr="00C21532">
        <w:rPr>
          <w:sz w:val="22"/>
        </w:rPr>
        <w:tab/>
      </w:r>
      <w:r w:rsidRPr="00C21532">
        <w:rPr>
          <w:sz w:val="20"/>
        </w:rPr>
        <w:t>ĠU L 295, 21.11.2018, p. 39.</w:t>
      </w:r>
    </w:p>
  </w:footnote>
  <w:footnote w:id="2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 w:rsidRPr="00C21532">
        <w:rPr>
          <w:vertAlign w:val="superscript"/>
        </w:rPr>
        <w:footnoteRef/>
      </w:r>
      <w:r w:rsidRPr="00C21532">
        <w:rPr>
          <w:sz w:val="22"/>
        </w:rPr>
        <w:tab/>
      </w:r>
      <w:r w:rsidRPr="00C21532">
        <w:rPr>
          <w:sz w:val="20"/>
        </w:rPr>
        <w:t>ĠU Edizzjoni Speċjali bil-Malti: Kapitolu 1 Vol. 3 p. 331.</w:t>
      </w:r>
    </w:p>
  </w:footnote>
  <w:footnote w:id="3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vertAlign w:val="superscript"/>
        </w:rPr>
        <w:footnoteRef/>
      </w:r>
      <w:r w:rsidRPr="00C21532">
        <w:rPr>
          <w:sz w:val="22"/>
        </w:rPr>
        <w:tab/>
      </w:r>
      <w:r w:rsidRPr="00C21532">
        <w:rPr>
          <w:sz w:val="20"/>
        </w:rPr>
        <w:t>ĠU C 72 E, 21.3.2002, p. 331.</w:t>
      </w:r>
    </w:p>
  </w:footnote>
  <w:footnote w:id="4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sz w:val="22"/>
        </w:rPr>
        <w:tab/>
      </w:r>
      <w:r w:rsidRPr="00C21532">
        <w:rPr>
          <w:sz w:val="20"/>
        </w:rPr>
        <w:t>ĠU L 267, 20.10.2000, p. 63.</w:t>
      </w:r>
    </w:p>
  </w:footnote>
  <w:footnote w:id="5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sz w:val="22"/>
        </w:rPr>
        <w:tab/>
      </w:r>
      <w:r w:rsidRPr="00C21532">
        <w:rPr>
          <w:sz w:val="20"/>
        </w:rPr>
        <w:t>ĠU Edizzjoni Speċjali bil-Malti: Kapitolu 18 Vol. 1 p. 15</w:t>
      </w:r>
      <w:r w:rsidRPr="00C21532">
        <w:rPr>
          <w:sz w:val="20"/>
        </w:rPr>
        <w:t>5.</w:t>
      </w:r>
    </w:p>
  </w:footnote>
  <w:footnote w:id="6">
    <w:p w:rsidR="004027C0" w:rsidRPr="00C21532" w:rsidRDefault="007B633C">
      <w:pPr>
        <w:pStyle w:val="FootnoteText"/>
      </w:pPr>
      <w:r w:rsidRPr="00C21532">
        <w:rPr>
          <w:rStyle w:val="FootnoteReference"/>
        </w:rPr>
        <w:footnoteRef/>
      </w:r>
      <w:r w:rsidRPr="00C21532">
        <w:tab/>
      </w:r>
      <w:hyperlink r:id="rId1" w:history="1">
        <w:r w:rsidRPr="00C21532">
          <w:rPr>
            <w:rStyle w:val="Hyperlink"/>
          </w:rPr>
          <w:t>https://www.europeanlawinstitute.eu/fileadmin/user_upload/p_eli/Publications/E</w:t>
        </w:r>
        <w:r w:rsidRPr="00C21532">
          <w:rPr>
            <w:rStyle w:val="Hyperlink"/>
          </w:rPr>
          <w:t>LI_Model_Rules_on_Impact_Assessment_of_ADMSs_Used_by_Public_Administration.pdf</w:t>
        </w:r>
      </w:hyperlink>
      <w:r w:rsidRPr="00C21532">
        <w:rPr>
          <w:rStyle w:val="Hyperlink"/>
        </w:rPr>
        <w:t>.</w:t>
      </w:r>
    </w:p>
  </w:footnote>
  <w:footnote w:id="7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vertAlign w:val="superscript"/>
        </w:rPr>
        <w:footnoteRef/>
      </w:r>
      <w:r w:rsidRPr="00C21532">
        <w:rPr>
          <w:color w:val="000000"/>
          <w:sz w:val="22"/>
        </w:rPr>
        <w:tab/>
        <w:t xml:space="preserve"> </w:t>
      </w:r>
      <w:hyperlink r:id="rId2" w:history="1">
        <w:r w:rsidRPr="00C21532">
          <w:rPr>
            <w:rStyle w:val="Hyperlink"/>
            <w:sz w:val="20"/>
          </w:rPr>
          <w:t>https://www.europarl.europa.eu/committees/mt/home</w:t>
        </w:r>
      </w:hyperlink>
    </w:p>
  </w:footnote>
  <w:footnote w:id="8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  <w:t xml:space="preserve"> </w:t>
      </w:r>
      <w:hyperlink r:id="rId3" w:history="1">
        <w:r w:rsidRPr="00C21532">
          <w:rPr>
            <w:rStyle w:val="Hyperlink"/>
            <w:sz w:val="20"/>
          </w:rPr>
          <w:t>http://www.europarl.europa.eu/meetdocs/2009_2014/documents/juri/dv/juri_wdadministrativelaw_/juri_wdadministrativelaw</w:t>
        </w:r>
        <w:r w:rsidRPr="00C21532">
          <w:rPr>
            <w:rStyle w:val="Hyperlink"/>
            <w:sz w:val="20"/>
          </w:rPr>
          <w:t>_en.pdf</w:t>
        </w:r>
      </w:hyperlink>
    </w:p>
  </w:footnote>
  <w:footnote w:id="9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  <w:t xml:space="preserve"> </w:t>
      </w:r>
      <w:hyperlink r:id="rId4" w:history="1">
        <w:r w:rsidRPr="00C21532">
          <w:rPr>
            <w:rStyle w:val="Hyperlink"/>
            <w:sz w:val="20"/>
          </w:rPr>
          <w:t>http://www.europarl.europa.eu/meetdocs/2009_2014/documents/juri/dv/eav_lawofadminprocedure_/EAV_LawofAdmin</w:t>
        </w:r>
        <w:r w:rsidRPr="00C21532">
          <w:rPr>
            <w:rStyle w:val="Hyperlink"/>
            <w:sz w:val="20"/>
          </w:rPr>
          <w:t>procedure_EN.pd</w:t>
        </w:r>
      </w:hyperlink>
    </w:p>
  </w:footnote>
  <w:footnote w:id="10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  <w:t xml:space="preserve"> </w:t>
      </w:r>
      <w:hyperlink r:id="rId5" w:history="1">
        <w:r w:rsidRPr="00C21532">
          <w:rPr>
            <w:rStyle w:val="Hyperlink"/>
            <w:sz w:val="20"/>
          </w:rPr>
          <w:t>https://www.europarl.europa.eu/RegData/etudes/STUD/2018/621841/EPRS_STU(2018)621841_EN.pdf</w:t>
        </w:r>
      </w:hyperlink>
      <w:r w:rsidRPr="00C21532">
        <w:rPr>
          <w:color w:val="000000"/>
          <w:sz w:val="20"/>
        </w:rPr>
        <w:t xml:space="preserve"> </w:t>
      </w:r>
    </w:p>
  </w:footnote>
  <w:footnote w:id="11">
    <w:p w:rsidR="00F25FD5" w:rsidRPr="00C21532" w:rsidRDefault="007B633C">
      <w:pPr>
        <w:pStyle w:val="FootnoteText"/>
      </w:pPr>
      <w:r w:rsidRPr="00C21532">
        <w:rPr>
          <w:rStyle w:val="FootnoteReference"/>
        </w:rPr>
        <w:footnoteRef/>
      </w:r>
      <w:r w:rsidRPr="00C21532">
        <w:t xml:space="preserve"> </w:t>
      </w:r>
      <w:r w:rsidRPr="00C21532">
        <w:tab/>
      </w:r>
      <w:hyperlink r:id="rId6" w:history="1">
        <w:r w:rsidRPr="00C21532">
          <w:rPr>
            <w:rStyle w:val="Hyperlink"/>
          </w:rPr>
          <w:t>ttps://www.europarl.europa.eu/RegData/etudes/STUD/2018/621841/EPRS_STU(2018)621841_EN.pdf</w:t>
        </w:r>
      </w:hyperlink>
      <w:r w:rsidRPr="00C21532">
        <w:t xml:space="preserve"> </w:t>
      </w:r>
    </w:p>
  </w:footnote>
  <w:footnote w:id="12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</w:r>
      <w:hyperlink r:id="rId7">
        <w:r w:rsidRPr="00C21532">
          <w:rPr>
            <w:color w:val="0000FF"/>
            <w:sz w:val="20"/>
            <w:u w:val="single"/>
          </w:rPr>
          <w:t>https://www.europarl.europa.eu/thinktank/mt/document/EPRS_STU(2022)730350</w:t>
        </w:r>
      </w:hyperlink>
      <w:r w:rsidRPr="00C21532">
        <w:rPr>
          <w:color w:val="000000"/>
          <w:sz w:val="20"/>
        </w:rPr>
        <w:t xml:space="preserve"> </w:t>
      </w:r>
    </w:p>
  </w:footnote>
  <w:footnote w:id="13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  <w:t xml:space="preserve"> ĠU C 440, 30.12.2015, p. 17.</w:t>
      </w:r>
    </w:p>
  </w:footnote>
  <w:footnote w:id="14">
    <w:p w:rsidR="00873F47" w:rsidRPr="00C21532" w:rsidRDefault="007B633C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C21532">
        <w:rPr>
          <w:sz w:val="20"/>
          <w:vertAlign w:val="superscript"/>
        </w:rPr>
        <w:footnoteRef/>
      </w:r>
      <w:r w:rsidRPr="00C21532">
        <w:rPr>
          <w:color w:val="000000"/>
          <w:sz w:val="20"/>
        </w:rPr>
        <w:tab/>
        <w:t xml:space="preserve"> </w:t>
      </w:r>
      <w:hyperlink r:id="rId8">
        <w:r w:rsidRPr="00C21532">
          <w:rPr>
            <w:color w:val="0000FF"/>
            <w:sz w:val="20"/>
            <w:u w:val="single"/>
          </w:rPr>
          <w:t>https:/</w:t>
        </w:r>
        <w:r w:rsidRPr="00C21532">
          <w:rPr>
            <w:color w:val="0000FF"/>
            <w:sz w:val="20"/>
            <w:u w:val="single"/>
          </w:rPr>
          <w:t>/www.europarl.europa.eu/cmsdata/150700/consultation-eu-law-summary-report.pdf</w:t>
        </w:r>
      </w:hyperlink>
    </w:p>
  </w:footnote>
  <w:footnote w:id="15">
    <w:p w:rsidR="00873F47" w:rsidRPr="00C21532" w:rsidRDefault="007B633C" w:rsidP="00873F47">
      <w:pPr>
        <w:pStyle w:val="FootnoteText"/>
      </w:pPr>
      <w:r w:rsidRPr="00C21532">
        <w:rPr>
          <w:rStyle w:val="FootnoteReference"/>
        </w:rPr>
        <w:footnoteRef/>
      </w:r>
      <w:r w:rsidRPr="00C21532">
        <w:t xml:space="preserve"> </w:t>
      </w:r>
      <w:hyperlink r:id="rId9" w:history="1">
        <w:r w:rsidRPr="00C21532">
          <w:rPr>
            <w:rStyle w:val="Hyperlink"/>
          </w:rPr>
          <w:t>htt</w:t>
        </w:r>
        <w:r w:rsidRPr="00C21532">
          <w:rPr>
            <w:rStyle w:val="Hyperlink"/>
          </w:rPr>
          <w:t>ps://www.europeanlawinstitute.eu/fileadmin/user_upload/p_eli/Publications/ELI_Model_Rules_on_Impact_Assessment_of_ADMSs_Used_by_Public_Administration.pdf</w:t>
        </w:r>
      </w:hyperlink>
      <w:r w:rsidRPr="00C21532">
        <w:t xml:space="preserve"> </w:t>
      </w:r>
    </w:p>
  </w:footnote>
  <w:footnote w:id="16">
    <w:p w:rsidR="00873F47" w:rsidRPr="00C21532" w:rsidRDefault="007B633C" w:rsidP="00873F47">
      <w:pPr>
        <w:pStyle w:val="FootnoteText"/>
      </w:pPr>
      <w:r w:rsidRPr="00C21532">
        <w:rPr>
          <w:rStyle w:val="FootnoteReference"/>
        </w:rPr>
        <w:footnoteRef/>
      </w:r>
      <w:r w:rsidRPr="00C21532">
        <w:t xml:space="preserve"> </w:t>
      </w:r>
      <w:hyperlink r:id="rId10" w:anchor="opensourcesoftwarestrategy" w:history="1">
        <w:r w:rsidRPr="00C21532">
          <w:rPr>
            <w:rStyle w:val="Hyperlink"/>
          </w:rPr>
          <w:t>https://commission.europa.eu/about-european-commission/departments-and-executive-agencies/informatics/open-source-software-strategy_en#opensourcesoftwarestrategy</w:t>
        </w:r>
      </w:hyperlink>
      <w:r w:rsidRPr="00C21532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33C" w:rsidRDefault="007B6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33C" w:rsidRDefault="007B63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33C" w:rsidRDefault="007B63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43A4D"/>
    <w:multiLevelType w:val="multilevel"/>
    <w:tmpl w:val="D3A62DA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BC15D9"/>
    <w:multiLevelType w:val="multilevel"/>
    <w:tmpl w:val="90360D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EF1417A"/>
    <w:multiLevelType w:val="multilevel"/>
    <w:tmpl w:val="63E016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3"/>
    <w:docVar w:name="COMKEY" w:val="JURI"/>
    <w:docVar w:name="CopyToNetwork" w:val="-1"/>
    <w:docVar w:name="LastEditedSection" w:val=" 1"/>
    <w:docVar w:name="strSubDir" w:val="1276"/>
    <w:docVar w:name="TXTLANGUE" w:val="MT"/>
    <w:docVar w:name="TXTLANGUEMIN" w:val="mt"/>
    <w:docVar w:name="TXTNRINL" w:val="2021/2161"/>
    <w:docVar w:name="TXTNRPE" w:val="746.653"/>
    <w:docVar w:name="TXTPEorAP" w:val="PE"/>
    <w:docVar w:name="TXTROUTE" w:val="PR\1276129MT.docx"/>
    <w:docVar w:name="TXTTITLE" w:val=" Digitalisation and Administrative Law"/>
    <w:docVar w:name="TXTVERSION" w:val="01-00"/>
  </w:docVars>
  <w:rsids>
    <w:rsidRoot w:val="005D4E25"/>
    <w:rsid w:val="000054D6"/>
    <w:rsid w:val="00007EDE"/>
    <w:rsid w:val="000163ED"/>
    <w:rsid w:val="00094CB3"/>
    <w:rsid w:val="000B0AEA"/>
    <w:rsid w:val="000D2714"/>
    <w:rsid w:val="000E7053"/>
    <w:rsid w:val="00126C3F"/>
    <w:rsid w:val="001439E3"/>
    <w:rsid w:val="001514D5"/>
    <w:rsid w:val="00180885"/>
    <w:rsid w:val="00195D9E"/>
    <w:rsid w:val="001970D6"/>
    <w:rsid w:val="001A502C"/>
    <w:rsid w:val="001A7362"/>
    <w:rsid w:val="001B089B"/>
    <w:rsid w:val="001E6D01"/>
    <w:rsid w:val="00223428"/>
    <w:rsid w:val="00246FFC"/>
    <w:rsid w:val="002B2D1A"/>
    <w:rsid w:val="002E11C3"/>
    <w:rsid w:val="003012E3"/>
    <w:rsid w:val="003065EF"/>
    <w:rsid w:val="0032795A"/>
    <w:rsid w:val="003348FE"/>
    <w:rsid w:val="00387D72"/>
    <w:rsid w:val="00392BD4"/>
    <w:rsid w:val="0039462E"/>
    <w:rsid w:val="003F3152"/>
    <w:rsid w:val="003F3E62"/>
    <w:rsid w:val="004027C0"/>
    <w:rsid w:val="00403FE0"/>
    <w:rsid w:val="00405688"/>
    <w:rsid w:val="00420F4D"/>
    <w:rsid w:val="00422FF9"/>
    <w:rsid w:val="00467F52"/>
    <w:rsid w:val="00486F5A"/>
    <w:rsid w:val="004877AE"/>
    <w:rsid w:val="004C2744"/>
    <w:rsid w:val="004E7BFD"/>
    <w:rsid w:val="005102A9"/>
    <w:rsid w:val="00511904"/>
    <w:rsid w:val="00581D3F"/>
    <w:rsid w:val="00584FD7"/>
    <w:rsid w:val="005A5B05"/>
    <w:rsid w:val="005B4360"/>
    <w:rsid w:val="005C24FC"/>
    <w:rsid w:val="005D4E25"/>
    <w:rsid w:val="005F3B68"/>
    <w:rsid w:val="006054FC"/>
    <w:rsid w:val="00613DCC"/>
    <w:rsid w:val="006432B2"/>
    <w:rsid w:val="0065074F"/>
    <w:rsid w:val="00666059"/>
    <w:rsid w:val="00681C9C"/>
    <w:rsid w:val="006968DA"/>
    <w:rsid w:val="006D5569"/>
    <w:rsid w:val="006E1DCB"/>
    <w:rsid w:val="006E50B6"/>
    <w:rsid w:val="00721690"/>
    <w:rsid w:val="007255C3"/>
    <w:rsid w:val="00736DD2"/>
    <w:rsid w:val="007473CF"/>
    <w:rsid w:val="00764352"/>
    <w:rsid w:val="00773D6B"/>
    <w:rsid w:val="007B633C"/>
    <w:rsid w:val="007E1C43"/>
    <w:rsid w:val="00814003"/>
    <w:rsid w:val="00864CA1"/>
    <w:rsid w:val="00873F47"/>
    <w:rsid w:val="008E72B0"/>
    <w:rsid w:val="008F2355"/>
    <w:rsid w:val="00921474"/>
    <w:rsid w:val="009271DD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2ABB"/>
    <w:rsid w:val="00AA7B89"/>
    <w:rsid w:val="00AB4966"/>
    <w:rsid w:val="00AB727F"/>
    <w:rsid w:val="00AF0D4F"/>
    <w:rsid w:val="00B22CCD"/>
    <w:rsid w:val="00B27D4A"/>
    <w:rsid w:val="00BB2884"/>
    <w:rsid w:val="00BD2C91"/>
    <w:rsid w:val="00BD7032"/>
    <w:rsid w:val="00BF1602"/>
    <w:rsid w:val="00BF2276"/>
    <w:rsid w:val="00C07DA0"/>
    <w:rsid w:val="00C21532"/>
    <w:rsid w:val="00C30980"/>
    <w:rsid w:val="00C44FB7"/>
    <w:rsid w:val="00C802B6"/>
    <w:rsid w:val="00CA5063"/>
    <w:rsid w:val="00CB6B5C"/>
    <w:rsid w:val="00CB7130"/>
    <w:rsid w:val="00CF7E82"/>
    <w:rsid w:val="00D06A20"/>
    <w:rsid w:val="00D11934"/>
    <w:rsid w:val="00D1551E"/>
    <w:rsid w:val="00D15D7A"/>
    <w:rsid w:val="00D20C91"/>
    <w:rsid w:val="00D4717C"/>
    <w:rsid w:val="00D62793"/>
    <w:rsid w:val="00D65E7F"/>
    <w:rsid w:val="00DA5BEC"/>
    <w:rsid w:val="00DB5CF1"/>
    <w:rsid w:val="00DB6E1C"/>
    <w:rsid w:val="00DD249E"/>
    <w:rsid w:val="00E0452E"/>
    <w:rsid w:val="00E4043F"/>
    <w:rsid w:val="00E71939"/>
    <w:rsid w:val="00EA0BB4"/>
    <w:rsid w:val="00EB420E"/>
    <w:rsid w:val="00EE7B71"/>
    <w:rsid w:val="00F25FD5"/>
    <w:rsid w:val="00F314A1"/>
    <w:rsid w:val="00F663D3"/>
    <w:rsid w:val="00FD4CD8"/>
    <w:rsid w:val="00FD73D9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BCABC-3A31-46D3-A192-04E53703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footer" w:semiHidden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FD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46FF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6968DA"/>
    <w:pPr>
      <w:spacing w:after="240"/>
      <w:ind w:left="1418"/>
    </w:pPr>
  </w:style>
  <w:style w:type="paragraph" w:customStyle="1" w:styleId="CoverNormal24a">
    <w:name w:val="CoverNormal24a"/>
    <w:basedOn w:val="Normal"/>
    <w:rsid w:val="0039462E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13DC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95D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1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2147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2147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46FF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46FFC"/>
    <w:pPr>
      <w:jc w:val="right"/>
    </w:pPr>
  </w:style>
  <w:style w:type="paragraph" w:customStyle="1" w:styleId="EPFooter">
    <w:name w:val="EPFooter"/>
    <w:basedOn w:val="Normal"/>
    <w:rsid w:val="00195D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character" w:customStyle="1" w:styleId="Heading9Char">
    <w:name w:val="Heading 9 Char"/>
    <w:basedOn w:val="DefaultParagraphFont"/>
    <w:link w:val="Heading9"/>
    <w:semiHidden/>
    <w:qFormat/>
    <w:rsid w:val="00873F47"/>
    <w:rPr>
      <w:rFonts w:ascii="Arial" w:hAnsi="Arial"/>
      <w:b/>
      <w:i/>
      <w:sz w:val="18"/>
    </w:rPr>
  </w:style>
  <w:style w:type="character" w:styleId="FootnoteReference">
    <w:name w:val="footnote reference"/>
    <w:rsid w:val="00873F47"/>
    <w:rPr>
      <w:b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73F47"/>
    <w:rPr>
      <w:lang w:val="mt-MT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73F47"/>
    <w:rPr>
      <w:rFonts w:ascii="Calibri" w:hAnsi="Calibri"/>
    </w:rPr>
  </w:style>
  <w:style w:type="character" w:styleId="CommentReference">
    <w:name w:val="annotation reference"/>
    <w:uiPriority w:val="99"/>
    <w:unhideWhenUsed/>
    <w:qFormat/>
    <w:rsid w:val="00873F47"/>
    <w:rPr>
      <w:rFonts w:ascii="Times New Roman" w:hAnsi="Times New Roman" w:cs="Times New Roman"/>
      <w:sz w:val="16"/>
      <w:szCs w:val="16"/>
    </w:rPr>
  </w:style>
  <w:style w:type="character" w:styleId="Hyperlink">
    <w:name w:val="Hyperlink"/>
    <w:uiPriority w:val="99"/>
    <w:rsid w:val="00873F47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873F47"/>
    <w:pPr>
      <w:keepLines/>
      <w:widowControl/>
      <w:spacing w:line="260" w:lineRule="exact"/>
      <w:ind w:left="425" w:hanging="425"/>
    </w:pPr>
    <w:rPr>
      <w:sz w:val="20"/>
      <w:lang w:eastAsia="fr-FR"/>
    </w:rPr>
  </w:style>
  <w:style w:type="character" w:customStyle="1" w:styleId="FootnoteTextChar1">
    <w:name w:val="Footnote Text Char1"/>
    <w:basedOn w:val="DefaultParagraphFont"/>
    <w:rsid w:val="00873F47"/>
  </w:style>
  <w:style w:type="paragraph" w:styleId="CommentText">
    <w:name w:val="annotation text"/>
    <w:basedOn w:val="Normal"/>
    <w:link w:val="CommentTextChar"/>
    <w:uiPriority w:val="99"/>
    <w:unhideWhenUsed/>
    <w:qFormat/>
    <w:rsid w:val="00873F47"/>
    <w:pPr>
      <w:widowControl/>
      <w:spacing w:after="200" w:line="276" w:lineRule="auto"/>
    </w:pPr>
    <w:rPr>
      <w:rFonts w:ascii="Calibri" w:hAnsi="Calibri"/>
      <w:sz w:val="20"/>
    </w:rPr>
  </w:style>
  <w:style w:type="character" w:customStyle="1" w:styleId="CommentTextChar1">
    <w:name w:val="Comment Text Char1"/>
    <w:basedOn w:val="DefaultParagraphFont"/>
    <w:rsid w:val="00873F47"/>
  </w:style>
  <w:style w:type="paragraph" w:styleId="BalloonText">
    <w:name w:val="Balloon Text"/>
    <w:basedOn w:val="Normal"/>
    <w:link w:val="BalloonTextChar"/>
    <w:semiHidden/>
    <w:unhideWhenUsed/>
    <w:rsid w:val="00873F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3F4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rsid w:val="00F25F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25FD5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0F4D"/>
    <w:pPr>
      <w:widowControl w:val="0"/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0F4D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150700/consultation-eu-law-summary-report.pdf" TargetMode="External"/><Relationship Id="rId3" Type="http://schemas.openxmlformats.org/officeDocument/2006/relationships/hyperlink" Target="http://www.europarl.europa.eu/meetdocs/2009_2014/documents/juri/dv/juri_wdadministrativelaw_/juri_wdadministrativelaw_en.pdf" TargetMode="External"/><Relationship Id="rId7" Type="http://schemas.openxmlformats.org/officeDocument/2006/relationships/hyperlink" Target="https://www.europarl.europa.eu/thinktank/mt/document/EPRS_STU(2022)730350" TargetMode="External"/><Relationship Id="rId2" Type="http://schemas.openxmlformats.org/officeDocument/2006/relationships/hyperlink" Target="https://www.europarl.europa.eu/committees/mt/home" TargetMode="External"/><Relationship Id="rId1" Type="http://schemas.openxmlformats.org/officeDocument/2006/relationships/hyperlink" Target="https://www.europeanlawinstitute.eu/fileadmin/user_upload/p_eli/Publications/ELI_Model_Rules_on_Impact_Assessment_of_ADMSs_Used_by_Public_Administration.pdf" TargetMode="External"/><Relationship Id="rId6" Type="http://schemas.openxmlformats.org/officeDocument/2006/relationships/hyperlink" Target="https://www.europarl.europa.eu/RegData/etudes/STUD/2018/621841/EPRS_STU(2018)621841_EN.pdf" TargetMode="External"/><Relationship Id="rId5" Type="http://schemas.openxmlformats.org/officeDocument/2006/relationships/hyperlink" Target="https://www.europarl.europa.eu/RegData/etudes/STUD/2018/621841/EPRS_STU(2018)621841_EN.pdf" TargetMode="External"/><Relationship Id="rId10" Type="http://schemas.openxmlformats.org/officeDocument/2006/relationships/hyperlink" Target="https://commission.europa.eu/about-european-commission/departments-and-executive-agencies/informatics/open-source-software-strategy_en" TargetMode="External"/><Relationship Id="rId4" Type="http://schemas.openxmlformats.org/officeDocument/2006/relationships/hyperlink" Target="http://www.europarl.europa.eu/meetdocs/2009_2014/documents/juri/dv/eav_lawofadminprocedure_/EAV_LawofAdminprocedure_EN.pdf" TargetMode="External"/><Relationship Id="rId9" Type="http://schemas.openxmlformats.org/officeDocument/2006/relationships/hyperlink" Target="https://www.europeanlawinstitute.eu/fileadmin/user_upload/p_eli/Publications/ELI_Model_Rules_on_Impact_Assessment_of_ADMSs_Used_by_Public_Administ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1A149-5A15-43A1-B164-ED838397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3780</Words>
  <Characters>29071</Characters>
  <Application>Microsoft Office Word</Application>
  <DocSecurity>0</DocSecurity>
  <Lines>454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32713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creator>RODRIGUEZ MALNERO Yolanda</dc:creator>
  <cp:lastModifiedBy>VELLA George</cp:lastModifiedBy>
  <cp:revision>2</cp:revision>
  <cp:lastPrinted>2004-12-08T15:27:00Z</cp:lastPrinted>
  <dcterms:created xsi:type="dcterms:W3CDTF">2023-06-20T13:29:00Z</dcterms:created>
  <dcterms:modified xsi:type="dcterms:W3CDTF">2023-06-20T13:29:00Z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1276129</vt:lpwstr>
  </property>
  <property fmtid="{D5CDD505-2E9C-101B-9397-08002B2CF9AE}" pid="4" name="&lt;Model&gt;">
    <vt:lpwstr>PR_INL</vt:lpwstr>
  </property>
  <property fmtid="{D5CDD505-2E9C-101B-9397-08002B2CF9AE}" pid="5" name="&lt;ModelCod&gt;">
    <vt:lpwstr>\\eiciBRUpr1\pdocep$\DocEP\DOCS\General\PR\PR_NonLeg\Other\PR_INL.dotx(16/12/2022 07:40:19)</vt:lpwstr>
  </property>
  <property fmtid="{D5CDD505-2E9C-101B-9397-08002B2CF9AE}" pid="6" name="&lt;ModelTra&gt;">
    <vt:lpwstr>\\eiciBRUpr1\pdocep$\DocEP\TRANSFIL\EN\PR_INL.EN(16/10/2019 10:24:00)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PR\1276129MT.docx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746.653</vt:lpwstr>
  </property>
  <property fmtid="{D5CDD505-2E9C-101B-9397-08002B2CF9AE}" pid="12" name="SDLStudio">
    <vt:lpwstr/>
  </property>
  <property fmtid="{D5CDD505-2E9C-101B-9397-08002B2CF9AE}" pid="13" name="SendToEpades">
    <vt:lpwstr>OK - 2023/06/12 10:25</vt:lpwstr>
  </property>
  <property fmtid="{D5CDD505-2E9C-101B-9397-08002B2CF9AE}" pid="14" name="Bookout">
    <vt:lpwstr>OK - 2023/06/20 15:28</vt:lpwstr>
  </property>
</Properties>
</file>