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0AEA" w:rsidRPr="00DE1C8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DE1C8A" w:rsidRDefault="00DE1C8A" w:rsidP="00C85D0F">
            <w:pPr>
              <w:pStyle w:val="EPName"/>
            </w:pPr>
            <w:r>
              <w:t>Parlament Europejski</w:t>
            </w:r>
          </w:p>
          <w:p w:rsidR="000B0AEA" w:rsidRPr="00E04966" w:rsidRDefault="00E04966" w:rsidP="00C85D0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0B0AEA" w:rsidRPr="00DE1C8A" w:rsidRDefault="000B0AEA" w:rsidP="00C85D0F">
            <w:pPr>
              <w:pStyle w:val="EPLogo"/>
            </w:pPr>
            <w:r w:rsidRPr="00DE1C8A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DE1C8A" w:rsidRDefault="00921474" w:rsidP="00921474">
      <w:pPr>
        <w:pStyle w:val="LineTop"/>
      </w:pPr>
    </w:p>
    <w:p w:rsidR="00921474" w:rsidRPr="00DE1C8A" w:rsidRDefault="00921474" w:rsidP="0092147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{JURI}</w:t>
      </w:r>
      <w:r>
        <w:t>Komisja Prawna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21474" w:rsidRPr="00DE1C8A" w:rsidRDefault="00921474" w:rsidP="00921474">
      <w:pPr>
        <w:pStyle w:val="LineBottom"/>
      </w:pPr>
    </w:p>
    <w:p w:rsidR="009E6E1A" w:rsidRPr="00DE1C8A" w:rsidRDefault="009E6E1A">
      <w:pPr>
        <w:pStyle w:val="CoverReference"/>
      </w:pPr>
      <w:r>
        <w:rPr>
          <w:rStyle w:val="HideTWBExt"/>
          <w:b w:val="0"/>
        </w:rPr>
        <w:t>&lt;RefProc&gt;</w:t>
      </w:r>
      <w:r>
        <w:t>2021/2161</w:t>
      </w:r>
      <w:r>
        <w:rPr>
          <w:rStyle w:val="HideTWBExt"/>
          <w:b w:val="0"/>
        </w:rPr>
        <w:t>&lt;/RefProc&gt;&lt;RefTypeProc&gt;</w:t>
      </w:r>
      <w:r>
        <w:t>(INL)</w:t>
      </w:r>
      <w:r>
        <w:rPr>
          <w:rStyle w:val="HideTWBExt"/>
          <w:b w:val="0"/>
        </w:rPr>
        <w:t>&lt;/RefTypeProc&gt;</w:t>
      </w:r>
    </w:p>
    <w:p w:rsidR="009E6E1A" w:rsidRPr="00DE1C8A" w:rsidRDefault="009E6E1A">
      <w:pPr>
        <w:pStyle w:val="CoverDate"/>
      </w:pPr>
      <w:r>
        <w:rPr>
          <w:rStyle w:val="HideTWBExt"/>
        </w:rPr>
        <w:t>&lt;Date&gt;</w:t>
      </w:r>
      <w:r w:rsidR="00662CCB">
        <w:rPr>
          <w:rStyle w:val="HideTWBInt"/>
        </w:rPr>
        <w:t>{</w:t>
      </w:r>
      <w:r>
        <w:rPr>
          <w:rStyle w:val="HideTWBInt"/>
          <w:lang w:val="fr-FR"/>
        </w:rPr>
        <w:t>09/06/2023}</w:t>
      </w:r>
      <w:r>
        <w:t>9.6.2023</w:t>
      </w:r>
      <w:r>
        <w:rPr>
          <w:rStyle w:val="HideTWBExt"/>
        </w:rPr>
        <w:t>&lt;/Date&gt;</w:t>
      </w:r>
    </w:p>
    <w:p w:rsidR="009E6E1A" w:rsidRPr="00DE1C8A" w:rsidRDefault="009E6E1A">
      <w:pPr>
        <w:pStyle w:val="CoverDocType24a"/>
      </w:pPr>
      <w:r>
        <w:rPr>
          <w:rStyle w:val="HideTWBExt"/>
          <w:b w:val="0"/>
        </w:rPr>
        <w:t>&lt;TitreType&gt;</w:t>
      </w:r>
      <w:r>
        <w:t>PROJEKT SPRAWOZDANIA</w:t>
      </w:r>
      <w:r>
        <w:rPr>
          <w:rStyle w:val="HideTWBExt"/>
          <w:b w:val="0"/>
        </w:rPr>
        <w:t>&lt;/TitreType&gt;</w:t>
      </w:r>
    </w:p>
    <w:p w:rsidR="009E6E1A" w:rsidRPr="00DE1C8A" w:rsidRDefault="009E6E1A">
      <w:pPr>
        <w:pStyle w:val="CoverNormal"/>
      </w:pPr>
      <w:r>
        <w:rPr>
          <w:rStyle w:val="HideTWBExt"/>
        </w:rPr>
        <w:t>&lt;Titre&gt;</w:t>
      </w:r>
      <w:r>
        <w:t>zawierającego zalecenia dla Komisji w sprawie cyfryzacji i prawodawstwa administracyjnego</w:t>
      </w:r>
      <w:r>
        <w:rPr>
          <w:rStyle w:val="HideTWBExt"/>
        </w:rPr>
        <w:t>&lt;/Titre&gt;</w:t>
      </w:r>
    </w:p>
    <w:p w:rsidR="009E6E1A" w:rsidRPr="00DE1C8A" w:rsidRDefault="009E6E1A">
      <w:pPr>
        <w:pStyle w:val="CoverNormal24a"/>
      </w:pPr>
      <w:r>
        <w:rPr>
          <w:rStyle w:val="HideTWBExt"/>
        </w:rPr>
        <w:t>&lt;DocRef&gt;</w:t>
      </w:r>
      <w:r>
        <w:t>(2021/2161(INL))</w:t>
      </w:r>
      <w:r>
        <w:rPr>
          <w:rStyle w:val="HideTWBExt"/>
        </w:rPr>
        <w:t>&lt;/DocRef&gt;</w:t>
      </w:r>
    </w:p>
    <w:p w:rsidR="008B4F8D" w:rsidRPr="008B4F8D" w:rsidRDefault="009E6E1A" w:rsidP="008B4F8D">
      <w:pPr>
        <w:pStyle w:val="CoverNormal24a"/>
        <w:rPr>
          <w:rFonts w:ascii="Arial" w:hAnsi="Arial"/>
          <w:noProof/>
          <w:vanish/>
          <w:color w:val="000080"/>
          <w:sz w:val="20"/>
        </w:rPr>
      </w:pPr>
      <w:r>
        <w:rPr>
          <w:rStyle w:val="HideTWBExt"/>
        </w:rPr>
        <w:t>&lt;Commission&gt;</w:t>
      </w:r>
      <w:r>
        <w:rPr>
          <w:rStyle w:val="HideTWBInt"/>
        </w:rPr>
        <w:t>{JURI}</w:t>
      </w:r>
      <w:r>
        <w:t>Komisja Prawna</w:t>
      </w:r>
      <w:r>
        <w:rPr>
          <w:rStyle w:val="HideTWBExt"/>
        </w:rPr>
        <w:t>&lt;/Commission&gt;</w:t>
      </w:r>
    </w:p>
    <w:p w:rsidR="00961C14" w:rsidRPr="00223428" w:rsidRDefault="00961C14" w:rsidP="00961C14">
      <w:pPr>
        <w:pStyle w:val="CoverNormal24a"/>
        <w:spacing w:after="0"/>
        <w:ind w:left="1418"/>
      </w:pPr>
    </w:p>
    <w:p w:rsidR="00961C14" w:rsidRPr="00223428" w:rsidRDefault="00961C14" w:rsidP="00961C14">
      <w:pPr>
        <w:pStyle w:val="CoverNormal24a"/>
        <w:spacing w:after="0"/>
        <w:ind w:left="1418"/>
      </w:pPr>
    </w:p>
    <w:p w:rsidR="009E6E1A" w:rsidRPr="00E63D3A" w:rsidRDefault="00E63D3A" w:rsidP="0039462E">
      <w:pPr>
        <w:pStyle w:val="CoverNormal24a"/>
      </w:pPr>
      <w:r>
        <w:t xml:space="preserve">Sprawozdawczyni: </w:t>
      </w:r>
      <w:r>
        <w:rPr>
          <w:rStyle w:val="HideTWBExt"/>
        </w:rPr>
        <w:t>&lt;Depute&gt;</w:t>
      </w:r>
      <w:r>
        <w:t>Karen Melchior</w:t>
      </w:r>
      <w:r>
        <w:rPr>
          <w:rStyle w:val="HideTWBExt"/>
        </w:rPr>
        <w:t>&lt;/Depute&gt;</w:t>
      </w:r>
    </w:p>
    <w:p w:rsidR="009E6E1A" w:rsidRPr="00DE1C8A" w:rsidRDefault="00DE1C8A" w:rsidP="00BF1602">
      <w:pPr>
        <w:pStyle w:val="CoverNormal12a"/>
      </w:pPr>
      <w:r>
        <w:t>(Inicjatywa – art. 47 Regulaminu)</w:t>
      </w:r>
    </w:p>
    <w:p w:rsidR="001A502C" w:rsidRPr="00DE1C8A" w:rsidRDefault="001A502C" w:rsidP="001A502C">
      <w:pPr>
        <w:pStyle w:val="CoverNormal"/>
      </w:pPr>
    </w:p>
    <w:p w:rsidR="009E6E1A" w:rsidRPr="00DE1C8A" w:rsidRDefault="009E6E1A" w:rsidP="00246FFC">
      <w:pPr>
        <w:widowControl/>
        <w:tabs>
          <w:tab w:val="center" w:pos="4677"/>
        </w:tabs>
      </w:pPr>
      <w:r>
        <w:br w:type="page"/>
      </w:r>
      <w:r>
        <w:lastRenderedPageBreak/>
        <w:t>PR_INL</w:t>
      </w:r>
    </w:p>
    <w:p w:rsidR="009E6E1A" w:rsidRPr="00DE1C8A" w:rsidRDefault="00DE1C8A">
      <w:pPr>
        <w:pStyle w:val="TOCHeading"/>
      </w:pPr>
      <w:r>
        <w:t>SPIS TREŚCI</w:t>
      </w:r>
    </w:p>
    <w:p w:rsidR="009E6E1A" w:rsidRPr="00DE1C8A" w:rsidRDefault="00DE1C8A">
      <w:pPr>
        <w:pStyle w:val="TOCPage"/>
      </w:pPr>
      <w:r>
        <w:t>Strona</w:t>
      </w:r>
    </w:p>
    <w:p w:rsidR="00C510FA" w:rsidRDefault="009E6E1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E1C8A">
        <w:fldChar w:fldCharType="begin"/>
      </w:r>
      <w:r w:rsidRPr="00DE1C8A">
        <w:instrText xml:space="preserve"> TOC \t "PageHeading</w:instrText>
      </w:r>
      <w:r w:rsidR="00F71C45">
        <w:instrText>;</w:instrText>
      </w:r>
      <w:r w:rsidRPr="00DE1C8A">
        <w:instrText xml:space="preserve">1" </w:instrText>
      </w:r>
      <w:r w:rsidRPr="00DE1C8A">
        <w:fldChar w:fldCharType="separate"/>
      </w:r>
      <w:r w:rsidR="00C510FA">
        <w:rPr>
          <w:noProof/>
        </w:rPr>
        <w:t>PROJEKT REZOLUCJI PARLAMENTU EUROPEJSKIEGO</w:t>
      </w:r>
      <w:r w:rsidR="00C510FA">
        <w:rPr>
          <w:noProof/>
        </w:rPr>
        <w:tab/>
      </w:r>
      <w:r w:rsidR="00C510FA">
        <w:rPr>
          <w:noProof/>
        </w:rPr>
        <w:fldChar w:fldCharType="begin"/>
      </w:r>
      <w:r w:rsidR="00C510FA">
        <w:rPr>
          <w:noProof/>
        </w:rPr>
        <w:instrText xml:space="preserve"> PAGEREF _Toc138665447 \h </w:instrText>
      </w:r>
      <w:r w:rsidR="00C510FA">
        <w:rPr>
          <w:noProof/>
        </w:rPr>
      </w:r>
      <w:r w:rsidR="00C510FA">
        <w:rPr>
          <w:noProof/>
        </w:rPr>
        <w:fldChar w:fldCharType="separate"/>
      </w:r>
      <w:r w:rsidR="00C510FA">
        <w:rPr>
          <w:noProof/>
        </w:rPr>
        <w:t>3</w:t>
      </w:r>
      <w:r w:rsidR="00C510FA">
        <w:rPr>
          <w:noProof/>
        </w:rPr>
        <w:fldChar w:fldCharType="end"/>
      </w:r>
    </w:p>
    <w:p w:rsidR="00C510FA" w:rsidRDefault="00C510F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ZAŁĄCZNIK DO PROJEKTU REZOLUCJI: ZALECENIA DOTYCZĄCE TREŚCI POSTULOWANEGO WNIOSKU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_Toc138665448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502C" w:rsidRPr="00DE1C8A" w:rsidRDefault="009E6E1A" w:rsidP="005B4360">
      <w:r w:rsidRPr="00DE1C8A">
        <w:fldChar w:fldCharType="end"/>
      </w:r>
    </w:p>
    <w:p w:rsidR="009E6E1A" w:rsidRPr="00DE1C8A" w:rsidRDefault="009E6E1A">
      <w:pPr>
        <w:pStyle w:val="PageHeading"/>
      </w:pPr>
      <w:r>
        <w:br w:type="page"/>
      </w:r>
      <w:bookmarkStart w:id="0" w:name="_Toc138665447"/>
      <w:r>
        <w:lastRenderedPageBreak/>
        <w:t>PROJEKT REZOLUCJI PARLAMENTU EUROPEJSKIEGO</w:t>
      </w:r>
      <w:bookmarkEnd w:id="0"/>
    </w:p>
    <w:p w:rsidR="009E6E1A" w:rsidRPr="00DE1C8A" w:rsidRDefault="00DE1C8A">
      <w:pPr>
        <w:pStyle w:val="NormalBold"/>
      </w:pPr>
      <w:r>
        <w:t>zawierającej zalecenia dla Komisji w sprawie cyfryzacji i prawodawstwa administracyjnego</w:t>
      </w:r>
    </w:p>
    <w:p w:rsidR="009E6E1A" w:rsidRPr="00DE1C8A" w:rsidRDefault="00DE1C8A" w:rsidP="00584FD7">
      <w:pPr>
        <w:pStyle w:val="NormalBold"/>
      </w:pPr>
      <w:r>
        <w:t>(2021/2161(INL))</w:t>
      </w:r>
    </w:p>
    <w:p w:rsidR="009E6E1A" w:rsidRPr="00DE1C8A" w:rsidRDefault="00DE1C8A">
      <w:pPr>
        <w:pStyle w:val="EPComma"/>
      </w:pPr>
      <w:r>
        <w:rPr>
          <w:i/>
        </w:rPr>
        <w:t>Parlament Europejski</w:t>
      </w:r>
      <w:r>
        <w:t>,</w:t>
      </w:r>
    </w:p>
    <w:p w:rsidR="008B4F8D" w:rsidRPr="008B4F8D" w:rsidRDefault="009E6E1A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–</w:t>
      </w:r>
      <w:r>
        <w:tab/>
      </w:r>
      <w:r>
        <w:rPr>
          <w:color w:val="000000"/>
        </w:rPr>
        <w:t>uwzględniając art. 225 Traktatu o funkcjonowaniu Unii Europejskiej,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uwzględniając art. 298 Traktatu o funkcjonowaniu Unii Europejskiej,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uwzględniając art. 41 Karty praw podstawowych Unii Europejskiej, w którym uznano prawo do dobrej administracji za jedno z praw podstawowych,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wspólną deklarację Parlamentu Europejskiego, Rady i Komisji w sprawie Europejskiej deklaracji praw i zasad cyfrowych w cyfrowej dekadzie z dnia 15 grudnia 2022 r.,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rozporządzenie Parlamentu Europejskiego i Rady (UE) 2018/1725 z dnia 23 października 2018 r. w sprawie ochrony osób fizycznych w związku z przetwarzaniem danych osobowych przez instytucje, organy i jednostki organizacyjne Unii i swobodnego przepływu takich danych oraz uchylenia rozporządzenia (WE) nr 45/2001 i decyzji nr 1247/2002/WE</w:t>
      </w:r>
      <w:r w:rsidRPr="00223428">
        <w:rPr>
          <w:color w:val="000000"/>
          <w:vertAlign w:val="superscript"/>
        </w:rPr>
        <w:footnoteReference w:id="1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rozporządzenie (WE) nr 1049/2001 Parlamentu Europejskiego i Rady z dnia 30 maja 2001 r. w sprawie publicznego dostępu do dokumentów Parlamentu Europejskiego, Rady i Komisji</w:t>
      </w:r>
      <w:r w:rsidRPr="00223428">
        <w:rPr>
          <w:color w:val="000000"/>
          <w:vertAlign w:val="superscript"/>
        </w:rPr>
        <w:footnoteReference w:id="2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wniosek dotyczący rozporządzenia Parlamentu Europejskiego i Rady w sprawie bezpieczeństwa informacji w instytucjach, organach, urzędach i agencjach Unii (2022/0084(COD)),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uwzględniając wniosek dotyczący rozporządzenia Parlamentu Europejskiego i Rady </w:t>
      </w:r>
      <w:r>
        <w:rPr>
          <w:color w:val="333333"/>
        </w:rPr>
        <w:t>ustanawiającego środki na rzecz wysokiego wspólnego poziomu cyberbezpieczeństwa w instytucjach, organach, urzędach i agencjach Unii</w:t>
      </w:r>
      <w:r>
        <w:rPr>
          <w:color w:val="000000"/>
        </w:rPr>
        <w:t xml:space="preserve"> (</w:t>
      </w:r>
      <w:r>
        <w:rPr>
          <w:color w:val="333333"/>
        </w:rPr>
        <w:t>2022/0085(COD)),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bogate orzecznictwo Trybunału Sprawiedliwości Unii Europejskiej, w którym uznano zestaw ogólnych zasad prawa administracyjnego w oparciu o tradycje konstytucyjne państw członkowskich,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uwzględniając komunikat Komisji z 26 stycznia 2022 r. zatytułowany „Ustanowienie Europejskiej deklaracji praw i zasad cyfrowych w cyfrowej dekadzie” (COM(2022) 27 final) oraz towarzyszący mu dokument roboczy służb Komisji zawierający sprawozdanie </w:t>
      </w:r>
      <w:r>
        <w:rPr>
          <w:color w:val="000000"/>
        </w:rPr>
        <w:lastRenderedPageBreak/>
        <w:t>z konsultacji z zainteresowanymi stronami i działań aktywizacyjnych (SWD(2022) 14 final),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strategię cyfrową Komisji: „Komisja cyfrowa nowej generacji” z 30 czerwca 2022 r. (C(2022)4388),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swoją rezolucję z dnia 6 września 2001 r. w sprawie specjalnego sprawozdania Europejskiego Rzecznika Praw Obywatelskich dla Parlamentu Europejskiego w następstwie badania z własnej inicjatywy na temat istnienia i powszechnej dostępności, w poszczególnych instytucjach i organach wspólnotowych, Kodeksu dobrego postępowania administracyjnego</w:t>
      </w:r>
      <w:r w:rsidRPr="00223428">
        <w:rPr>
          <w:color w:val="000000"/>
          <w:vertAlign w:val="superscript"/>
        </w:rPr>
        <w:footnoteReference w:id="3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decyzję Komisji 2000/633/WE, EWWiS, Euratom z dnia 17 października 2000 r. zmieniającą Regulamin poprzez załączenie Kodeksu dobrego postępowania administracyjnego personelu Komisji Europejskiej w ich kontaktach ze społeczeństwem</w:t>
      </w:r>
      <w:r w:rsidRPr="00223428">
        <w:rPr>
          <w:color w:val="000000"/>
          <w:vertAlign w:val="superscript"/>
        </w:rPr>
        <w:footnoteReference w:id="4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decyzję sekretarza generalnego Rady/wysokiego przedstawiciela ds. wspólnej polityki zagranicznej i bezpieczeństwa z dnia 25 czerwca 2001 r. w sprawie kodeksu dobrego postępowania administracyjnego dla Sekretariatu Generalnego Rady Unii Europejskiej oraz jego personelu w kontaktach zawodowych ze społeczeństwem</w:t>
      </w:r>
      <w:r w:rsidRPr="00223428">
        <w:rPr>
          <w:color w:val="000000"/>
          <w:vertAlign w:val="superscript"/>
        </w:rPr>
        <w:footnoteReference w:id="5"/>
      </w:r>
      <w:r>
        <w:rPr>
          <w:color w:val="000000"/>
        </w:rPr>
        <w:t>,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rekomendację nr CM/Rec(2007)7 w sprawie dobrej administracji wydaną państwom członkowskim przez Komitet Ministrów Rady Europy 20 czerwca 2007 r.,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„Zasady służby cywilnej urzędników UE” Europejskiego Rzecznika Praw Obywatelskich z 19 czerwca 2012 r.,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publikowane online przez Komisję kolejne arkusze informacyjne dotyczące cyfrowej administracji publicznej w państwach członkowskich,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istnienie w państwach członkowskich zarówno ogólnych aktów dotyczących postępowania administracyjnego, ustanawiających podstawowe zasady prawa administracyjnego, jak i przepisów dotyczących poszczególnych dziedzin lub sektorów,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badanie zlecone przez rząd Szwecji Szwedzkiej Agencji Zarządzania Publicznego na temat zasad dobrej administracji w państwach członkowskich Unii Europejskiej,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rFonts w:ascii="Noto Sans Symbols" w:hAnsi="Noto Sans Symbols"/>
        </w:rPr>
        <w:t>−</w:t>
      </w:r>
      <w:r>
        <w:rPr>
          <w:rFonts w:ascii="Noto Sans Symbols" w:hAnsi="Noto Sans Symbols"/>
        </w:rPr>
        <w:tab/>
      </w:r>
      <w:r>
        <w:t>uwzględniając przeprowadzone na zlecenie rządu Danii przez Duńską Agencję Cyfryzacji (digitaliseringsstyrelsen) badanie na temat zasad dobrego wykorzystania danych podstawowych przy wdrażaniu cyfrowych usług administracji publicznej,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rFonts w:ascii="Noto Sans Symbols" w:hAnsi="Noto Sans Symbols"/>
        </w:rPr>
        <w:lastRenderedPageBreak/>
        <w:t>−</w:t>
      </w:r>
      <w:r>
        <w:rPr>
          <w:rFonts w:ascii="Noto Sans Symbols" w:hAnsi="Noto Sans Symbols"/>
        </w:rPr>
        <w:tab/>
      </w:r>
      <w:r>
        <w:t>uwzględniając sprawozdanie Europejskiego Instytutu Prawa z 2022 r. w sprawie modelowych zasad oceny skutków algorytmicznych systemów decyzyjnych stosowanych przez administrację publiczną</w:t>
      </w:r>
      <w:r w:rsidRPr="00223428">
        <w:rPr>
          <w:rStyle w:val="FootnoteReference"/>
        </w:rPr>
        <w:footnoteReference w:id="6"/>
      </w:r>
      <w: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notatki przedstawione na konferencji w sprawie prawa administracyjnego Unii Europejskiej zorganizowanej przez Departament Tematyczny Komisji Prawnej PE oraz Uniwersytet w Leónie (León, 27–28 kwietnia 2011 r.)</w:t>
      </w:r>
      <w:r w:rsidRPr="00223428">
        <w:rPr>
          <w:color w:val="000000"/>
          <w:vertAlign w:val="superscript"/>
        </w:rPr>
        <w:footnoteReference w:id="7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zalecenia zawarte w dokumencie roboczym w sprawie aktualnej sytuacji i przyszłych perspektyw prawa administracyjnego Unii Europejskiej przedstawione Komisji Prawnej przez grupę roboczą ds. prawa administracyjnego UE z 22 listopada 2011 r.</w:t>
      </w:r>
      <w:r w:rsidRPr="00223428">
        <w:rPr>
          <w:color w:val="000000"/>
          <w:vertAlign w:val="superscript"/>
        </w:rPr>
        <w:footnoteReference w:id="8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ocenę europejskiej wartości dodanej, jaką niesie ze sobą prawodawstwo dotyczące postępowania administracyjnego w Unii Europejskiej, przedłożoną Komisji Prawnej 6 listopada 2012 r. przez Dział ds. Europejskiej Wartości Dodanej</w:t>
      </w:r>
      <w:r w:rsidRPr="00223428">
        <w:rPr>
          <w:color w:val="000000"/>
          <w:vertAlign w:val="superscript"/>
        </w:rPr>
        <w:footnoteReference w:id="9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konsultacje publiczne w sprawie ogólnych zasad dotyczących otwartej, niezależnej i efektywnej administracji europejskiej oraz sprawozdanie podsumowujące z lipca 2018 r. przedstawione Komisji Prawnej 10 lipca 2018 r. przez Dział ds. Europejskiej Wartości Dodanej, Biuro Analiz Parlamentu Europejskiego</w:t>
      </w:r>
      <w:r w:rsidRPr="00223428">
        <w:rPr>
          <w:color w:val="000000"/>
          <w:vertAlign w:val="superscript"/>
        </w:rPr>
        <w:footnoteReference w:id="10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ocenę skutków ewentualnych działań na szczeblu UE na rzecz otwartej, efektywnej i niezależnej administracji UE, przeprowadzoną w lipcu 2018 r. przez Dział ds. Oceny Ex Ante Skutków Biura Analiz Parlamentu Europejskiego i przedstawioną Komisji Prawnej 10 lipca 2018 r.</w:t>
      </w:r>
      <w:r w:rsidRPr="00223428">
        <w:rPr>
          <w:rStyle w:val="FootnoteReference"/>
          <w:color w:val="000000"/>
        </w:rPr>
        <w:footnoteReference w:id="11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ocenę europejskiej wartości dodanej z 2022 r. dotyczącą cyfryzacji i prawa administracyjnego, przedstawioną Komisji Prawnej przez Dział ds. Europejskiej Wartości Dodanej w dniu [30 maja 2023 r.]</w:t>
      </w:r>
      <w:r w:rsidRPr="00223428">
        <w:rPr>
          <w:color w:val="000000"/>
          <w:vertAlign w:val="superscript"/>
        </w:rPr>
        <w:footnoteReference w:id="12"/>
      </w:r>
      <w:r>
        <w:rPr>
          <w:color w:val="000000"/>
        </w:rPr>
        <w:t xml:space="preserve">,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 xml:space="preserve">uwzględniając swoją rezolucję z dnia 15 stycznia 2013 r. zawierającą zalecenia dla Komisji w sprawie prawodawstwa dotyczącego postępowania administracyjnego </w:t>
      </w:r>
      <w:r>
        <w:rPr>
          <w:color w:val="000000"/>
        </w:rPr>
        <w:lastRenderedPageBreak/>
        <w:t>w Unii Europejskiej</w:t>
      </w:r>
      <w:r w:rsidRPr="00223428">
        <w:rPr>
          <w:color w:val="000000"/>
          <w:vertAlign w:val="superscript"/>
        </w:rPr>
        <w:footnoteReference w:id="13"/>
      </w:r>
      <w:r>
        <w:rPr>
          <w:color w:val="000000"/>
        </w:rPr>
        <w:t>,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uwzględniając swoją rezolucję z dnia 9 czerwca 2016 r. w sprawie otwartej, efektywnej i niezależnej administracji Unii Europejskiej oraz wniosek dotyczący rozporządzenia Parlamentu Europejskiego i Rady w sprawie otwartej, efektywnej i niezależnej administracji Unii Europejskiej</w:t>
      </w:r>
      <w:r w:rsidRPr="00223428">
        <w:rPr>
          <w:color w:val="000000"/>
          <w:vertAlign w:val="superscript"/>
        </w:rPr>
        <w:footnoteReference w:id="14"/>
      </w:r>
      <w:r>
        <w:rPr>
          <w:color w:val="000000"/>
        </w:rPr>
        <w:t>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swoją rezolucję z dnia 26 października 2017 r. w sprawie kontroli stosowania prawa UE w 2015 r. (2017/2011(INI)),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uwzględniając swoją rezolucję z dnia 7 lipca 2022 r. w sprawie </w:t>
      </w:r>
      <w:r>
        <w:t>lepszego stanowienia prawa: połączenie sił na rzecz stanowienia lepszego prawa (2021/2166(INI)),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t>uwzględniając swoją rezolucję z dnia 20 maja 2021 r. w sprawie kształtowania cyfrowej przyszłości Europy: usunięcie barier w funkcjonowaniu jednolitego rynku cyfrowego i lepsze wykorzystywanie AI z korzyścią dla europejskich konsumentów (2020/2216(INI)),</w:t>
      </w:r>
    </w:p>
    <w:p w:rsidR="008B4F8D" w:rsidRPr="008B4F8D" w:rsidRDefault="008B4F8D" w:rsidP="002F50AE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uwzględniając dokument następczy Komisji w związku z rezolucją Parlamentu Europejskiego zawierającą zalecenia dla Komisji w sprawie prawodawstwa dotyczącego postępowania administracyjnego w Unii Europejskiej, przyjęty przez Komisję 24 kwietnia 2013 r., </w:t>
      </w:r>
    </w:p>
    <w:p w:rsidR="008B4F8D" w:rsidRPr="008B4F8D" w:rsidRDefault="008B4F8D" w:rsidP="002F50AE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dokument następczy Komisji w związku z rezolucją Parlamentu Europejskiego w sprawie otwartej, efektywnej i niezależnej administracji Unii Europejskiej, przyjęty przez Komisję 4 października 2016 r.,</w:t>
      </w:r>
    </w:p>
    <w:p w:rsidR="008B4F8D" w:rsidRPr="008B4F8D" w:rsidRDefault="008B4F8D" w:rsidP="002F50AE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 xml:space="preserve">uwzględniając dokument następczy Komisji w związku z rezolucją Parlamentu Europejskiego w sprawie </w:t>
      </w:r>
      <w:r>
        <w:t>lepszego stanowienia prawa: połączenie sił na rzecz stanowienia lepszego prawa, przyjęty przez Komisję 22 października 2022 r.,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art. 47 i 54 Regulaminu,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rFonts w:ascii="Noto Sans Symbols" w:hAnsi="Noto Sans Symbols"/>
          <w:color w:val="000000"/>
        </w:rPr>
        <w:t>−</w:t>
      </w:r>
      <w:r>
        <w:rPr>
          <w:rFonts w:ascii="Noto Sans Symbols" w:hAnsi="Noto Sans Symbols"/>
          <w:color w:val="000000"/>
        </w:rPr>
        <w:tab/>
      </w:r>
      <w:r>
        <w:rPr>
          <w:color w:val="000000"/>
        </w:rPr>
        <w:t>uwzględniając sprawozdanie Komisji Prawnej (A9-xxxx/xxxx),</w:t>
      </w:r>
    </w:p>
    <w:p w:rsidR="008B4F8D" w:rsidRPr="008B4F8D" w:rsidRDefault="009E6E1A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A.</w:t>
      </w:r>
      <w:r>
        <w:tab/>
      </w:r>
      <w:r>
        <w:rPr>
          <w:color w:val="000000"/>
        </w:rPr>
        <w:t>mając na uwadze, że wraz z wejściem w życie traktatu lizbońskiego Unia uzyskała właściwą podstawę prawną do przyjęcia europejskiego prawodawstwa dotyczącego postępowania administracyjnego;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B.</w:t>
      </w:r>
      <w:r>
        <w:rPr>
          <w:color w:val="000000"/>
        </w:rPr>
        <w:tab/>
        <w:t>mając na uwadze, że podstawowe prawo do dobrej administracji określone w art. 41 Karty praw podstawowych Unii Europejskiej stało się prawnie wiążące jako prawo pierwotne;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ascii="Arial" w:hAnsi="Arial" w:cs="Arial"/>
          <w:sz w:val="18"/>
          <w:szCs w:val="18"/>
          <w:shd w:val="clear" w:color="auto" w:fill="FFFFFF"/>
        </w:rPr>
      </w:pPr>
      <w:r>
        <w:t>C.</w:t>
      </w:r>
      <w:r>
        <w:tab/>
        <w:t xml:space="preserve">mając na uwadze, że </w:t>
      </w:r>
      <w:r>
        <w:rPr>
          <w:shd w:val="clear" w:color="auto" w:fill="FFFFFF"/>
        </w:rPr>
        <w:t xml:space="preserve">w Unii opartej na rządach prawa konieczne jest dopilnowanie, by w odpowiedni sposób określono, rozwijano i szanowano prawa i obowiązki proceduralne; mając na uwadze, że obywatele mają prawo oczekiwać wysokiego poziomu przejrzystości, skuteczności, szybkiego działania i odpowiedzi ze strony </w:t>
      </w:r>
      <w:r>
        <w:rPr>
          <w:shd w:val="clear" w:color="auto" w:fill="FFFFFF"/>
        </w:rPr>
        <w:lastRenderedPageBreak/>
        <w:t>instytucji, organów, urzędów i agencji Unii, a także mają prawo do informacji na temat możliwości podjęcia przez nich dalszych działań w danej sprawie;</w:t>
      </w:r>
      <w:r>
        <w:rPr>
          <w:rFonts w:ascii="Arial" w:hAnsi="Arial"/>
          <w:sz w:val="18"/>
          <w:shd w:val="clear" w:color="auto" w:fill="FFFFFF"/>
        </w:rPr>
        <w:t xml:space="preserve"> </w:t>
      </w:r>
    </w:p>
    <w:p w:rsidR="008B4F8D" w:rsidRPr="008B4F8D" w:rsidRDefault="008B4F8D" w:rsidP="008B4F8D">
      <w:pPr>
        <w:spacing w:after="240"/>
        <w:ind w:left="567" w:hanging="567"/>
        <w:rPr>
          <w:color w:val="000000"/>
        </w:rPr>
      </w:pPr>
      <w:r>
        <w:t>D.</w:t>
      </w:r>
      <w:r>
        <w:tab/>
        <w:t xml:space="preserve">mając na uwadze, że </w:t>
      </w:r>
      <w:r>
        <w:rPr>
          <w:color w:val="000000"/>
        </w:rPr>
        <w:t>efektywna administracja Unii ma zasadnicze znaczenie dla interesu publicznego, a zarówno nadmiar, jak i brak przepisów i procedur może skutkować niewłaściwym administrowaniem, do którego mogą prowadzić również sprzeczne, niespójne lub niejasne przepisy i procedury; mając na uwadze, że odpowiednia struktura i spójność procedur administracyjnych służy zarówno efektywności administracji, jak i odpowiedniemu realizowaniu podstawowego prawa do dobrej administracji, oraz ma wartość dodaną w postaci promowania przejrzystości i rozliczalności, zwiększając tym samym legitymację Unii i zaufanie obywateli do jej administracji;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E</w:t>
      </w:r>
      <w:r>
        <w:rPr>
          <w:color w:val="000000"/>
        </w:rPr>
        <w:t>.</w:t>
      </w:r>
      <w:r>
        <w:rPr>
          <w:color w:val="000000"/>
        </w:rPr>
        <w:tab/>
        <w:t>mając na uwadze, że brak zaufania ze strony obywateli jest od kilku lat palącym problemem Unii, który może wpływać na jej legitymację; mając na uwadze, że Unia musi udzielać obywatelom szybkich, jasnych i widocznych odpowiedzi, aby reagować na ich obawy;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>mając na uwadze, że obecne przepisy i zasady Unii w sprawie dobrej administracji są rozproszone i znajdują się w wielu różnych źródłach: prawie pierwotnym, orzecznictwie Trybunału Sprawiedliwości Unii Europejskiej, prawie wtórnym, instrumentach niewiążących oraz jednostronnych zobow</w:t>
      </w:r>
      <w:r w:rsidR="00F71C45">
        <w:rPr>
          <w:color w:val="000000"/>
        </w:rPr>
        <w:t>iązaniach instytucji unijnych;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G.</w:t>
      </w:r>
      <w:r>
        <w:rPr>
          <w:color w:val="000000"/>
        </w:rPr>
        <w:tab/>
        <w:t>mając na uwadze, że istniejące wewnętrzne kodeksy postępowania różnych instytucji mają ograniczony zakres, różnią się od siebie i nie są prawnie wiążące;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H.</w:t>
      </w:r>
      <w:r>
        <w:rPr>
          <w:color w:val="000000"/>
        </w:rPr>
        <w:tab/>
        <w:t xml:space="preserve">mając na uwadze, że – uwzględniając zalecenia Grupy Państw Przeciwko Korupcji (GRECO) Rady Europy – jasny i wiążący zbiór zasad dotyczących administracji Unii stanowiłby pozytywny sygnał w walce z korupcją w administracji publicznej;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I.</w:t>
      </w:r>
      <w:r>
        <w:rPr>
          <w:color w:val="000000"/>
        </w:rPr>
        <w:tab/>
        <w:t xml:space="preserve">mając na uwadze, że od 2001 r. Parlament konsekwentnie domagał się w swoich rezolucjach i załącznikach do nich podjęcia przez Komisję działań ustawodawczych w tej dziedzinie; mając na uwadze, że w 2013 r. Parlament zaapelował o przyjęcie prawodawstwa dotyczącego postępowania administracyjnego Unii Europejskiej, a w 2016 r. zaapelował szczególności o przedstawienie wniosku dotyczącego rozporządzenia Parlamentu Europejskiego i Rady w sprawie otwartej, efektywnej i niezależnej administracji Unii Europejskiej; mając na uwadze, że powtarzające się apele Parlamentu zasadniczo zmierzają do przyjęcia rozporządzenia w sprawie postępowania administracyjnego w Unii Europejskiej, które określałoby ogólne przepisy proceduralne regulujące administracyjną działalność administracji Unii, czyli </w:t>
      </w:r>
      <w:r>
        <w:rPr>
          <w:shd w:val="clear" w:color="auto" w:fill="FFFFFF"/>
        </w:rPr>
        <w:t>instytucji, organów, urzędów i agencji Unii (europejskie prawodawstwo dotyczące postępowania administracyjnego)</w:t>
      </w:r>
      <w:r>
        <w:t>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J.</w:t>
      </w:r>
      <w:r>
        <w:rPr>
          <w:color w:val="000000"/>
        </w:rPr>
        <w:tab/>
        <w:t>mając na uwadze, że apel ten opiera się na szczegółowych ocenach skutków, która obejmuje między innymi określenie kosztów procedur administracyjnych; mając na uwadze, że w ocenie skutków z 2018 r. stwierdzono, że rozdrobnienie procedur administracyjnych w instytucjach i organach Unii ma negatywny wpływ na otwartość, efektywność i niezależność UE; stwierdzono także, że negatywne skutki prawdopodobnie nasilą się wraz z przejściem na administrację cyfrową; mając na uwadze, że wraz z wnioskiem Komisja powinna również przedstawić ocenę skutków;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lastRenderedPageBreak/>
        <w:t>K.</w:t>
      </w:r>
      <w:r>
        <w:rPr>
          <w:color w:val="000000"/>
        </w:rPr>
        <w:tab/>
        <w:t>mając na uwadze, że Parlament przeprowadził konsultacje publiczne w sprawie potrzeby ustanowienia europejskiego prawodawstwa dotyczącego postępowania administracyjnego; 76 % respondentów poparło przyjęcie dodatkowych środków na szczeblu Unii w celu usprawnienia i uproszczenia unijnych procedur administracyjnych, odnotowało poprawę skuteczności i przejrzystości wśród głównych powodów interwencji UE oraz wskazało niespójność operacyjną i koszty obciążeń administracyjnych wśród najbardziej problematycznych kwestii; mając na uwadze, że w 2023 r. Komisja powinna ponadto przeprowadzić odpowiednie konsultacje publiczne ze wszystkimi zainteresowanymi podmiotami oraz że powinna w szczególności skorzystać z doświadczenia i wiedzy fachowej Europejskiego Rzecznika Praw Obywatelskich, ponieważ to do Europejskiego Rzecznika Praw Obywatelskich kierowane są skargi obywateli dotyczące nieprawidłowości w organach i instytucjach Unii;</w:t>
      </w:r>
    </w:p>
    <w:p w:rsidR="008B4F8D" w:rsidRPr="008B4F8D" w:rsidRDefault="008B4F8D" w:rsidP="008B4F8D">
      <w:pPr>
        <w:spacing w:after="240"/>
        <w:ind w:left="567" w:hanging="567"/>
      </w:pPr>
      <w:r>
        <w:t>L.</w:t>
      </w:r>
      <w:r>
        <w:tab/>
        <w:t xml:space="preserve">mając na uwadze, że przy opracowywaniu rezolucji z 2016 r. </w:t>
      </w:r>
      <w:r>
        <w:rPr>
          <w:color w:val="000000"/>
        </w:rPr>
        <w:t xml:space="preserve">w sprawie otwartej, efektywnej i niezależnej administracji Unii Europejskiej </w:t>
      </w:r>
      <w:r>
        <w:t>Parlament przeprowadził konsultacje ze środowiskiem akademickim, praktykami i środowiskiem prawniczym;</w:t>
      </w:r>
      <w:r>
        <w:rPr>
          <w:color w:val="000000"/>
        </w:rPr>
        <w:t xml:space="preserve"> </w:t>
      </w:r>
      <w:r>
        <w:t xml:space="preserve">mając na uwadze, że w ramach dokumentu następczego przyjętego 24 kwietnia 2013 r. w związku z rezolucją Parlamentu z 15 stycznia 2013 r. Komisja stwierdziła, że rozpocznie szczegółowy przegląd istniejącego prawodawstwa administracyjnego UE i ewentualnych niedociągnięć we wszystkich instytucjach, że oceni podejścia przyjęte do tych kwestii w państwach członkowskich i skonsultuje się ze środowiskiem akademickim, praktykami i środowiskiem prawniczym w celu przeprowadzenia wnikliwej analizy wszystkich aspektów tej kwestii; mając na uwadze, że dziesięć lat później Komisja nie poinformowała jeszcze Parlamentu o wynikach zapowiedzianego przeglądu i wnikliwej analizy; </w:t>
      </w:r>
    </w:p>
    <w:p w:rsidR="008B4F8D" w:rsidRPr="008B4F8D" w:rsidRDefault="008B4F8D" w:rsidP="008B4F8D">
      <w:pPr>
        <w:spacing w:after="240"/>
        <w:ind w:left="567" w:hanging="567"/>
      </w:pPr>
      <w:r>
        <w:t xml:space="preserve">M. </w:t>
      </w:r>
      <w:r>
        <w:tab/>
        <w:t xml:space="preserve">mając na uwadze, że w ramach tego samego dokumentu następczego z 2013 r. Komisja stwierdziła również, że każda przyszła inicjatywa będzie musiała uwzględniać istniejące ramy przepisów administracyjnych oraz złożony związek między przepisami horyzontalnymi i sektorowymi; wielorakie przyczyny możliwego niewłaściwego administrowania i wiele możliwych sposobów, w jakie można temu zaradzić; oraz ograniczenia stosowania art. 298 TFUE; mając na uwadze, że dotychczas Komisja nie przedstawiła takiej oceny; </w:t>
      </w:r>
    </w:p>
    <w:p w:rsidR="008B4F8D" w:rsidRPr="008B4F8D" w:rsidRDefault="008B4F8D" w:rsidP="008B4F8D">
      <w:pPr>
        <w:spacing w:after="240"/>
        <w:ind w:left="567" w:hanging="567"/>
      </w:pPr>
      <w:r>
        <w:t>N.</w:t>
      </w:r>
      <w:r>
        <w:tab/>
        <w:t>mając na uwadze, że w 2022 r. Komisja przedstawiła, działając po raz pierwszy na podstawie art. 298 TFUE, dwa wnioski dotyczące, z jednej strony, bezpieczeństwa informacji i, z drugiej strony, cyberbezpieczeństwa w administracji Unii, tj. w jej instytucjach, organach, urzędach i agencjach, aby zaradzić brakowi wspólnego podejścia w tych obszarach oraz temu, że każde z nich albo mają własne przepisy w tych obszarach, oparte na regulaminie wewnętrznym lub aktach założycielskich, albo nie mają żadnych przepisów;</w:t>
      </w:r>
    </w:p>
    <w:p w:rsidR="008B4F8D" w:rsidRPr="008B4F8D" w:rsidRDefault="008B4F8D" w:rsidP="008B4F8D">
      <w:pPr>
        <w:spacing w:after="240"/>
        <w:ind w:left="567" w:right="380" w:hanging="567"/>
      </w:pPr>
      <w:r>
        <w:t>O.</w:t>
      </w:r>
      <w:r>
        <w:tab/>
        <w:t xml:space="preserve">mając na uwadze, że istnienie przepisów horyzontalnych i sektorowych nie może stanowić usprawiedliwienia dla braku ustanowienia europejskiego prawodawstwa dotyczącego postępowania administracyjnego ani przeszkody dla ustanowienia takich przepisów stanowiących podstawowe i ogólne ramy odniesienia dla prawodawstwa dotyczącego postępowania administracyjnego, które powinno być stosowane przez każdą administrację Unii niezależnie od sektora jej działalności; </w:t>
      </w:r>
      <w:r>
        <w:lastRenderedPageBreak/>
        <w:t>mając na uwadze, że taka ogólna część normatywna istnieje w wielu państwach członkowskich Unii niezależnie od jej struktury, dziedziny lub sektora oraz równol</w:t>
      </w:r>
      <w:r w:rsidR="00F71C45">
        <w:t>egle z przepisami sektorowymi;</w:t>
      </w:r>
    </w:p>
    <w:p w:rsidR="008B4F8D" w:rsidRPr="008B4F8D" w:rsidRDefault="008B4F8D" w:rsidP="008B4F8D">
      <w:pPr>
        <w:spacing w:after="240"/>
        <w:ind w:left="567" w:right="380" w:hanging="567"/>
      </w:pPr>
      <w:r>
        <w:t>P.</w:t>
      </w:r>
      <w:r>
        <w:tab/>
        <w:t xml:space="preserve">mając na uwadze, że rozdrobnienie odnośnych ram prawnych między administracjami Unii prowadzi do znacznego powielania starań na rzecz ustanowienia i utrzymania w mocy przepisów wewnętrznych, a także do braku interoperacyjności praktyk administracyjnych; mając na uwadze, że w przypadku obywateli Unii zróżnicowanie tych przepisów zwiększa ryzyko ich niezrozumienia, stosowania ich błędnej wykładni i nieprzestrzegania; mając na uwadze, że ustanowienie podstawowych i ogólnych ram odniesienia europejskiego prawodawstwa dotyczącego postępowania administracyjnego dla administracji Unii stworzyłoby otoczenie administracyjne z jednolitymi zasadami, znormalizowanymi przepisami i wdrożonymi najlepszymi praktykami, co nie wyklucza istnienia przepisów sektorowych, jak ma to miejsce również na szczeblu krajowym; mając ponadto na uwadze, że ustanowienie europejskiego prawodawstwa dotyczącego postępowania administracyjnego jest zgodne z wymogiem działania z należytym poszanowaniem autonomii i kompetencji każdej instytucji i każdego organu Unii, które pozostaną w pełni obowiązujące; </w:t>
      </w:r>
    </w:p>
    <w:p w:rsidR="008B4F8D" w:rsidRPr="008B4F8D" w:rsidRDefault="008B4F8D" w:rsidP="008B4F8D">
      <w:pPr>
        <w:spacing w:after="240"/>
        <w:ind w:left="567" w:right="380" w:hanging="567"/>
        <w:rPr>
          <w:color w:val="000000"/>
        </w:rPr>
      </w:pPr>
      <w:r>
        <w:rPr>
          <w:color w:val="000000"/>
        </w:rPr>
        <w:t>Q.</w:t>
      </w:r>
      <w:r>
        <w:rPr>
          <w:color w:val="000000"/>
        </w:rPr>
        <w:tab/>
        <w:t xml:space="preserve">mając na uwadze, że wraz z postępem technologicznym i wysiłkami na rzecz cyfryzacji wymaganymi od państw członkowskich, w tym w odniesieniu do ich administracji i usług publicznych, administracja Unii podjęła podobne starania w zakresie cyfryzacji; mając na uwadze, że administracja Unii w coraz większym stopniu nie działa jako odrębny podmiot, lecz łączy się z krajowymi administracjami publicznymi, aby służyć obywatelom;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R.</w:t>
      </w:r>
      <w:r>
        <w:rPr>
          <w:color w:val="000000"/>
        </w:rPr>
        <w:tab/>
        <w:t xml:space="preserve">mając na uwadze, że w analizie oceny europejskiej wartości dodanej z 2022 r. podkreślono, podobnie jak w analizie oceny skutków z 2018 r., że wraz z cyfryzacją wzrasta potrzeba centralizacji i harmonizacji oraz że trwająca cyfryzacja tworzy nowe problemy i wyzwania;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S.</w:t>
      </w:r>
      <w:r>
        <w:rPr>
          <w:color w:val="000000"/>
        </w:rPr>
        <w:tab/>
        <w:t>mając na uwadze, że w orzecznictwie Trybunału Sprawiedliwości Unii Europejskiej opracowano ugruntowane zasady postępowania, które mają zastosowanie do postępowań państw członkowskich w sprawach unijnych i które powinny tym bardziej stosować się do bezpośredniej administracji Unii; mając na uwadze, że można się spodziewać, iż orzecznictwo Trybunału Sprawiedliwości wkrótce bardziej się rozwinie, obejmując zjawiska związane z rozwojem cyfryzacji w procedurach administracyjnych, takie jak zautomatyzowane procesy decyzyjne;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T.</w:t>
      </w:r>
      <w:r>
        <w:rPr>
          <w:color w:val="000000"/>
        </w:rPr>
        <w:tab/>
        <w:t>mając na uwadze, że w Europejskiej deklaracji praw i zasad cyfrowych w cyfrowej dekadzie ogłoszono zasady cyfrowe służące wszystkim Europejczykom;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U.</w:t>
      </w:r>
      <w:r>
        <w:rPr>
          <w:color w:val="000000"/>
        </w:rPr>
        <w:tab/>
        <w:t xml:space="preserve">mając na uwadze, że w cyfrowym kompasie na 2030 r. Komisja nakreśliła dla Unii wizję przekształconej cyfrowo Europy w 2030 r. zgodnie z wartościami europejskimi; mając na uwadze, że „Droga ku cyfrowej dekadzie” ma na celu dalsze wzmocnienie przywództwa cyfrowego oraz pozycji obywateli i przedsiębiorstw, a tym samym uczynienie transformacji cyfrowej motorem zrównoważonego wzrostu gospodarczego i dobrostanu społecznego w Europie, co należy osiągnąć między innymi poprzez </w:t>
      </w:r>
      <w:r>
        <w:rPr>
          <w:color w:val="000000"/>
        </w:rPr>
        <w:lastRenderedPageBreak/>
        <w:t>rozwijanie umiejętności i kompetencji cyfrowych pracowników, aby umożliwić im pełne uczestnictwo w gospodarce cyfrowej, oraz poprzez cyfryzację usług publicznych, a także zwiększenie ich wydajności i łatwości korzystania z nich z korzyścią dla wszystkich członków naszego społeczeństwa;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V.</w:t>
      </w:r>
      <w:r>
        <w:rPr>
          <w:color w:val="000000"/>
        </w:rPr>
        <w:tab/>
        <w:t xml:space="preserve">mając na uwadze, że strategia cyfrowa Komisji na 2022 r. zatytułowana „Komisja cyfrowa nowej generacji” nakreśla cele, które mają umożliwić administracji Komisji wsparcie realizacji strategicznych priorytetów UE i dawanie dobrego przykładu, a także promuje między innymi następujące elementy: wzmocnienie pozycji swoich pracowników, umożliwienie kształtowania polityki gotowej pod względem cyfryzacji poprzez wytyczne i wsparcie w całym cyklu polityki Unii oraz czerpanie korzyści płynących z danych i innowacyjnych technologii na potrzeby przeprojektowania procesów administracyjnych; strategia pokazuje natomiast, w jaki sposób cyfryzacja procesów administracyjnych i interakcji administracji Unii z obywatelami będzie ewoluować w nadchodzących latach; mając na uwadze, że ewolucji tej powinien towarzyszyć zestaw przepisów regulujących procedury administracyjne i że należy ją zharmonizować w całej administracji Unii;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333333"/>
        </w:rPr>
      </w:pPr>
      <w:r>
        <w:rPr>
          <w:color w:val="000000"/>
        </w:rPr>
        <w:t>W.</w:t>
      </w:r>
      <w:r>
        <w:rPr>
          <w:b/>
          <w:color w:val="000000"/>
        </w:rPr>
        <w:tab/>
      </w:r>
      <w:r>
        <w:rPr>
          <w:color w:val="000000"/>
        </w:rPr>
        <w:t xml:space="preserve">mając na uwadze, że rozwój nowych technologii, takich jak sztuczna inteligencja i zautomatyzowane systemy decyzyjne, może odegrać istotną rolę w modernizacji i poprawie funkcjonowania administracji publicznej, pod warunkiem że stosowane technologie będą charakteryzować się wysokim stopniem niezawodności i wiarygodności; mając na uwadze, że możliwość korzystania z takich nowych technologii przez administrację publiczną, w tym administrację Unii, powinna być jednak ograniczona zasadą legalności i potrzebą zapewnienia poszanowania praw obywateli; mając na uwadze, że korzystanie z nowych technologii, takich jak AI i zautomatyzowane systemy decyzyjne, może stwarzać szczególne problemy pod względem stosowania zasady dobrej administracji i prawa do kontroli legalności, a zatem wymaga szczególnej analizy pod kątem takich elementów, jak: </w:t>
      </w:r>
      <w:r>
        <w:rPr>
          <w:color w:val="333333"/>
        </w:rPr>
        <w:t>przejrzystość, rozliczalność, zgodność z przepisami i niedyskryminacja, poprzez uwzględnienie ryzyka stronniczości algorytmicznej;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333333"/>
        </w:rPr>
        <w:t xml:space="preserve">X. </w:t>
      </w:r>
      <w:r>
        <w:rPr>
          <w:color w:val="333333"/>
        </w:rPr>
        <w:tab/>
        <w:t xml:space="preserve">mając na uwadze, </w:t>
      </w:r>
      <w:r>
        <w:rPr>
          <w:color w:val="000000"/>
        </w:rPr>
        <w:t>że należy uznać ryzyko związane z wykorzystaniem sztucznej inteligencji i uczenia maszynowego, w szczególności w kontekście administracji Unii, gdzie może istnieć znaczna różnica pod względem uprawnień między obywatelami a administracją; mając na uwadze, że w związku z tym wykorzystanie uczenia maszynowego przez administrację Unii powinno ograniczać się do gromadzenia, organizowania, strukturyzowania, przekształcania, łączenia i dostosowywania danych, takich jak optyczne rozpoznawanie znaków, rozpoznawanie obiektów lub zamiana mowy na tekst;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333333"/>
        </w:rPr>
        <w:t>Y.</w:t>
      </w:r>
      <w:r>
        <w:rPr>
          <w:color w:val="333333"/>
        </w:rPr>
        <w:tab/>
        <w:t xml:space="preserve">mając na uwadze, że w 2022 r. Europejski Instytut Prawa przedstawił sprawozdanie zawierające </w:t>
      </w:r>
      <w:r>
        <w:t xml:space="preserve">modelowe zasady oceny skutków algorytmicznych systemów decyzyjnych stosowanych przez administrację publiczną, w którym zaproponowano modelowe zasady w przypadku, gdy takie algorytmiczne systemy decyzyjne podejmują decyzję lub wspierają podejmowanie decyzji przez człowieka – tj. decyzji organu publicznego (w tym na szczeblu Unii) o podjęciu lub niepodjęciu działania – która prawdopodobnie </w:t>
      </w:r>
      <w:r>
        <w:lastRenderedPageBreak/>
        <w:t>będzie mieć znaczący wpływ na społeczeństwo</w:t>
      </w:r>
      <w:r w:rsidRPr="00223428">
        <w:rPr>
          <w:rStyle w:val="FootnoteReference"/>
        </w:rPr>
        <w:footnoteReference w:id="15"/>
      </w:r>
      <w:r>
        <w:t>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Z.</w:t>
      </w:r>
      <w:r>
        <w:tab/>
        <w:t>mając na uwadze, że w przeszłości oprogramowanie tworzone na potrzeby administracji publicznej było często oprogramowaniem z zastrzeżonym kodem źródłowym [ang. closed-source], co oznacza, że pomimo uiszczenia płatności za nie obywatele nie mogli przeprowadzić audytu kodu ani ponownie go wykorzystać; mając na uwadze, że warto zauważyć, iż administracja Unii opracowuje, publikuje i wykorzystuje otwarty kod źródłowy oprogramowania, co przyczynia się do przestrzegania zasady „publiczne pieniądze, publiczny kod”; mając na uwadze, że zasada ta promuje ponowne wykorzystanie i ulepszanie istniejącego kodu w celu obniżenia kosztów tworzenia oprogramowania, a tym samym kosztów cyfryzacji; mając na uwadze, że w związku z tym należy stale zachęcać administrację Unii do korzystania z otwartego oprogramowania</w:t>
      </w:r>
      <w:r w:rsidRPr="00223428">
        <w:rPr>
          <w:rStyle w:val="FootnoteReference"/>
        </w:rPr>
        <w:footnoteReference w:id="16"/>
      </w:r>
      <w:r>
        <w:t>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 xml:space="preserve">AA. </w:t>
      </w:r>
      <w:r>
        <w:tab/>
        <w:t xml:space="preserve">mając na uwadze, że na dostęp obywateli Unii do usług administracji cyfrowej mają wpływ takie czynniki, jak wiek, pewność siebie i gotowość do korzystania z rozwiązań technologicznych; mając na uwadze, że w związku z tym administracja Unii powinna wziąć to pod uwagę przy opracowywaniu rozwiązań cyfrowych dla świadczonych przez siebie usług, aby nie stracić zaufania obywateli i umożliwić im dostosowanie się do istnienia usługi cyfrowej;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AB.</w:t>
      </w:r>
      <w:r>
        <w:rPr>
          <w:color w:val="000000"/>
        </w:rPr>
        <w:tab/>
        <w:t>mając na uwadze, że określono już następujące zasady dotyczące cyfrowych usług publicznych i administracji: (i) zorientowane na człowieka i dostępne cyfrowe usługi publiczne na wszystkich szczeblach, (ii) możliwość zaangażowania się każdej osoby w tworzenie i ulepszanie cyfrowych usług publicznych, które są dostosowane do jej potrzeb i preferencji, (iii) zasada jednorazowości, zgodnie z którą każda osoba powinna przekazywać swoje dane lub informacje tylko raz podczas interakcji cyfrowej z administracjami publicznymi w całej Unii, (iv) interoperacyjność usług cyfrowych oferowanych przez sektor publiczny, takich jak rozwiązania w zakresie tożsamości cyfrowej z możliwością przenoszenia danych w całej Unii, (v) szeroko zakrojone zaangażowanie obywateli i współpraca z nimi, możliwe dzięki technologiom i rozwiązaniom cyfrowym, oraz stymulowanie rozwoju inicjatyw partycypacyjnych na wszystkich szczeblach, (vi) wkład technologii i rozwiązań cyfrowych w wyższy poziom ochrony publicznej i bezpieczeństwa publicznego;</w:t>
      </w:r>
    </w:p>
    <w:p w:rsidR="008B4F8D" w:rsidRPr="008B4F8D" w:rsidRDefault="009E6E1A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1.</w:t>
      </w:r>
      <w:r>
        <w:tab/>
      </w:r>
      <w:r>
        <w:rPr>
          <w:color w:val="000000"/>
        </w:rPr>
        <w:t>uważa, że po 70 latach ciągłego rozwoju administracji publicznej Unii i 13 latach od wejścia w życie traktatu lizbońskiego, który ustanawia podstawę prawną art. 298 TFUE, nie ma uzasadnienia, aby nie zapisywać zasad dobrej administracji w wiążącym prawodawstwie;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 xml:space="preserve">przypomina, że w rezolucji z 15 stycznia 2013 r. i w rezolucji z 9 czerwca 2016 r. Parlament zaapelował, zgodnie z art. 225 TFUE, o przyjęcie rozporządzenia w sprawie otwartej, efektywnej i niezależnej administracji Unii Europejskiej na mocy art. 298 TFUE; przypomina, że w rezolucji z 9 czerwca 2016 r. Parlament w szczególności </w:t>
      </w:r>
      <w:r>
        <w:rPr>
          <w:color w:val="000000"/>
        </w:rPr>
        <w:lastRenderedPageBreak/>
        <w:t xml:space="preserve">wezwał </w:t>
      </w:r>
      <w:r>
        <w:rPr>
          <w:color w:val="1E1E1F"/>
        </w:rPr>
        <w:t xml:space="preserve">Komisję do przedstawienia wniosku ustawodawczego, który miał zostać włączony do jej programu prac na 2017 r.; wyraża ubolewanie, że </w:t>
      </w:r>
      <w:r>
        <w:rPr>
          <w:color w:val="000000"/>
        </w:rPr>
        <w:t xml:space="preserve">apele Parlamentu nie zostały dotychczas uwzględnione we wniosku Komisji; 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zauważa, że Komisja nie przedstawiła żadnych uzasadnionych ani przekonujących powodów swojej bezczynności, i ubolewa, że do tej pory Komisja nie przedstawiła żadnej wnikliwej analizy ani badań dotyczących tego tematu;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4.</w:t>
      </w:r>
      <w:r>
        <w:tab/>
      </w:r>
      <w:r>
        <w:rPr>
          <w:color w:val="000000"/>
        </w:rPr>
        <w:t>zwraca się do Komisji o pilne przedstawienie wniosku ustawodawczego, na podstawie art. 298 TFUE</w:t>
      </w:r>
      <w:r>
        <w:t>, dotyczącego rozporządzenia w sprawie otwartej, efektywnej i niezależnej administracji Unii Europejskiej,</w:t>
      </w:r>
      <w:r>
        <w:rPr>
          <w:color w:val="000000"/>
        </w:rPr>
        <w:t xml:space="preserve"> który zostanie włączony do programu prac Komisji na 2024 r., tak aby współprawodawcy mogli rozpocząć nad nim prace natychmiast po rozpoczęciu nowej kadencji parlamentarnej; domaga się, by wniosek</w:t>
      </w:r>
      <w:r>
        <w:t xml:space="preserve"> był zgodny z zaleceniami określonymi w załączniku do niniejszej rezolucji, </w:t>
      </w:r>
      <w:r>
        <w:rPr>
          <w:color w:val="000000"/>
        </w:rPr>
        <w:t>i zwraca się do Komisji, by uznała wniosek dotyczący rozporządzenia dołączony do jego rezolucji z 9 czerwca 2016 r. za punkt wyjścia do przygotowania wniosku, o który się zwraca,</w:t>
      </w:r>
      <w:r>
        <w:t xml:space="preserve"> oraz by uwzględniła postęp cyfryzacji i jego wpływ na administrację i procedury administracyjne Unii;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uważa, iż wspomniany wniosek nie pociąga za sobą skutków finansowych;</w:t>
      </w:r>
    </w:p>
    <w:p w:rsidR="008B4F8D" w:rsidRPr="008B4F8D" w:rsidRDefault="008B4F8D" w:rsidP="008B4F8D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ab/>
        <w:t>zobowiązuje swoją przewodniczącą do przekazania niniejszej rezolucji oraz zaleceń zawartych w załączniku Komisji i Radzie.</w:t>
      </w:r>
    </w:p>
    <w:p w:rsidR="009F6042" w:rsidRPr="008B4F8D" w:rsidRDefault="009F6042" w:rsidP="008B4F8D">
      <w:pPr>
        <w:pStyle w:val="NormalHanging12a"/>
        <w:rPr>
          <w:lang w:val="en-US"/>
        </w:rPr>
      </w:pPr>
    </w:p>
    <w:p w:rsidR="006E50B6" w:rsidRPr="008B4F8D" w:rsidRDefault="006E50B6" w:rsidP="006E50B6">
      <w:pPr>
        <w:rPr>
          <w:lang w:val="en-US"/>
        </w:rPr>
        <w:sectPr w:rsidR="006E50B6" w:rsidRPr="008B4F8D" w:rsidSect="007E1C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DE1C8A" w:rsidRDefault="00DE1C8A" w:rsidP="007255C3">
      <w:pPr>
        <w:pStyle w:val="PageHeading"/>
      </w:pPr>
      <w:bookmarkStart w:id="1" w:name="_Toc138665448"/>
      <w:r>
        <w:lastRenderedPageBreak/>
        <w:t>ZAŁĄCZNIK DO PROJEKTU REZOLUCJI</w:t>
      </w:r>
      <w:r w:rsidR="00C510FA">
        <w:t>:</w:t>
      </w:r>
      <w:r>
        <w:br/>
        <w:t>ZALECENIA DOTYCZĄCE TREŚCI POSTULOWANEGO WNIOSKU</w:t>
      </w:r>
      <w:bookmarkStart w:id="2" w:name="_GoBack"/>
      <w:bookmarkEnd w:id="1"/>
      <w:bookmarkEnd w:id="2"/>
    </w:p>
    <w:p w:rsidR="008B4F8D" w:rsidRPr="008B4F8D" w:rsidRDefault="008B4F8D" w:rsidP="008B4F8D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Zalecenie 1 (dotyczące podstawy wniosku Komisji dotyczącego rozporządzenia w sprawie otwartej, efektywnej i niezależnej administracji Unii Europejskiej):</w:t>
      </w:r>
    </w:p>
    <w:p w:rsidR="008B4F8D" w:rsidRPr="008B4F8D" w:rsidRDefault="008B4F8D" w:rsidP="008B4F8D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Parlament Europejski uważa, że wniosek Komisji powinien przyjąć formę rozporządzenia ustanawiającego akt ogólny dotyczący procedury administracyjnej, zgodnie z załącznikiem do rezolucji Parlamentu z dnia</w:t>
      </w:r>
      <w:r>
        <w:rPr>
          <w:rFonts w:ascii="Arial" w:hAnsi="Arial"/>
          <w:b/>
          <w:color w:val="000000"/>
        </w:rPr>
        <w:t xml:space="preserve"> </w:t>
      </w:r>
      <w:r>
        <w:rPr>
          <w:color w:val="000000"/>
        </w:rPr>
        <w:t xml:space="preserve">9 czerwca 2016 r. w sprawie otwartej, efektywnej i niezależnej administracji Unii Europejskiej. </w:t>
      </w:r>
    </w:p>
    <w:p w:rsidR="008B4F8D" w:rsidRPr="008B4F8D" w:rsidRDefault="008B4F8D" w:rsidP="008B4F8D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Zalecenie 2 (dotyczące zasad przyświecających cyfryzacji procedur administracyjnych Unii)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Parlament Europejski uważa, że przy przedstawianiu wniosku wymaganego na mocy tej rezolucji Komisja powinna uwzględnić postępy w cyfryzacji i ich wpływ na procedury admin</w:t>
      </w:r>
      <w:r w:rsidR="00F71C45">
        <w:rPr>
          <w:color w:val="000000"/>
        </w:rPr>
        <w:t xml:space="preserve">istracyjne administracji Unii. </w:t>
      </w:r>
      <w:r>
        <w:rPr>
          <w:color w:val="000000"/>
        </w:rPr>
        <w:t>W tym kontekście należy uwzględnić przede wszystkim, co następuje: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>1.</w:t>
      </w:r>
      <w:r>
        <w:tab/>
        <w:t>W odniesieniu do aspektów ogólnych: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 xml:space="preserve">(i) </w:t>
      </w:r>
      <w:r>
        <w:rPr>
          <w:color w:val="000000"/>
        </w:rPr>
        <w:tab/>
        <w:t xml:space="preserve">„zasadę jednorazowości”, a mianowicie, że każda osoba powinna przekazać swoje dane lub informacje tylko raz, gdy wchodzi w interakcję cyfrową z administracją Unii, czerpiąc w tym względzie również z ustanowienia europejskiego portfela tożsamości cyfrowej;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(i</w:t>
      </w:r>
      <w:r>
        <w:t>i</w:t>
      </w:r>
      <w:r>
        <w:rPr>
          <w:color w:val="000000"/>
        </w:rPr>
        <w:t xml:space="preserve">) </w:t>
      </w:r>
      <w:r>
        <w:rPr>
          <w:color w:val="000000"/>
        </w:rPr>
        <w:tab/>
        <w:t>interoperacyjność usług cyfrowych oferowanych przez administrację Unii;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</w:t>
      </w:r>
      <w:r>
        <w:t>iii</w:t>
      </w:r>
      <w:r>
        <w:rPr>
          <w:color w:val="000000"/>
        </w:rPr>
        <w:t xml:space="preserve">) </w:t>
      </w:r>
      <w:r>
        <w:rPr>
          <w:color w:val="000000"/>
        </w:rPr>
        <w:tab/>
        <w:t xml:space="preserve">wkład technologii i rozwiązań cyfrowych w wyższy poziom ochrony publicznej i bezpieczeństwa publicznego;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(</w:t>
      </w:r>
      <w:r>
        <w:t xml:space="preserve">iv) </w:t>
      </w:r>
      <w:r>
        <w:tab/>
        <w:t>ustanowienie</w:t>
      </w:r>
      <w:r>
        <w:rPr>
          <w:color w:val="000000"/>
        </w:rPr>
        <w:t xml:space="preserve"> procedur i </w:t>
      </w:r>
      <w:r>
        <w:t xml:space="preserve">wyjaśnienie </w:t>
      </w:r>
      <w:r>
        <w:rPr>
          <w:color w:val="000000"/>
        </w:rPr>
        <w:t>wykorzystania technologii cyfrowych w komunikacji zewnętrznej administracji Unii, z myślą o podjęciu środków zaradczych w świetle istniejących luk i o zwiększeniu pewności prawa przy zapewnieniu, aby wzrosła liczba rozpatrywanych przypadków niesprawiedliwości administracyjnej i przerwano cykl braku zaufania;</w:t>
      </w:r>
    </w:p>
    <w:p w:rsidR="008B4F8D" w:rsidRPr="008B4F8D" w:rsidRDefault="008B4F8D" w:rsidP="008B4F8D">
      <w:pPr>
        <w:spacing w:after="240"/>
      </w:pPr>
      <w:r>
        <w:t>2.</w:t>
      </w:r>
      <w:r>
        <w:tab/>
        <w:t>W odniesieniu do dostępnych, integracyjnych cyfrowych usług publicznych:</w:t>
      </w:r>
    </w:p>
    <w:p w:rsidR="008B4F8D" w:rsidRPr="008B4F8D" w:rsidRDefault="008B4F8D" w:rsidP="008B4F8D">
      <w:pPr>
        <w:spacing w:after="240"/>
      </w:pPr>
      <w:r>
        <w:t xml:space="preserve">(i) </w:t>
      </w:r>
      <w:r>
        <w:tab/>
        <w:t xml:space="preserve">cyfrowe usługi publiczne powinny być zorientowane na człowieka i dostępne na wszystkich szczeblach; </w:t>
      </w:r>
    </w:p>
    <w:p w:rsidR="008B4F8D" w:rsidRPr="008B4F8D" w:rsidRDefault="008B4F8D" w:rsidP="008B4F8D">
      <w:pPr>
        <w:spacing w:after="240"/>
      </w:pPr>
      <w:r>
        <w:t xml:space="preserve">(ii) </w:t>
      </w:r>
      <w:r>
        <w:tab/>
        <w:t xml:space="preserve">każda osoba powinna mieć możliwość zaangażowania się w tworzenie i ulepszanie cyfrowych usług publicznych, które są dostosowane do jej potrzeb i preferencji; </w:t>
      </w:r>
    </w:p>
    <w:p w:rsidR="008B4F8D" w:rsidRPr="008B4F8D" w:rsidRDefault="008B4F8D" w:rsidP="008B4F8D">
      <w:pPr>
        <w:spacing w:after="240"/>
      </w:pPr>
      <w:r>
        <w:t xml:space="preserve">(iii) </w:t>
      </w:r>
      <w:r>
        <w:tab/>
        <w:t>należy zawsze zapewnić analogowe alternatywy dla usług cyfrowych oraz dostępność obsługiwanego przez człowieka punktu kontaktowego, aby pomóc w rozwiązywaniu wszelkich problemów, które mogą pojawić się podczas korzystania z usług cyfrowych przez obywateli Unii;</w:t>
      </w:r>
    </w:p>
    <w:p w:rsidR="008B4F8D" w:rsidRPr="008B4F8D" w:rsidRDefault="008B4F8D" w:rsidP="008B4F8D">
      <w:pPr>
        <w:spacing w:after="240"/>
      </w:pPr>
      <w:r>
        <w:t xml:space="preserve">(iv) </w:t>
      </w:r>
      <w:r>
        <w:tab/>
        <w:t>cyfrowe usługi publiczne powinny być dostępne dla osób z niepełnosprawnościami;</w:t>
      </w:r>
    </w:p>
    <w:p w:rsidR="008B4F8D" w:rsidRPr="008B4F8D" w:rsidRDefault="008B4F8D" w:rsidP="008B4F8D">
      <w:pPr>
        <w:spacing w:after="240"/>
      </w:pPr>
      <w:r>
        <w:lastRenderedPageBreak/>
        <w:t xml:space="preserve">(v) </w:t>
      </w:r>
      <w:r>
        <w:tab/>
        <w:t xml:space="preserve">cyfrowe usługi publiczne powinny być również dostępne za pośrednictwem szerokiej gamy urządzeń; </w:t>
      </w:r>
    </w:p>
    <w:p w:rsidR="008B4F8D" w:rsidRPr="008B4F8D" w:rsidRDefault="008B4F8D" w:rsidP="008B4F8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t>3.</w:t>
      </w:r>
      <w:r>
        <w:tab/>
        <w:t>W odniesieniu do bezpieczeństwa, rozliczalności i ochrony danych:</w:t>
      </w:r>
    </w:p>
    <w:p w:rsidR="008B4F8D" w:rsidRPr="008B4F8D" w:rsidRDefault="008B4F8D" w:rsidP="008B4F8D">
      <w:pPr>
        <w:spacing w:after="240"/>
      </w:pPr>
      <w:r>
        <w:t xml:space="preserve">(i) </w:t>
      </w:r>
      <w:r>
        <w:tab/>
        <w:t xml:space="preserve">zasada „publiczne pieniądze, publiczny kod”, zgodnie z którą kod źródłowy każdego oprogramowania opracowanego przy użyciu środków publicznych powinien być publicznie dostępny do celów badawczych i do ponownego wykorzystania; </w:t>
      </w:r>
    </w:p>
    <w:p w:rsidR="008B4F8D" w:rsidRPr="008B4F8D" w:rsidRDefault="008B4F8D" w:rsidP="008B4F8D">
      <w:pPr>
        <w:spacing w:after="240"/>
      </w:pPr>
      <w:r>
        <w:t xml:space="preserve">(ii) </w:t>
      </w:r>
      <w:r>
        <w:tab/>
        <w:t>prywatność i bezpieczeństwo użytkowników cyfrowych usług publicznych powinny być chronione;</w:t>
      </w:r>
    </w:p>
    <w:p w:rsidR="008B4F8D" w:rsidRPr="008B4F8D" w:rsidRDefault="008B4F8D" w:rsidP="008B4F8D">
      <w:pPr>
        <w:spacing w:after="240"/>
      </w:pPr>
      <w:r>
        <w:t xml:space="preserve">(iii) </w:t>
      </w:r>
      <w:r>
        <w:tab/>
        <w:t xml:space="preserve">prawo do błędu i prawo do sprostowania; </w:t>
      </w:r>
    </w:p>
    <w:p w:rsidR="008B4F8D" w:rsidRPr="008B4F8D" w:rsidRDefault="008B4F8D" w:rsidP="008B4F8D">
      <w:pPr>
        <w:spacing w:after="240"/>
      </w:pPr>
      <w:r>
        <w:t>(iv)</w:t>
      </w:r>
      <w:r>
        <w:tab/>
        <w:t>prawo do wyjaśnienia rozumiane jako prawo do otrzymania wyjaśnienia dotyczącego wyniku algorytmu i decyzji podjętej w wyniku oceny algorytmicznej;</w:t>
      </w:r>
    </w:p>
    <w:p w:rsidR="008B4F8D" w:rsidRPr="008B4F8D" w:rsidRDefault="008B4F8D" w:rsidP="008B4F8D">
      <w:pPr>
        <w:spacing w:after="240"/>
      </w:pPr>
      <w:r>
        <w:t xml:space="preserve">(v) </w:t>
      </w:r>
      <w:r>
        <w:tab/>
        <w:t>zasada przejrzystości w odniesieniu do kryteriów, na podstawie których podejmowane są zautomatyzowane decyzje, w przypadku gdy decyzje te mają wpływ na obywateli.</w:t>
      </w:r>
    </w:p>
    <w:p w:rsidR="008B4F8D" w:rsidRPr="008B4F8D" w:rsidRDefault="008B4F8D" w:rsidP="008B4F8D">
      <w:pPr>
        <w:spacing w:after="240"/>
        <w:rPr>
          <w:b/>
        </w:rPr>
      </w:pPr>
      <w:r>
        <w:rPr>
          <w:b/>
        </w:rPr>
        <w:t>Zalecenie 3 (dotyczące zasad opracowywania i wdrażania rozwiązań cyfrowych)</w:t>
      </w:r>
    </w:p>
    <w:p w:rsidR="008B4F8D" w:rsidRPr="008B4F8D" w:rsidRDefault="008B4F8D" w:rsidP="008B4F8D">
      <w:pPr>
        <w:spacing w:after="240"/>
      </w:pPr>
      <w:r>
        <w:t xml:space="preserve">Należy uznać potrzebę opracowania nowych rozwiązań cyfrowych w celu zaspokojenia potrzeb administracji Unii w procesie cyfryzacji. Aby takie rozwiązania jak najlepiej służyły obywatelom i pracownikom Unii, należy wziąć pod uwagę następujące zasady: </w:t>
      </w:r>
    </w:p>
    <w:p w:rsidR="008B4F8D" w:rsidRPr="00223428" w:rsidRDefault="008B4F8D" w:rsidP="008B4F8D">
      <w:pPr>
        <w:shd w:val="clear" w:color="auto" w:fill="FFFFFF"/>
        <w:spacing w:after="240"/>
        <w:rPr>
          <w:color w:val="4D5156"/>
        </w:rPr>
      </w:pPr>
      <w:r>
        <w:t xml:space="preserve">(i) </w:t>
      </w:r>
      <w:r>
        <w:tab/>
        <w:t xml:space="preserve">pracownicy Unii powinni być w centrum procesu opracowywania, ponieważ najlepiej rozumieją procedury administracyjne i przypadki brzegowe [ang. edge-cases], a mianowicie </w:t>
      </w:r>
      <w:r>
        <w:rPr>
          <w:color w:val="040C28"/>
        </w:rPr>
        <w:t>problemy lub sytuacje, które zdarzają się tylko na najwyższym lub najniższym końcu zakresu możliwych wartości lub w sytuacjach ekstremalnych</w:t>
      </w:r>
      <w:r>
        <w:rPr>
          <w:color w:val="4D5156"/>
        </w:rPr>
        <w:t>;</w:t>
      </w:r>
    </w:p>
    <w:p w:rsidR="008B4F8D" w:rsidRPr="008B4F8D" w:rsidRDefault="008B4F8D" w:rsidP="008B4F8D">
      <w:pPr>
        <w:spacing w:after="240"/>
      </w:pPr>
      <w:r>
        <w:t xml:space="preserve">(ii) </w:t>
      </w:r>
      <w:r>
        <w:tab/>
        <w:t xml:space="preserve">należy rozważyć rozwój wewnętrznych rozwiązań cyfrowych, które są niezbędne do wdrożenia danej usługi publicznej; </w:t>
      </w:r>
    </w:p>
    <w:p w:rsidR="008B4F8D" w:rsidRPr="008B4F8D" w:rsidRDefault="008B4F8D" w:rsidP="008B4F8D">
      <w:pPr>
        <w:spacing w:after="240"/>
      </w:pPr>
      <w:r>
        <w:t xml:space="preserve">(iii) </w:t>
      </w:r>
      <w:r>
        <w:tab/>
        <w:t>w przypadku outsourcingu – zamiast organizować zaproszenia do składania wniosków dotyczących monolitycznych megaprojektów, o których realizację może ubiegać się tylko kilka dużych przedsiębiorstw i które wiążą się z większym ryzykiem opóźnień i przekroczenia budżetu, postępowania o udzielenie zamówień publicznych na cyfryzację projektów i procesów powinny być podzielone na zaproszenia do składania wniosków dotyczących mniejszych projektów, aby zamówienia dotyczące cyfryzacji były bardziej dostępne dla MŚP;</w:t>
      </w:r>
    </w:p>
    <w:p w:rsidR="008B4F8D" w:rsidRPr="008B4F8D" w:rsidRDefault="008B4F8D" w:rsidP="008B4F8D">
      <w:pPr>
        <w:spacing w:after="240"/>
      </w:pPr>
      <w:r>
        <w:t xml:space="preserve">(iv) </w:t>
      </w:r>
      <w:r>
        <w:tab/>
        <w:t>cyfryzacja nie powinna być postrzegana wyłącznie jako proces cięcia kosztów: istotne jest, aby pamiętać, że skuteczna cyfryzacja wymaga również inwestycji zarówno w technologię, jak i personel;</w:t>
      </w:r>
    </w:p>
    <w:p w:rsidR="008B4F8D" w:rsidRPr="008B4F8D" w:rsidRDefault="008B4F8D" w:rsidP="008B4F8D">
      <w:pPr>
        <w:spacing w:after="240"/>
      </w:pPr>
      <w:r>
        <w:t xml:space="preserve">(v) </w:t>
      </w:r>
      <w:r>
        <w:tab/>
        <w:t xml:space="preserve">cyfryzację należy przeprowadzać w taki sposób, aby pracownicy mieli więcej czasu na wykonywanie zadań związanych z ich wiedzą specjalistyczną, poprzez automatyzację powtarzalnych zadań i pomoc pracownikom w zapewnieniu, aby administracja Unii przestrzegała zasad i osiągała cele, o których mowa w zaleceniu 2; </w:t>
      </w:r>
    </w:p>
    <w:p w:rsidR="008B4F8D" w:rsidRPr="008B4F8D" w:rsidRDefault="008B4F8D" w:rsidP="008B4F8D">
      <w:pPr>
        <w:spacing w:after="240"/>
      </w:pPr>
      <w:r>
        <w:t xml:space="preserve">(vi) </w:t>
      </w:r>
      <w:r>
        <w:tab/>
        <w:t xml:space="preserve">cyfryzacja nie powinna prowadzić do przenoszenia specjalistycznych zadań na </w:t>
      </w:r>
      <w:r>
        <w:lastRenderedPageBreak/>
        <w:t>pracowników o niespecjalistycznych kompetencjach, którym to pracownikom nie zapewnia się szkoleń i zasobów niezbędnych do realizacji takich zadań.</w:t>
      </w:r>
    </w:p>
    <w:p w:rsidR="00007EDE" w:rsidRPr="008B4F8D" w:rsidRDefault="00007EDE" w:rsidP="006E50B6">
      <w:pPr>
        <w:rPr>
          <w:lang w:val="en-US"/>
        </w:rPr>
      </w:pPr>
    </w:p>
    <w:sectPr w:rsidR="00007EDE" w:rsidRPr="008B4F8D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C8A" w:rsidRPr="00DE1C8A" w:rsidRDefault="00DE1C8A">
      <w:r w:rsidRPr="00DE1C8A">
        <w:separator/>
      </w:r>
    </w:p>
  </w:endnote>
  <w:endnote w:type="continuationSeparator" w:id="0">
    <w:p w:rsidR="00DE1C8A" w:rsidRPr="00DE1C8A" w:rsidRDefault="00DE1C8A">
      <w:r w:rsidRPr="00DE1C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DE1C8A" w:rsidRDefault="007255C3" w:rsidP="00195D9E">
    <w:pPr>
      <w:pStyle w:val="EPFooter"/>
    </w:pPr>
    <w:r w:rsidRPr="00DE1C8A">
      <w:t>PE</w:t>
    </w:r>
    <w:r w:rsidRPr="00DE1C8A">
      <w:rPr>
        <w:rStyle w:val="HideTWBExt"/>
      </w:rPr>
      <w:t>&lt;NoPE&gt;</w:t>
    </w:r>
    <w:r w:rsidR="00E63D3A" w:rsidRPr="00E63D3A">
      <w:t>746.653</w:t>
    </w:r>
    <w:r w:rsidRPr="00DE1C8A">
      <w:rPr>
        <w:rStyle w:val="HideTWBExt"/>
      </w:rPr>
      <w:t>&lt;/NoPE&gt;&lt;Version&gt;</w:t>
    </w:r>
    <w:r w:rsidR="00DE1C8A" w:rsidRPr="00DE1C8A">
      <w:t>v</w:t>
    </w:r>
    <w:r w:rsidR="00E63D3A" w:rsidRPr="00E63D3A">
      <w:t>01-00</w:t>
    </w:r>
    <w:r w:rsidRPr="00DE1C8A">
      <w:rPr>
        <w:rStyle w:val="HideTWBExt"/>
      </w:rPr>
      <w:t>&lt;/Version&gt;</w:t>
    </w:r>
    <w:r w:rsidRPr="00DE1C8A">
      <w:tab/>
    </w:r>
    <w:r w:rsidR="00FF6CAC" w:rsidRPr="00DE1C8A">
      <w:fldChar w:fldCharType="begin"/>
    </w:r>
    <w:r w:rsidR="00FF6CAC" w:rsidRPr="00DE1C8A">
      <w:instrText xml:space="preserve"> PAGE </w:instrText>
    </w:r>
    <w:r w:rsidR="00FF6CAC" w:rsidRPr="00DE1C8A">
      <w:fldChar w:fldCharType="separate"/>
    </w:r>
    <w:r w:rsidR="00C510FA">
      <w:rPr>
        <w:noProof/>
      </w:rPr>
      <w:t>14</w:t>
    </w:r>
    <w:r w:rsidR="00FF6CAC" w:rsidRPr="00DE1C8A">
      <w:fldChar w:fldCharType="end"/>
    </w:r>
    <w:r w:rsidR="00FF6CAC" w:rsidRPr="00DE1C8A">
      <w:t>/</w:t>
    </w:r>
    <w:fldSimple w:instr=" NUMPAGES ">
      <w:r w:rsidR="00C510FA">
        <w:rPr>
          <w:noProof/>
        </w:rPr>
        <w:t>15</w:t>
      </w:r>
    </w:fldSimple>
    <w:r w:rsidRPr="00DE1C8A">
      <w:tab/>
    </w:r>
    <w:r w:rsidRPr="00DE1C8A">
      <w:rPr>
        <w:rStyle w:val="HideTWBExt"/>
      </w:rPr>
      <w:t>&lt;PathFdR&gt;</w:t>
    </w:r>
    <w:r w:rsidR="00E63D3A" w:rsidRPr="00E63D3A">
      <w:t>PR\1276129PL.docx</w:t>
    </w:r>
    <w:r w:rsidRPr="00DE1C8A">
      <w:rPr>
        <w:rStyle w:val="HideTWBExt"/>
      </w:rPr>
      <w:t>&lt;/PathFdR&gt;</w:t>
    </w:r>
  </w:p>
  <w:p w:rsidR="007255C3" w:rsidRPr="00DE1C8A" w:rsidRDefault="000B0AEA">
    <w:pPr>
      <w:pStyle w:val="EPFooter2"/>
    </w:pPr>
    <w:fldSimple w:instr=" DOCPROPERTY &quot;&lt;Extension&gt;&quot; ">
      <w:r w:rsidR="00C510FA">
        <w:t>PL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DE1C8A" w:rsidRDefault="007255C3" w:rsidP="00195D9E">
    <w:pPr>
      <w:pStyle w:val="EPFooter"/>
    </w:pPr>
    <w:r w:rsidRPr="00DE1C8A">
      <w:rPr>
        <w:rStyle w:val="HideTWBExt"/>
      </w:rPr>
      <w:t>&lt;PathFdR&gt;</w:t>
    </w:r>
    <w:r w:rsidR="00E63D3A" w:rsidRPr="00E63D3A">
      <w:t>PR\1276129PL.docx</w:t>
    </w:r>
    <w:r w:rsidRPr="00DE1C8A">
      <w:rPr>
        <w:rStyle w:val="HideTWBExt"/>
      </w:rPr>
      <w:t>&lt;/PathFdR&gt;</w:t>
    </w:r>
    <w:r w:rsidRPr="00DE1C8A">
      <w:tab/>
    </w:r>
    <w:r w:rsidR="00FF6CAC" w:rsidRPr="00DE1C8A">
      <w:fldChar w:fldCharType="begin"/>
    </w:r>
    <w:r w:rsidR="00FF6CAC" w:rsidRPr="00DE1C8A">
      <w:instrText xml:space="preserve"> PAGE </w:instrText>
    </w:r>
    <w:r w:rsidR="00FF6CAC" w:rsidRPr="00DE1C8A">
      <w:fldChar w:fldCharType="separate"/>
    </w:r>
    <w:r w:rsidR="00C510FA">
      <w:rPr>
        <w:noProof/>
      </w:rPr>
      <w:t>15</w:t>
    </w:r>
    <w:r w:rsidR="00FF6CAC" w:rsidRPr="00DE1C8A">
      <w:fldChar w:fldCharType="end"/>
    </w:r>
    <w:r w:rsidR="00FF6CAC" w:rsidRPr="00DE1C8A">
      <w:t>/</w:t>
    </w:r>
    <w:fldSimple w:instr=" NUMPAGES ">
      <w:r w:rsidR="00C510FA">
        <w:rPr>
          <w:noProof/>
        </w:rPr>
        <w:t>15</w:t>
      </w:r>
    </w:fldSimple>
    <w:r w:rsidRPr="00DE1C8A">
      <w:tab/>
      <w:t>PE</w:t>
    </w:r>
    <w:r w:rsidRPr="00DE1C8A">
      <w:rPr>
        <w:rStyle w:val="HideTWBExt"/>
      </w:rPr>
      <w:t>&lt;NoPE&gt;</w:t>
    </w:r>
    <w:r w:rsidR="00E63D3A" w:rsidRPr="00E63D3A">
      <w:t>746.653</w:t>
    </w:r>
    <w:r w:rsidRPr="00DE1C8A">
      <w:rPr>
        <w:rStyle w:val="HideTWBExt"/>
      </w:rPr>
      <w:t>&lt;/NoPE&gt;&lt;Version&gt;</w:t>
    </w:r>
    <w:r w:rsidR="00DE1C8A" w:rsidRPr="00DE1C8A">
      <w:t>v</w:t>
    </w:r>
    <w:r w:rsidR="00E63D3A" w:rsidRPr="00E63D3A">
      <w:t>01-00</w:t>
    </w:r>
    <w:r w:rsidRPr="00DE1C8A">
      <w:rPr>
        <w:rStyle w:val="HideTWBExt"/>
      </w:rPr>
      <w:t>&lt;/Version&gt;</w:t>
    </w:r>
  </w:p>
  <w:p w:rsidR="007255C3" w:rsidRPr="00DE1C8A" w:rsidRDefault="00FF6CAC">
    <w:pPr>
      <w:pStyle w:val="EPFooter2"/>
    </w:pPr>
    <w:r w:rsidRPr="00DE1C8A">
      <w:tab/>
    </w:r>
    <w:r w:rsidR="007255C3" w:rsidRPr="00DE1C8A">
      <w:tab/>
    </w:r>
    <w:fldSimple w:instr=" DOCPROPERTY &quot;&lt;Extension&gt;&quot; ">
      <w:r w:rsidR="00C510FA">
        <w:t>PL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C3" w:rsidRPr="00DE1C8A" w:rsidRDefault="007255C3" w:rsidP="00195D9E">
    <w:pPr>
      <w:pStyle w:val="EPFooter"/>
    </w:pPr>
    <w:r w:rsidRPr="00DE1C8A">
      <w:rPr>
        <w:rStyle w:val="HideTWBExt"/>
      </w:rPr>
      <w:t>&lt;PathFdR&gt;</w:t>
    </w:r>
    <w:r w:rsidR="00E04966" w:rsidRPr="00E04966">
      <w:t>PR\1276129PL.docx</w:t>
    </w:r>
    <w:r w:rsidRPr="00DE1C8A">
      <w:rPr>
        <w:rStyle w:val="HideTWBExt"/>
      </w:rPr>
      <w:t>&lt;/PathFdR&gt;</w:t>
    </w:r>
    <w:r w:rsidRPr="00DE1C8A">
      <w:tab/>
    </w:r>
    <w:r w:rsidRPr="00DE1C8A">
      <w:tab/>
      <w:t>PE</w:t>
    </w:r>
    <w:r w:rsidRPr="00DE1C8A">
      <w:rPr>
        <w:rStyle w:val="HideTWBExt"/>
      </w:rPr>
      <w:t>&lt;NoPE&gt;</w:t>
    </w:r>
    <w:r w:rsidR="00E04966" w:rsidRPr="00E04966">
      <w:t>746.653</w:t>
    </w:r>
    <w:r w:rsidRPr="00DE1C8A">
      <w:rPr>
        <w:rStyle w:val="HideTWBExt"/>
      </w:rPr>
      <w:t>&lt;/NoPE&gt;&lt;Version&gt;</w:t>
    </w:r>
    <w:r w:rsidR="00DE1C8A" w:rsidRPr="00DE1C8A">
      <w:t>v</w:t>
    </w:r>
    <w:r w:rsidR="00E04966" w:rsidRPr="00E04966">
      <w:t>01-00</w:t>
    </w:r>
    <w:r w:rsidRPr="00DE1C8A">
      <w:rPr>
        <w:rStyle w:val="HideTWBExt"/>
      </w:rPr>
      <w:t>&lt;/Version&gt;</w:t>
    </w:r>
  </w:p>
  <w:p w:rsidR="007255C3" w:rsidRPr="00DE1C8A" w:rsidRDefault="000B0AEA" w:rsidP="00921474">
    <w:pPr>
      <w:pStyle w:val="EPFooter2"/>
      <w:tabs>
        <w:tab w:val="clear" w:pos="4535"/>
        <w:tab w:val="center" w:pos="4536"/>
      </w:tabs>
    </w:pPr>
    <w:fldSimple w:instr=" DOCPROPERTY &quot;&lt;Extension&gt;&quot; ">
      <w:r w:rsidR="00C510FA">
        <w:t>PL</w:t>
      </w:r>
    </w:fldSimple>
    <w:r w:rsidR="007255C3" w:rsidRPr="00DE1C8A">
      <w:tab/>
    </w:r>
    <w:r w:rsidR="00E04966">
      <w:rPr>
        <w:b w:val="0"/>
        <w:i/>
        <w:color w:val="C0C0C0"/>
        <w:sz w:val="22"/>
        <w:szCs w:val="22"/>
      </w:rPr>
      <w:t>Zjednoczona w różnorodności</w:t>
    </w:r>
    <w:r w:rsidR="007255C3" w:rsidRPr="00DE1C8A">
      <w:tab/>
    </w:r>
    <w:fldSimple w:instr=" DOCPROPERTY &quot;&lt;Extension&gt;&quot; ">
      <w:r w:rsidR="00C510FA">
        <w:t>PL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C8A" w:rsidRPr="00DE1C8A" w:rsidRDefault="00DE1C8A">
      <w:r w:rsidRPr="00DE1C8A">
        <w:separator/>
      </w:r>
    </w:p>
  </w:footnote>
  <w:footnote w:type="continuationSeparator" w:id="0">
    <w:p w:rsidR="00DE1C8A" w:rsidRPr="00DE1C8A" w:rsidRDefault="00DE1C8A">
      <w:r w:rsidRPr="00DE1C8A">
        <w:continuationSeparator/>
      </w:r>
    </w:p>
  </w:footnote>
  <w:footnote w:id="1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>Dz.U. L 295 z 21.11.2018, s. 39.</w:t>
      </w:r>
    </w:p>
  </w:footnote>
  <w:footnote w:id="2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>Dz.U. L 145 z 31.5.2001, s. 43.</w:t>
      </w:r>
    </w:p>
  </w:footnote>
  <w:footnote w:id="3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>Dz.U. C 72 E z 21.3.2002, s. 331.</w:t>
      </w:r>
    </w:p>
  </w:footnote>
  <w:footnote w:id="4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>Dz.U. L 267 z 20.10.2000, s. 63.</w:t>
      </w:r>
    </w:p>
  </w:footnote>
  <w:footnote w:id="5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>Dz.U. C 189 z 5.7.2001, s. 1.</w:t>
      </w:r>
    </w:p>
  </w:footnote>
  <w:footnote w:id="6">
    <w:p w:rsidR="008B4F8D" w:rsidRPr="00922FA8" w:rsidRDefault="008B4F8D" w:rsidP="008B4F8D">
      <w:pPr>
        <w:pStyle w:val="FootnoteText"/>
      </w:pPr>
      <w:r w:rsidRPr="00922FA8">
        <w:rPr>
          <w:rStyle w:val="FootnoteReference"/>
        </w:rPr>
        <w:footnoteRef/>
      </w:r>
      <w:r w:rsidRPr="00922FA8">
        <w:tab/>
      </w:r>
      <w:hyperlink r:id="rId1" w:history="1">
        <w:r w:rsidRPr="00922FA8"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</w:p>
  </w:footnote>
  <w:footnote w:id="7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</w:t>
      </w:r>
      <w:hyperlink r:id="rId2" w:history="1">
        <w:r w:rsidRPr="00922FA8">
          <w:rPr>
            <w:rStyle w:val="Hyperlink"/>
            <w:sz w:val="20"/>
          </w:rPr>
          <w:t>http://www.europarl.europa.eu/committees/en/juri/studiesdownload.html?languageDocument=EN&amp;file=59983</w:t>
        </w:r>
      </w:hyperlink>
    </w:p>
  </w:footnote>
  <w:footnote w:id="8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</w:t>
      </w:r>
      <w:hyperlink r:id="rId3" w:history="1">
        <w:r w:rsidRPr="00922FA8">
          <w:rPr>
            <w:rStyle w:val="Hyperlink"/>
            <w:sz w:val="20"/>
          </w:rPr>
          <w:t>http://www.europarl.europa.eu/meetdocs/2009_2014/documents/juri/dv/juri_wdadministrativelaw_/juri_wdadministrativelaw_en.pdf</w:t>
        </w:r>
      </w:hyperlink>
    </w:p>
  </w:footnote>
  <w:footnote w:id="9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</w:t>
      </w:r>
      <w:hyperlink r:id="rId4" w:history="1">
        <w:r w:rsidRPr="00922FA8">
          <w:rPr>
            <w:rStyle w:val="Hyperlink"/>
            <w:sz w:val="20"/>
          </w:rPr>
          <w:t>http://www.europarl.europa.eu/meetdocs/2009_2014/documents/juri/dv/eav_lawofadminprocedure_/EAV_LawofAdminprocedure_EN.pdf</w:t>
        </w:r>
      </w:hyperlink>
    </w:p>
  </w:footnote>
  <w:footnote w:id="10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</w:t>
      </w:r>
      <w:hyperlink r:id="rId5" w:history="1">
        <w:r w:rsidRPr="00922FA8">
          <w:rPr>
            <w:rStyle w:val="Hyperlink"/>
            <w:sz w:val="20"/>
          </w:rPr>
          <w:t>https://www.europarl.europa.eu/RegData/etudes/STUD/2018/621841/EPRS_STU(2018)621841_EN.pdf</w:t>
        </w:r>
      </w:hyperlink>
      <w:r w:rsidRPr="00922FA8">
        <w:rPr>
          <w:color w:val="000000"/>
          <w:sz w:val="20"/>
        </w:rPr>
        <w:t xml:space="preserve"> </w:t>
      </w:r>
    </w:p>
  </w:footnote>
  <w:footnote w:id="11">
    <w:p w:rsidR="008B4F8D" w:rsidRPr="00922FA8" w:rsidRDefault="008B4F8D" w:rsidP="008B4F8D">
      <w:pPr>
        <w:pStyle w:val="FootnoteText"/>
      </w:pPr>
      <w:r w:rsidRPr="00922FA8">
        <w:rPr>
          <w:rStyle w:val="FootnoteReference"/>
        </w:rPr>
        <w:footnoteRef/>
      </w:r>
      <w:r w:rsidRPr="00922FA8">
        <w:t xml:space="preserve"> </w:t>
      </w:r>
      <w:r w:rsidRPr="00922FA8">
        <w:tab/>
      </w:r>
      <w:hyperlink r:id="rId6" w:history="1">
        <w:r w:rsidRPr="00922FA8">
          <w:rPr>
            <w:rStyle w:val="Hyperlink"/>
          </w:rPr>
          <w:t>https://www.europarl.europa.eu/RegData/etudes/STUD/2018/621841/EPRS_STU(2018)621841_EN.pdf</w:t>
        </w:r>
      </w:hyperlink>
      <w:r w:rsidRPr="00922FA8">
        <w:t xml:space="preserve"> </w:t>
      </w:r>
    </w:p>
  </w:footnote>
  <w:footnote w:id="12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</w:r>
      <w:hyperlink r:id="rId7">
        <w:r w:rsidRPr="00922FA8">
          <w:rPr>
            <w:color w:val="0000FF"/>
            <w:sz w:val="20"/>
            <w:u w:val="single"/>
          </w:rPr>
          <w:t>https://www.europarl.europa.eu/thinktank/pl/document/EPRS_STU(2022)730350</w:t>
        </w:r>
      </w:hyperlink>
      <w:r w:rsidRPr="00922FA8">
        <w:rPr>
          <w:color w:val="000000"/>
          <w:sz w:val="20"/>
        </w:rPr>
        <w:t xml:space="preserve"> </w:t>
      </w:r>
    </w:p>
  </w:footnote>
  <w:footnote w:id="13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Dz.U. C 440 z 30.12.2015, s. 17.</w:t>
      </w:r>
    </w:p>
  </w:footnote>
  <w:footnote w:id="14">
    <w:p w:rsidR="008B4F8D" w:rsidRPr="00922FA8" w:rsidRDefault="008B4F8D" w:rsidP="008B4F8D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922FA8">
        <w:rPr>
          <w:sz w:val="20"/>
          <w:vertAlign w:val="superscript"/>
        </w:rPr>
        <w:footnoteRef/>
      </w:r>
      <w:r w:rsidRPr="00922FA8">
        <w:rPr>
          <w:color w:val="000000"/>
          <w:sz w:val="20"/>
        </w:rPr>
        <w:tab/>
        <w:t xml:space="preserve"> </w:t>
      </w:r>
      <w:hyperlink r:id="rId8">
        <w:r w:rsidRPr="00922FA8">
          <w:rPr>
            <w:color w:val="0000FF"/>
            <w:sz w:val="20"/>
            <w:u w:val="single"/>
          </w:rPr>
          <w:t>https://www.europarl.europa.eu/cmsdata/150700/consultation-eu-law-summary-report.pdf</w:t>
        </w:r>
      </w:hyperlink>
    </w:p>
  </w:footnote>
  <w:footnote w:id="15">
    <w:p w:rsidR="008B4F8D" w:rsidRPr="00223428" w:rsidRDefault="008B4F8D" w:rsidP="008B4F8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rStyle w:val="Hyperlink"/>
          </w:rPr>
          <w:t>https://www.europeanlawinstitute.eu/fileadmin/user_upload/p_eli/Publications/ELI_Model_Rules_on_Impact_Assessment_of_ADMSs_Used_by_Public_Administration.pdf</w:t>
        </w:r>
      </w:hyperlink>
      <w:r>
        <w:t xml:space="preserve"> </w:t>
      </w:r>
    </w:p>
  </w:footnote>
  <w:footnote w:id="16">
    <w:p w:rsidR="008B4F8D" w:rsidRPr="00223428" w:rsidRDefault="008B4F8D" w:rsidP="008B4F8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anchor="opensourcesoftwarestrategy" w:history="1">
        <w:r>
          <w:rPr>
            <w:rStyle w:val="Hyperlink"/>
          </w:rPr>
          <w:t>https://commission.europa.eu/about-european-commission/departments-and-executive-agencies/informatics/open-source-software-strategy_pl#opensourcesoftwarestrategy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D3A" w:rsidRDefault="00E63D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D3A" w:rsidRDefault="00E63D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D3A" w:rsidRDefault="00E63D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3"/>
    <w:docVar w:name="COMKEY" w:val="JURI"/>
    <w:docVar w:name="LastEditedSection" w:val=" 1"/>
    <w:docVar w:name="LW_DocType" w:val="PR_INL"/>
    <w:docVar w:name="strDocTypeID" w:val="PR_INL"/>
    <w:docVar w:name="strSubDir" w:val="1276"/>
    <w:docVar w:name="TXTLANGUE" w:val="PL"/>
    <w:docVar w:name="TXTLANGUEMIN" w:val="pl"/>
    <w:docVar w:name="TXTNRINL" w:val="2021/2161"/>
    <w:docVar w:name="TXTNRPE" w:val="746.653"/>
    <w:docVar w:name="TXTPEorAP" w:val="PE"/>
    <w:docVar w:name="TXTROUTE" w:val="PR\1276129PL.docx"/>
    <w:docVar w:name="TXTTITLE" w:val="cyfryzacji i prawodawstwa administracyjnego"/>
    <w:docVar w:name="TXTVERSION" w:val="01-00"/>
  </w:docVars>
  <w:rsids>
    <w:rsidRoot w:val="00DE1C8A"/>
    <w:rsid w:val="000054D6"/>
    <w:rsid w:val="00007EDE"/>
    <w:rsid w:val="000163ED"/>
    <w:rsid w:val="000B0AEA"/>
    <w:rsid w:val="000D2714"/>
    <w:rsid w:val="00126C3F"/>
    <w:rsid w:val="001514D5"/>
    <w:rsid w:val="00180885"/>
    <w:rsid w:val="00195D9E"/>
    <w:rsid w:val="001A502C"/>
    <w:rsid w:val="001B089B"/>
    <w:rsid w:val="00246FFC"/>
    <w:rsid w:val="002B2D1A"/>
    <w:rsid w:val="002E11C3"/>
    <w:rsid w:val="002F50AE"/>
    <w:rsid w:val="0032795A"/>
    <w:rsid w:val="003348FE"/>
    <w:rsid w:val="00387D72"/>
    <w:rsid w:val="0039462E"/>
    <w:rsid w:val="003F3152"/>
    <w:rsid w:val="003F3E62"/>
    <w:rsid w:val="00403FE0"/>
    <w:rsid w:val="00405688"/>
    <w:rsid w:val="00422FF9"/>
    <w:rsid w:val="00467F52"/>
    <w:rsid w:val="004C2744"/>
    <w:rsid w:val="004D28DC"/>
    <w:rsid w:val="004E7BFD"/>
    <w:rsid w:val="00511904"/>
    <w:rsid w:val="00581D3F"/>
    <w:rsid w:val="00584FD7"/>
    <w:rsid w:val="005A5B05"/>
    <w:rsid w:val="005B4360"/>
    <w:rsid w:val="005C24FC"/>
    <w:rsid w:val="005F3B68"/>
    <w:rsid w:val="00613DCC"/>
    <w:rsid w:val="006432B2"/>
    <w:rsid w:val="00662CCB"/>
    <w:rsid w:val="006968DA"/>
    <w:rsid w:val="006D5569"/>
    <w:rsid w:val="006E1DCB"/>
    <w:rsid w:val="006E50B6"/>
    <w:rsid w:val="007255C3"/>
    <w:rsid w:val="00736DD2"/>
    <w:rsid w:val="00764352"/>
    <w:rsid w:val="00773D6B"/>
    <w:rsid w:val="007E1C43"/>
    <w:rsid w:val="00814003"/>
    <w:rsid w:val="008B4F8D"/>
    <w:rsid w:val="008E72B0"/>
    <w:rsid w:val="008F2355"/>
    <w:rsid w:val="00921474"/>
    <w:rsid w:val="00922FA8"/>
    <w:rsid w:val="009271DD"/>
    <w:rsid w:val="009413AC"/>
    <w:rsid w:val="00957CA7"/>
    <w:rsid w:val="00961C14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C6771"/>
    <w:rsid w:val="00AF0D4F"/>
    <w:rsid w:val="00AF414A"/>
    <w:rsid w:val="00B27D4A"/>
    <w:rsid w:val="00BD2C91"/>
    <w:rsid w:val="00BD7032"/>
    <w:rsid w:val="00BF1602"/>
    <w:rsid w:val="00C30980"/>
    <w:rsid w:val="00C44FB7"/>
    <w:rsid w:val="00C510FA"/>
    <w:rsid w:val="00C802B6"/>
    <w:rsid w:val="00CA5063"/>
    <w:rsid w:val="00CB6B5C"/>
    <w:rsid w:val="00CB7130"/>
    <w:rsid w:val="00D06A20"/>
    <w:rsid w:val="00D1551E"/>
    <w:rsid w:val="00D15D7A"/>
    <w:rsid w:val="00D20C91"/>
    <w:rsid w:val="00D4717C"/>
    <w:rsid w:val="00D65E7F"/>
    <w:rsid w:val="00DA5BEC"/>
    <w:rsid w:val="00DB5CF1"/>
    <w:rsid w:val="00DD249E"/>
    <w:rsid w:val="00DE1C8A"/>
    <w:rsid w:val="00E0452E"/>
    <w:rsid w:val="00E04966"/>
    <w:rsid w:val="00E4043F"/>
    <w:rsid w:val="00E63D3A"/>
    <w:rsid w:val="00E71939"/>
    <w:rsid w:val="00EA0BB4"/>
    <w:rsid w:val="00EB420E"/>
    <w:rsid w:val="00EE7B71"/>
    <w:rsid w:val="00F314A1"/>
    <w:rsid w:val="00F663D3"/>
    <w:rsid w:val="00F71C45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6B2BC"/>
  <w15:chartTrackingRefBased/>
  <w15:docId w15:val="{D8CC0356-28DC-4AA3-BCEC-F80D0A9A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FD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46FF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6968DA"/>
    <w:pPr>
      <w:spacing w:after="240"/>
      <w:ind w:left="1418"/>
    </w:pPr>
  </w:style>
  <w:style w:type="paragraph" w:customStyle="1" w:styleId="CoverNormal24a">
    <w:name w:val="CoverNormal24a"/>
    <w:basedOn w:val="Normal"/>
    <w:rsid w:val="0039462E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13DC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95D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1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2147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2147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46FF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46FFC"/>
    <w:pPr>
      <w:jc w:val="right"/>
    </w:pPr>
  </w:style>
  <w:style w:type="paragraph" w:customStyle="1" w:styleId="EPFooter">
    <w:name w:val="EPFooter"/>
    <w:basedOn w:val="Normal"/>
    <w:rsid w:val="00195D9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character" w:styleId="FootnoteReference">
    <w:name w:val="footnote reference"/>
    <w:rsid w:val="008B4F8D"/>
    <w:rPr>
      <w:b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B4F8D"/>
    <w:rPr>
      <w:lang w:val="pl-PL" w:eastAsia="fr-FR"/>
    </w:rPr>
  </w:style>
  <w:style w:type="character" w:styleId="Hyperlink">
    <w:name w:val="Hyperlink"/>
    <w:uiPriority w:val="99"/>
    <w:rsid w:val="008B4F8D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8B4F8D"/>
    <w:pPr>
      <w:keepLines/>
      <w:widowControl/>
      <w:spacing w:line="260" w:lineRule="exact"/>
      <w:ind w:left="425" w:hanging="425"/>
    </w:pPr>
    <w:rPr>
      <w:sz w:val="20"/>
      <w:lang w:eastAsia="fr-FR"/>
    </w:rPr>
  </w:style>
  <w:style w:type="character" w:customStyle="1" w:styleId="TekstprzypisudolnegoZnak1">
    <w:name w:val="Tekst przypisu dolnego Znak1"/>
    <w:basedOn w:val="DefaultParagraphFont"/>
    <w:rsid w:val="008B4F8D"/>
    <w:rPr>
      <w:lang w:val="pl-PL"/>
    </w:rPr>
  </w:style>
  <w:style w:type="paragraph" w:styleId="Footer">
    <w:name w:val="footer"/>
    <w:basedOn w:val="Normal"/>
    <w:link w:val="FooterChar"/>
    <w:semiHidden/>
    <w:rsid w:val="00662C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62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150700/consultation-eu-law-summary-report.pdf" TargetMode="External"/><Relationship Id="rId3" Type="http://schemas.openxmlformats.org/officeDocument/2006/relationships/hyperlink" Target="http://www.europarl.europa.eu/meetdocs/2009_2014/documents/juri/dv/juri_wdadministrativelaw_/juri_wdadministrativelaw_en.pdf" TargetMode="External"/><Relationship Id="rId7" Type="http://schemas.openxmlformats.org/officeDocument/2006/relationships/hyperlink" Target="https://www.europarl.europa.eu/thinktank/pl/document/EPRS_STU(2022)730350" TargetMode="External"/><Relationship Id="rId2" Type="http://schemas.openxmlformats.org/officeDocument/2006/relationships/hyperlink" Target="http://www.europarl.europa.eu/committees/en/juri/studiesdownload.html?languageDocument=EN&amp;file=59983" TargetMode="External"/><Relationship Id="rId1" Type="http://schemas.openxmlformats.org/officeDocument/2006/relationships/hyperlink" Target="https://www.europeanlawinstitute.eu/fileadmin/user_upload/p_eli/Publications/ELI_Model_Rules_on_Impact_Assessment_of_ADMSs_Used_by_Public_Administration.pdf" TargetMode="External"/><Relationship Id="rId6" Type="http://schemas.openxmlformats.org/officeDocument/2006/relationships/hyperlink" Target="https://www.europarl.europa.eu/RegData/etudes/STUD/2018/621841/EPRS_STU(2018)621841_EN.pdf" TargetMode="External"/><Relationship Id="rId5" Type="http://schemas.openxmlformats.org/officeDocument/2006/relationships/hyperlink" Target="https://www.europarl.europa.eu/RegData/etudes/STUD/2018/621841/EPRS_STU(2018)621841_EN.pdf" TargetMode="External"/><Relationship Id="rId10" Type="http://schemas.openxmlformats.org/officeDocument/2006/relationships/hyperlink" Target="https://commission.europa.eu/about-european-commission/departments-and-executive-agencies/informatics/open-source-software-strategy_pl" TargetMode="External"/><Relationship Id="rId4" Type="http://schemas.openxmlformats.org/officeDocument/2006/relationships/hyperlink" Target="http://www.europarl.europa.eu/meetdocs/2009_2014/documents/juri/dv/eav_lawofadminprocedure_/EAV_LawofAdminprocedure_EN.pdf" TargetMode="External"/><Relationship Id="rId9" Type="http://schemas.openxmlformats.org/officeDocument/2006/relationships/hyperlink" Target="https://www.europeanlawinstitute.eu/fileadmin/user_upload/p_eli/Publications/ELI_Model_Rules_on_Impact_Assessment_of_ADMSs_Used_by_Public_Administ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4117</Words>
  <Characters>27710</Characters>
  <Application>Microsoft Office Word</Application>
  <DocSecurity>0</DocSecurity>
  <Lines>477</Lines>
  <Paragraphs>140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PR_INL</vt:lpstr>
      <vt:lpstr>PR_INL</vt:lpstr>
    </vt:vector>
  </TitlesOfParts>
  <Company/>
  <LinksUpToDate>false</LinksUpToDate>
  <CharactersWithSpaces>31687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subject/>
  <dc:creator>dell</dc:creator>
  <cp:keywords/>
  <dc:description/>
  <cp:lastModifiedBy>KUBIAK Wioletta</cp:lastModifiedBy>
  <cp:revision>2</cp:revision>
  <cp:lastPrinted>2004-12-08T15:27:00Z</cp:lastPrinted>
  <dcterms:created xsi:type="dcterms:W3CDTF">2023-06-26T07:50:00Z</dcterms:created>
  <dcterms:modified xsi:type="dcterms:W3CDTF">2023-06-26T07:50:00Z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9.15.0 Build [20230501]</vt:lpwstr>
  </property>
  <property fmtid="{D5CDD505-2E9C-101B-9397-08002B2CF9AE}" pid="5" name="&lt;FdR&gt;">
    <vt:lpwstr>1276129</vt:lpwstr>
  </property>
  <property fmtid="{D5CDD505-2E9C-101B-9397-08002B2CF9AE}" pid="6" name="&lt;Type&gt;">
    <vt:lpwstr>PR</vt:lpwstr>
  </property>
  <property fmtid="{D5CDD505-2E9C-101B-9397-08002B2CF9AE}" pid="7" name="&lt;ModelCod&gt;">
    <vt:lpwstr>C:\Users\dell\AppData\Local\DocEP\DOCS\PR\PR_NonLeg\Other\PR_INL.dotx(16/12/2022 07:40:18)</vt:lpwstr>
  </property>
  <property fmtid="{D5CDD505-2E9C-101B-9397-08002B2CF9AE}" pid="8" name="&lt;ModelTra&gt;">
    <vt:lpwstr>C:\Users\dell\AppData\Local\DocEP\TRANSFIL\PL\PR_INL.PL(21/10/2019 10:16:00)</vt:lpwstr>
  </property>
  <property fmtid="{D5CDD505-2E9C-101B-9397-08002B2CF9AE}" pid="9" name="&lt;Model&gt;">
    <vt:lpwstr>PR_INL</vt:lpwstr>
  </property>
  <property fmtid="{D5CDD505-2E9C-101B-9397-08002B2CF9AE}" pid="10" name="FooterPath">
    <vt:lpwstr>PR\1276129PL.docx</vt:lpwstr>
  </property>
  <property fmtid="{D5CDD505-2E9C-101B-9397-08002B2CF9AE}" pid="11" name="PE number">
    <vt:lpwstr>746.653</vt:lpwstr>
  </property>
  <property fmtid="{D5CDD505-2E9C-101B-9397-08002B2CF9AE}" pid="12" name="SDLStudio">
    <vt:lpwstr/>
  </property>
  <property fmtid="{D5CDD505-2E9C-101B-9397-08002B2CF9AE}" pid="13" name="Bookout">
    <vt:lpwstr>OK - 2023/06/26 09:50</vt:lpwstr>
  </property>
</Properties>
</file>