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F7CB1" w:rsidRPr="005E7CB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5E7CB7" w:rsidRDefault="005E7CB7" w:rsidP="00C85D0F">
            <w:pPr>
              <w:pStyle w:val="EPName"/>
            </w:pPr>
            <w:bookmarkStart w:id="0" w:name="_GoBack"/>
            <w:bookmarkEnd w:id="0"/>
            <w:r w:rsidRPr="005E7CB7">
              <w:t>Parlamento Europeu</w:t>
            </w:r>
          </w:p>
          <w:p w:rsidR="00B13D6F" w:rsidRPr="005E7CB7" w:rsidRDefault="005E7CB7" w:rsidP="00FF37C9">
            <w:pPr>
              <w:pStyle w:val="EPTerm"/>
            </w:pPr>
            <w:r w:rsidRPr="005E7CB7">
              <w:t>2019</w:t>
            </w:r>
            <w:r>
              <w:noBreakHyphen/>
            </w:r>
            <w:r w:rsidRPr="005E7CB7">
              <w:t>2024</w:t>
            </w:r>
          </w:p>
        </w:tc>
        <w:tc>
          <w:tcPr>
            <w:tcW w:w="2268" w:type="dxa"/>
            <w:shd w:val="clear" w:color="auto" w:fill="auto"/>
          </w:tcPr>
          <w:p w:rsidR="00B13D6F" w:rsidRPr="005E7CB7" w:rsidRDefault="005E7CB7" w:rsidP="00C85D0F">
            <w:pPr>
              <w:pStyle w:val="EPLogo"/>
            </w:pPr>
            <w:r w:rsidRPr="005E7CB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5E7CB7" w:rsidRDefault="00461601" w:rsidP="00461601">
      <w:pPr>
        <w:pStyle w:val="LineTop"/>
      </w:pPr>
    </w:p>
    <w:p w:rsidR="00461601" w:rsidRPr="005E7CB7" w:rsidRDefault="005E7CB7" w:rsidP="00461601">
      <w:pPr>
        <w:pStyle w:val="EPBody"/>
      </w:pPr>
      <w:r w:rsidRPr="005E7CB7">
        <w:rPr>
          <w:rStyle w:val="HideTWBExt"/>
          <w:color w:val="auto"/>
        </w:rPr>
        <w:t>&lt;</w:t>
      </w:r>
      <w:r w:rsidRPr="005E7CB7">
        <w:rPr>
          <w:rStyle w:val="HideTWBExt"/>
          <w:i w:val="0"/>
          <w:color w:val="auto"/>
        </w:rPr>
        <w:t>Commission</w:t>
      </w:r>
      <w:r w:rsidRPr="005E7CB7">
        <w:rPr>
          <w:rStyle w:val="HideTWBExt"/>
          <w:color w:val="auto"/>
        </w:rPr>
        <w:t>&gt;</w:t>
      </w:r>
      <w:r w:rsidRPr="005E7CB7">
        <w:rPr>
          <w:rStyle w:val="HideTWBInt"/>
          <w:color w:val="auto"/>
        </w:rPr>
        <w:t>{JURI}</w:t>
      </w:r>
      <w:r w:rsidRPr="005E7CB7">
        <w:t>Comissão dos Assuntos Jurídicos</w:t>
      </w:r>
      <w:r w:rsidRPr="005E7CB7">
        <w:rPr>
          <w:rStyle w:val="HideTWBExt"/>
          <w:color w:val="auto"/>
        </w:rPr>
        <w:t>&lt;/</w:t>
      </w:r>
      <w:r w:rsidRPr="005E7CB7">
        <w:rPr>
          <w:rStyle w:val="HideTWBExt"/>
          <w:i w:val="0"/>
          <w:color w:val="auto"/>
        </w:rPr>
        <w:t>Commission</w:t>
      </w:r>
      <w:r w:rsidRPr="005E7CB7">
        <w:rPr>
          <w:rStyle w:val="HideTWBExt"/>
          <w:color w:val="auto"/>
        </w:rPr>
        <w:t>&gt;</w:t>
      </w:r>
    </w:p>
    <w:p w:rsidR="00461601" w:rsidRPr="005E7CB7" w:rsidRDefault="00461601" w:rsidP="00461601">
      <w:pPr>
        <w:pStyle w:val="LineBottom"/>
      </w:pPr>
    </w:p>
    <w:p w:rsidR="00793EA9" w:rsidRPr="005E7CB7" w:rsidRDefault="005E7CB7">
      <w:pPr>
        <w:pStyle w:val="CoverReference"/>
      </w:pPr>
      <w:r w:rsidRPr="005E7CB7">
        <w:rPr>
          <w:rStyle w:val="HideTWBExt"/>
          <w:b w:val="0"/>
          <w:color w:val="auto"/>
        </w:rPr>
        <w:t>&lt;RefProc&gt;</w:t>
      </w:r>
      <w:r w:rsidRPr="005E7CB7">
        <w:t>2023/0126</w:t>
      </w:r>
      <w:r w:rsidRPr="005E7CB7">
        <w:rPr>
          <w:rStyle w:val="HideTWBExt"/>
          <w:b w:val="0"/>
          <w:color w:val="auto"/>
        </w:rPr>
        <w:t>&lt;/RefProc&gt;&lt;RefTypeProc&gt;</w:t>
      </w:r>
      <w:r w:rsidRPr="005E7CB7">
        <w:t>(COD)</w:t>
      </w:r>
      <w:r w:rsidRPr="005E7CB7">
        <w:rPr>
          <w:rStyle w:val="HideTWBExt"/>
          <w:b w:val="0"/>
          <w:color w:val="auto"/>
        </w:rPr>
        <w:t>&lt;/RefTypeProc&gt;</w:t>
      </w:r>
    </w:p>
    <w:p w:rsidR="00793EA9" w:rsidRPr="005E7CB7" w:rsidRDefault="005E7CB7">
      <w:pPr>
        <w:pStyle w:val="CoverDate"/>
      </w:pPr>
      <w:r w:rsidRPr="005E7CB7">
        <w:rPr>
          <w:rStyle w:val="HideTWBExt"/>
          <w:color w:val="auto"/>
        </w:rPr>
        <w:t>&lt;Date&gt;</w:t>
      </w:r>
      <w:r w:rsidRPr="005E7CB7">
        <w:rPr>
          <w:rStyle w:val="HideTWBInt"/>
          <w:color w:val="auto"/>
        </w:rPr>
        <w:t>{13/10/2023}</w:t>
      </w:r>
      <w:r w:rsidRPr="005E7CB7">
        <w:t>13.10.2023</w:t>
      </w:r>
      <w:r w:rsidRPr="005E7CB7">
        <w:rPr>
          <w:rStyle w:val="HideTWBExt"/>
          <w:color w:val="auto"/>
        </w:rPr>
        <w:t>&lt;/Date&gt;</w:t>
      </w:r>
    </w:p>
    <w:p w:rsidR="00793EA9" w:rsidRPr="005E7CB7" w:rsidRDefault="005E7CB7">
      <w:pPr>
        <w:pStyle w:val="CoverDocType"/>
      </w:pPr>
      <w:r w:rsidRPr="005E7CB7">
        <w:rPr>
          <w:rStyle w:val="HideTWBExt"/>
          <w:b w:val="0"/>
          <w:color w:val="auto"/>
        </w:rPr>
        <w:t>&lt;RefProcLect&gt;</w:t>
      </w:r>
      <w:r w:rsidRPr="005E7CB7">
        <w:t>***I</w:t>
      </w:r>
      <w:r w:rsidRPr="005E7CB7">
        <w:rPr>
          <w:rStyle w:val="HideTWBExt"/>
          <w:b w:val="0"/>
          <w:color w:val="auto"/>
        </w:rPr>
        <w:t>&lt;/RefProcLect&gt;</w:t>
      </w:r>
    </w:p>
    <w:p w:rsidR="00793EA9" w:rsidRPr="005E7CB7" w:rsidRDefault="005E7CB7">
      <w:pPr>
        <w:pStyle w:val="CoverDocType24a"/>
      </w:pPr>
      <w:r w:rsidRPr="005E7CB7">
        <w:rPr>
          <w:rStyle w:val="HideTWBExt"/>
          <w:b w:val="0"/>
          <w:color w:val="auto"/>
        </w:rPr>
        <w:t>&lt;TitreType&gt;</w:t>
      </w:r>
      <w:r w:rsidRPr="005E7CB7">
        <w:t>PROJETO DE RELATÓRIO</w:t>
      </w:r>
      <w:r w:rsidRPr="005E7CB7">
        <w:rPr>
          <w:rStyle w:val="HideTWBExt"/>
          <w:b w:val="0"/>
          <w:color w:val="auto"/>
        </w:rPr>
        <w:t>&lt;/TitreType&gt;</w:t>
      </w:r>
    </w:p>
    <w:p w:rsidR="00793EA9" w:rsidRPr="005E7CB7" w:rsidRDefault="005E7CB7">
      <w:pPr>
        <w:pStyle w:val="CoverNormal"/>
      </w:pPr>
      <w:r w:rsidRPr="005E7CB7">
        <w:rPr>
          <w:rStyle w:val="HideTWBExt"/>
          <w:color w:val="auto"/>
        </w:rPr>
        <w:t>&lt;Titre&gt;</w:t>
      </w:r>
      <w:r w:rsidRPr="005E7CB7">
        <w:t>sobre a proposta de regulamento do Parlamento Europeu e do Conselho relativo ao certificado complementar de proteção unitário para os produtos fitofarmacêuticos</w:t>
      </w:r>
      <w:r w:rsidRPr="005E7CB7">
        <w:rPr>
          <w:rStyle w:val="HideTWBExt"/>
          <w:color w:val="auto"/>
        </w:rPr>
        <w:t>&lt;/Titre&gt;</w:t>
      </w:r>
    </w:p>
    <w:p w:rsidR="00793EA9" w:rsidRPr="005E7CB7" w:rsidRDefault="005E7CB7">
      <w:pPr>
        <w:pStyle w:val="CoverNormal24a"/>
      </w:pPr>
      <w:r w:rsidRPr="005E7CB7">
        <w:rPr>
          <w:rStyle w:val="HideTWBExt"/>
          <w:color w:val="auto"/>
        </w:rPr>
        <w:t>&lt;DocRef&gt;</w:t>
      </w:r>
      <w:r w:rsidRPr="005E7CB7">
        <w:t>(COM(2023)0221 – C9</w:t>
      </w:r>
      <w:r>
        <w:noBreakHyphen/>
      </w:r>
      <w:r w:rsidRPr="005E7CB7">
        <w:t>0152/2023 – 2023/01</w:t>
      </w:r>
      <w:r w:rsidRPr="005E7CB7">
        <w:t>26(COD))</w:t>
      </w:r>
      <w:r w:rsidRPr="005E7CB7">
        <w:rPr>
          <w:rStyle w:val="HideTWBExt"/>
          <w:color w:val="auto"/>
        </w:rPr>
        <w:t>&lt;/DocRef&gt;</w:t>
      </w:r>
    </w:p>
    <w:p w:rsidR="00793EA9" w:rsidRPr="005E7CB7" w:rsidRDefault="005E7CB7">
      <w:pPr>
        <w:pStyle w:val="CoverNormal24a"/>
      </w:pPr>
      <w:r w:rsidRPr="005E7CB7">
        <w:rPr>
          <w:rStyle w:val="HideTWBExt"/>
          <w:color w:val="auto"/>
        </w:rPr>
        <w:t>&lt;Commission&gt;</w:t>
      </w:r>
      <w:r w:rsidRPr="005E7CB7">
        <w:rPr>
          <w:rStyle w:val="HideTWBInt"/>
          <w:color w:val="auto"/>
        </w:rPr>
        <w:t>{JURI}</w:t>
      </w:r>
      <w:r w:rsidRPr="005E7CB7">
        <w:t>Comissão dos Assuntos Jurídicos</w:t>
      </w:r>
      <w:r w:rsidRPr="005E7CB7">
        <w:rPr>
          <w:rStyle w:val="HideTWBExt"/>
          <w:color w:val="auto"/>
        </w:rPr>
        <w:t>&lt;/Commission&gt;</w:t>
      </w:r>
    </w:p>
    <w:p w:rsidR="00793EA9" w:rsidRPr="005E7CB7" w:rsidRDefault="005E7CB7">
      <w:pPr>
        <w:pStyle w:val="CoverNormal24a"/>
      </w:pPr>
      <w:r w:rsidRPr="005E7CB7">
        <w:t xml:space="preserve">Relator: </w:t>
      </w:r>
      <w:r w:rsidRPr="005E7CB7">
        <w:rPr>
          <w:rStyle w:val="HideTWBExt"/>
          <w:color w:val="auto"/>
        </w:rPr>
        <w:t>&lt;Depute&gt;</w:t>
      </w:r>
      <w:r w:rsidRPr="005E7CB7">
        <w:t>Tiemo Wölken</w:t>
      </w:r>
      <w:r w:rsidRPr="005E7CB7">
        <w:rPr>
          <w:rStyle w:val="HideTWBExt"/>
          <w:color w:val="auto"/>
        </w:rPr>
        <w:t>&lt;/Depute&gt;</w:t>
      </w:r>
    </w:p>
    <w:p w:rsidR="001C5B44" w:rsidRPr="005E7CB7" w:rsidRDefault="001C5B44" w:rsidP="001C5B44">
      <w:pPr>
        <w:pStyle w:val="CoverNormal"/>
      </w:pPr>
    </w:p>
    <w:p w:rsidR="00FF37C9" w:rsidRPr="005E7CB7" w:rsidRDefault="005E7CB7" w:rsidP="00894923">
      <w:r w:rsidRPr="005E7CB7">
        <w:br w:type="page"/>
      </w:r>
      <w:fldSimple w:instr=" TITLE  \* MERGEFORMAT ">
        <w:r>
          <w:t>PR_COD_1amCom</w:t>
        </w:r>
      </w:fldSimple>
    </w:p>
    <w:p w:rsidR="00FF37C9" w:rsidRPr="005E7CB7" w:rsidRDefault="00FF37C9" w:rsidP="00894923"/>
    <w:p w:rsidR="00FF37C9" w:rsidRPr="005E7CB7" w:rsidRDefault="00FF37C9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E7CB7" w:rsidRPr="005E7CB7">
        <w:tc>
          <w:tcPr>
            <w:tcW w:w="5811" w:type="dxa"/>
          </w:tcPr>
          <w:p w:rsidR="00FF37C9" w:rsidRPr="005E7CB7" w:rsidRDefault="005E7CB7" w:rsidP="00894923">
            <w:pPr>
              <w:pStyle w:val="Lgendetitre"/>
            </w:pPr>
            <w:r w:rsidRPr="005E7CB7">
              <w:t>Legenda dos símbolos utilizados</w:t>
            </w:r>
          </w:p>
        </w:tc>
      </w:tr>
      <w:tr w:rsidR="003F7CB1" w:rsidRPr="005E7CB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FF37C9" w:rsidRPr="005E7CB7" w:rsidRDefault="005E7CB7" w:rsidP="003506ED">
            <w:pPr>
              <w:pStyle w:val="Lgendesigne"/>
            </w:pPr>
            <w:r w:rsidRPr="005E7CB7">
              <w:tab/>
              <w:t>*</w:t>
            </w:r>
            <w:r w:rsidRPr="005E7CB7">
              <w:tab/>
              <w:t>Processo de consulta</w:t>
            </w:r>
          </w:p>
          <w:p w:rsidR="00FF37C9" w:rsidRPr="005E7CB7" w:rsidRDefault="005E7CB7" w:rsidP="003506ED">
            <w:pPr>
              <w:pStyle w:val="Lgendesigne"/>
            </w:pPr>
            <w:r w:rsidRPr="005E7CB7">
              <w:tab/>
              <w:t>***</w:t>
            </w:r>
            <w:r w:rsidRPr="005E7CB7">
              <w:tab/>
              <w:t>Processo de aprovação</w:t>
            </w:r>
          </w:p>
          <w:p w:rsidR="00FF37C9" w:rsidRPr="005E7CB7" w:rsidRDefault="005E7CB7" w:rsidP="003506ED">
            <w:pPr>
              <w:pStyle w:val="Lgendesigne"/>
            </w:pPr>
            <w:r w:rsidRPr="005E7CB7">
              <w:tab/>
              <w:t>***I</w:t>
            </w:r>
            <w:r w:rsidRPr="005E7CB7">
              <w:tab/>
            </w:r>
            <w:r w:rsidRPr="005E7CB7">
              <w:t>Processo legislativo ordinário (primeira leitura)</w:t>
            </w:r>
          </w:p>
          <w:p w:rsidR="00FF37C9" w:rsidRPr="005E7CB7" w:rsidRDefault="005E7CB7" w:rsidP="003506ED">
            <w:pPr>
              <w:pStyle w:val="Lgendesigne"/>
            </w:pPr>
            <w:r w:rsidRPr="005E7CB7">
              <w:tab/>
              <w:t>***II</w:t>
            </w:r>
            <w:r w:rsidRPr="005E7CB7">
              <w:tab/>
              <w:t>Processo legislativo ordinário (segunda leitura)</w:t>
            </w:r>
          </w:p>
          <w:p w:rsidR="00FF37C9" w:rsidRPr="005E7CB7" w:rsidRDefault="005E7CB7" w:rsidP="003506ED">
            <w:pPr>
              <w:pStyle w:val="Lgendesigne"/>
            </w:pPr>
            <w:r w:rsidRPr="005E7CB7">
              <w:tab/>
              <w:t>***III</w:t>
            </w:r>
            <w:r w:rsidRPr="005E7CB7">
              <w:tab/>
              <w:t>Processo legislativo ordinário (terceira leitura)</w:t>
            </w:r>
          </w:p>
          <w:p w:rsidR="00FF37C9" w:rsidRPr="005E7CB7" w:rsidRDefault="00FF37C9" w:rsidP="003506ED">
            <w:pPr>
              <w:pStyle w:val="Lgendestandard"/>
            </w:pPr>
          </w:p>
          <w:p w:rsidR="00FF37C9" w:rsidRPr="005E7CB7" w:rsidRDefault="005E7CB7" w:rsidP="003506ED">
            <w:pPr>
              <w:pStyle w:val="Lgendestandard"/>
            </w:pPr>
            <w:r w:rsidRPr="005E7CB7">
              <w:t>(O processo indicado tem por fundamento a base jurídica proposta no projeto de ato.)</w:t>
            </w:r>
          </w:p>
          <w:p w:rsidR="00FF37C9" w:rsidRPr="005E7CB7" w:rsidRDefault="00FF37C9" w:rsidP="00B54EAF">
            <w:pPr>
              <w:pStyle w:val="Lgendestandard"/>
            </w:pPr>
          </w:p>
        </w:tc>
      </w:tr>
    </w:tbl>
    <w:p w:rsidR="00FF37C9" w:rsidRPr="005E7CB7" w:rsidRDefault="00FF37C9" w:rsidP="00894923"/>
    <w:p w:rsidR="00FF37C9" w:rsidRPr="005E7CB7" w:rsidRDefault="00FF37C9" w:rsidP="00894923"/>
    <w:p w:rsidR="00FF37C9" w:rsidRPr="005E7CB7" w:rsidRDefault="00FF37C9" w:rsidP="00894923"/>
    <w:p w:rsidR="00FF37C9" w:rsidRPr="005E7CB7" w:rsidRDefault="00FF37C9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5E7CB7" w:rsidRPr="005E7CB7">
        <w:tc>
          <w:tcPr>
            <w:tcW w:w="5811" w:type="dxa"/>
          </w:tcPr>
          <w:p w:rsidR="00FF37C9" w:rsidRPr="005E7CB7" w:rsidRDefault="005E7CB7" w:rsidP="00894923">
            <w:pPr>
              <w:pStyle w:val="Lgendetitre"/>
            </w:pPr>
            <w:r w:rsidRPr="005E7CB7">
              <w:t>Alterações a um projeto de ato</w:t>
            </w:r>
          </w:p>
        </w:tc>
      </w:tr>
      <w:tr w:rsidR="003F7CB1" w:rsidRPr="005E7CB7" w:rsidTr="00554250">
        <w:trPr>
          <w:trHeight w:val="4496"/>
        </w:trPr>
        <w:tc>
          <w:tcPr>
            <w:tcW w:w="5811" w:type="dxa"/>
          </w:tcPr>
          <w:p w:rsidR="00FF37C9" w:rsidRPr="005E7CB7" w:rsidRDefault="005E7CB7" w:rsidP="003506ED">
            <w:pPr>
              <w:pStyle w:val="Lgendestandard"/>
              <w:rPr>
                <w:szCs w:val="24"/>
              </w:rPr>
            </w:pPr>
            <w:r w:rsidRPr="005E7CB7">
              <w:rPr>
                <w:b/>
              </w:rPr>
              <w:t>Alterações do Parlamento apresentadas em duas colunas</w:t>
            </w:r>
          </w:p>
          <w:p w:rsidR="00FF37C9" w:rsidRPr="005E7CB7" w:rsidRDefault="00FF37C9" w:rsidP="003506ED">
            <w:pPr>
              <w:pStyle w:val="Lgendestandard"/>
              <w:rPr>
                <w:szCs w:val="24"/>
              </w:rPr>
            </w:pPr>
          </w:p>
          <w:p w:rsidR="00FF37C9" w:rsidRPr="005E7CB7" w:rsidRDefault="005E7CB7" w:rsidP="003506ED">
            <w:pPr>
              <w:pStyle w:val="Lgendestandard"/>
              <w:rPr>
                <w:szCs w:val="24"/>
              </w:rPr>
            </w:pPr>
            <w:r w:rsidRPr="005E7CB7">
              <w:t xml:space="preserve">As supressões são assinaladas em </w:t>
            </w:r>
            <w:r w:rsidRPr="005E7CB7">
              <w:rPr>
                <w:b/>
                <w:bCs/>
                <w:i/>
                <w:iCs/>
              </w:rPr>
              <w:t>itálico</w:t>
            </w:r>
            <w:r w:rsidRPr="005E7CB7">
              <w:t xml:space="preserve"> e a </w:t>
            </w:r>
            <w:r w:rsidRPr="005E7CB7">
              <w:rPr>
                <w:b/>
                <w:bCs/>
                <w:i/>
                <w:iCs/>
              </w:rPr>
              <w:t>negrito</w:t>
            </w:r>
            <w:r w:rsidRPr="005E7CB7">
              <w:t xml:space="preserve"> na coluna da esquerda. As substituições são assinaladas em </w:t>
            </w:r>
            <w:r w:rsidRPr="005E7CB7">
              <w:rPr>
                <w:b/>
                <w:bCs/>
                <w:i/>
                <w:iCs/>
              </w:rPr>
              <w:t>itálico</w:t>
            </w:r>
            <w:r w:rsidRPr="005E7CB7">
              <w:t xml:space="preserve"> e a </w:t>
            </w:r>
            <w:r w:rsidRPr="005E7CB7">
              <w:rPr>
                <w:b/>
                <w:bCs/>
                <w:i/>
                <w:iCs/>
              </w:rPr>
              <w:t>negrito</w:t>
            </w:r>
            <w:r w:rsidRPr="005E7CB7">
              <w:t xml:space="preserve"> na coluna da esquerda e na coluna da direita. O texto novo é assinalado em </w:t>
            </w:r>
            <w:r w:rsidRPr="005E7CB7">
              <w:rPr>
                <w:b/>
                <w:bCs/>
                <w:i/>
                <w:iCs/>
              </w:rPr>
              <w:t>itálico</w:t>
            </w:r>
            <w:r w:rsidRPr="005E7CB7">
              <w:t xml:space="preserve"> e a </w:t>
            </w:r>
            <w:r w:rsidRPr="005E7CB7">
              <w:rPr>
                <w:b/>
                <w:bCs/>
                <w:i/>
                <w:iCs/>
              </w:rPr>
              <w:t xml:space="preserve">negrito </w:t>
            </w:r>
            <w:r w:rsidRPr="005E7CB7">
              <w:t>na coluna da direita.</w:t>
            </w:r>
          </w:p>
          <w:p w:rsidR="00FF37C9" w:rsidRPr="005E7CB7" w:rsidRDefault="00FF37C9" w:rsidP="003506ED">
            <w:pPr>
              <w:pStyle w:val="Lgendestandard"/>
              <w:rPr>
                <w:szCs w:val="24"/>
              </w:rPr>
            </w:pPr>
          </w:p>
          <w:p w:rsidR="00FF37C9" w:rsidRPr="005E7CB7" w:rsidRDefault="005E7CB7" w:rsidP="003506ED">
            <w:pPr>
              <w:pStyle w:val="Lgendestandard"/>
              <w:rPr>
                <w:szCs w:val="24"/>
              </w:rPr>
            </w:pPr>
            <w:r w:rsidRPr="005E7CB7">
              <w:t xml:space="preserve">A primeira e a segunda linhas do cabeçalho de cada alteração identificam o passo relevante do projeto de ato em apreço. Se uma alteração </w:t>
            </w:r>
            <w:r w:rsidRPr="005E7CB7">
              <w:t>disser respeito a um ato já existente, que o projeto de ato pretenda modificar, o cabeçalho comporta ainda uma terceira e uma quarta linhas, que identificam, respetivamente, o ato existente e a disposição visada do ato em causa.</w:t>
            </w:r>
          </w:p>
          <w:p w:rsidR="00FF37C9" w:rsidRPr="005E7CB7" w:rsidRDefault="00FF37C9" w:rsidP="003506ED">
            <w:pPr>
              <w:pStyle w:val="Lgendestandard"/>
              <w:rPr>
                <w:szCs w:val="24"/>
              </w:rPr>
            </w:pPr>
          </w:p>
          <w:p w:rsidR="00FF37C9" w:rsidRPr="005E7CB7" w:rsidRDefault="005E7CB7" w:rsidP="003506ED">
            <w:pPr>
              <w:pStyle w:val="Lgendestandard"/>
              <w:rPr>
                <w:b/>
                <w:szCs w:val="24"/>
              </w:rPr>
            </w:pPr>
            <w:r w:rsidRPr="005E7CB7">
              <w:rPr>
                <w:b/>
              </w:rPr>
              <w:t>Alterações do Parlamento a</w:t>
            </w:r>
            <w:r w:rsidRPr="005E7CB7">
              <w:rPr>
                <w:b/>
              </w:rPr>
              <w:t>presentadas sob a forma de texto consolidado</w:t>
            </w:r>
          </w:p>
          <w:p w:rsidR="00FF37C9" w:rsidRPr="005E7CB7" w:rsidRDefault="00FF37C9" w:rsidP="003506ED">
            <w:pPr>
              <w:pStyle w:val="Lgendestandard"/>
              <w:rPr>
                <w:szCs w:val="24"/>
              </w:rPr>
            </w:pPr>
          </w:p>
          <w:p w:rsidR="00FF37C9" w:rsidRPr="005E7CB7" w:rsidRDefault="005E7CB7" w:rsidP="003506ED">
            <w:pPr>
              <w:pStyle w:val="Lgendestandard"/>
              <w:rPr>
                <w:szCs w:val="24"/>
              </w:rPr>
            </w:pPr>
            <w:r w:rsidRPr="005E7CB7">
              <w:t xml:space="preserve">Os trechos novos são assinalados em </w:t>
            </w:r>
            <w:r w:rsidRPr="005E7CB7">
              <w:rPr>
                <w:b/>
                <w:bCs/>
                <w:i/>
                <w:iCs/>
              </w:rPr>
              <w:t>itálico</w:t>
            </w:r>
            <w:r w:rsidRPr="005E7CB7">
              <w:t xml:space="preserve"> e a </w:t>
            </w:r>
            <w:r w:rsidRPr="005E7CB7">
              <w:rPr>
                <w:b/>
                <w:bCs/>
                <w:i/>
                <w:iCs/>
              </w:rPr>
              <w:t>negrito</w:t>
            </w:r>
            <w:r w:rsidRPr="005E7CB7">
              <w:t xml:space="preserve">. Os trechos suprimidos são assinalados pelo símbolo ▌ou rasurados. As substituições são assinaladas formatando o texto novo em </w:t>
            </w:r>
            <w:r w:rsidRPr="005E7CB7">
              <w:rPr>
                <w:b/>
                <w:bCs/>
                <w:i/>
                <w:iCs/>
              </w:rPr>
              <w:t>itálico</w:t>
            </w:r>
            <w:r w:rsidRPr="005E7CB7">
              <w:t xml:space="preserve"> e a </w:t>
            </w:r>
            <w:r w:rsidRPr="005E7CB7">
              <w:rPr>
                <w:b/>
                <w:bCs/>
                <w:i/>
                <w:iCs/>
              </w:rPr>
              <w:t>negrito</w:t>
            </w:r>
            <w:r w:rsidRPr="005E7CB7">
              <w:t xml:space="preserve"> e supri</w:t>
            </w:r>
            <w:r w:rsidRPr="005E7CB7">
              <w:t xml:space="preserve">mindo, ou rasurando, o texto substituído. </w:t>
            </w:r>
          </w:p>
          <w:p w:rsidR="00FF37C9" w:rsidRPr="005E7CB7" w:rsidRDefault="005E7CB7" w:rsidP="003506ED">
            <w:pPr>
              <w:pStyle w:val="Lgendestandard"/>
            </w:pPr>
            <w:r w:rsidRPr="005E7CB7">
              <w:t>Exceção: as modificações de natureza estritamente técnica introduzidas pelos serviços com vista à elaboração do texto final não são assinaladas.</w:t>
            </w:r>
          </w:p>
          <w:p w:rsidR="00FF37C9" w:rsidRPr="005E7CB7" w:rsidRDefault="00FF37C9" w:rsidP="0069092A">
            <w:pPr>
              <w:pStyle w:val="Lgendestandard"/>
            </w:pPr>
          </w:p>
        </w:tc>
      </w:tr>
    </w:tbl>
    <w:p w:rsidR="00FF37C9" w:rsidRPr="005E7CB7" w:rsidRDefault="00FF37C9" w:rsidP="00894923"/>
    <w:p w:rsidR="00793EA9" w:rsidRPr="005E7CB7" w:rsidRDefault="00793EA9" w:rsidP="00012351">
      <w:pPr>
        <w:widowControl/>
        <w:tabs>
          <w:tab w:val="center" w:pos="4677"/>
        </w:tabs>
      </w:pPr>
    </w:p>
    <w:p w:rsidR="00793EA9" w:rsidRPr="005E7CB7" w:rsidRDefault="005E7CB7">
      <w:pPr>
        <w:pStyle w:val="TOCHeading"/>
      </w:pPr>
      <w:r w:rsidRPr="005E7CB7">
        <w:br w:type="page"/>
      </w:r>
      <w:r w:rsidRPr="005E7CB7">
        <w:lastRenderedPageBreak/>
        <w:t>ÍNDICE</w:t>
      </w:r>
    </w:p>
    <w:p w:rsidR="00793EA9" w:rsidRPr="005E7CB7" w:rsidRDefault="005E7CB7">
      <w:pPr>
        <w:pStyle w:val="TOCPage"/>
      </w:pPr>
      <w:r w:rsidRPr="005E7CB7">
        <w:t>Página</w:t>
      </w:r>
    </w:p>
    <w:p w:rsidR="005E7CB7" w:rsidRDefault="005E7CB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5E7CB7">
        <w:rPr>
          <w:b/>
        </w:rPr>
        <w:fldChar w:fldCharType="begin"/>
      </w:r>
      <w:r w:rsidRPr="005E7CB7">
        <w:rPr>
          <w:b/>
        </w:rPr>
        <w:instrText xml:space="preserve"> TOC \t "PageHeading</w:instrText>
      </w:r>
      <w:r w:rsidR="009B0551" w:rsidRPr="005E7CB7">
        <w:rPr>
          <w:b/>
        </w:rPr>
        <w:instrText>;</w:instrText>
      </w:r>
      <w:r w:rsidRPr="005E7CB7">
        <w:rPr>
          <w:b/>
        </w:rPr>
        <w:instrText xml:space="preserve">1" </w:instrText>
      </w:r>
      <w:r w:rsidRPr="005E7CB7">
        <w:rPr>
          <w:b/>
        </w:rPr>
        <w:fldChar w:fldCharType="separate"/>
      </w:r>
      <w:r>
        <w:rPr>
          <w:noProof/>
        </w:rPr>
        <w:t>PROJETO DE RESOLUÇÃO LEGISLATIVA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_Toc149285153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346B0" w:rsidRPr="005E7CB7" w:rsidRDefault="005E7CB7" w:rsidP="00C23324">
      <w:r w:rsidRPr="005E7CB7">
        <w:rPr>
          <w:b/>
        </w:rPr>
        <w:fldChar w:fldCharType="end"/>
      </w:r>
    </w:p>
    <w:p w:rsidR="00793EA9" w:rsidRPr="005E7CB7" w:rsidRDefault="005E7CB7" w:rsidP="008E4826">
      <w:pPr>
        <w:pStyle w:val="PageHeading"/>
      </w:pPr>
      <w:r w:rsidRPr="005E7CB7">
        <w:br w:type="page"/>
      </w:r>
      <w:bookmarkStart w:id="1" w:name="_Toc149285153"/>
      <w:r w:rsidRPr="005E7CB7">
        <w:lastRenderedPageBreak/>
        <w:t>PROJETO DE RESOLUÇÃO LEGISLATIVA DO PARLAMENTO EUROPEU</w:t>
      </w:r>
      <w:bookmarkEnd w:id="1"/>
    </w:p>
    <w:p w:rsidR="00793EA9" w:rsidRPr="005E7CB7" w:rsidRDefault="005E7CB7">
      <w:pPr>
        <w:pStyle w:val="NormalBold"/>
      </w:pPr>
      <w:r w:rsidRPr="005E7CB7">
        <w:t>sobre a proposta de regulamento do Parlamento Europeu e do Conselho relativo ao certificado complementar de proteção unitário para os produtos fitofarmacêuticos</w:t>
      </w:r>
    </w:p>
    <w:p w:rsidR="00793EA9" w:rsidRPr="005E7CB7" w:rsidRDefault="005E7CB7">
      <w:pPr>
        <w:pStyle w:val="NormalBold12a"/>
      </w:pPr>
      <w:r w:rsidRPr="005E7CB7">
        <w:t>(COM(2023)0221 – C9</w:t>
      </w:r>
      <w:r>
        <w:noBreakHyphen/>
      </w:r>
      <w:r w:rsidRPr="005E7CB7">
        <w:t>0152/2023 – 2023/0126(COD))</w:t>
      </w:r>
    </w:p>
    <w:p w:rsidR="00793EA9" w:rsidRPr="005E7CB7" w:rsidRDefault="005E7CB7" w:rsidP="00A910C9">
      <w:pPr>
        <w:pStyle w:val="NormalBold"/>
      </w:pPr>
      <w:r w:rsidRPr="005E7CB7">
        <w:t>(Processo legislativo ordinário: primeira leitu</w:t>
      </w:r>
      <w:r w:rsidRPr="005E7CB7">
        <w:t>ra)</w:t>
      </w:r>
    </w:p>
    <w:p w:rsidR="00793EA9" w:rsidRPr="005E7CB7" w:rsidRDefault="005E7CB7" w:rsidP="00A910C9">
      <w:pPr>
        <w:pStyle w:val="EPComma"/>
      </w:pPr>
      <w:r w:rsidRPr="005E7CB7">
        <w:rPr>
          <w:i/>
          <w:iCs/>
        </w:rPr>
        <w:t>O Parlamento Europeu</w:t>
      </w:r>
      <w:r w:rsidRPr="005E7CB7">
        <w:t>,</w:t>
      </w:r>
    </w:p>
    <w:p w:rsidR="00793EA9" w:rsidRPr="005E7CB7" w:rsidRDefault="005E7CB7">
      <w:pPr>
        <w:pStyle w:val="NormalHanging12a"/>
      </w:pPr>
      <w:r w:rsidRPr="005E7CB7">
        <w:t>–</w:t>
      </w:r>
      <w:r w:rsidRPr="005E7CB7">
        <w:tab/>
        <w:t>Tendo em conta a proposta da Comissão ao Parlamento Europeu e ao Conselho (COM(2023)0221),</w:t>
      </w:r>
    </w:p>
    <w:p w:rsidR="00793EA9" w:rsidRPr="005E7CB7" w:rsidRDefault="005E7CB7">
      <w:pPr>
        <w:pStyle w:val="NormalHanging12a"/>
      </w:pPr>
      <w:r w:rsidRPr="005E7CB7">
        <w:t>–</w:t>
      </w:r>
      <w:r w:rsidRPr="005E7CB7">
        <w:tab/>
        <w:t>Tendo em conta o artigo 294.º, n.º 2, e o artigo 118.º, primeiro parágrafo, do Tratado sobre o Funcionamento da União Europeia, nos ter</w:t>
      </w:r>
      <w:r w:rsidRPr="005E7CB7">
        <w:t>mos dos quais a proposta lhe foi apresentada pela Comissão (C9</w:t>
      </w:r>
      <w:r>
        <w:noBreakHyphen/>
      </w:r>
      <w:r w:rsidRPr="005E7CB7">
        <w:t>0152/2023),</w:t>
      </w:r>
    </w:p>
    <w:p w:rsidR="00FF37C9" w:rsidRPr="005E7CB7" w:rsidRDefault="005E7CB7" w:rsidP="00FF37C9">
      <w:pPr>
        <w:pStyle w:val="NormalHanging12a"/>
      </w:pPr>
      <w:r w:rsidRPr="005E7CB7">
        <w:t>–</w:t>
      </w:r>
      <w:r w:rsidRPr="005E7CB7">
        <w:tab/>
        <w:t>Tendo em conta o artigo 294.º, n.º 3, do Tratado sobre o Funcionamento da União Europeia,</w:t>
      </w:r>
    </w:p>
    <w:p w:rsidR="00FF37C9" w:rsidRPr="005E7CB7" w:rsidRDefault="005E7CB7" w:rsidP="00FF37C9">
      <w:pPr>
        <w:pStyle w:val="NormalHanging12a"/>
      </w:pPr>
      <w:r w:rsidRPr="005E7CB7">
        <w:t>–</w:t>
      </w:r>
      <w:r w:rsidRPr="005E7CB7">
        <w:tab/>
        <w:t>Tendo em conta o artigo 59.º do seu Regimento,</w:t>
      </w:r>
    </w:p>
    <w:p w:rsidR="006C50CC" w:rsidRPr="005E7CB7" w:rsidRDefault="005E7CB7" w:rsidP="00FF37C9">
      <w:pPr>
        <w:pStyle w:val="NormalHanging12a"/>
        <w:rPr>
          <w:szCs w:val="24"/>
        </w:rPr>
      </w:pPr>
      <w:r w:rsidRPr="005E7CB7">
        <w:t>–</w:t>
      </w:r>
      <w:r w:rsidRPr="005E7CB7">
        <w:tab/>
        <w:t xml:space="preserve">Tendo em conta a carta da Comissão da </w:t>
      </w:r>
      <w:r w:rsidRPr="005E7CB7">
        <w:t>Agricultura e do Desenvolvimento Rural,</w:t>
      </w:r>
    </w:p>
    <w:p w:rsidR="00FF37C9" w:rsidRPr="005E7CB7" w:rsidRDefault="005E7CB7" w:rsidP="00FF37C9">
      <w:pPr>
        <w:pStyle w:val="NormalHanging12a"/>
      </w:pPr>
      <w:r w:rsidRPr="005E7CB7">
        <w:t>–</w:t>
      </w:r>
      <w:r w:rsidRPr="005E7CB7">
        <w:tab/>
        <w:t>Tendo em conta o relatório da Comissão dos Assuntos Jurídicos (A9</w:t>
      </w:r>
      <w:r>
        <w:noBreakHyphen/>
      </w:r>
      <w:r w:rsidRPr="005E7CB7">
        <w:t>0000/2023),</w:t>
      </w:r>
    </w:p>
    <w:p w:rsidR="00FF37C9" w:rsidRPr="005E7CB7" w:rsidRDefault="005E7CB7" w:rsidP="00FF37C9">
      <w:pPr>
        <w:pStyle w:val="NormalHanging12a"/>
      </w:pPr>
      <w:r w:rsidRPr="005E7CB7">
        <w:t>1.</w:t>
      </w:r>
      <w:r w:rsidRPr="005E7CB7">
        <w:tab/>
        <w:t>Aprova a posição em primeira leitura que se segue;</w:t>
      </w:r>
    </w:p>
    <w:p w:rsidR="00FF37C9" w:rsidRPr="005E7CB7" w:rsidRDefault="005E7CB7" w:rsidP="00FF37C9">
      <w:pPr>
        <w:pStyle w:val="NormalHanging12a"/>
      </w:pPr>
      <w:r w:rsidRPr="005E7CB7">
        <w:t>2.</w:t>
      </w:r>
      <w:r w:rsidRPr="005E7CB7">
        <w:tab/>
        <w:t>Requer à Comissão que lhe submeta de novo a sua proposta, se a substituir, se a</w:t>
      </w:r>
      <w:r w:rsidRPr="005E7CB7">
        <w:t xml:space="preserve"> alterar substancialmente ou se pretender alterá</w:t>
      </w:r>
      <w:r>
        <w:noBreakHyphen/>
      </w:r>
      <w:r w:rsidRPr="005E7CB7">
        <w:t>la substancialmente;</w:t>
      </w:r>
    </w:p>
    <w:p w:rsidR="00FF37C9" w:rsidRPr="005E7CB7" w:rsidRDefault="005E7CB7" w:rsidP="00FF37C9">
      <w:pPr>
        <w:pStyle w:val="NormalHanging12a"/>
      </w:pPr>
      <w:r w:rsidRPr="005E7CB7">
        <w:t>3.</w:t>
      </w:r>
      <w:r w:rsidRPr="005E7CB7">
        <w:tab/>
        <w:t>Encarrega a sua Presidente de transmitir a posição do Parlamento ao Conselho, à Comissão e aos parlamentos nacionais.</w:t>
      </w:r>
    </w:p>
    <w:p w:rsidR="00D30DE2" w:rsidRPr="005E7CB7" w:rsidRDefault="00D30DE2" w:rsidP="00D30DE2"/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&lt;RepeatBlock-Amend&gt;&lt;Amend&gt;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Considerando 30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(30)</w:t>
            </w:r>
            <w:r w:rsidRPr="005E7CB7">
              <w:tab/>
              <w:t xml:space="preserve">Ao nomear membros das câmaras de recurso em matéria de pedidos de certificados unitários, </w:t>
            </w:r>
            <w:r w:rsidRPr="005E7CB7">
              <w:rPr>
                <w:b/>
                <w:i/>
              </w:rPr>
              <w:t>deve</w:t>
            </w:r>
            <w:r w:rsidRPr="005E7CB7">
              <w:t xml:space="preserve"> ser </w:t>
            </w:r>
            <w:r w:rsidRPr="005E7CB7">
              <w:rPr>
                <w:b/>
                <w:i/>
              </w:rPr>
              <w:t>tida</w:t>
            </w:r>
            <w:r w:rsidRPr="005E7CB7">
              <w:t xml:space="preserve"> em conta a sua experiência anterior em matéria de certificados complementares de proteção ou patentes.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>(30)</w:t>
            </w:r>
            <w:r w:rsidRPr="005E7CB7">
              <w:tab/>
              <w:t xml:space="preserve">Ao nomear membros das câmaras de recurso em matéria de pedidos de certificados unitários, </w:t>
            </w:r>
            <w:r w:rsidRPr="005E7CB7">
              <w:rPr>
                <w:b/>
                <w:i/>
              </w:rPr>
              <w:t>devem</w:t>
            </w:r>
            <w:r w:rsidRPr="005E7CB7">
              <w:t xml:space="preserve"> ser </w:t>
            </w:r>
            <w:r w:rsidRPr="005E7CB7">
              <w:rPr>
                <w:b/>
                <w:i/>
              </w:rPr>
              <w:t>tidos</w:t>
            </w:r>
            <w:r w:rsidRPr="005E7CB7">
              <w:t xml:space="preserve"> em conta </w:t>
            </w:r>
            <w:r w:rsidRPr="005E7CB7">
              <w:rPr>
                <w:b/>
                <w:i/>
              </w:rPr>
              <w:t>os seus conhecimentos especializ</w:t>
            </w:r>
            <w:r w:rsidRPr="005E7CB7">
              <w:rPr>
                <w:b/>
                <w:i/>
              </w:rPr>
              <w:t xml:space="preserve">ados pertinentes e </w:t>
            </w:r>
            <w:r w:rsidRPr="005E7CB7">
              <w:t>a sua experiência anterior</w:t>
            </w:r>
            <w:r w:rsidRPr="005E7CB7">
              <w:rPr>
                <w:b/>
                <w:i/>
              </w:rPr>
              <w:t xml:space="preserve"> suficiente</w:t>
            </w:r>
            <w:r w:rsidRPr="005E7CB7">
              <w:t xml:space="preserve"> em matéria de certificados complementares de proteção ou patentes.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2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</w:t>
      </w:r>
      <w:r w:rsidRPr="005E7CB7">
        <w:t>rtigo 2 – parágrafo 1 – ponto 13</w:t>
      </w:r>
      <w:r>
        <w:noBreakHyphen/>
      </w:r>
      <w:r w:rsidRPr="005E7CB7">
        <w:t>A (novo)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</w:tcPr>
          <w:p w:rsidR="00FF37C9" w:rsidRPr="005E7CB7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rPr>
                <w:b/>
                <w:i/>
              </w:rPr>
              <w:t>(13</w:t>
            </w:r>
            <w:r>
              <w:rPr>
                <w:b/>
                <w:i/>
              </w:rPr>
              <w:noBreakHyphen/>
            </w:r>
            <w:r w:rsidRPr="005E7CB7">
              <w:rPr>
                <w:b/>
                <w:i/>
              </w:rPr>
              <w:t>A)</w:t>
            </w:r>
            <w:r w:rsidRPr="005E7CB7">
              <w:rPr>
                <w:b/>
                <w:i/>
              </w:rPr>
              <w:tab/>
            </w:r>
            <w:r w:rsidRPr="005E7CB7">
              <w:rPr>
                <w:b/>
                <w:i/>
              </w:rPr>
              <w:t>«Economicamente ligado», relativamente a diferentes titulares de duas ou mais patentes de base que protegem o mesmo produto, um titular que, direta ou indiretamente através de um ou mais intermediários, controla outro titular, é controlado por outro titula</w:t>
            </w:r>
            <w:r w:rsidRPr="005E7CB7">
              <w:rPr>
                <w:b/>
                <w:i/>
              </w:rPr>
              <w:t>r ou está sob controlo comum com outro titular.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3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9 – n.º 1 – alínea c</w:t>
      </w:r>
      <w:r>
        <w:noBreakHyphen/>
      </w:r>
      <w:r w:rsidRPr="005E7CB7">
        <w:t>A) (nova)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</w:tcPr>
          <w:p w:rsidR="00FF37C9" w:rsidRPr="005E7CB7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rPr>
                <w:b/>
                <w:i/>
              </w:rPr>
              <w:t>(c</w:t>
            </w:r>
            <w:r>
              <w:rPr>
                <w:b/>
                <w:i/>
              </w:rPr>
              <w:noBreakHyphen/>
            </w:r>
            <w:r w:rsidRPr="005E7CB7">
              <w:rPr>
                <w:b/>
                <w:i/>
              </w:rPr>
              <w:t>A)</w:t>
            </w:r>
            <w:r w:rsidRPr="005E7CB7">
              <w:rPr>
                <w:b/>
                <w:i/>
              </w:rPr>
              <w:tab/>
              <w:t>Se for caso disso, o consentimento do terceiro a que se refere o artigo 6.º, n.º 2;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4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</w:t>
      </w:r>
      <w:r w:rsidRPr="005E7CB7">
        <w:rPr>
          <w:rStyle w:val="HideTWBExt"/>
          <w:b w:val="0"/>
          <w:color w:val="auto"/>
        </w:rPr>
        <w:t>icle&gt;</w:t>
      </w:r>
      <w:r w:rsidRPr="005E7CB7">
        <w:t>Artigo 9 – n.º 2</w:t>
      </w:r>
      <w:r>
        <w:noBreakHyphen/>
      </w:r>
      <w:r w:rsidRPr="005E7CB7">
        <w:t>A (novo)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</w:tcPr>
          <w:p w:rsidR="00FF37C9" w:rsidRPr="005E7CB7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5E7CB7" w:rsidRDefault="005E7CB7" w:rsidP="00667F19">
            <w:pPr>
              <w:pStyle w:val="Normal6"/>
              <w:rPr>
                <w:szCs w:val="24"/>
              </w:rPr>
            </w:pPr>
            <w:r w:rsidRPr="005E7CB7">
              <w:rPr>
                <w:b/>
                <w:i/>
              </w:rPr>
              <w:t>2</w:t>
            </w:r>
            <w:r>
              <w:rPr>
                <w:b/>
                <w:i/>
              </w:rPr>
              <w:noBreakHyphen/>
            </w:r>
            <w:r w:rsidRPr="005E7CB7">
              <w:rPr>
                <w:b/>
                <w:i/>
              </w:rPr>
              <w:t>A.</w:t>
            </w:r>
            <w:r w:rsidRPr="005E7CB7">
              <w:rPr>
                <w:b/>
                <w:i/>
              </w:rPr>
              <w:tab/>
              <w:t>O requerente é responsável pela exatidão das informações e da documentação apresentadas em relação ao seu pedido.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5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13 – n.º 2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2.</w:t>
            </w:r>
            <w:r w:rsidRPr="005E7CB7">
              <w:tab/>
            </w:r>
            <w:r w:rsidRPr="005E7CB7">
              <w:t>Se o pedido de certificado unitário e o produto a que se refere cumprirem o disposto no artigo 3.º, n.º 1, para cada um dos Estados</w:t>
            </w:r>
            <w:r>
              <w:noBreakHyphen/>
            </w:r>
            <w:r w:rsidRPr="005E7CB7">
              <w:t xml:space="preserve">Membros referidos no n.º 1, o Instituto emite um parecer de exame fundamentado positivo sobre a concessão de um certificado </w:t>
            </w:r>
            <w:r w:rsidRPr="005E7CB7">
              <w:t>unitário. O Instituto deve transmitir esse parecer ao requerente.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>2.</w:t>
            </w:r>
            <w:r w:rsidRPr="005E7CB7">
              <w:tab/>
              <w:t xml:space="preserve">Se o pedido de certificado unitário e o produto a que se refere cumprirem o disposto no artigo 3.º, n.º 1, </w:t>
            </w:r>
            <w:r w:rsidRPr="005E7CB7">
              <w:rPr>
                <w:b/>
                <w:i/>
              </w:rPr>
              <w:t xml:space="preserve">e no artigo 6.º, n.º 2, </w:t>
            </w:r>
            <w:r w:rsidRPr="005E7CB7">
              <w:t>para cada um dos Estados</w:t>
            </w:r>
            <w:r>
              <w:noBreakHyphen/>
            </w:r>
            <w:r w:rsidRPr="005E7CB7">
              <w:t>Membros referidos no n.º 1, o Instituto emite um parecer de exame fundamentado positivo sobre a concessão de um certificado unitário. O Instituto deve transmitir esse parecer ao requerente.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6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13 – n.º 3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3.</w:t>
            </w:r>
            <w:r w:rsidRPr="005E7CB7">
              <w:tab/>
            </w:r>
            <w:r w:rsidRPr="005E7CB7">
              <w:t>Se o pedido de certificado unitário e o produto a que se refere não cumprirem o disposto no artigo 3.º, n.º 1, relativamente a um ou mais desses Estados</w:t>
            </w:r>
            <w:r>
              <w:noBreakHyphen/>
            </w:r>
            <w:r w:rsidRPr="005E7CB7">
              <w:t>Membros, o Instituto emite um parecer de exame fundamentado negativo sobre a concessão de um certificad</w:t>
            </w:r>
            <w:r w:rsidRPr="005E7CB7">
              <w:t>o unitário. O Instituto deve transmitir esse parecer ao requerente.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>3.</w:t>
            </w:r>
            <w:r w:rsidRPr="005E7CB7">
              <w:tab/>
              <w:t xml:space="preserve">Se o pedido de certificado unitário e o produto a que se refere não cumprirem o disposto no artigo 3.º, n.º 1, </w:t>
            </w:r>
            <w:r w:rsidRPr="005E7CB7">
              <w:rPr>
                <w:b/>
                <w:i/>
              </w:rPr>
              <w:t xml:space="preserve">e no artigo 6.º, n.º 2, </w:t>
            </w:r>
            <w:r w:rsidRPr="005E7CB7">
              <w:t>relativamente a um ou mais desses Estados</w:t>
            </w:r>
            <w:r>
              <w:noBreakHyphen/>
            </w:r>
            <w:r w:rsidRPr="005E7CB7">
              <w:t>Membros,</w:t>
            </w:r>
            <w:r w:rsidRPr="005E7CB7">
              <w:t xml:space="preserve"> o Instituto emite um parecer de exame fundamentado negativo sobre a concessão de um certificado unitário. O Instituto deve transmitir esse parecer ao requerente.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7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</w:t>
      </w:r>
      <w:r w:rsidRPr="005E7CB7">
        <w:t>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15 – n.º 6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6.</w:t>
            </w:r>
            <w:r w:rsidRPr="005E7CB7">
              <w:tab/>
              <w:t>Se o painel de oposição constatar que o ato de oposição não cumpre o disposto nos n.</w:t>
            </w:r>
            <w:r w:rsidRPr="005E7CB7">
              <w:rPr>
                <w:vertAlign w:val="superscript"/>
              </w:rPr>
              <w:t>os</w:t>
            </w:r>
            <w:r w:rsidRPr="005E7CB7">
              <w:t xml:space="preserve"> 2, 3 ou 4, rejeita a oposição por inadmissibilidade e </w:t>
            </w:r>
            <w:r w:rsidRPr="005E7CB7">
              <w:rPr>
                <w:b/>
                <w:i/>
              </w:rPr>
              <w:t>comunica</w:t>
            </w:r>
            <w:r>
              <w:rPr>
                <w:b/>
                <w:i/>
              </w:rPr>
              <w:noBreakHyphen/>
            </w:r>
            <w:r w:rsidRPr="005E7CB7">
              <w:rPr>
                <w:b/>
                <w:i/>
              </w:rPr>
              <w:t>o</w:t>
            </w:r>
            <w:r w:rsidRPr="005E7CB7">
              <w:t xml:space="preserve"> ao oponente, a menos que essas irregularidades tenham sido corrigidas antes do termo do prazo de apresentação da oposição referido no n.º 1.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>6.</w:t>
            </w:r>
            <w:r w:rsidRPr="005E7CB7">
              <w:tab/>
              <w:t>Se o painel de oposição constatar que o ato de oposição não cumpre o disposto nos n.</w:t>
            </w:r>
            <w:r w:rsidRPr="005E7CB7">
              <w:rPr>
                <w:vertAlign w:val="superscript"/>
              </w:rPr>
              <w:t>os</w:t>
            </w:r>
            <w:r w:rsidRPr="005E7CB7">
              <w:t> 2, 3 ou 4, rejeita a opo</w:t>
            </w:r>
            <w:r w:rsidRPr="005E7CB7">
              <w:t xml:space="preserve">sição por inadmissibilidade e </w:t>
            </w:r>
            <w:r w:rsidRPr="005E7CB7">
              <w:rPr>
                <w:b/>
                <w:i/>
              </w:rPr>
              <w:t>comunica a sua decisão, assim como o fundamento da mesma,</w:t>
            </w:r>
            <w:r w:rsidRPr="005E7CB7">
              <w:t xml:space="preserve"> ao oponente, a menos que essas irregularidades tenham sido corrigidas antes do termo do prazo de apresentação da oposição referido no n.º 1.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</w:t>
      </w:r>
      <w:r w:rsidRPr="005E7CB7">
        <w:rPr>
          <w:rStyle w:val="HideTWBExt"/>
          <w:color w:val="auto"/>
        </w:rPr>
        <w:t>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8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15 – n.º 9</w:t>
      </w:r>
      <w:r>
        <w:noBreakHyphen/>
      </w:r>
      <w:r w:rsidRPr="005E7CB7">
        <w:t>A (novo)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</w:tcPr>
          <w:p w:rsidR="00FF37C9" w:rsidRPr="005E7CB7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5E7CB7" w:rsidRDefault="005E7CB7" w:rsidP="00086550">
            <w:pPr>
              <w:pStyle w:val="Normal6"/>
              <w:rPr>
                <w:szCs w:val="24"/>
              </w:rPr>
            </w:pPr>
            <w:r w:rsidRPr="005E7CB7">
              <w:rPr>
                <w:b/>
                <w:i/>
              </w:rPr>
              <w:t>9</w:t>
            </w:r>
            <w:r>
              <w:rPr>
                <w:b/>
                <w:i/>
              </w:rPr>
              <w:noBreakHyphen/>
            </w:r>
            <w:r w:rsidRPr="005E7CB7">
              <w:rPr>
                <w:b/>
                <w:i/>
              </w:rPr>
              <w:t>A.</w:t>
            </w:r>
            <w:r w:rsidRPr="005E7CB7">
              <w:rPr>
                <w:b/>
                <w:i/>
              </w:rPr>
              <w:tab/>
            </w:r>
            <w:r w:rsidRPr="005E7CB7">
              <w:rPr>
                <w:b/>
                <w:i/>
              </w:rPr>
              <w:t>Nos casos em que tenham sido apresentadas várias oposições contra um parecer de exame, o Instituto trata as oposições conjuntamente e emite uma decisão única relativamente a todas as oposições apresentadas.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9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15 – n.º 10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10.</w:t>
            </w:r>
            <w:r w:rsidRPr="005E7CB7">
              <w:tab/>
            </w:r>
            <w:r w:rsidRPr="005E7CB7">
              <w:t>O Instituto emite uma decisão sobre a oposição no prazo de seis meses, a menos que a complexidade do processo exija um prazo mais longo.</w:t>
            </w:r>
          </w:p>
        </w:tc>
        <w:tc>
          <w:tcPr>
            <w:tcW w:w="4876" w:type="dxa"/>
            <w:hideMark/>
          </w:tcPr>
          <w:p w:rsidR="00FF37C9" w:rsidRPr="005E7CB7" w:rsidRDefault="005E7CB7" w:rsidP="000A4B27">
            <w:pPr>
              <w:pStyle w:val="Normal6"/>
              <w:rPr>
                <w:szCs w:val="24"/>
              </w:rPr>
            </w:pPr>
            <w:r w:rsidRPr="005E7CB7">
              <w:t>10.</w:t>
            </w:r>
            <w:r w:rsidRPr="005E7CB7">
              <w:tab/>
              <w:t>O Instituto emite uma decisão</w:t>
            </w:r>
            <w:r w:rsidRPr="005E7CB7">
              <w:rPr>
                <w:b/>
                <w:i/>
              </w:rPr>
              <w:t>, incluindo uma fundamentação pormenorizada da sua decisão,</w:t>
            </w:r>
            <w:r w:rsidRPr="005E7CB7">
              <w:t xml:space="preserve"> sobre a oposição no prazo </w:t>
            </w:r>
            <w:r w:rsidRPr="005E7CB7">
              <w:t>de seis meses, a menos que a complexidade do processo exija um prazo mais longo.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10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15 – n.º 11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11.</w:t>
            </w:r>
            <w:r w:rsidRPr="005E7CB7">
              <w:tab/>
              <w:t>Se o painel de oposição considerar que nenhum motivo da oposição prejudica a manutenção do parecer de exame, rejeita a oposição e o Instituto inscreve a menção no Registo.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>11.</w:t>
            </w:r>
            <w:r w:rsidRPr="005E7CB7">
              <w:tab/>
              <w:t>Se o painel de oposição considerar que nenhum m</w:t>
            </w:r>
            <w:r w:rsidRPr="005E7CB7">
              <w:t>otivo da oposição prejudica a manutenção do parecer de exame, rejeita a oposição</w:t>
            </w:r>
            <w:r w:rsidRPr="005E7CB7">
              <w:rPr>
                <w:b/>
                <w:i/>
              </w:rPr>
              <w:t>, notifica o oponente da sua decisão</w:t>
            </w:r>
            <w:r w:rsidRPr="005E7CB7">
              <w:t xml:space="preserve"> e o Instituto inscreve a menção no Registo.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11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</w:t>
      </w:r>
      <w:r w:rsidRPr="005E7CB7">
        <w:t>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16 – n.º 1</w:t>
      </w:r>
      <w:r>
        <w:noBreakHyphen/>
      </w:r>
      <w:r w:rsidRPr="005E7CB7">
        <w:t>A (novo)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</w:tcPr>
          <w:p w:rsidR="00FF37C9" w:rsidRPr="005E7CB7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5E7CB7" w:rsidRDefault="005E7CB7" w:rsidP="00086550">
            <w:pPr>
              <w:pStyle w:val="Normal6"/>
              <w:rPr>
                <w:szCs w:val="24"/>
              </w:rPr>
            </w:pPr>
            <w:r w:rsidRPr="005E7CB7">
              <w:rPr>
                <w:b/>
                <w:i/>
              </w:rPr>
              <w:t>1</w:t>
            </w:r>
            <w:r>
              <w:rPr>
                <w:b/>
                <w:i/>
              </w:rPr>
              <w:noBreakHyphen/>
            </w:r>
            <w:r w:rsidRPr="005E7CB7">
              <w:rPr>
                <w:b/>
                <w:i/>
              </w:rPr>
              <w:t>A.</w:t>
            </w:r>
            <w:r w:rsidRPr="005E7CB7">
              <w:rPr>
                <w:b/>
                <w:i/>
              </w:rPr>
              <w:tab/>
            </w:r>
            <w:r w:rsidRPr="005E7CB7">
              <w:rPr>
                <w:b/>
                <w:i/>
              </w:rPr>
              <w:t>Uma vez nomeada pelo Instituto como instituto participante, a autoridade nacional competente nomeia os examinadores designados com base nos conhecimentos especializados pertinentes e no facto de possuírem experiência suficiente para o procedimento de exame</w:t>
            </w:r>
            <w:r w:rsidRPr="005E7CB7">
              <w:rPr>
                <w:b/>
                <w:i/>
              </w:rPr>
              <w:t xml:space="preserve"> centralizado.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12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17 – n.º 3 – alínea a)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(a)</w:t>
            </w:r>
            <w:r w:rsidRPr="005E7CB7">
              <w:tab/>
            </w:r>
            <w:r w:rsidRPr="005E7CB7">
              <w:rPr>
                <w:b/>
                <w:i/>
              </w:rPr>
              <w:t>Equilíbrio geográfico entre os institutos participantes</w:t>
            </w:r>
            <w:r w:rsidRPr="005E7CB7">
              <w:t>;</w:t>
            </w:r>
          </w:p>
        </w:tc>
        <w:tc>
          <w:tcPr>
            <w:tcW w:w="4876" w:type="dxa"/>
            <w:hideMark/>
          </w:tcPr>
          <w:p w:rsidR="00FF37C9" w:rsidRPr="005E7CB7" w:rsidRDefault="005E7CB7" w:rsidP="000A4B27">
            <w:pPr>
              <w:pStyle w:val="Normal6"/>
              <w:rPr>
                <w:szCs w:val="24"/>
              </w:rPr>
            </w:pPr>
            <w:r w:rsidRPr="005E7CB7">
              <w:t>(a)</w:t>
            </w:r>
            <w:r w:rsidRPr="005E7CB7">
              <w:tab/>
            </w:r>
            <w:r w:rsidRPr="005E7CB7">
              <w:rPr>
                <w:b/>
                <w:i/>
              </w:rPr>
              <w:t>Conhecimentos especializados pertinentes e experiência suficiente no exame de patentes e certificados complementares de proteção</w:t>
            </w:r>
            <w:r w:rsidRPr="005E7CB7">
              <w:t>;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13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17 – n.º 3 – alínea c)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(c)</w:t>
            </w:r>
            <w:r w:rsidRPr="005E7CB7">
              <w:tab/>
              <w:t xml:space="preserve">Não há </w:t>
            </w:r>
            <w:r w:rsidRPr="005E7CB7">
              <w:rPr>
                <w:b/>
                <w:i/>
              </w:rPr>
              <w:t>mais de um examinador empregado</w:t>
            </w:r>
            <w:r w:rsidRPr="005E7CB7">
              <w:t xml:space="preserve"> por uma autoridade nacional competente a utilizar a isenção prevista no artigo 10.º, n.º 5, do Regulamento [COM(2023) 223].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>(c)</w:t>
            </w:r>
            <w:r w:rsidRPr="005E7CB7">
              <w:tab/>
              <w:t xml:space="preserve">Não há </w:t>
            </w:r>
            <w:r w:rsidRPr="005E7CB7">
              <w:rPr>
                <w:b/>
                <w:i/>
              </w:rPr>
              <w:t>examinadores empregados</w:t>
            </w:r>
            <w:r w:rsidRPr="005E7CB7">
              <w:t xml:space="preserve"> por uma autoridade nacional competente a utilizar a isenção prevista no artigo 10.º, n.º 5, do R</w:t>
            </w:r>
            <w:r w:rsidRPr="005E7CB7">
              <w:t>egulamento [COM(2023) 223].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14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18 – parágrafo 1 – parte introdutória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Após o termo do prazo durante o qual pode ser apresentado um recurso ou uma oposição, sem que tenha sido apresentado qualquer recurso ou oposição, ou após ter sido proferida uma decisão definitiva quanto ao mérito, o Instituto toma uma das seguintes decisõ</w:t>
            </w:r>
            <w:r w:rsidRPr="005E7CB7">
              <w:t>es: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rPr>
                <w:b/>
                <w:i/>
              </w:rPr>
              <w:t xml:space="preserve">O mais tardar, três meses </w:t>
            </w:r>
            <w:r w:rsidRPr="005E7CB7">
              <w:t>após o termo do prazo durante o qual pode ser apresentado um recurso ou uma oposição, sem que tenha sido apresentado qualquer recurso ou oposição, ou após ter sido proferida uma decisão definitiva quanto ao mérito, o Instituto toma uma das seguintes decisõ</w:t>
            </w:r>
            <w:r w:rsidRPr="005E7CB7">
              <w:t>es: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15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18 – parágrafo 1</w:t>
      </w:r>
      <w:r>
        <w:noBreakHyphen/>
      </w:r>
      <w:r w:rsidRPr="005E7CB7">
        <w:t>A (novo)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</w:tcPr>
          <w:p w:rsidR="00FF37C9" w:rsidRPr="005E7CB7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rPr>
                <w:b/>
                <w:i/>
              </w:rPr>
              <w:t>O Instituto notifica o requerente da sua decisão sem demora injustificada.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16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21 – parágrafo 1 – alínea a)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(a)</w:t>
            </w:r>
            <w:r w:rsidRPr="005E7CB7">
              <w:tab/>
              <w:t xml:space="preserve">Se o certificado tiver sido concedido contrariamente ao disposto </w:t>
            </w:r>
            <w:r w:rsidRPr="005E7CB7">
              <w:rPr>
                <w:b/>
                <w:i/>
              </w:rPr>
              <w:t>no artigo</w:t>
            </w:r>
            <w:r w:rsidRPr="005E7CB7">
              <w:t xml:space="preserve"> 3.º;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>(a)</w:t>
            </w:r>
            <w:r w:rsidRPr="005E7CB7">
              <w:tab/>
              <w:t xml:space="preserve">Se o certificado tiver sido concedido contrariamente ao disposto </w:t>
            </w:r>
            <w:r w:rsidRPr="005E7CB7">
              <w:rPr>
                <w:b/>
                <w:i/>
              </w:rPr>
              <w:t>nos artigos</w:t>
            </w:r>
            <w:r w:rsidRPr="005E7CB7">
              <w:t xml:space="preserve"> 3</w:t>
            </w:r>
            <w:r w:rsidRPr="005E7CB7">
              <w:rPr>
                <w:b/>
                <w:i/>
              </w:rPr>
              <w:t>.º e 6</w:t>
            </w:r>
            <w:r w:rsidRPr="005E7CB7">
              <w:t>.º;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17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26 – n.º 3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3.</w:t>
            </w:r>
            <w:r w:rsidRPr="005E7CB7">
              <w:tab/>
            </w:r>
            <w:r w:rsidRPr="005E7CB7">
              <w:t>A notificação de interposição de recurso é apresentada por escrito ao Instituto num prazo de dois meses a contar da data de notificação da decisão. Só se considera que essa notificação foi apresentada após o pagamento da taxa de recurso. Em caso de recurso</w:t>
            </w:r>
            <w:r w:rsidRPr="005E7CB7">
              <w:t>, deve ser apresentada uma declaração escrita que enuncie os fundamentos do recurso no prazo de quatro meses a partir da data de notificação da decisão.</w:t>
            </w:r>
          </w:p>
        </w:tc>
        <w:tc>
          <w:tcPr>
            <w:tcW w:w="4876" w:type="dxa"/>
            <w:hideMark/>
          </w:tcPr>
          <w:p w:rsidR="00FF37C9" w:rsidRPr="005E7CB7" w:rsidRDefault="005E7CB7" w:rsidP="00086550">
            <w:pPr>
              <w:pStyle w:val="Normal6"/>
              <w:rPr>
                <w:szCs w:val="24"/>
              </w:rPr>
            </w:pPr>
            <w:r w:rsidRPr="005E7CB7">
              <w:t>3.</w:t>
            </w:r>
            <w:r w:rsidRPr="005E7CB7">
              <w:tab/>
              <w:t>A notificação de interposição de recurso é apresentada por escrito ao Instituto num prazo de dois me</w:t>
            </w:r>
            <w:r w:rsidRPr="005E7CB7">
              <w:t>ses a contar da data de notificação da decisão. Só se considera que essa notificação foi apresentada após o pagamento da taxa de recurso. Em caso de recurso, deve ser apresentada uma declaração escrita que enuncie os fundamentos do recurso</w:t>
            </w:r>
            <w:r w:rsidRPr="005E7CB7">
              <w:rPr>
                <w:b/>
                <w:i/>
              </w:rPr>
              <w:t xml:space="preserve">, designadamente </w:t>
            </w:r>
            <w:r w:rsidRPr="005E7CB7">
              <w:rPr>
                <w:b/>
                <w:i/>
              </w:rPr>
              <w:t>comprovativos desses fundamentos,</w:t>
            </w:r>
            <w:r w:rsidRPr="005E7CB7">
              <w:t xml:space="preserve"> no prazo de quatro meses a partir da data de notificação da decisão.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18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26 – n.º 5</w:t>
      </w:r>
      <w:r w:rsidRPr="005E7CB7">
        <w:rPr>
          <w:rStyle w:val="HideTWBExt"/>
          <w:b w:val="0"/>
          <w:color w:val="auto"/>
        </w:rPr>
        <w:t>&lt;/Ar</w:t>
      </w:r>
      <w:r w:rsidRPr="005E7CB7">
        <w:rPr>
          <w:rStyle w:val="HideTWBExt"/>
          <w:b w:val="0"/>
          <w:color w:val="auto"/>
        </w:rPr>
        <w:t>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5.</w:t>
            </w:r>
            <w:r w:rsidRPr="005E7CB7">
              <w:tab/>
              <w:t xml:space="preserve">Se um recurso conduzir a uma decisão que não esteja em conformidade com o parecer de exame, a decisão das câmaras de recurso </w:t>
            </w:r>
            <w:r w:rsidRPr="005E7CB7">
              <w:rPr>
                <w:b/>
                <w:i/>
              </w:rPr>
              <w:t>pode anular</w:t>
            </w:r>
            <w:r w:rsidRPr="005E7CB7">
              <w:t xml:space="preserve"> ou </w:t>
            </w:r>
            <w:r w:rsidRPr="005E7CB7">
              <w:rPr>
                <w:b/>
                <w:i/>
              </w:rPr>
              <w:t>alterar</w:t>
            </w:r>
            <w:r w:rsidRPr="005E7CB7">
              <w:t xml:space="preserve"> o parecer.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>5.</w:t>
            </w:r>
            <w:r w:rsidRPr="005E7CB7">
              <w:tab/>
            </w:r>
            <w:r w:rsidRPr="005E7CB7">
              <w:t xml:space="preserve">Se um recurso conduzir a uma decisão que não esteja em conformidade com o parecer de exame, a decisão das câmaras de recurso </w:t>
            </w:r>
            <w:r w:rsidRPr="005E7CB7">
              <w:rPr>
                <w:b/>
                <w:i/>
              </w:rPr>
              <w:t>anula</w:t>
            </w:r>
            <w:r w:rsidRPr="005E7CB7">
              <w:t xml:space="preserve"> ou </w:t>
            </w:r>
            <w:r w:rsidRPr="005E7CB7">
              <w:rPr>
                <w:b/>
                <w:i/>
              </w:rPr>
              <w:t>altera</w:t>
            </w:r>
            <w:r w:rsidRPr="005E7CB7">
              <w:t xml:space="preserve"> o parecer.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19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27 – n.º 4</w:t>
      </w:r>
      <w:r>
        <w:noBreakHyphen/>
      </w:r>
      <w:r w:rsidRPr="005E7CB7">
        <w:t>A (novo)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</w:tcPr>
          <w:p w:rsidR="00FF37C9" w:rsidRPr="005E7CB7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rPr>
                <w:b/>
                <w:i/>
              </w:rPr>
              <w:t>4</w:t>
            </w:r>
            <w:r>
              <w:rPr>
                <w:b/>
                <w:i/>
              </w:rPr>
              <w:noBreakHyphen/>
            </w:r>
            <w:r w:rsidRPr="005E7CB7">
              <w:rPr>
                <w:b/>
                <w:i/>
              </w:rPr>
              <w:t>A.</w:t>
            </w:r>
            <w:r w:rsidRPr="005E7CB7">
              <w:rPr>
                <w:b/>
                <w:i/>
              </w:rPr>
              <w:tab/>
              <w:t>São aplicáveis as regras previstas no artigo 166.º, n.º 9, do Regulamento (UE) 2017/1001.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20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30 – parágrafo 1</w:t>
      </w:r>
      <w:r>
        <w:noBreakHyphen/>
      </w:r>
      <w:r w:rsidRPr="005E7CB7">
        <w:t>A (novo)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</w:tcPr>
          <w:p w:rsidR="00FF37C9" w:rsidRPr="005E7CB7" w:rsidRDefault="00FF37C9">
            <w:pPr>
              <w:pStyle w:val="Normal6"/>
            </w:pPr>
          </w:p>
        </w:tc>
        <w:tc>
          <w:tcPr>
            <w:tcW w:w="4876" w:type="dxa"/>
            <w:hideMark/>
          </w:tcPr>
          <w:p w:rsidR="00FF37C9" w:rsidRPr="005E7CB7" w:rsidRDefault="005E7CB7" w:rsidP="00D810B0">
            <w:pPr>
              <w:pStyle w:val="Normal6"/>
              <w:rPr>
                <w:szCs w:val="24"/>
              </w:rPr>
            </w:pPr>
            <w:r w:rsidRPr="005E7CB7">
              <w:rPr>
                <w:b/>
                <w:i/>
              </w:rPr>
              <w:t>O requerente é responsável pela exatidão das informações e da documentação apresentadas no que respeita ao seu pedido.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21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33 – n.º 1 – alínea k)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(k)</w:t>
            </w:r>
            <w:r w:rsidRPr="005E7CB7">
              <w:tab/>
              <w:t>Se for caso disso, a apresentação de uma oposição e o resultado do processo de oposição, incluindo, sempre que necessário, um resumo do parecer de exame revisto;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>(k)</w:t>
            </w:r>
            <w:r w:rsidRPr="005E7CB7">
              <w:tab/>
            </w:r>
            <w:r w:rsidRPr="005E7CB7">
              <w:t>Se for caso disso, a apresentação de uma oposição</w:t>
            </w:r>
            <w:r w:rsidRPr="005E7CB7">
              <w:rPr>
                <w:b/>
                <w:i/>
              </w:rPr>
              <w:t>, o seu estatuto</w:t>
            </w:r>
            <w:r w:rsidRPr="005E7CB7">
              <w:t xml:space="preserve"> e o resultado do processo de oposição, incluindo, sempre que necessário, um resumo do parecer de exame revisto;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22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33 – n.º 1 – alínea l)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(l)</w:t>
            </w:r>
            <w:r w:rsidRPr="005E7CB7">
              <w:tab/>
            </w:r>
            <w:r w:rsidRPr="005E7CB7">
              <w:t>Se for caso disso, a interposição de um recurso e o resultado do processo de recurso, incluindo, sempre que necessário, um resumo do parecer de exame revisto;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>(l)</w:t>
            </w:r>
            <w:r w:rsidRPr="005E7CB7">
              <w:tab/>
              <w:t>Se for caso disso, a interposição de um recurso</w:t>
            </w:r>
            <w:r w:rsidRPr="005E7CB7">
              <w:rPr>
                <w:b/>
                <w:i/>
              </w:rPr>
              <w:t>, o seu estatuto</w:t>
            </w:r>
            <w:r w:rsidRPr="005E7CB7">
              <w:t xml:space="preserve"> e o resultado do processo de </w:t>
            </w:r>
            <w:r w:rsidRPr="005E7CB7">
              <w:t>recurso, incluindo, sempre que necessário, um resumo do parecer de exame revisto;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23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40 – n.º 3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>3.</w:t>
            </w:r>
            <w:r w:rsidRPr="005E7CB7">
              <w:tab/>
              <w:t>Se o Instituto ou o painel pertinente considerar necessário que uma parte, uma testemunha ou um perito deponha oralmente, convida a pessoa em causa a comparecer. O prazo previsto em tal citação é no mínimo de um mês, a não s</w:t>
            </w:r>
            <w:r w:rsidRPr="005E7CB7">
              <w:t>er que os interessados acordem num prazo mais curto.</w:t>
            </w:r>
          </w:p>
        </w:tc>
        <w:tc>
          <w:tcPr>
            <w:tcW w:w="4876" w:type="dxa"/>
            <w:hideMark/>
          </w:tcPr>
          <w:p w:rsidR="00FF37C9" w:rsidRPr="005E7CB7" w:rsidRDefault="005E7CB7" w:rsidP="00DD225A">
            <w:pPr>
              <w:pStyle w:val="Normal6"/>
              <w:rPr>
                <w:szCs w:val="24"/>
              </w:rPr>
            </w:pPr>
            <w:r w:rsidRPr="005E7CB7">
              <w:t>3.</w:t>
            </w:r>
            <w:r w:rsidRPr="005E7CB7">
              <w:tab/>
              <w:t xml:space="preserve">Se o Instituto ou o painel pertinente considerar necessário que uma parte, uma testemunha ou um perito deponha oralmente, convida a pessoa em causa a comparecer. </w:t>
            </w:r>
            <w:r w:rsidRPr="005E7CB7">
              <w:rPr>
                <w:b/>
                <w:i/>
              </w:rPr>
              <w:t>Se um perito for convocado, procede</w:t>
            </w:r>
            <w:r>
              <w:rPr>
                <w:b/>
                <w:i/>
              </w:rPr>
              <w:noBreakHyphen/>
            </w:r>
            <w:r w:rsidRPr="005E7CB7">
              <w:rPr>
                <w:b/>
                <w:i/>
              </w:rPr>
              <w:t>se</w:t>
            </w:r>
            <w:r w:rsidRPr="005E7CB7">
              <w:rPr>
                <w:b/>
                <w:i/>
              </w:rPr>
              <w:t xml:space="preserve"> a uma verificação para confirmar que não existem conflitos de interesses.</w:t>
            </w:r>
            <w:r w:rsidRPr="005E7CB7">
              <w:t xml:space="preserve"> O prazo previsto em tal citação é no mínimo de um mês, a não ser que os interessados acordem num prazo mais curto.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</w:t>
      </w:r>
    </w:p>
    <w:p w:rsidR="00FF37C9" w:rsidRPr="005E7CB7" w:rsidRDefault="005E7CB7" w:rsidP="00FF37C9">
      <w:pPr>
        <w:pStyle w:val="AMNumberTabs0"/>
        <w:keepNext/>
      </w:pPr>
      <w:r w:rsidRPr="005E7CB7">
        <w:rPr>
          <w:rStyle w:val="HideTWBExt"/>
          <w:b w:val="0"/>
          <w:color w:val="auto"/>
        </w:rPr>
        <w:t>&lt;Amend&gt;</w:t>
      </w:r>
      <w:r w:rsidRPr="005E7CB7">
        <w:t>Alteração</w:t>
      </w:r>
      <w:r w:rsidRPr="005E7CB7">
        <w:tab/>
      </w:r>
      <w:r w:rsidRPr="005E7CB7">
        <w:tab/>
      </w:r>
      <w:r w:rsidRPr="005E7CB7">
        <w:rPr>
          <w:rStyle w:val="HideTWBExt"/>
          <w:b w:val="0"/>
          <w:color w:val="auto"/>
        </w:rPr>
        <w:t>&lt;NumAm&gt;</w:t>
      </w:r>
      <w:r w:rsidRPr="005E7CB7">
        <w:t>24</w:t>
      </w:r>
      <w:r w:rsidRPr="005E7CB7">
        <w:rPr>
          <w:rStyle w:val="HideTWBExt"/>
          <w:b w:val="0"/>
          <w:color w:val="auto"/>
        </w:rPr>
        <w:t>&lt;/NumAm&gt;</w:t>
      </w:r>
    </w:p>
    <w:p w:rsidR="00FF37C9" w:rsidRPr="005E7CB7" w:rsidRDefault="005E7CB7" w:rsidP="00FF37C9">
      <w:pPr>
        <w:pStyle w:val="NormalBold12b"/>
        <w:keepNext/>
      </w:pPr>
      <w:r w:rsidRPr="005E7CB7">
        <w:rPr>
          <w:rStyle w:val="HideTWBExt"/>
          <w:b w:val="0"/>
          <w:color w:val="auto"/>
        </w:rPr>
        <w:t>&lt;DocAmend&gt;</w:t>
      </w:r>
      <w:r w:rsidRPr="005E7CB7">
        <w:t>Proposta de regulamento</w:t>
      </w:r>
      <w:r w:rsidRPr="005E7CB7">
        <w:rPr>
          <w:rStyle w:val="HideTWBExt"/>
          <w:b w:val="0"/>
          <w:color w:val="auto"/>
        </w:rPr>
        <w:t>&lt;/DocAmend&gt;</w:t>
      </w:r>
    </w:p>
    <w:p w:rsidR="00FF37C9" w:rsidRPr="005E7CB7" w:rsidRDefault="005E7CB7" w:rsidP="00FF37C9">
      <w:pPr>
        <w:pStyle w:val="NormalBold"/>
      </w:pPr>
      <w:r w:rsidRPr="005E7CB7">
        <w:rPr>
          <w:rStyle w:val="HideTWBExt"/>
          <w:b w:val="0"/>
          <w:color w:val="auto"/>
        </w:rPr>
        <w:t>&lt;Article&gt;</w:t>
      </w:r>
      <w:r w:rsidRPr="005E7CB7">
        <w:t>Artigo 51 – parágrafo 1</w:t>
      </w:r>
      <w:r w:rsidRPr="005E7CB7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7CB7" w:rsidRPr="005E7CB7" w:rsidTr="00FF37C9">
        <w:trPr>
          <w:jc w:val="center"/>
        </w:trPr>
        <w:tc>
          <w:tcPr>
            <w:tcW w:w="9752" w:type="dxa"/>
            <w:gridSpan w:val="2"/>
          </w:tcPr>
          <w:p w:rsidR="00FF37C9" w:rsidRPr="005E7CB7" w:rsidRDefault="00FF37C9">
            <w:pPr>
              <w:keepNext/>
            </w:pP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Texto da Comissão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ColumnHeading"/>
              <w:keepNext/>
            </w:pPr>
            <w:r w:rsidRPr="005E7CB7">
              <w:t>Alteração</w:t>
            </w:r>
          </w:p>
        </w:tc>
      </w:tr>
      <w:tr w:rsidR="005E7CB7" w:rsidRPr="005E7CB7" w:rsidTr="00FF37C9">
        <w:trPr>
          <w:jc w:val="center"/>
        </w:trPr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</w:pPr>
            <w:r w:rsidRPr="005E7CB7">
              <w:t xml:space="preserve">Até </w:t>
            </w:r>
            <w:r w:rsidRPr="005E7CB7">
              <w:rPr>
                <w:b/>
                <w:i/>
              </w:rPr>
              <w:t>xxxxxx</w:t>
            </w:r>
            <w:r w:rsidRPr="005E7CB7">
              <w:t xml:space="preserve"> [SP inserir: </w:t>
            </w:r>
            <w:r w:rsidRPr="005E7CB7">
              <w:t>cinco anos após a data de aplicação] e, seguidamente, de cinco em cinco anos, a Comissão avalia a execução do presente regulamento.</w:t>
            </w:r>
          </w:p>
        </w:tc>
        <w:tc>
          <w:tcPr>
            <w:tcW w:w="4876" w:type="dxa"/>
            <w:hideMark/>
          </w:tcPr>
          <w:p w:rsidR="00FF37C9" w:rsidRPr="005E7CB7" w:rsidRDefault="005E7CB7">
            <w:pPr>
              <w:pStyle w:val="Normal6"/>
              <w:rPr>
                <w:szCs w:val="24"/>
              </w:rPr>
            </w:pPr>
            <w:r w:rsidRPr="005E7CB7">
              <w:t xml:space="preserve">Até </w:t>
            </w:r>
            <w:r w:rsidRPr="005E7CB7">
              <w:rPr>
                <w:b/>
                <w:i/>
              </w:rPr>
              <w:t xml:space="preserve">... </w:t>
            </w:r>
            <w:r w:rsidRPr="005E7CB7">
              <w:t>[SP inserir: cinco anos</w:t>
            </w:r>
            <w:r w:rsidRPr="005E7CB7">
              <w:rPr>
                <w:b/>
                <w:i/>
              </w:rPr>
              <w:t xml:space="preserve"> a</w:t>
            </w:r>
            <w:r w:rsidRPr="005E7CB7">
              <w:t xml:space="preserve"> após a data de aplicação] e, seguidamente, de cinco em cinco anos, a Comissão avalia a exe</w:t>
            </w:r>
            <w:r w:rsidRPr="005E7CB7">
              <w:t>cução do presente regulamento</w:t>
            </w:r>
            <w:r w:rsidRPr="005E7CB7">
              <w:rPr>
                <w:b/>
                <w:i/>
              </w:rPr>
              <w:t xml:space="preserve"> e apresenta um relatório sobre as principais conclusões ao Parlamento Europeu e ao Conselho.</w:t>
            </w:r>
            <w:r w:rsidRPr="005E7CB7">
              <w:t xml:space="preserve"> </w:t>
            </w:r>
            <w:r w:rsidRPr="005E7CB7">
              <w:rPr>
                <w:b/>
                <w:i/>
              </w:rPr>
              <w:t>No seu relatório, a Comissão avalia e determina se é adequada a criação de um procedimento de autorização central para os produtos fi</w:t>
            </w:r>
            <w:r w:rsidRPr="005E7CB7">
              <w:rPr>
                <w:b/>
                <w:i/>
              </w:rPr>
              <w:t>tofarmacêuticos no âmbito da Autoridade Europeia para a Segurança dos Alimentos e se este procedimento é eficiente e necessário</w:t>
            </w:r>
            <w:r w:rsidRPr="005E7CB7">
              <w:t>.</w:t>
            </w:r>
          </w:p>
        </w:tc>
      </w:tr>
    </w:tbl>
    <w:p w:rsidR="00FF37C9" w:rsidRPr="005E7CB7" w:rsidRDefault="005E7CB7" w:rsidP="00FF37C9">
      <w:pPr>
        <w:pStyle w:val="Olang"/>
        <w:rPr>
          <w:sz w:val="24"/>
          <w:szCs w:val="24"/>
        </w:rPr>
      </w:pPr>
      <w:r w:rsidRPr="005E7CB7">
        <w:rPr>
          <w:sz w:val="24"/>
          <w:szCs w:val="24"/>
        </w:rPr>
        <w:t xml:space="preserve">Or. </w:t>
      </w:r>
      <w:r w:rsidRPr="005E7CB7">
        <w:rPr>
          <w:rStyle w:val="HideTWBExt"/>
          <w:color w:val="auto"/>
        </w:rPr>
        <w:t>&lt;Original&gt;</w:t>
      </w:r>
      <w:r w:rsidRPr="005E7CB7">
        <w:rPr>
          <w:rStyle w:val="HideTWBInt"/>
          <w:color w:val="auto"/>
          <w:sz w:val="24"/>
          <w:szCs w:val="24"/>
        </w:rPr>
        <w:t>{EN}</w:t>
      </w:r>
      <w:r w:rsidRPr="005E7CB7">
        <w:rPr>
          <w:sz w:val="24"/>
          <w:szCs w:val="24"/>
        </w:rPr>
        <w:t>en</w:t>
      </w:r>
      <w:r w:rsidRPr="005E7CB7">
        <w:rPr>
          <w:rStyle w:val="HideTWBExt"/>
          <w:color w:val="auto"/>
        </w:rPr>
        <w:t>&lt;/Original&gt;</w:t>
      </w:r>
    </w:p>
    <w:p w:rsidR="00FF37C9" w:rsidRPr="005E7CB7" w:rsidRDefault="005E7CB7" w:rsidP="00FF37C9">
      <w:pPr>
        <w:rPr>
          <w:szCs w:val="24"/>
        </w:rPr>
      </w:pPr>
      <w:r w:rsidRPr="005E7CB7">
        <w:rPr>
          <w:rStyle w:val="HideTWBExt"/>
          <w:color w:val="auto"/>
        </w:rPr>
        <w:t>&lt;/Amend&gt;&lt;/RepeatBlock-Amend&gt;</w:t>
      </w:r>
    </w:p>
    <w:p w:rsidR="00FF37C9" w:rsidRPr="005E7CB7" w:rsidRDefault="00FF37C9" w:rsidP="00FF37C9"/>
    <w:p w:rsidR="002669B6" w:rsidRPr="005E7CB7" w:rsidRDefault="002669B6" w:rsidP="00FF37C9">
      <w:pPr>
        <w:pStyle w:val="AmNumberTabs"/>
        <w:keepNext/>
      </w:pPr>
    </w:p>
    <w:sectPr w:rsidR="002669B6" w:rsidRPr="005E7CB7" w:rsidSect="008754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875493" w:rsidRDefault="005E7CB7">
      <w:r w:rsidRPr="00875493">
        <w:separator/>
      </w:r>
    </w:p>
  </w:endnote>
  <w:endnote w:type="continuationSeparator" w:id="0">
    <w:p w:rsidR="00000000" w:rsidRPr="00875493" w:rsidRDefault="005E7CB7">
      <w:r w:rsidRPr="008754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493" w:rsidRPr="00875493" w:rsidRDefault="00875493" w:rsidP="00875493">
    <w:pPr>
      <w:pStyle w:val="EPFooter"/>
    </w:pPr>
    <w:r w:rsidRPr="00875493">
      <w:t>PE</w:t>
    </w:r>
    <w:r w:rsidRPr="00875493">
      <w:rPr>
        <w:rStyle w:val="HideTWBExt"/>
      </w:rPr>
      <w:t>&lt;NoPE&gt;</w:t>
    </w:r>
    <w:r w:rsidRPr="00875493">
      <w:t>753.702</w:t>
    </w:r>
    <w:r w:rsidRPr="00875493">
      <w:rPr>
        <w:rStyle w:val="HideTWBExt"/>
      </w:rPr>
      <w:t>&lt;/NoPE&gt;&lt;Version&gt;</w:t>
    </w:r>
    <w:r w:rsidRPr="00875493">
      <w:t>v01</w:t>
    </w:r>
    <w:r w:rsidR="005E7CB7">
      <w:noBreakHyphen/>
    </w:r>
    <w:r w:rsidRPr="00875493">
      <w:t>00</w:t>
    </w:r>
    <w:r w:rsidRPr="00875493">
      <w:rPr>
        <w:rStyle w:val="HideTWBExt"/>
      </w:rPr>
      <w:t>&lt;/Version&gt;</w:t>
    </w:r>
    <w:r w:rsidRPr="00875493">
      <w:tab/>
    </w:r>
    <w:r w:rsidRPr="00875493">
      <w:fldChar w:fldCharType="begin"/>
    </w:r>
    <w:r w:rsidRPr="00875493">
      <w:instrText xml:space="preserve"> PAGE  \* MERGEFORMAT </w:instrText>
    </w:r>
    <w:r w:rsidRPr="00875493">
      <w:fldChar w:fldCharType="separate"/>
    </w:r>
    <w:r w:rsidR="005E7CB7">
      <w:rPr>
        <w:noProof/>
      </w:rPr>
      <w:t>2</w:t>
    </w:r>
    <w:r w:rsidRPr="00875493">
      <w:fldChar w:fldCharType="end"/>
    </w:r>
    <w:r w:rsidRPr="00875493">
      <w:t>/</w:t>
    </w:r>
    <w:fldSimple w:instr=" NUMPAGES  \* MERGEFORMAT ">
      <w:r w:rsidR="005E7CB7">
        <w:rPr>
          <w:noProof/>
        </w:rPr>
        <w:t>13</w:t>
      </w:r>
    </w:fldSimple>
    <w:r w:rsidRPr="00875493">
      <w:tab/>
    </w:r>
    <w:r w:rsidRPr="00875493">
      <w:rPr>
        <w:rStyle w:val="HideTWBExt"/>
      </w:rPr>
      <w:t>&lt;PathFdR&gt;</w:t>
    </w:r>
    <w:r w:rsidRPr="00875493">
      <w:t>PR\1286820PT.docx</w:t>
    </w:r>
    <w:r w:rsidRPr="00875493">
      <w:rPr>
        <w:rStyle w:val="HideTWBExt"/>
      </w:rPr>
      <w:t>&lt;/PathFdR&gt;</w:t>
    </w:r>
  </w:p>
  <w:p w:rsidR="00FB52FE" w:rsidRPr="00875493" w:rsidRDefault="00875493" w:rsidP="00875493">
    <w:pPr>
      <w:pStyle w:val="EPFooter2"/>
    </w:pPr>
    <w:r w:rsidRPr="00875493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493" w:rsidRPr="00875493" w:rsidRDefault="00875493" w:rsidP="00875493">
    <w:pPr>
      <w:pStyle w:val="EPFooter"/>
    </w:pPr>
    <w:r w:rsidRPr="00875493">
      <w:rPr>
        <w:rStyle w:val="HideTWBExt"/>
      </w:rPr>
      <w:t>&lt;PathFdR&gt;</w:t>
    </w:r>
    <w:r w:rsidRPr="00875493">
      <w:t>PR\1286820PT.docx</w:t>
    </w:r>
    <w:r w:rsidRPr="00875493">
      <w:rPr>
        <w:rStyle w:val="HideTWBExt"/>
      </w:rPr>
      <w:t>&lt;/PathFdR&gt;</w:t>
    </w:r>
    <w:r w:rsidRPr="00875493">
      <w:tab/>
    </w:r>
    <w:r w:rsidRPr="00875493">
      <w:fldChar w:fldCharType="begin"/>
    </w:r>
    <w:r w:rsidRPr="00875493">
      <w:instrText xml:space="preserve"> PAGE  \* MERGEFORMAT </w:instrText>
    </w:r>
    <w:r w:rsidRPr="00875493">
      <w:fldChar w:fldCharType="separate"/>
    </w:r>
    <w:r w:rsidR="005E7CB7">
      <w:rPr>
        <w:noProof/>
      </w:rPr>
      <w:t>13</w:t>
    </w:r>
    <w:r w:rsidRPr="00875493">
      <w:fldChar w:fldCharType="end"/>
    </w:r>
    <w:r w:rsidRPr="00875493">
      <w:t>/</w:t>
    </w:r>
    <w:fldSimple w:instr=" NUMPAGES  \* MERGEFORMAT ">
      <w:r w:rsidR="005E7CB7">
        <w:rPr>
          <w:noProof/>
        </w:rPr>
        <w:t>13</w:t>
      </w:r>
    </w:fldSimple>
    <w:r w:rsidRPr="00875493">
      <w:tab/>
      <w:t>PE</w:t>
    </w:r>
    <w:r w:rsidRPr="00875493">
      <w:rPr>
        <w:rStyle w:val="HideTWBExt"/>
      </w:rPr>
      <w:t>&lt;NoPE&gt;</w:t>
    </w:r>
    <w:r w:rsidRPr="00875493">
      <w:t>753.702</w:t>
    </w:r>
    <w:r w:rsidRPr="00875493">
      <w:rPr>
        <w:rStyle w:val="HideTWBExt"/>
      </w:rPr>
      <w:t>&lt;/NoPE&gt;&lt;Version&gt;</w:t>
    </w:r>
    <w:r w:rsidRPr="00875493">
      <w:t>v01</w:t>
    </w:r>
    <w:r w:rsidR="005E7CB7">
      <w:noBreakHyphen/>
    </w:r>
    <w:r w:rsidRPr="00875493">
      <w:t>00</w:t>
    </w:r>
    <w:r w:rsidRPr="00875493">
      <w:rPr>
        <w:rStyle w:val="HideTWBExt"/>
      </w:rPr>
      <w:t>&lt;/Version&gt;</w:t>
    </w:r>
  </w:p>
  <w:p w:rsidR="00FB52FE" w:rsidRPr="00875493" w:rsidRDefault="00875493" w:rsidP="00875493">
    <w:pPr>
      <w:pStyle w:val="EPFooter2"/>
    </w:pPr>
    <w:r w:rsidRPr="00875493">
      <w:tab/>
    </w:r>
    <w:r w:rsidRPr="00875493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493" w:rsidRPr="00875493" w:rsidRDefault="00875493" w:rsidP="00875493">
    <w:pPr>
      <w:pStyle w:val="EPFooter"/>
    </w:pPr>
    <w:r w:rsidRPr="00875493">
      <w:rPr>
        <w:rStyle w:val="HideTWBExt"/>
      </w:rPr>
      <w:t>&lt;PathFdR&gt;</w:t>
    </w:r>
    <w:r w:rsidRPr="00875493">
      <w:t>PR\1286820PT.docx</w:t>
    </w:r>
    <w:r w:rsidRPr="00875493">
      <w:rPr>
        <w:rStyle w:val="HideTWBExt"/>
      </w:rPr>
      <w:t>&lt;/PathFdR&gt;</w:t>
    </w:r>
    <w:r w:rsidRPr="00875493">
      <w:tab/>
    </w:r>
    <w:r w:rsidRPr="00875493">
      <w:tab/>
      <w:t>PE</w:t>
    </w:r>
    <w:r w:rsidRPr="00875493">
      <w:rPr>
        <w:rStyle w:val="HideTWBExt"/>
      </w:rPr>
      <w:t>&lt;NoPE&gt;</w:t>
    </w:r>
    <w:r w:rsidRPr="00875493">
      <w:t>753.702</w:t>
    </w:r>
    <w:r w:rsidRPr="00875493">
      <w:rPr>
        <w:rStyle w:val="HideTWBExt"/>
      </w:rPr>
      <w:t>&lt;/NoPE&gt;&lt;Version&gt;</w:t>
    </w:r>
    <w:r w:rsidRPr="00875493">
      <w:t>v01</w:t>
    </w:r>
    <w:r w:rsidR="005E7CB7">
      <w:noBreakHyphen/>
    </w:r>
    <w:r w:rsidRPr="00875493">
      <w:t>00</w:t>
    </w:r>
    <w:r w:rsidRPr="00875493">
      <w:rPr>
        <w:rStyle w:val="HideTWBExt"/>
      </w:rPr>
      <w:t>&lt;/Version&gt;</w:t>
    </w:r>
  </w:p>
  <w:p w:rsidR="00FB52FE" w:rsidRPr="00875493" w:rsidRDefault="00875493" w:rsidP="00875493">
    <w:pPr>
      <w:pStyle w:val="EPFooter2"/>
    </w:pPr>
    <w:r w:rsidRPr="00875493">
      <w:t>PT</w:t>
    </w:r>
    <w:r w:rsidRPr="00875493">
      <w:tab/>
    </w:r>
    <w:r w:rsidRPr="00875493">
      <w:rPr>
        <w:b w:val="0"/>
        <w:i/>
        <w:color w:val="C0C0C0"/>
        <w:sz w:val="22"/>
      </w:rPr>
      <w:t>Unida na diversidade</w:t>
    </w:r>
    <w:r w:rsidRPr="00875493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875493" w:rsidRDefault="005E7CB7">
      <w:r w:rsidRPr="00875493">
        <w:separator/>
      </w:r>
    </w:p>
  </w:footnote>
  <w:footnote w:type="continuationSeparator" w:id="0">
    <w:p w:rsidR="00000000" w:rsidRPr="00875493" w:rsidRDefault="005E7CB7">
      <w:r w:rsidRPr="008754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CB7" w:rsidRDefault="005E7C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CB7" w:rsidRDefault="005E7C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CB7" w:rsidRDefault="005E7C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JURI"/>
    <w:docVar w:name="CopyToNetwork" w:val="-1"/>
    <w:docVar w:name="CVar" w:val="2"/>
    <w:docVar w:name="DOCMNU" w:val=" 1"/>
    <w:docVar w:name="EPOJMNU" w:val=" 3"/>
    <w:docVar w:name="EPSTATMNU" w:val=" 1"/>
    <w:docVar w:name="EPSTATPLURMNU" w:val=" 1"/>
    <w:docVar w:name="iNoAmend" w:val="2"/>
    <w:docVar w:name="INSTITUTIONSMNU" w:val=" 2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1\fbidi \froman\fcharset238\fprq2 Times New Roman CE;}{\f302\fbidi \froman\fcharset204\fprq2 Times New Roman Cyr;}_x000d__x000a_{\f304\fbidi \froman\fcharset161\fprq2 Times New Roman Greek;}{\f305\fbidi \froman\fcharset162\fprq2 Times New Roman Tur;}{\f306\fbidi \froman\fcharset177\fprq2 Times New Roman (Hebrew);}{\f307\fbidi \froman\fcharset178\fprq2 Times New Roman (Arabic);}_x000d__x000a_{\f308\fbidi \froman\fcharset186\fprq2 Times New Roman Baltic;}{\f309\fbidi \froman\fcharset163\fprq2 Times New Roman (Vietnamese);}{\f311\fbidi \fswiss\fcharset238\fprq2 Arial CE;}{\f312\fbidi \fswiss\fcharset204\fprq2 Arial Cyr;}_x000d__x000a_{\f314\fbidi \fswiss\fcharset161\fprq2 Arial Greek;}{\f315\fbidi \fswiss\fcharset162\fprq2 Arial Tur;}{\f316\fbidi \fswiss\fcharset177\fprq2 Arial (Hebrew);}{\f317\fbidi \fswiss\fcharset178\fprq2 Arial (Arabic);}_x000d__x000a_{\f318\fbidi \fswiss\fcharset186\fprq2 Arial Baltic;}{\f319\fbidi \fswiss\fcharset163\fprq2 Arial (Vietnamese);}{\f641\fbidi \froman\fcharset238\fprq2 Cambria Math CE;}{\f642\fbidi \froman\fcharset204\fprq2 Cambria Math Cyr;}_x000d__x000a_{\f644\fbidi \froman\fcharset161\fprq2 Cambria Math Greek;}{\f645\fbidi \froman\fcharset162\fprq2 Cambria Math Tur;}{\f648\fbidi \froman\fcharset186\fprq2 Cambria Math Baltic;}{\f64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409557 HideTWBExt;}{\*\cs18 \additive \v\f1\fs20\cf15 _x000d__x000a_\spriority0 \styrsid16409557 HideTWBInt;}{\s19\ql \li0\ri0\sa120\nowidctlpar\wrapdefault\aspalpha\aspnum\faauto\adjustright\rin0\lin0\itap0 \rtlch\fcs1 \af0\afs20\alang1025 \ltrch\fcs0 \fs24\lang2057\langfe2057\cgrid\langnp2057\langfenp2057 _x000d__x000a_\sbasedon0 \snext19 \spriority0 \styrsid16409557 Normal6a;}{\s20\ql \li0\ri0\nowidctlpar\wrapdefault\aspalpha\aspnum\faauto\adjustright\rin0\lin0\itap0 \rtlch\fcs1 \af0\afs20\alang1025 \ltrch\fcs0 \b\fs24\lang2057\langfe2057\cgrid\langnp2057\langfenp2057 _x000d__x000a_\sbasedon0 \snext20 \spriority0 \styrsid16409557 NormalBold;}{\s21\ql \li0\ri0\sa240\nowidctlpar\wrapdefault\aspalpha\aspnum\faauto\adjustright\rin0\lin0\itap0 \rtlch\fcs1 \af0\afs20\alang1025 \ltrch\fcs0 _x000d__x000a_\i\fs24\lang2057\langfe2057\cgrid\langnp2057\langfenp2057 \sbasedon0 \snext21 \spriority0 \styrsid16409557 AmJustText;}{\s22\qc \li0\ri0\sb240\sa240\nowidctlpar\wrapdefault\aspalpha\aspnum\faauto\adjustright\rin0\lin0\itap0 \rtlch\fcs1 _x000d__x000a_\af0\afs20\alang1025 \ltrch\fcs0 \i\fs24\lang2057\langfe2057\cgrid\langnp2057\langfenp2057 \sbasedon0 \snext22 \spriority0 \styrsid1640955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6409557 AmJustTitle;}{\s24\qr \li0\ri0\sb240\sa240\nowidctlpar\wrapdefault\aspalpha\aspnum\faauto\adjustright\rin0\lin0\itap0 \rtlch\fcs1 \af0\afs20\alang1025 \ltrch\fcs0 _x000d__x000a_\fs24\lang2057\langfe2057\cgrid\langnp2057\langfenp2057 \sbasedon0 \snext24 \spriority0 \styrsid16409557 AmOrLang;}{\s25\qc \li0\ri0\sa240\nowidctlpar\wrapdefault\aspalpha\aspnum\faauto\adjustright\rin0\lin0\itap0 \rtlch\fcs1 \af0\afs20\alang1025 _x000d__x000a_\ltrch\fcs0 \i\fs24\lang2057\langfe2057\cgrid\langnp2057\langfenp2057 \sbasedon0 \snext25 \spriority0 \styrsid1640955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6409557 AmNumberTabs;}{\s27\ql \li0\ri0\sb240\nowidctlpar\wrapdefault\aspalpha\aspnum\faauto\adjustright\rin0\lin0\itap0 \rtlch\fcs1 _x000d__x000a_\af0\afs20\alang1025 \ltrch\fcs0 \b\fs24\lang2057\langfe2057\cgrid\langnp2057\langfenp2057 \sbasedon0 \snext27 \spriority0 \styrsid16409557 NormalBold12b;}}{\*\rsidtbl \rsid24658\rsid223860\rsid735077\rsid1718133\rsid1976952\rsid2892074\rsid3565327_x000d__x000a_\rsid4666813\rsid6641733\rsid7823322\rsid9636012\rsid10377208\rsid11215221\rsid11549030\rsid12154954\rsid14382809\rsid14424199\rsid15204470\rsid15285974\rsid15950462\rsid16324206\rsid16409557\rsid16662270}{\mmathPr\mmathFont34\mbrkBin0\mbrkBinSub0_x000d__x000a_\msmallFrac0\mdispDef1\mlMargin0\mrMargin0\mdefJc1\mwrapIndent1440\mintLim0\mnaryLim1}{\info{\author RODRIGUEZ MALNERO Yolanda}{\operator RODRIGUEZ MALNERO Yolanda}{\creatim\yr2023\mo7\dy19\hr11\min23}{\revtim\yr2023\mo7\dy19\hr11\min23}{\version1}_x000d__x000a_{\edmins0}{\nofpages1}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40955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YRODRI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97695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9769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9769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97695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6409557 \rtlch\fcs1 _x000d__x000a_\af0\afs20\alang1025 \ltrch\fcs0 \b\fs24\lang2057\langfe2057\cgrid\langnp2057\langfenp2057 {\rtlch\fcs1 \af0 \ltrch\fcs0 \cs17\b0\v\fs20\cf9\lang1024\langfe1024\loch\af1\hich\af1\dbch\af31501\noproof\insrsid16409557\charrsid926735 {\*\bkmkstart restart}_x000d__x000a_\hich\af1\dbch\af31501\loch\f1 &lt;Amend&gt;}{\rtlch\fcs1 \af0 \ltrch\fcs0 \insrsid16409557\charrsid926735 Amendment\tab \tab }{\rtlch\fcs1 \af0 \ltrch\fcs0 _x000d__x000a_\cs17\b0\v\fs20\cf9\lang1024\langfe1024\loch\af1\hich\af1\dbch\af31501\noproof\insrsid16409557\charrsid926735 \hich\af1\dbch\af31501\loch\f1 &lt;NumAm&gt;}{\rtlch\fcs1 \af0 \ltrch\fcs0 \insrsid16409557\charrsid926735 #}{\rtlch\fcs1 \af1 \ltrch\fcs0 _x000d__x000a_\cs18\v\f1\fs20\cf15\insrsid16409557\charrsid926735 ENMIENDA@NRAM@}{\rtlch\fcs1 \af0 \ltrch\fcs0 \insrsid16409557\charrsid926735 #}{\rtlch\fcs1 \af0 \ltrch\fcs0 _x000d__x000a_\cs17\b0\v\fs20\cf9\lang1024\langfe1024\loch\af1\hich\af1\dbch\af31501\noproof\insrsid16409557\charrsid926735 \hich\af1\dbch\af31501\loch\f1 &lt;/NumAm&gt;}{\rtlch\fcs1 \af0 \ltrch\fcs0 \insrsid16409557\charrsid926735 _x000d__x000a_\par }\pard\plain \ltrpar\s27\ql \li0\ri0\sb240\keepn\nowidctlpar\wrapdefault\aspalpha\aspnum\faauto\adjustright\rin0\lin0\itap0\pararsid16409557 \rtlch\fcs1 \af0\afs20\alang1025 \ltrch\fcs0 \b\fs24\lang2057\langfe2057\cgrid\langnp2057\langfenp2057 {_x000d__x000a_\rtlch\fcs1 \af0 \ltrch\fcs0 \cs17\b0\v\fs20\cf9\lang1024\langfe1024\loch\af1\hich\af1\dbch\af31501\noproof\insrsid16409557\charrsid926735 \hich\af1\dbch\af31501\loch\f1 &lt;DocAmend&gt;}{\rtlch\fcs1 \af0 \ltrch\fcs0 \insrsid16409557\charrsid926735 _x000d__x000a_Proposal for a #}{\rtlch\fcs1 \af1 \ltrch\fcs0 \cs18\v\f1\fs20\cf15\insrsid16409557\charrsid926735 MNU[DOC1][DOC2][DOC3]@DOCMSG@DOCMNU}{\rtlch\fcs1 \af0 \ltrch\fcs0 \insrsid16409557\charrsid926735 ##}{\rtlch\fcs1 \af1 \ltrch\fcs0 _x000d__x000a_\cs18\v\f1\fs20\cf15\insrsid16409557\charrsid926735 MNU[AMACTYES][NOTAPP]@CHOICE@AMACTMNU}{\rtlch\fcs1 \af0 \ltrch\fcs0 \insrsid16409557\charrsid926735 #}{\rtlch\fcs1 \af0 \ltrch\fcs0 _x000d__x000a_\cs17\b0\v\fs20\cf9\lang1024\langfe1024\loch\af1\hich\af1\dbch\af31501\noproof\insrsid16409557\charrsid926735 \hich\af1\dbch\af31501\loch\f1 &lt;/DocAmend&gt;}{\rtlch\fcs1 \af0 \ltrch\fcs0 \insrsid16409557\charrsid926735 _x000d__x000a_\par }\pard\plain \ltrpar\s20\ql \li0\ri0\keepn\nowidctlpar\wrapdefault\aspalpha\aspnum\faauto\adjustright\rin0\lin0\itap0\pararsid16409557 \rtlch\fcs1 \af0\afs20\alang1025 \ltrch\fcs0 \b\fs24\lang2057\langfe2057\cgrid\langnp2057\langfenp2057 {\rtlch\fcs1 _x000d__x000a_\af0 \ltrch\fcs0 \cs17\b0\v\fs20\cf9\lang1024\langfe1024\loch\af1\hich\af1\dbch\af31501\noproof\insrsid16409557\charrsid926735 \hich\af1\dbch\af31501\loch\f1 &lt;Article&gt;}{\rtlch\fcs1 \af0 \ltrch\fcs0 \insrsid16409557\charrsid926735 #}{\rtlch\fcs1 \af1 _x000d__x000a_\ltrch\fcs0 \cs18\v\f1\fs20\cf15\insrsid16409557\charrsid926735 MNU[AMACTPARTYES][AMACTPARTNO]@CHOICE@AMACTMNU}{\rtlch\fcs1 \af0 \ltrch\fcs0 \insrsid16409557\charrsid926735 #}{\rtlch\fcs1 \af0 \ltrch\fcs0 _x000d__x000a_\cs17\b0\v\fs20\cf9\lang1024\langfe1024\loch\af1\hich\af1\dbch\af31501\noproof\insrsid16409557\charrsid926735 \hich\af1\dbch\af31501\loch\f1 &lt;/Article&gt;}{\rtlch\fcs1 \af0 \ltrch\fcs0 \insrsid16409557\charrsid926735 _x000d__x000a_\par }\pard\plain \ltrpar\ql \li0\ri0\keepn\widctlpar\wrapdefault\aspalpha\aspnum\faauto\adjustright\rin0\lin0\itap0\pararsid16409557 \rtlch\fcs1 \af0\afs20\alang1025 \ltrch\fcs0 \fs24\lang2057\langfe2057\cgrid\langnp2057\langfenp2057 {\rtlch\fcs1 \af0 _x000d__x000a_\ltrch\fcs0 \cs17\v\fs20\cf9\lang1024\langfe1024\loch\af1\hich\af1\dbch\af31501\noproof\insrsid16409557\charrsid926735 \hich\af1\dbch\af31501\loch\f1 &lt;DocAmend2&gt;&lt;OptDel&gt;}{\rtlch\fcs1 \af0 \ltrch\fcs0 \insrsid16409557\charrsid926735 #}{\rtlch\fcs1 \af1 _x000d__x000a_\ltrch\fcs0 \cs18\v\f1\fs20\cf15\insrsid16409557\charrsid926735 MNU[OPTNRACTYES][NOTAPP]@CHOICE@AMACTMNU}{\rtlch\fcs1 \af0 \ltrch\fcs0 \insrsid16409557\charrsid926735 #}{\rtlch\fcs1 \af0 \ltrch\fcs0 _x000d__x000a_\cs17\v\fs20\cf9\lang1024\langfe1024\loch\af1\hich\af1\dbch\af31501\noproof\insrsid16409557\charrsid926735 \hich\af1\dbch\af31501\loch\f1 &lt;/OptDel&gt;&lt;/DocAmend2&gt;}{\rtlch\fcs1 \af0 \ltrch\fcs0 \insrsid16409557\charrsid926735 _x000d__x000a_\par }\pard \ltrpar\ql \li0\ri0\widctlpar\wrapdefault\aspalpha\aspnum\faauto\adjustright\rin0\lin0\itap0\pararsid16409557 {\rtlch\fcs1 \af0 \ltrch\fcs0 \cs17\v\fs20\cf9\lang1024\langfe1024\loch\af1\hich\af1\dbch\af31501\noproof\insrsid16409557\charrsid926735 _x000d__x000a_\hich\af1\dbch\af31501\loch\f1 &lt;Article2&gt;&lt;OptDel&gt;}{\rtlch\fcs1 \af0 \ltrch\fcs0 \insrsid16409557\charrsid926735 #}{\rtlch\fcs1 \af1 \ltrch\fcs0 \cs18\v\f1\fs20\cf15\insrsid16409557\charrsid926735 MNU[OPTACTPARTYES][NOTAPP]@CHOICE@AMACTMNU}{\rtlch\fcs1 _x000d__x000a_\af0 \ltrch\fcs0 \insrsid16409557\charrsid926735 #}{\rtlch\fcs1 \af0 \ltrch\fcs0 \cs17\v\fs20\cf9\lang1024\langfe1024\loch\af1\hich\af1\dbch\af31501\noproof\insrsid16409557\charrsid926735 \hich\af1\dbch\af31501\loch\f1 &lt;/OptDel&gt;&lt;/Article2&gt;}{\rtlch\fcs1 _x000d__x000a_\af0 \ltrch\fcs0 \insrsid16409557\charrsid926735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16409557\charrsid926735 \cell }\pard\plain \ltrpar\ql \li0\ri0\widctlpar\intbl\wrapdefault\aspalpha\aspnum\faauto\adjustright\rin0\lin0 \rtlch\fcs1 _x000d__x000a_\af0\afs20\alang1025 \ltrch\fcs0 \fs24\lang2057\langfe2057\cgrid\langnp2057\langfenp2057 {\rtlch\fcs1 \af0 \ltrch\fcs0 \insrsid16409557\charrsid926735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16409557\charrsid926735 #}{\rtlch\fcs1 \af1 \ltrch\fcs0 \cs18\v\f1\fs20\cf15\insrsid16409557\charrsid926735 MNU[OPTLEFTAMACT][LEFTPROP]@CHOICE@AMACTMNU}{\rtlch\fcs1 \af0 \ltrch\fcs0 \insrsid16409557\charrsid926735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6409557\charrsid926735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16409557\charrsid926735 ##\cell ##}{\rtlch\fcs1 \af0\afs24 \ltrch\fcs0 \insrsid16409557\charrsid926735 \cell }\pard\plain \ltrpar\ql \li0\ri0\widctlpar\intbl\wrapdefault\aspalpha\aspnum\faauto\adjustright\rin0\lin0 \rtlch\fcs1 _x000d__x000a_\af0\afs20\alang1025 \ltrch\fcs0 \fs24\lang2057\langfe2057\cgrid\langnp2057\langfenp2057 {\rtlch\fcs1 \af0 \ltrch\fcs0 \insrsid16409557\charrsid926735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409557 \rtlch\fcs1 \af0\afs20\alang1025 \ltrch\fcs0 \fs24\lang2057\langfe2057\cgrid\langnp2057\langfenp2057 {\rtlch\fcs1 \af0 \ltrch\fcs0 _x000d__x000a_\insrsid16409557\charrsid926735 Or. }{\rtlch\fcs1 \af0 \ltrch\fcs0 \cs17\v\fs20\cf9\lang1024\langfe1024\loch\af1\hich\af1\dbch\af31501\noproof\insrsid16409557\charrsid926735 \hich\af1\dbch\af31501\loch\f1 &lt;Original&gt;}{\rtlch\fcs1 \af0 \ltrch\fcs0 _x000d__x000a_\insrsid16409557\charrsid926735 #}{\rtlch\fcs1 \af1 \ltrch\fcs0 \cs18\v\f1\fs20\cf15\insrsid16409557\charrsid926735 MNU[ORLANGONE][ORLANGMORE]@CHOICE@ORLANGMNU}{\rtlch\fcs1 \af0 \ltrch\fcs0 \insrsid16409557\charrsid926735 #}{\rtlch\fcs1 \af0 \ltrch\fcs0 _x000d__x000a_\cs17\v\fs20\cf9\lang1024\langfe1024\loch\af1\hich\af1\dbch\af31501\noproof\insrsid16409557\charrsid926735 \hich\af1\dbch\af31501\loch\f1 &lt;/Original&gt;}{\rtlch\fcs1 \af0 \ltrch\fcs0 \insrsid16409557\charrsid926735 _x000d__x000a_\par }\pard\plain \ltrpar\s22\qc \li0\ri0\sb240\sa240\nowidctlpar\wrapdefault\aspalpha\aspnum\faauto\adjustright\rin0\lin0\itap0\pararsid16409557 \rtlch\fcs1 \af0\afs20\alang1025 \ltrch\fcs0 \i\fs24\lang2057\langfe2057\cgrid\langnp2057\langfenp2057 {_x000d__x000a_\rtlch\fcs1 \af0 \ltrch\fcs0 \cs17\i0\v\fs20\cf9\lang1024\langfe1024\loch\af1\hich\af1\dbch\af31501\noproof\insrsid16409557\charrsid926735 \hich\af1\dbch\af31501\loch\f1 &lt;OptDel&gt;}{\rtlch\fcs1 \af0 \ltrch\fcs0 \insrsid16409557\charrsid926735 #}{_x000d__x000a_\rtlch\fcs1 \af1 \ltrch\fcs0 \cs18\v\f1\fs20\cf15\insrsid16409557\charrsid926735 MNU[CROSSREFNO][CROSSREFYES]@CHOICE@}{\rtlch\fcs1 \af0 \ltrch\fcs0 \insrsid16409557\charrsid926735 #}{\rtlch\fcs1 \af0 \ltrch\fcs0 _x000d__x000a_\cs17\i0\v\fs20\cf9\lang1024\langfe1024\loch\af1\hich\af1\dbch\af31501\noproof\insrsid16409557\charrsid926735 \hich\af1\dbch\af31501\loch\f1 &lt;/OptDel&gt;}{\rtlch\fcs1 \af0 \ltrch\fcs0 \insrsid16409557\charrsid926735 _x000d__x000a_\par }\pard\plain \ltrpar\s23\qc \li0\ri0\sb240\sa240\keepn\nowidctlpar\wrapdefault\aspalpha\aspnum\faauto\adjustright\rin0\lin0\itap0\pararsid16409557 \rtlch\fcs1 \af0\afs20\alang1025 \ltrch\fcs0 \i\fs24\lang2057\langfe2057\cgrid\langnp2057\langfenp2057 {_x000d__x000a_\rtlch\fcs1 \af0 \ltrch\fcs0 \cs17\i0\v\fs20\cf9\lang1024\langfe1024\loch\af1\hich\af1\dbch\af31501\noproof\insrsid16409557\charrsid926735 \hich\af1\dbch\af31501\loch\f1 &lt;TitreJust&gt;}{\rtlch\fcs1 \af0 \ltrch\fcs0 \insrsid16409557\charrsid926735 _x000d__x000a_Justification}{\rtlch\fcs1 \af0 \ltrch\fcs0 \cs17\i0\v\fs20\cf9\lang1024\langfe1024\loch\af1\hich\af1\dbch\af31501\noproof\insrsid16409557\charrsid926735 \hich\af1\dbch\af31501\loch\f1 &lt;/TitreJust&gt;}{\rtlch\fcs1 \af0 \ltrch\fcs0 _x000d__x000a_\insrsid16409557\charrsid926735 _x000d__x000a_\par }\pard\plain \ltrpar\s21\ql \li0\ri0\sa240\nowidctlpar\wrapdefault\aspalpha\aspnum\faauto\adjustright\rin0\lin0\itap0\pararsid16409557 \rtlch\fcs1 \af0\afs20\alang1025 \ltrch\fcs0 \i\fs24\lang2057\langfe2057\cgrid\langnp2057\langfenp2057 {\rtlch\fcs1 _x000d__x000a_\af0 \ltrch\fcs0 \cs17\i0\v\fs20\cf9\lang1024\langfe1024\loch\af1\hich\af1\dbch\af31501\noproof\insrsid16409557\charrsid926735 \hich\af1\dbch\af31501\loch\f1 &lt;OptDelPrev&gt;}{\rtlch\fcs1 \af0 \ltrch\fcs0 \insrsid16409557\charrsid926735 #}{\rtlch\fcs1 \af1 _x000d__x000a_\ltrch\fcs0 \cs18\v\f1\fs20\cf15\insrsid16409557\charrsid926735 MNU[TEXTJUSTYES][TEXTJUSTNO]@CHOICE@}{\rtlch\fcs1 \af0 \ltrch\fcs0 \insrsid16409557\charrsid926735 #}{\rtlch\fcs1 \af0 \ltrch\fcs0 _x000d__x000a_\cs17\i0\v\fs20\cf9\lang1024\langfe1024\loch\af1\hich\af1\dbch\af31501\noproof\insrsid16409557\charrsid926735 \hich\af1\dbch\af31501\loch\f1 &lt;/OptDelPrev&gt;}{\rtlch\fcs1 \af0 \ltrch\fcs0 \insrsid16409557\charrsid926735 _x000d__x000a_\par }\pard\plain \ltrpar\ql \li0\ri0\widctlpar\wrapdefault\aspalpha\aspnum\faauto\adjustright\rin0\lin0\itap0\pararsid16409557 \rtlch\fcs1 \af0\afs20\alang1025 \ltrch\fcs0 \fs24\lang2057\langfe2057\cgrid\langnp2057\langfenp2057 {\rtlch\fcs1 \af0 \ltrch\fcs0 _x000d__x000a_\cs17\v\fs20\cf9\lang1024\langfe1024\loch\af1\hich\af1\dbch\af31501\noproof\insrsid16409557\charrsid926735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88_x000d__x000a_5aba22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6"/>
    <w:docVar w:name="TVTAMPART" w:val="xx"/>
    <w:docVar w:name="TXTAUTHOR" w:val="Tiemo Wölken"/>
    <w:docVar w:name="TXTLANGUE" w:val="EN"/>
    <w:docVar w:name="TXTLANGUEMIN" w:val="en"/>
    <w:docVar w:name="TXTNRC" w:val="0152/2023"/>
    <w:docVar w:name="TXTNRCOD" w:val="2023/0126"/>
    <w:docVar w:name="TXTNRCOM" w:val="(2023)0221"/>
    <w:docVar w:name="TXTNRFIRSTAM" w:val="1"/>
    <w:docVar w:name="TXTNRLASTAM" w:val="2"/>
    <w:docVar w:name="TXTNRPE" w:val="753.702"/>
    <w:docVar w:name="TXTPEorAP" w:val="PE"/>
    <w:docVar w:name="TXTROUTE" w:val="PR\1286820EN.docx"/>
    <w:docVar w:name="TXTTITLE" w:val="xx"/>
    <w:docVar w:name="TXTVERSION" w:val="01-00"/>
  </w:docVars>
  <w:rsids>
    <w:rsidRoot w:val="008C19B7"/>
    <w:rsid w:val="00011AAB"/>
    <w:rsid w:val="00012351"/>
    <w:rsid w:val="000139E5"/>
    <w:rsid w:val="00084DD2"/>
    <w:rsid w:val="00084E89"/>
    <w:rsid w:val="00086550"/>
    <w:rsid w:val="000A4B27"/>
    <w:rsid w:val="000B7489"/>
    <w:rsid w:val="000F1096"/>
    <w:rsid w:val="000F558D"/>
    <w:rsid w:val="00120948"/>
    <w:rsid w:val="00123DD5"/>
    <w:rsid w:val="001277AE"/>
    <w:rsid w:val="00142215"/>
    <w:rsid w:val="001767E2"/>
    <w:rsid w:val="00187008"/>
    <w:rsid w:val="00192C11"/>
    <w:rsid w:val="001B3829"/>
    <w:rsid w:val="001C5592"/>
    <w:rsid w:val="001C5B44"/>
    <w:rsid w:val="001C6FFC"/>
    <w:rsid w:val="001F7C7C"/>
    <w:rsid w:val="00212B84"/>
    <w:rsid w:val="002274FC"/>
    <w:rsid w:val="002346B0"/>
    <w:rsid w:val="002667C3"/>
    <w:rsid w:val="002669B6"/>
    <w:rsid w:val="00290BED"/>
    <w:rsid w:val="002B76CB"/>
    <w:rsid w:val="002D13EE"/>
    <w:rsid w:val="002E33EE"/>
    <w:rsid w:val="002F40BB"/>
    <w:rsid w:val="002F4B02"/>
    <w:rsid w:val="00315C97"/>
    <w:rsid w:val="00323EF8"/>
    <w:rsid w:val="003316DD"/>
    <w:rsid w:val="003506ED"/>
    <w:rsid w:val="00366A46"/>
    <w:rsid w:val="00370AC3"/>
    <w:rsid w:val="003824EE"/>
    <w:rsid w:val="003B4689"/>
    <w:rsid w:val="003C2068"/>
    <w:rsid w:val="003C37CF"/>
    <w:rsid w:val="003F7CB1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043F"/>
    <w:rsid w:val="005D1A99"/>
    <w:rsid w:val="005D7609"/>
    <w:rsid w:val="005D7EE8"/>
    <w:rsid w:val="005E7CB7"/>
    <w:rsid w:val="006223D7"/>
    <w:rsid w:val="006411AC"/>
    <w:rsid w:val="00642325"/>
    <w:rsid w:val="00667F19"/>
    <w:rsid w:val="0069092A"/>
    <w:rsid w:val="006A2F5D"/>
    <w:rsid w:val="006C50CC"/>
    <w:rsid w:val="006F7907"/>
    <w:rsid w:val="00743189"/>
    <w:rsid w:val="00743D33"/>
    <w:rsid w:val="007458A8"/>
    <w:rsid w:val="007932B3"/>
    <w:rsid w:val="00793EA9"/>
    <w:rsid w:val="007C1BDF"/>
    <w:rsid w:val="007D6F68"/>
    <w:rsid w:val="00823E6B"/>
    <w:rsid w:val="00826780"/>
    <w:rsid w:val="00837CCD"/>
    <w:rsid w:val="00856D28"/>
    <w:rsid w:val="008633CC"/>
    <w:rsid w:val="00865190"/>
    <w:rsid w:val="008719B9"/>
    <w:rsid w:val="00875493"/>
    <w:rsid w:val="00894923"/>
    <w:rsid w:val="00894ECE"/>
    <w:rsid w:val="00896BB4"/>
    <w:rsid w:val="008A7FB8"/>
    <w:rsid w:val="008C19B7"/>
    <w:rsid w:val="008E4826"/>
    <w:rsid w:val="009022B8"/>
    <w:rsid w:val="00914537"/>
    <w:rsid w:val="00917CC4"/>
    <w:rsid w:val="009763DA"/>
    <w:rsid w:val="009975B3"/>
    <w:rsid w:val="009A216D"/>
    <w:rsid w:val="009B0551"/>
    <w:rsid w:val="009B4B93"/>
    <w:rsid w:val="009D2C01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97597"/>
    <w:rsid w:val="00AA35B0"/>
    <w:rsid w:val="00AC4F72"/>
    <w:rsid w:val="00AD18C8"/>
    <w:rsid w:val="00AD7FA6"/>
    <w:rsid w:val="00AE4643"/>
    <w:rsid w:val="00AF0416"/>
    <w:rsid w:val="00B10CB4"/>
    <w:rsid w:val="00B13D6F"/>
    <w:rsid w:val="00B23B72"/>
    <w:rsid w:val="00B42702"/>
    <w:rsid w:val="00B54EAF"/>
    <w:rsid w:val="00B57B8B"/>
    <w:rsid w:val="00B61C54"/>
    <w:rsid w:val="00B85407"/>
    <w:rsid w:val="00B95702"/>
    <w:rsid w:val="00BA5683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51539"/>
    <w:rsid w:val="00D810B0"/>
    <w:rsid w:val="00DA6ED0"/>
    <w:rsid w:val="00DC5011"/>
    <w:rsid w:val="00DD225A"/>
    <w:rsid w:val="00E171B6"/>
    <w:rsid w:val="00E72695"/>
    <w:rsid w:val="00EB1753"/>
    <w:rsid w:val="00EB6CFF"/>
    <w:rsid w:val="00EE3996"/>
    <w:rsid w:val="00F07062"/>
    <w:rsid w:val="00F23CFC"/>
    <w:rsid w:val="00F433E2"/>
    <w:rsid w:val="00F57269"/>
    <w:rsid w:val="00F904AE"/>
    <w:rsid w:val="00F934F8"/>
    <w:rsid w:val="00FB52FE"/>
    <w:rsid w:val="00FC0A34"/>
    <w:rsid w:val="00FD1DEF"/>
    <w:rsid w:val="00FE3B3F"/>
    <w:rsid w:val="00FF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984B5-B1E4-4C78-928A-CD41E1FF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FF37C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F37C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F37C9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FF37C9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FF37C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F37C9"/>
    <w:rPr>
      <w:b/>
      <w:sz w:val="24"/>
    </w:rPr>
  </w:style>
  <w:style w:type="paragraph" w:customStyle="1" w:styleId="ColumnHeading">
    <w:name w:val="ColumnHeading"/>
    <w:basedOn w:val="Normal"/>
    <w:rsid w:val="00FF37C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F37C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F37C9"/>
    <w:pPr>
      <w:jc w:val="right"/>
    </w:pPr>
  </w:style>
  <w:style w:type="paragraph" w:styleId="Footer">
    <w:name w:val="footer"/>
    <w:basedOn w:val="Normal"/>
    <w:link w:val="FooterChar"/>
    <w:semiHidden/>
    <w:rsid w:val="00315C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15C97"/>
    <w:rPr>
      <w:sz w:val="24"/>
    </w:rPr>
  </w:style>
  <w:style w:type="character" w:styleId="CommentReference">
    <w:name w:val="annotation reference"/>
    <w:basedOn w:val="DefaultParagraphFont"/>
    <w:rsid w:val="00667F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7F1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67F1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7F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7F1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67F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7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3C217-0B32-463A-8729-2E4135A66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2799</Words>
  <Characters>14584</Characters>
  <Application>Microsoft Office Word</Application>
  <DocSecurity>0</DocSecurity>
  <Lines>662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RODRIGUEZ MALNERO Yolanda</dc:creator>
  <cp:lastModifiedBy>PEREIRA Dulce</cp:lastModifiedBy>
  <cp:revision>2</cp:revision>
  <cp:lastPrinted>2004-11-04T09:41:00Z</cp:lastPrinted>
  <dcterms:created xsi:type="dcterms:W3CDTF">2023-10-27T05:45:00Z</dcterms:created>
  <dcterms:modified xsi:type="dcterms:W3CDTF">2023-10-27T05:45:00Z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1286820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PR\1286820PT.docx</vt:lpwstr>
  </property>
  <property fmtid="{D5CDD505-2E9C-101B-9397-08002B2CF9AE}" pid="10" name="LastEdited with">
    <vt:lpwstr>9.16.1 Build [20230915]</vt:lpwstr>
  </property>
  <property fmtid="{D5CDD505-2E9C-101B-9397-08002B2CF9AE}" pid="11" name="PE number">
    <vt:lpwstr>753.702</vt:lpwstr>
  </property>
  <property fmtid="{D5CDD505-2E9C-101B-9397-08002B2CF9AE}" pid="12" name="SendToEpades">
    <vt:lpwstr>OK - 2023/10/13 15:23</vt:lpwstr>
  </property>
  <property fmtid="{D5CDD505-2E9C-101B-9397-08002B2CF9AE}" pid="13" name="SDLStudio">
    <vt:lpwstr/>
  </property>
  <property fmtid="{D5CDD505-2E9C-101B-9397-08002B2CF9AE}" pid="14" name="Bookout">
    <vt:lpwstr>OK - 2023/10/27 07:45</vt:lpwstr>
  </property>
</Properties>
</file>