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F7907" w:rsidRPr="00A56A02" w:rsidTr="006F7907">
        <w:trPr>
          <w:trHeight w:hRule="exact" w:val="1418"/>
        </w:trPr>
        <w:tc>
          <w:tcPr>
            <w:tcW w:w="6804" w:type="dxa"/>
            <w:shd w:val="clear" w:color="auto" w:fill="auto"/>
            <w:vAlign w:val="center"/>
          </w:tcPr>
          <w:p w:rsidR="006F7907" w:rsidRPr="00A56A02" w:rsidRDefault="00CE4A2A" w:rsidP="00FD1DEF">
            <w:pPr>
              <w:pStyle w:val="EPName"/>
              <w:rPr>
                <w:color w:val="auto"/>
              </w:rPr>
            </w:pPr>
            <w:r w:rsidRPr="00A56A02">
              <w:rPr>
                <w:color w:val="auto"/>
              </w:rPr>
              <w:t>Parlamento Europeo</w:t>
            </w:r>
          </w:p>
          <w:p w:rsidR="006F7907" w:rsidRPr="00A56A02" w:rsidRDefault="003D6575" w:rsidP="003D6575">
            <w:pPr>
              <w:pStyle w:val="EPTerm"/>
              <w:rPr>
                <w:rStyle w:val="HideTWBExt"/>
                <w:noProof w:val="0"/>
                <w:vanish w:val="0"/>
                <w:color w:val="auto"/>
              </w:rPr>
            </w:pPr>
            <w:r w:rsidRPr="00A56A02">
              <w:t>2014-2019</w:t>
            </w:r>
          </w:p>
        </w:tc>
        <w:tc>
          <w:tcPr>
            <w:tcW w:w="2268" w:type="dxa"/>
            <w:shd w:val="clear" w:color="auto" w:fill="auto"/>
          </w:tcPr>
          <w:p w:rsidR="006F7907" w:rsidRPr="00A56A02" w:rsidRDefault="00E81526" w:rsidP="00896BB4">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8" o:title="EP logo RGB_Mute"/>
                </v:shape>
              </w:pict>
            </w:r>
          </w:p>
        </w:tc>
      </w:tr>
    </w:tbl>
    <w:p w:rsidR="00461601" w:rsidRPr="00A56A02" w:rsidRDefault="00461601" w:rsidP="00461601">
      <w:pPr>
        <w:pStyle w:val="LineTop"/>
      </w:pPr>
    </w:p>
    <w:p w:rsidR="00461601" w:rsidRPr="00A56A02" w:rsidRDefault="00461601" w:rsidP="00461601">
      <w:pPr>
        <w:pStyle w:val="ZCommittee"/>
      </w:pPr>
      <w:r w:rsidRPr="00A56A02">
        <w:rPr>
          <w:rStyle w:val="HideTWBExt"/>
          <w:noProof w:val="0"/>
          <w:color w:val="auto"/>
        </w:rPr>
        <w:t>&lt;</w:t>
      </w:r>
      <w:r w:rsidRPr="00A56A02">
        <w:rPr>
          <w:rStyle w:val="HideTWBExt"/>
          <w:i w:val="0"/>
          <w:noProof w:val="0"/>
          <w:color w:val="auto"/>
        </w:rPr>
        <w:t>Commission</w:t>
      </w:r>
      <w:r w:rsidRPr="00A56A02">
        <w:rPr>
          <w:rStyle w:val="HideTWBExt"/>
          <w:noProof w:val="0"/>
          <w:color w:val="auto"/>
        </w:rPr>
        <w:t>&gt;</w:t>
      </w:r>
      <w:r w:rsidRPr="00A56A02">
        <w:rPr>
          <w:rStyle w:val="HideTWBInt"/>
          <w:color w:val="auto"/>
        </w:rPr>
        <w:t>{LIBE}</w:t>
      </w:r>
      <w:r w:rsidRPr="00A56A02">
        <w:t>Comisión de Libertades Civiles, Justicia y Asuntos de Interior</w:t>
      </w:r>
      <w:r w:rsidRPr="00A56A02">
        <w:rPr>
          <w:rStyle w:val="HideTWBExt"/>
          <w:noProof w:val="0"/>
          <w:color w:val="auto"/>
        </w:rPr>
        <w:t>&lt;/</w:t>
      </w:r>
      <w:r w:rsidRPr="00A56A02">
        <w:rPr>
          <w:rStyle w:val="HideTWBExt"/>
          <w:i w:val="0"/>
          <w:noProof w:val="0"/>
          <w:color w:val="auto"/>
        </w:rPr>
        <w:t>Commission</w:t>
      </w:r>
      <w:r w:rsidRPr="00A56A02">
        <w:rPr>
          <w:rStyle w:val="HideTWBExt"/>
          <w:noProof w:val="0"/>
          <w:color w:val="auto"/>
        </w:rPr>
        <w:t>&gt;</w:t>
      </w:r>
    </w:p>
    <w:p w:rsidR="00461601" w:rsidRPr="00A56A02" w:rsidRDefault="00461601" w:rsidP="00461601">
      <w:pPr>
        <w:pStyle w:val="LineBottom"/>
      </w:pPr>
    </w:p>
    <w:p w:rsidR="00793EA9" w:rsidRPr="00A56A02" w:rsidRDefault="00793EA9">
      <w:pPr>
        <w:pStyle w:val="RefProc"/>
      </w:pPr>
      <w:r w:rsidRPr="00A56A02">
        <w:rPr>
          <w:rStyle w:val="HideTWBExt"/>
          <w:b w:val="0"/>
          <w:noProof w:val="0"/>
          <w:color w:val="auto"/>
        </w:rPr>
        <w:t>&lt;</w:t>
      </w:r>
      <w:r w:rsidRPr="00A56A02">
        <w:rPr>
          <w:rStyle w:val="HideTWBExt"/>
          <w:b w:val="0"/>
          <w:caps w:val="0"/>
          <w:noProof w:val="0"/>
          <w:color w:val="auto"/>
        </w:rPr>
        <w:t>RefProc</w:t>
      </w:r>
      <w:r w:rsidRPr="00A56A02">
        <w:rPr>
          <w:rStyle w:val="HideTWBExt"/>
          <w:b w:val="0"/>
          <w:noProof w:val="0"/>
          <w:color w:val="auto"/>
        </w:rPr>
        <w:t>&gt;</w:t>
      </w:r>
      <w:r w:rsidRPr="00A56A02">
        <w:t>2017/0245</w:t>
      </w:r>
      <w:r w:rsidRPr="00A56A02">
        <w:rPr>
          <w:rStyle w:val="HideTWBExt"/>
          <w:b w:val="0"/>
          <w:noProof w:val="0"/>
          <w:color w:val="auto"/>
        </w:rPr>
        <w:t>&lt;/</w:t>
      </w:r>
      <w:r w:rsidRPr="00A56A02">
        <w:rPr>
          <w:rStyle w:val="HideTWBExt"/>
          <w:b w:val="0"/>
          <w:caps w:val="0"/>
          <w:noProof w:val="0"/>
          <w:color w:val="auto"/>
        </w:rPr>
        <w:t>RefProc</w:t>
      </w:r>
      <w:r w:rsidRPr="00A56A02">
        <w:rPr>
          <w:rStyle w:val="HideTWBExt"/>
          <w:b w:val="0"/>
          <w:noProof w:val="0"/>
          <w:color w:val="auto"/>
        </w:rPr>
        <w:t>&gt;&lt;</w:t>
      </w:r>
      <w:r w:rsidRPr="00A56A02">
        <w:rPr>
          <w:rStyle w:val="HideTWBExt"/>
          <w:b w:val="0"/>
          <w:caps w:val="0"/>
          <w:noProof w:val="0"/>
          <w:color w:val="auto"/>
        </w:rPr>
        <w:t>RefTypeProc</w:t>
      </w:r>
      <w:r w:rsidRPr="00A56A02">
        <w:rPr>
          <w:rStyle w:val="HideTWBExt"/>
          <w:b w:val="0"/>
          <w:noProof w:val="0"/>
          <w:color w:val="auto"/>
        </w:rPr>
        <w:t>&gt;</w:t>
      </w:r>
      <w:r w:rsidRPr="00A56A02">
        <w:t>(COD)</w:t>
      </w:r>
      <w:r w:rsidRPr="00A56A02">
        <w:rPr>
          <w:rStyle w:val="HideTWBExt"/>
          <w:b w:val="0"/>
          <w:noProof w:val="0"/>
          <w:color w:val="auto"/>
        </w:rPr>
        <w:t>&lt;/</w:t>
      </w:r>
      <w:r w:rsidRPr="00A56A02">
        <w:rPr>
          <w:rStyle w:val="HideTWBExt"/>
          <w:b w:val="0"/>
          <w:caps w:val="0"/>
          <w:noProof w:val="0"/>
          <w:color w:val="auto"/>
        </w:rPr>
        <w:t>RefTypeProc</w:t>
      </w:r>
      <w:r w:rsidRPr="00A56A02">
        <w:rPr>
          <w:rStyle w:val="HideTWBExt"/>
          <w:b w:val="0"/>
          <w:noProof w:val="0"/>
          <w:color w:val="auto"/>
        </w:rPr>
        <w:t>&gt;</w:t>
      </w:r>
    </w:p>
    <w:p w:rsidR="00793EA9" w:rsidRPr="00A56A02" w:rsidRDefault="00793EA9">
      <w:pPr>
        <w:pStyle w:val="ZDate"/>
      </w:pPr>
      <w:r w:rsidRPr="00A56A02">
        <w:rPr>
          <w:rStyle w:val="HideTWBExt"/>
          <w:noProof w:val="0"/>
          <w:color w:val="auto"/>
        </w:rPr>
        <w:t>&lt;Date&gt;</w:t>
      </w:r>
      <w:r w:rsidRPr="00A56A02">
        <w:rPr>
          <w:rStyle w:val="HideTWBInt"/>
          <w:color w:val="auto"/>
        </w:rPr>
        <w:t>{12/04/2018}</w:t>
      </w:r>
      <w:r w:rsidRPr="00A56A02">
        <w:t>12.4.2018</w:t>
      </w:r>
      <w:r w:rsidRPr="00A56A02">
        <w:rPr>
          <w:rStyle w:val="HideTWBExt"/>
          <w:noProof w:val="0"/>
          <w:color w:val="auto"/>
        </w:rPr>
        <w:t>&lt;/Date&gt;</w:t>
      </w:r>
    </w:p>
    <w:p w:rsidR="00793EA9" w:rsidRPr="00A56A02" w:rsidRDefault="00793EA9">
      <w:pPr>
        <w:pStyle w:val="StarsAndIs"/>
      </w:pPr>
      <w:r w:rsidRPr="00A56A02">
        <w:rPr>
          <w:rStyle w:val="HideTWBExt"/>
          <w:b w:val="0"/>
          <w:noProof w:val="0"/>
          <w:color w:val="auto"/>
        </w:rPr>
        <w:t>&lt;RefProcLect&gt;</w:t>
      </w:r>
      <w:r w:rsidRPr="00A56A02">
        <w:t>***I</w:t>
      </w:r>
      <w:r w:rsidRPr="00A56A02">
        <w:rPr>
          <w:rStyle w:val="HideTWBExt"/>
          <w:b w:val="0"/>
          <w:noProof w:val="0"/>
          <w:color w:val="auto"/>
        </w:rPr>
        <w:t>&lt;/RefProcLect&gt;</w:t>
      </w:r>
    </w:p>
    <w:p w:rsidR="00793EA9" w:rsidRPr="00A56A02" w:rsidRDefault="00793EA9">
      <w:pPr>
        <w:pStyle w:val="TypeDoc"/>
      </w:pPr>
      <w:r w:rsidRPr="00A56A02">
        <w:rPr>
          <w:rStyle w:val="HideTWBExt"/>
          <w:b w:val="0"/>
          <w:noProof w:val="0"/>
          <w:color w:val="auto"/>
        </w:rPr>
        <w:t>&lt;TitreType&gt;</w:t>
      </w:r>
      <w:r w:rsidRPr="00A56A02">
        <w:t>PROYECTO DE INFORME</w:t>
      </w:r>
      <w:r w:rsidRPr="00A56A02">
        <w:rPr>
          <w:rStyle w:val="HideTWBExt"/>
          <w:b w:val="0"/>
          <w:noProof w:val="0"/>
          <w:color w:val="auto"/>
        </w:rPr>
        <w:t>&lt;/TitreType&gt;</w:t>
      </w:r>
    </w:p>
    <w:p w:rsidR="00793EA9" w:rsidRPr="00A56A02" w:rsidRDefault="00793EA9">
      <w:pPr>
        <w:pStyle w:val="CoverNormal"/>
      </w:pPr>
      <w:r w:rsidRPr="00A56A02">
        <w:rPr>
          <w:rStyle w:val="HideTWBExt"/>
          <w:noProof w:val="0"/>
          <w:color w:val="auto"/>
        </w:rPr>
        <w:t>&lt;Titre&gt;</w:t>
      </w:r>
      <w:r w:rsidRPr="00A56A02">
        <w:t>sobre la propuesta de Reglamento del Parlamento Europeo y del Consejo</w:t>
      </w:r>
      <w:r w:rsidR="00BF4484">
        <w:t xml:space="preserve"> </w:t>
      </w:r>
      <w:r w:rsidRPr="00A56A02">
        <w:t xml:space="preserve">que modifica el Reglamento (UE) 2016/399 en lo que respecta a las normas aplicables al restablecimiento temporal de controles fronterizos en las fronteras interiores </w:t>
      </w:r>
      <w:r w:rsidRPr="00A56A02">
        <w:rPr>
          <w:rStyle w:val="HideTWBExt"/>
          <w:noProof w:val="0"/>
          <w:color w:val="auto"/>
        </w:rPr>
        <w:t>&lt;/Titre&gt;</w:t>
      </w:r>
    </w:p>
    <w:p w:rsidR="00793EA9" w:rsidRPr="00A56A02" w:rsidRDefault="00793EA9">
      <w:pPr>
        <w:pStyle w:val="Cover24"/>
      </w:pPr>
      <w:r w:rsidRPr="00A56A02">
        <w:rPr>
          <w:rStyle w:val="HideTWBExt"/>
          <w:noProof w:val="0"/>
          <w:color w:val="auto"/>
        </w:rPr>
        <w:t>&lt;DocRef&gt;</w:t>
      </w:r>
      <w:r w:rsidRPr="00A56A02">
        <w:t>(COM(2017)0571 – C8-0326/2017 – 2017/0245(COD))</w:t>
      </w:r>
      <w:r w:rsidRPr="00A56A02">
        <w:rPr>
          <w:rStyle w:val="HideTWBExt"/>
          <w:noProof w:val="0"/>
          <w:color w:val="auto"/>
        </w:rPr>
        <w:t>&lt;/DocRef&gt;</w:t>
      </w:r>
    </w:p>
    <w:p w:rsidR="00793EA9" w:rsidRPr="00A56A02" w:rsidRDefault="00793EA9">
      <w:pPr>
        <w:pStyle w:val="Cover24"/>
      </w:pPr>
      <w:r w:rsidRPr="00A56A02">
        <w:rPr>
          <w:rStyle w:val="HideTWBExt"/>
          <w:noProof w:val="0"/>
          <w:color w:val="auto"/>
        </w:rPr>
        <w:t>&lt;Commission&gt;</w:t>
      </w:r>
      <w:r w:rsidRPr="00A56A02">
        <w:rPr>
          <w:rStyle w:val="HideTWBInt"/>
          <w:color w:val="auto"/>
        </w:rPr>
        <w:t>{LIBE}</w:t>
      </w:r>
      <w:r w:rsidRPr="00A56A02">
        <w:t>Comisión de Libertades Civiles, Justicia y Asuntos de Interior</w:t>
      </w:r>
      <w:r w:rsidRPr="00A56A02">
        <w:rPr>
          <w:rStyle w:val="HideTWBExt"/>
          <w:noProof w:val="0"/>
          <w:color w:val="auto"/>
        </w:rPr>
        <w:t>&lt;/Commission&gt;</w:t>
      </w:r>
    </w:p>
    <w:p w:rsidR="00793EA9" w:rsidRPr="00A56A02" w:rsidRDefault="00CE4A2A">
      <w:pPr>
        <w:pStyle w:val="Cover24"/>
      </w:pPr>
      <w:r w:rsidRPr="00A56A02">
        <w:t xml:space="preserve">Ponente: </w:t>
      </w:r>
      <w:r w:rsidRPr="00A56A02">
        <w:rPr>
          <w:rStyle w:val="HideTWBExt"/>
          <w:noProof w:val="0"/>
          <w:color w:val="auto"/>
        </w:rPr>
        <w:t>&lt;Depute&gt;</w:t>
      </w:r>
      <w:r w:rsidRPr="00A56A02">
        <w:t>Tanja Fajon</w:t>
      </w:r>
      <w:bookmarkStart w:id="0" w:name="_GoBack"/>
      <w:bookmarkEnd w:id="0"/>
      <w:r w:rsidRPr="00A56A02">
        <w:rPr>
          <w:rStyle w:val="HideTWBExt"/>
          <w:noProof w:val="0"/>
          <w:color w:val="auto"/>
        </w:rPr>
        <w:t>&lt;/Depute&gt;</w:t>
      </w:r>
    </w:p>
    <w:p w:rsidR="001C5B44" w:rsidRPr="00A56A02" w:rsidRDefault="001C5B44" w:rsidP="001C5B44">
      <w:pPr>
        <w:pStyle w:val="CoverNormal"/>
      </w:pPr>
    </w:p>
    <w:p w:rsidR="00793EA9" w:rsidRPr="00A56A02" w:rsidRDefault="00793EA9" w:rsidP="00187008">
      <w:pPr>
        <w:widowControl/>
        <w:tabs>
          <w:tab w:val="center" w:pos="4677"/>
        </w:tabs>
      </w:pPr>
      <w:r w:rsidRPr="00A56A02">
        <w:br w:type="page"/>
      </w:r>
    </w:p>
    <w:p w:rsidR="003D6575" w:rsidRPr="00A56A02" w:rsidRDefault="00E81526">
      <w:r>
        <w:fldChar w:fldCharType="begin"/>
      </w:r>
      <w:r>
        <w:instrText xml:space="preserve"> TITLE  \* MERGEFORMAT </w:instrText>
      </w:r>
      <w:r>
        <w:fldChar w:fldCharType="separate"/>
      </w:r>
      <w:r>
        <w:t>PR_COD_1amCom</w:t>
      </w:r>
      <w:r>
        <w:fldChar w:fldCharType="end"/>
      </w:r>
    </w:p>
    <w:p w:rsidR="003D6575" w:rsidRPr="00A56A02" w:rsidRDefault="003D6575"/>
    <w:p w:rsidR="003D6575" w:rsidRPr="00A56A02" w:rsidRDefault="003D657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A56A02" w:rsidRPr="00A56A02">
        <w:tc>
          <w:tcPr>
            <w:tcW w:w="5811" w:type="dxa"/>
          </w:tcPr>
          <w:p w:rsidR="003D6575" w:rsidRPr="00A56A02" w:rsidRDefault="003D6575">
            <w:pPr>
              <w:pStyle w:val="Lgendetitre"/>
            </w:pPr>
            <w:r w:rsidRPr="00A56A02">
              <w:t>Explicación de los signos utilizados</w:t>
            </w:r>
          </w:p>
        </w:tc>
      </w:tr>
      <w:tr w:rsidR="003D6575" w:rsidRPr="00A56A02" w:rsidTr="00C50C36">
        <w:trPr>
          <w:cantSplit/>
          <w:trHeight w:val="1944"/>
        </w:trPr>
        <w:tc>
          <w:tcPr>
            <w:tcW w:w="5811" w:type="dxa"/>
            <w:tcBorders>
              <w:bottom w:val="single" w:sz="4" w:space="0" w:color="auto"/>
            </w:tcBorders>
          </w:tcPr>
          <w:p w:rsidR="003D6575" w:rsidRPr="00A56A02" w:rsidRDefault="003D6575" w:rsidP="00C86D63">
            <w:pPr>
              <w:pStyle w:val="Lgendesigne"/>
            </w:pPr>
            <w:r w:rsidRPr="00A56A02">
              <w:tab/>
              <w:t>*</w:t>
            </w:r>
            <w:r w:rsidRPr="00A56A02">
              <w:tab/>
              <w:t>Procedimiento de consulta</w:t>
            </w:r>
            <w:r w:rsidRPr="00A56A02">
              <w:tab/>
            </w:r>
          </w:p>
          <w:p w:rsidR="003D6575" w:rsidRPr="00A56A02" w:rsidRDefault="003D6575" w:rsidP="00C86D63">
            <w:pPr>
              <w:pStyle w:val="Lgendesigne"/>
            </w:pPr>
            <w:r w:rsidRPr="00A56A02">
              <w:tab/>
              <w:t>***</w:t>
            </w:r>
            <w:r w:rsidRPr="00A56A02">
              <w:tab/>
              <w:t>Procedimiento de aprobación</w:t>
            </w:r>
          </w:p>
          <w:p w:rsidR="003D6575" w:rsidRPr="00A56A02" w:rsidRDefault="003D6575" w:rsidP="00C86D63">
            <w:pPr>
              <w:pStyle w:val="Lgendesigne"/>
            </w:pPr>
            <w:r w:rsidRPr="00A56A02">
              <w:tab/>
              <w:t>***I</w:t>
            </w:r>
            <w:r w:rsidRPr="00A56A02">
              <w:tab/>
              <w:t>Procedimiento legislativo ordinario (primera lectura)</w:t>
            </w:r>
          </w:p>
          <w:p w:rsidR="003D6575" w:rsidRPr="00A56A02" w:rsidRDefault="003D6575" w:rsidP="00C86D63">
            <w:pPr>
              <w:pStyle w:val="Lgendesigne"/>
            </w:pPr>
            <w:r w:rsidRPr="00A56A02">
              <w:tab/>
              <w:t>***II</w:t>
            </w:r>
            <w:r w:rsidRPr="00A56A02">
              <w:tab/>
              <w:t>Procedimiento legislativo ordinario (segunda lectura)</w:t>
            </w:r>
          </w:p>
          <w:p w:rsidR="003D6575" w:rsidRPr="00A56A02" w:rsidRDefault="003D6575" w:rsidP="00C86D63">
            <w:pPr>
              <w:pStyle w:val="Lgendesigne"/>
            </w:pPr>
            <w:r w:rsidRPr="00A56A02">
              <w:tab/>
              <w:t>***III</w:t>
            </w:r>
            <w:r w:rsidRPr="00A56A02">
              <w:tab/>
              <w:t>Procedimiento legislativo ordinario (tercera lectura)</w:t>
            </w:r>
          </w:p>
          <w:p w:rsidR="003D6575" w:rsidRPr="00A56A02" w:rsidRDefault="003D6575" w:rsidP="00C86D63">
            <w:pPr>
              <w:pStyle w:val="Lgendesigne"/>
            </w:pPr>
          </w:p>
          <w:p w:rsidR="003D6575" w:rsidRPr="00A56A02" w:rsidRDefault="003D6575" w:rsidP="0034489B">
            <w:pPr>
              <w:pStyle w:val="Lgendesigne"/>
              <w:ind w:left="0" w:firstLine="0"/>
            </w:pPr>
            <w:r w:rsidRPr="00A56A02">
              <w:t>(El procedimiento indicado se sustenta en la base jurídica propuesta en el proyecto de acto).</w:t>
            </w:r>
          </w:p>
        </w:tc>
      </w:tr>
    </w:tbl>
    <w:p w:rsidR="003D6575" w:rsidRPr="00A56A02" w:rsidRDefault="003D6575"/>
    <w:p w:rsidR="003D6575" w:rsidRPr="00A56A02" w:rsidRDefault="003D6575"/>
    <w:p w:rsidR="003D6575" w:rsidRPr="00A56A02" w:rsidRDefault="003D6575"/>
    <w:p w:rsidR="003D6575" w:rsidRPr="00A56A02" w:rsidRDefault="003D6575"/>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A56A02" w:rsidRPr="00A56A02">
        <w:tc>
          <w:tcPr>
            <w:tcW w:w="5811" w:type="dxa"/>
          </w:tcPr>
          <w:p w:rsidR="003D6575" w:rsidRPr="00A56A02" w:rsidRDefault="003D6575">
            <w:pPr>
              <w:pStyle w:val="Lgendetitre"/>
            </w:pPr>
            <w:r w:rsidRPr="00A56A02">
              <w:t>Enmiendas a un proyecto de acto</w:t>
            </w:r>
          </w:p>
        </w:tc>
      </w:tr>
      <w:tr w:rsidR="003D6575" w:rsidRPr="00A56A02">
        <w:tc>
          <w:tcPr>
            <w:tcW w:w="5811" w:type="dxa"/>
          </w:tcPr>
          <w:p w:rsidR="003D6575" w:rsidRPr="00A56A02" w:rsidRDefault="003D6575" w:rsidP="000A1269">
            <w:pPr>
              <w:pStyle w:val="Lgendestandard"/>
              <w:rPr>
                <w:szCs w:val="24"/>
              </w:rPr>
            </w:pPr>
            <w:r w:rsidRPr="00A56A02">
              <w:rPr>
                <w:b/>
                <w:szCs w:val="24"/>
              </w:rPr>
              <w:t>Enmiendas del Parlamento presentadas en dos columnas</w:t>
            </w:r>
          </w:p>
          <w:p w:rsidR="003D6575" w:rsidRPr="00A56A02" w:rsidRDefault="003D6575" w:rsidP="000A1269">
            <w:pPr>
              <w:pStyle w:val="Lgendestandard"/>
              <w:rPr>
                <w:szCs w:val="24"/>
              </w:rPr>
            </w:pPr>
          </w:p>
          <w:p w:rsidR="003D6575" w:rsidRPr="00A56A02" w:rsidRDefault="003D6575" w:rsidP="000A1269">
            <w:pPr>
              <w:pStyle w:val="Lgendestandard"/>
              <w:rPr>
                <w:szCs w:val="24"/>
              </w:rPr>
            </w:pPr>
            <w:r w:rsidRPr="00A56A02">
              <w:t xml:space="preserve">Las supresiones se señalan en </w:t>
            </w:r>
            <w:r w:rsidRPr="00A56A02">
              <w:rPr>
                <w:b/>
                <w:i/>
                <w:szCs w:val="24"/>
              </w:rPr>
              <w:t>cursiva y negrita</w:t>
            </w:r>
            <w:r w:rsidRPr="00A56A02">
              <w:t xml:space="preserve"> en la columna izquierda. Las sustituciones se señalan en </w:t>
            </w:r>
            <w:r w:rsidRPr="00A56A02">
              <w:rPr>
                <w:b/>
                <w:i/>
                <w:szCs w:val="24"/>
              </w:rPr>
              <w:t xml:space="preserve">cursiva y negrita </w:t>
            </w:r>
            <w:r w:rsidRPr="00A56A02">
              <w:t xml:space="preserve">en ambas columnas. El texto nuevo se señala en </w:t>
            </w:r>
            <w:r w:rsidRPr="00A56A02">
              <w:rPr>
                <w:b/>
                <w:i/>
                <w:szCs w:val="24"/>
              </w:rPr>
              <w:t>cursiva y negrita</w:t>
            </w:r>
            <w:r w:rsidRPr="00A56A02">
              <w:t xml:space="preserve"> en la columna derecha.</w:t>
            </w:r>
          </w:p>
          <w:p w:rsidR="003D6575" w:rsidRPr="00A56A02" w:rsidRDefault="003D6575" w:rsidP="000A1269">
            <w:pPr>
              <w:pStyle w:val="Lgendestandard"/>
              <w:rPr>
                <w:szCs w:val="24"/>
              </w:rPr>
            </w:pPr>
          </w:p>
          <w:p w:rsidR="003D6575" w:rsidRPr="00A56A02" w:rsidRDefault="003D6575" w:rsidP="000A1269">
            <w:pPr>
              <w:pStyle w:val="Lgendestandard"/>
              <w:rPr>
                <w:szCs w:val="24"/>
              </w:rPr>
            </w:pPr>
            <w:r w:rsidRPr="00A56A02">
              <w:t xml:space="preserve">En las dos primeras líneas del encabezamiento de cada enmienda se indica el pasaje del proyecto de acto examinado que es objeto de la enmienda. Si una enmienda se refiere a un acto existente que se quiere modificar con el proyecto de acto, su encabezamiento contiene además una tercera y cuarta líneas en las que se indican, respectivamente, el acto existente y la disposición de que se trate. </w:t>
            </w:r>
          </w:p>
          <w:p w:rsidR="003D6575" w:rsidRPr="00A56A02" w:rsidRDefault="003D6575" w:rsidP="000A1269">
            <w:pPr>
              <w:pStyle w:val="Lgendestandard"/>
              <w:rPr>
                <w:szCs w:val="24"/>
              </w:rPr>
            </w:pPr>
          </w:p>
          <w:p w:rsidR="003D6575" w:rsidRPr="00A56A02" w:rsidRDefault="003D6575" w:rsidP="000A1269">
            <w:pPr>
              <w:pStyle w:val="Lgendestandard"/>
              <w:rPr>
                <w:b/>
                <w:szCs w:val="24"/>
              </w:rPr>
            </w:pPr>
            <w:r w:rsidRPr="00A56A02">
              <w:rPr>
                <w:b/>
                <w:szCs w:val="24"/>
              </w:rPr>
              <w:t>Enmiendas del Parlamento en forma de texto consolidado</w:t>
            </w:r>
          </w:p>
          <w:p w:rsidR="003D6575" w:rsidRPr="00A56A02" w:rsidRDefault="003D6575" w:rsidP="000A1269">
            <w:pPr>
              <w:pStyle w:val="Lgendestandard"/>
              <w:rPr>
                <w:szCs w:val="24"/>
              </w:rPr>
            </w:pPr>
          </w:p>
          <w:p w:rsidR="003D6575" w:rsidRPr="00A56A02" w:rsidRDefault="003D6575" w:rsidP="000A1269">
            <w:pPr>
              <w:pStyle w:val="Lgendestandard"/>
              <w:rPr>
                <w:szCs w:val="18"/>
              </w:rPr>
            </w:pPr>
            <w:r w:rsidRPr="00A56A02">
              <w:t xml:space="preserve">Las partes de texto nuevas se indican en </w:t>
            </w:r>
            <w:r w:rsidRPr="00A56A02">
              <w:rPr>
                <w:b/>
                <w:i/>
                <w:szCs w:val="24"/>
              </w:rPr>
              <w:t>cursiva y negrita</w:t>
            </w:r>
            <w:r w:rsidRPr="00A56A02">
              <w:t xml:space="preserve">. Las partes de texto suprimidas se indican mediante el símbolo ▌o se tachan. Las sustituciones se indican señalando el texto nuevo en </w:t>
            </w:r>
            <w:r w:rsidRPr="00A56A02">
              <w:rPr>
                <w:b/>
                <w:i/>
                <w:szCs w:val="24"/>
              </w:rPr>
              <w:t>cursiva y negrita</w:t>
            </w:r>
            <w:r w:rsidRPr="00A56A02">
              <w:rPr>
                <w:b/>
                <w:szCs w:val="24"/>
              </w:rPr>
              <w:t xml:space="preserve"> </w:t>
            </w:r>
            <w:r w:rsidRPr="00A56A02">
              <w:t xml:space="preserve">y suprimiendo o tachando el texto sustituido. </w:t>
            </w:r>
          </w:p>
          <w:p w:rsidR="003D6575" w:rsidRPr="00A56A02" w:rsidRDefault="003D6575" w:rsidP="00350CA0">
            <w:pPr>
              <w:pStyle w:val="Lgendestandard"/>
            </w:pPr>
            <w:r w:rsidRPr="00A56A02">
              <w:t>Como excepción, no se marcan las modificaciones de carácter estrictamente técnico introducidas por los servicios para la elaboración del texto final.</w:t>
            </w:r>
          </w:p>
          <w:p w:rsidR="003D6575" w:rsidRPr="00A56A02" w:rsidRDefault="003D6575">
            <w:pPr>
              <w:pStyle w:val="Lgendestandard"/>
            </w:pPr>
          </w:p>
        </w:tc>
      </w:tr>
    </w:tbl>
    <w:p w:rsidR="003D6575" w:rsidRPr="00A56A02" w:rsidRDefault="003D6575"/>
    <w:p w:rsidR="00793EA9" w:rsidRPr="00A56A02" w:rsidRDefault="00793EA9" w:rsidP="00012351">
      <w:pPr>
        <w:widowControl/>
        <w:tabs>
          <w:tab w:val="center" w:pos="4677"/>
        </w:tabs>
      </w:pPr>
    </w:p>
    <w:p w:rsidR="00793EA9" w:rsidRPr="00A56A02" w:rsidRDefault="00793EA9">
      <w:pPr>
        <w:pStyle w:val="TOCHeading"/>
      </w:pPr>
      <w:r w:rsidRPr="00A56A02">
        <w:br w:type="page"/>
      </w:r>
      <w:r w:rsidRPr="00A56A02">
        <w:lastRenderedPageBreak/>
        <w:t>ÍNDICE</w:t>
      </w:r>
    </w:p>
    <w:p w:rsidR="00793EA9" w:rsidRPr="00A56A02" w:rsidRDefault="00CE4A2A">
      <w:pPr>
        <w:pStyle w:val="TOCPage"/>
      </w:pPr>
      <w:r w:rsidRPr="00A56A02">
        <w:t>Página</w:t>
      </w:r>
    </w:p>
    <w:p w:rsidR="00E81526" w:rsidRDefault="001767E2">
      <w:pPr>
        <w:pStyle w:val="TOC1"/>
        <w:tabs>
          <w:tab w:val="right" w:leader="dot" w:pos="9060"/>
        </w:tabs>
        <w:rPr>
          <w:rFonts w:asciiTheme="minorHAnsi" w:eastAsiaTheme="minorEastAsia" w:hAnsiTheme="minorHAnsi" w:cstheme="minorBidi"/>
          <w:noProof/>
          <w:sz w:val="22"/>
          <w:szCs w:val="22"/>
          <w:lang w:val="en-GB"/>
        </w:rPr>
      </w:pPr>
      <w:r w:rsidRPr="00A56A02">
        <w:rPr>
          <w:b/>
        </w:rPr>
        <w:fldChar w:fldCharType="begin"/>
      </w:r>
      <w:r w:rsidRPr="00A56A02">
        <w:rPr>
          <w:b/>
        </w:rPr>
        <w:instrText xml:space="preserve"> TOC \t "PageHeading</w:instrText>
      </w:r>
      <w:r w:rsidR="00E81526">
        <w:rPr>
          <w:b/>
        </w:rPr>
        <w:instrText>;</w:instrText>
      </w:r>
      <w:r w:rsidRPr="00A56A02">
        <w:rPr>
          <w:b/>
        </w:rPr>
        <w:instrText xml:space="preserve">1" </w:instrText>
      </w:r>
      <w:r w:rsidRPr="00A56A02">
        <w:rPr>
          <w:b/>
        </w:rPr>
        <w:fldChar w:fldCharType="separate"/>
      </w:r>
      <w:r w:rsidR="00E81526">
        <w:rPr>
          <w:noProof/>
        </w:rPr>
        <w:t>PROYECTO DE RESOLUCIÓN LEGISLATIVA DEL PARLAMENTO EUROPEO</w:t>
      </w:r>
      <w:r w:rsidR="00E81526">
        <w:rPr>
          <w:noProof/>
        </w:rPr>
        <w:tab/>
      </w:r>
      <w:r w:rsidR="00E81526">
        <w:rPr>
          <w:noProof/>
        </w:rPr>
        <w:fldChar w:fldCharType="begin"/>
      </w:r>
      <w:r w:rsidR="00E81526">
        <w:rPr>
          <w:noProof/>
        </w:rPr>
        <w:instrText xml:space="preserve"> PAGEREF _Toc512349645 \h </w:instrText>
      </w:r>
      <w:r w:rsidR="00E81526">
        <w:rPr>
          <w:noProof/>
        </w:rPr>
      </w:r>
      <w:r w:rsidR="00E81526">
        <w:rPr>
          <w:noProof/>
        </w:rPr>
        <w:fldChar w:fldCharType="separate"/>
      </w:r>
      <w:r w:rsidR="00E81526">
        <w:rPr>
          <w:noProof/>
        </w:rPr>
        <w:t>5</w:t>
      </w:r>
      <w:r w:rsidR="00E81526">
        <w:rPr>
          <w:noProof/>
        </w:rPr>
        <w:fldChar w:fldCharType="end"/>
      </w:r>
    </w:p>
    <w:p w:rsidR="00E81526" w:rsidRDefault="00E81526">
      <w:pPr>
        <w:pStyle w:val="TOC1"/>
        <w:tabs>
          <w:tab w:val="right" w:leader="dot" w:pos="9060"/>
        </w:tabs>
        <w:rPr>
          <w:rFonts w:asciiTheme="minorHAnsi" w:eastAsiaTheme="minorEastAsia" w:hAnsiTheme="minorHAnsi" w:cstheme="minorBidi"/>
          <w:noProof/>
          <w:sz w:val="22"/>
          <w:szCs w:val="22"/>
          <w:lang w:val="en-GB"/>
        </w:rPr>
      </w:pPr>
      <w:r>
        <w:rPr>
          <w:noProof/>
        </w:rPr>
        <w:t>EXPOSICIÓN DE MOTIVOS</w:t>
      </w:r>
      <w:r>
        <w:rPr>
          <w:noProof/>
        </w:rPr>
        <w:tab/>
      </w:r>
      <w:r>
        <w:rPr>
          <w:noProof/>
        </w:rPr>
        <w:fldChar w:fldCharType="begin"/>
      </w:r>
      <w:r>
        <w:rPr>
          <w:noProof/>
        </w:rPr>
        <w:instrText xml:space="preserve"> PAGEREF _Toc512349646 \h </w:instrText>
      </w:r>
      <w:r>
        <w:rPr>
          <w:noProof/>
        </w:rPr>
      </w:r>
      <w:r>
        <w:rPr>
          <w:noProof/>
        </w:rPr>
        <w:fldChar w:fldCharType="separate"/>
      </w:r>
      <w:r>
        <w:rPr>
          <w:noProof/>
        </w:rPr>
        <w:t>36</w:t>
      </w:r>
      <w:r>
        <w:rPr>
          <w:noProof/>
        </w:rPr>
        <w:fldChar w:fldCharType="end"/>
      </w:r>
    </w:p>
    <w:p w:rsidR="00793EA9" w:rsidRPr="00A56A02" w:rsidRDefault="001767E2" w:rsidP="002346B0">
      <w:r w:rsidRPr="00A56A02">
        <w:rPr>
          <w:b/>
        </w:rPr>
        <w:fldChar w:fldCharType="end"/>
      </w:r>
    </w:p>
    <w:p w:rsidR="002346B0" w:rsidRPr="00A56A02" w:rsidRDefault="002346B0" w:rsidP="002346B0"/>
    <w:p w:rsidR="002346B0" w:rsidRPr="00A56A02" w:rsidRDefault="002346B0">
      <w:pPr>
        <w:pStyle w:val="PageHeading"/>
      </w:pPr>
    </w:p>
    <w:p w:rsidR="00793EA9" w:rsidRPr="00A56A02" w:rsidRDefault="00793EA9">
      <w:pPr>
        <w:pStyle w:val="PageHeading"/>
      </w:pPr>
      <w:r w:rsidRPr="00A56A02">
        <w:br w:type="page"/>
      </w:r>
      <w:r w:rsidRPr="00A56A02">
        <w:br w:type="page"/>
      </w:r>
      <w:bookmarkStart w:id="1" w:name="_Toc512349645"/>
      <w:r w:rsidRPr="00A56A02">
        <w:t>PROYECTO DE RESOLUCIÓN LEGISLATIVA DEL PARLAMENTO EUROPEO</w:t>
      </w:r>
      <w:bookmarkEnd w:id="1"/>
    </w:p>
    <w:p w:rsidR="00793EA9" w:rsidRPr="00A56A02" w:rsidRDefault="00CE4A2A">
      <w:pPr>
        <w:pStyle w:val="NormalBold"/>
      </w:pPr>
      <w:r w:rsidRPr="00A56A02">
        <w:t xml:space="preserve">sobre la propuesta de Reglamento del Parlamento Europeo y del Consejo que modifica el Reglamento (UE) 2016/399 en lo que respecta a las normas aplicables al restablecimiento temporal de controles fronterizos en las fronteras interiores </w:t>
      </w:r>
    </w:p>
    <w:p w:rsidR="00793EA9" w:rsidRPr="00A56A02" w:rsidRDefault="00CE4A2A">
      <w:pPr>
        <w:pStyle w:val="Normal12Bold"/>
      </w:pPr>
      <w:r w:rsidRPr="00A56A02">
        <w:t>(COM(2017)0571 – C8-0326/2017 – 2017/0245(COD))</w:t>
      </w:r>
    </w:p>
    <w:p w:rsidR="00793EA9" w:rsidRPr="00A56A02" w:rsidRDefault="00CE4A2A">
      <w:pPr>
        <w:pStyle w:val="Normal12Bold"/>
      </w:pPr>
      <w:r w:rsidRPr="00A56A02">
        <w:t>(Procedimiento legislativo ordinario: primera lectura)</w:t>
      </w:r>
    </w:p>
    <w:p w:rsidR="00793EA9" w:rsidRPr="00A56A02" w:rsidRDefault="00CE4A2A">
      <w:pPr>
        <w:pStyle w:val="Normal12"/>
      </w:pPr>
      <w:r w:rsidRPr="00A56A02">
        <w:rPr>
          <w:i/>
        </w:rPr>
        <w:t>El Parlamento Europeo</w:t>
      </w:r>
      <w:r w:rsidRPr="00A56A02">
        <w:t>,</w:t>
      </w:r>
    </w:p>
    <w:p w:rsidR="00793EA9" w:rsidRPr="00A56A02" w:rsidRDefault="00793EA9">
      <w:pPr>
        <w:pStyle w:val="Normal12Hanging"/>
      </w:pPr>
      <w:r w:rsidRPr="00A56A02">
        <w:t>–</w:t>
      </w:r>
      <w:r w:rsidRPr="00A56A02">
        <w:tab/>
        <w:t>Vista la propuesta de la Comisión al Parlamento Europeo y al Consejo (COM(2017)0571),</w:t>
      </w:r>
    </w:p>
    <w:p w:rsidR="00793EA9" w:rsidRPr="00A56A02" w:rsidRDefault="00793EA9">
      <w:pPr>
        <w:pStyle w:val="Normal12Hanging"/>
      </w:pPr>
      <w:r w:rsidRPr="00A56A02">
        <w:t>–</w:t>
      </w:r>
      <w:r w:rsidRPr="00A56A02">
        <w:tab/>
        <w:t>Vistos el artículo 294, apartado 2, y el artículo 77, apartado 2, letra e, del Tratado de Funcionamiento de la Unión Europea, conforme a los cuales la Comisión le ha presentado su propuesta (C8-0326/2017),</w:t>
      </w:r>
    </w:p>
    <w:p w:rsidR="00A26F46" w:rsidRPr="00A56A02" w:rsidRDefault="00A26F46" w:rsidP="00A26F46">
      <w:pPr>
        <w:pStyle w:val="Normal12Hanging"/>
      </w:pPr>
      <w:r w:rsidRPr="00A56A02">
        <w:t>–</w:t>
      </w:r>
      <w:r w:rsidRPr="00A56A02">
        <w:tab/>
        <w:t>Visto el artículo 294, apartado 3, del Tratado de Funcionamiento de la Unión Europea,</w:t>
      </w:r>
    </w:p>
    <w:p w:rsidR="00FB52FE" w:rsidRPr="00A56A02" w:rsidRDefault="00FB52FE" w:rsidP="00FB52FE">
      <w:pPr>
        <w:pStyle w:val="Normal12Hanging"/>
      </w:pPr>
      <w:r w:rsidRPr="00A56A02">
        <w:t>–</w:t>
      </w:r>
      <w:r w:rsidRPr="00A56A02">
        <w:tab/>
        <w:t xml:space="preserve">Vistos los dictámenes motivados presentados por la Cámara de Diputados checa, el Senado checo, el Parlamento griego, las Cortes Generales españolas y la Asamblea de la República portuguesa de conformidad con lo dispuesto en el Protocolo n.º 2 sobre la aplicación de los principios de subsidiariedad y proporcionalidad, </w:t>
      </w:r>
      <w:bookmarkStart w:id="2" w:name="DocEPTmp"/>
      <w:bookmarkEnd w:id="2"/>
      <w:r w:rsidRPr="00A56A02">
        <w:t>en los que</w:t>
      </w:r>
      <w:bookmarkStart w:id="3" w:name="DocEPTmp2"/>
      <w:bookmarkEnd w:id="3"/>
      <w:r w:rsidRPr="00A56A02">
        <w:t xml:space="preserve"> se afirma que el proyecto de acto legislativo no respeta el principio de subsidiariedad,</w:t>
      </w:r>
    </w:p>
    <w:p w:rsidR="00793EA9" w:rsidRPr="00A56A02" w:rsidRDefault="00793EA9">
      <w:pPr>
        <w:pStyle w:val="Normal12Hanging"/>
      </w:pPr>
      <w:r w:rsidRPr="00A56A02">
        <w:t>–</w:t>
      </w:r>
      <w:r w:rsidRPr="00A56A02">
        <w:tab/>
        <w:t>Vistos los artículos 59 y 39 de su Reglamento interno,</w:t>
      </w:r>
    </w:p>
    <w:p w:rsidR="00793EA9" w:rsidRPr="00A56A02" w:rsidRDefault="00793EA9">
      <w:pPr>
        <w:pStyle w:val="Normal12Hanging"/>
      </w:pPr>
      <w:r w:rsidRPr="00A56A02">
        <w:t>–</w:t>
      </w:r>
      <w:r w:rsidRPr="00A56A02">
        <w:tab/>
        <w:t>Visto el informe de la Comisión de Libertades Civiles, Justicia y Asuntos de Interior (A8-0000/2018),</w:t>
      </w:r>
    </w:p>
    <w:p w:rsidR="009F6C2F" w:rsidRPr="00A56A02" w:rsidRDefault="009F6C2F" w:rsidP="009F6C2F">
      <w:pPr>
        <w:pStyle w:val="Normal12Hanging"/>
      </w:pPr>
      <w:r w:rsidRPr="00A56A02">
        <w:t>1.</w:t>
      </w:r>
      <w:r w:rsidRPr="00A56A02">
        <w:tab/>
        <w:t>Aprueba la Posición en primera lectura que figura a continuación;</w:t>
      </w:r>
    </w:p>
    <w:p w:rsidR="009F6C2F" w:rsidRPr="00A56A02" w:rsidRDefault="00CE4CD1" w:rsidP="009F6C2F">
      <w:pPr>
        <w:pStyle w:val="Normal12Hanging"/>
      </w:pPr>
      <w:r w:rsidRPr="00A56A02">
        <w:t>2.</w:t>
      </w:r>
      <w:r w:rsidRPr="00A56A02">
        <w:tab/>
        <w:t>Pide a la Comisión que le consulte de nuevo si sustituye su propuesta, la modifica sustancialmente o se propone modificarla sustancialmente;</w:t>
      </w:r>
    </w:p>
    <w:p w:rsidR="009F6C2F" w:rsidRPr="00A56A02" w:rsidRDefault="00CE4CD1" w:rsidP="009F6C2F">
      <w:pPr>
        <w:pStyle w:val="Normal12Hanging"/>
      </w:pPr>
      <w:r w:rsidRPr="00A56A02">
        <w:t>3.</w:t>
      </w:r>
      <w:r w:rsidRPr="00A56A02">
        <w:tab/>
        <w:t>Encarga a su presidente que transmita la Posición del Parlamento al Consejo y a la Comisión, así como a los Parlamentos nacionales.</w:t>
      </w:r>
    </w:p>
    <w:p w:rsidR="00CE4CD1" w:rsidRPr="00A56A02" w:rsidRDefault="00CE4CD1" w:rsidP="00CE4CD1">
      <w:pPr>
        <w:pStyle w:val="AMNumberTabs"/>
        <w:keepNext/>
      </w:pPr>
      <w:r w:rsidRPr="00A56A02">
        <w:rPr>
          <w:rStyle w:val="HideTWBExt"/>
          <w:b w:val="0"/>
          <w:noProof w:val="0"/>
          <w:color w:val="auto"/>
        </w:rPr>
        <w:t>&lt;RepeatBlock-Amend&gt;&lt;Amend&gt;</w:t>
      </w:r>
      <w:r w:rsidRPr="00A56A02">
        <w:t>Enmienda</w:t>
      </w:r>
      <w:r w:rsidRPr="00A56A02">
        <w:tab/>
      </w:r>
      <w:r w:rsidRPr="00A56A02">
        <w:tab/>
      </w:r>
      <w:r w:rsidRPr="00A56A02">
        <w:rPr>
          <w:rStyle w:val="HideTWBExt"/>
          <w:b w:val="0"/>
          <w:noProof w:val="0"/>
          <w:color w:val="auto"/>
        </w:rPr>
        <w:t>&lt;NumAm&gt;</w:t>
      </w:r>
      <w:r w:rsidRPr="00A56A02">
        <w:t>1</w:t>
      </w:r>
      <w:r w:rsidRPr="00A56A02">
        <w:rPr>
          <w:rStyle w:val="HideTWBExt"/>
          <w:b w:val="0"/>
          <w:noProof w:val="0"/>
          <w:color w:val="auto"/>
        </w:rPr>
        <w:t>&lt;/NumAm&gt;</w:t>
      </w:r>
    </w:p>
    <w:p w:rsidR="00CE4CD1" w:rsidRPr="00A56A02" w:rsidRDefault="00CE4CD1" w:rsidP="00CE4CD1">
      <w:pPr>
        <w:pStyle w:val="NormalBold12b"/>
        <w:keepNext/>
      </w:pPr>
      <w:r w:rsidRPr="00A56A02">
        <w:rPr>
          <w:rStyle w:val="HideTWBExt"/>
          <w:b w:val="0"/>
          <w:noProof w:val="0"/>
          <w:color w:val="auto"/>
        </w:rPr>
        <w:t>&lt;DocAmend&gt;</w:t>
      </w:r>
      <w:r w:rsidRPr="00A56A02">
        <w:t>Propuesta de Reglamento</w:t>
      </w:r>
      <w:r w:rsidRPr="00A56A02">
        <w:rPr>
          <w:rStyle w:val="HideTWBExt"/>
          <w:b w:val="0"/>
          <w:noProof w:val="0"/>
          <w:color w:val="auto"/>
        </w:rPr>
        <w:t>&lt;/DocAmend&gt;</w:t>
      </w:r>
    </w:p>
    <w:p w:rsidR="00CE4CD1" w:rsidRPr="00A56A02" w:rsidRDefault="00CE4CD1" w:rsidP="00CE4CD1">
      <w:pPr>
        <w:pStyle w:val="NormalBold"/>
      </w:pPr>
      <w:r w:rsidRPr="00A56A02">
        <w:rPr>
          <w:rStyle w:val="HideTWBExt"/>
          <w:b w:val="0"/>
          <w:noProof w:val="0"/>
          <w:color w:val="auto"/>
        </w:rPr>
        <w:t>&lt;Article&gt;</w:t>
      </w:r>
      <w:r w:rsidRPr="00A56A02">
        <w:t>Considerando -1 (nuevo)</w:t>
      </w:r>
      <w:r w:rsidRPr="00A56A0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6A02" w:rsidRPr="00A56A02" w:rsidTr="006B7FC7">
        <w:trPr>
          <w:jc w:val="center"/>
        </w:trPr>
        <w:tc>
          <w:tcPr>
            <w:tcW w:w="9752" w:type="dxa"/>
            <w:gridSpan w:val="2"/>
          </w:tcPr>
          <w:p w:rsidR="00CE4CD1" w:rsidRPr="00A56A02" w:rsidRDefault="00CE4CD1" w:rsidP="006B7FC7">
            <w:pPr>
              <w:keepNext/>
            </w:pPr>
          </w:p>
        </w:tc>
      </w:tr>
      <w:tr w:rsidR="00A56A02" w:rsidRPr="00A56A02" w:rsidTr="006B7FC7">
        <w:trPr>
          <w:jc w:val="center"/>
        </w:trPr>
        <w:tc>
          <w:tcPr>
            <w:tcW w:w="4876" w:type="dxa"/>
            <w:hideMark/>
          </w:tcPr>
          <w:p w:rsidR="00CE4CD1" w:rsidRPr="00A56A02" w:rsidRDefault="00CE4CD1" w:rsidP="006B7FC7">
            <w:pPr>
              <w:pStyle w:val="ColumnHeading"/>
              <w:keepNext/>
            </w:pPr>
            <w:r w:rsidRPr="00A56A02">
              <w:t>Texto de la Comisión</w:t>
            </w:r>
          </w:p>
        </w:tc>
        <w:tc>
          <w:tcPr>
            <w:tcW w:w="4876" w:type="dxa"/>
            <w:hideMark/>
          </w:tcPr>
          <w:p w:rsidR="00CE4CD1" w:rsidRPr="00A56A02" w:rsidRDefault="00CE4CD1" w:rsidP="006B7FC7">
            <w:pPr>
              <w:pStyle w:val="ColumnHeading"/>
              <w:keepNext/>
            </w:pPr>
            <w:r w:rsidRPr="00A56A02">
              <w:t>Enmienda</w:t>
            </w:r>
          </w:p>
        </w:tc>
      </w:tr>
      <w:tr w:rsidR="00A56A02" w:rsidRPr="00A56A02" w:rsidTr="006B7FC7">
        <w:trPr>
          <w:jc w:val="center"/>
        </w:trPr>
        <w:tc>
          <w:tcPr>
            <w:tcW w:w="4876" w:type="dxa"/>
          </w:tcPr>
          <w:p w:rsidR="00CE4CD1" w:rsidRPr="00A56A02" w:rsidRDefault="00CE4CD1" w:rsidP="006B7FC7">
            <w:pPr>
              <w:pStyle w:val="Normal6"/>
            </w:pPr>
          </w:p>
        </w:tc>
        <w:tc>
          <w:tcPr>
            <w:tcW w:w="4876" w:type="dxa"/>
            <w:hideMark/>
          </w:tcPr>
          <w:p w:rsidR="00CE4CD1" w:rsidRPr="00A56A02" w:rsidRDefault="00CE4CD1" w:rsidP="006B7FC7">
            <w:pPr>
              <w:pStyle w:val="Normal6"/>
              <w:rPr>
                <w:szCs w:val="24"/>
              </w:rPr>
            </w:pPr>
            <w:r w:rsidRPr="00A56A02">
              <w:rPr>
                <w:b/>
                <w:i/>
              </w:rPr>
              <w:t>(-1)</w:t>
            </w:r>
            <w:r w:rsidRPr="00A56A02">
              <w:rPr>
                <w:b/>
                <w:i/>
              </w:rPr>
              <w:tab/>
              <w:t>La creación de un espacio en el que se garantiza la libre circulación de las personas es uno de los principales logros de la Unión. En un espacio sin controles en las fronteras interiores es necesario contar con una respuesta común a situaciones que afecten gravemente al orden público o a la seguridad interior de dicho espacio, de partes de él o de uno o varios Estados miembros, permitiendo el restablecimiento temporal de los controles fronterizos en las fronteras interiores en circunstancias excepcionales, pero sin menoscabo del principio de libre circulación de las personas.</w:t>
            </w:r>
          </w:p>
        </w:tc>
      </w:tr>
    </w:tbl>
    <w:p w:rsidR="00CE4CD1" w:rsidRPr="00A56A02" w:rsidRDefault="00CE4CD1" w:rsidP="00131CD6">
      <w:pPr>
        <w:pStyle w:val="Olang"/>
        <w:rPr>
          <w:noProof w:val="0"/>
          <w:szCs w:val="24"/>
        </w:rPr>
      </w:pPr>
      <w:r w:rsidRPr="00A56A02">
        <w:rPr>
          <w:noProof w:val="0"/>
          <w:szCs w:val="24"/>
        </w:rPr>
        <w:t xml:space="preserve">Or. </w:t>
      </w:r>
      <w:r w:rsidRPr="00A56A02">
        <w:rPr>
          <w:rStyle w:val="HideTWBExt"/>
          <w:noProof w:val="0"/>
          <w:color w:val="auto"/>
        </w:rPr>
        <w:t>&lt;Original&gt;</w:t>
      </w:r>
      <w:r w:rsidRPr="00A56A02">
        <w:rPr>
          <w:rStyle w:val="HideTWBInt"/>
          <w:noProof w:val="0"/>
          <w:color w:val="auto"/>
        </w:rPr>
        <w:t>{EN}</w:t>
      </w:r>
      <w:r w:rsidRPr="00A56A02">
        <w:rPr>
          <w:noProof w:val="0"/>
          <w:szCs w:val="24"/>
        </w:rPr>
        <w:t>en</w:t>
      </w:r>
      <w:r w:rsidRPr="00A56A02">
        <w:rPr>
          <w:rStyle w:val="HideTWBExt"/>
          <w:noProof w:val="0"/>
          <w:color w:val="auto"/>
        </w:rPr>
        <w:t>&lt;/Original&gt;</w:t>
      </w:r>
    </w:p>
    <w:p w:rsidR="00CE4CD1" w:rsidRPr="00A56A02" w:rsidRDefault="00CE4CD1" w:rsidP="00CE4CD1">
      <w:pPr>
        <w:rPr>
          <w:szCs w:val="24"/>
        </w:rPr>
      </w:pPr>
      <w:r w:rsidRPr="00A56A02">
        <w:rPr>
          <w:rStyle w:val="HideTWBExt"/>
          <w:noProof w:val="0"/>
          <w:color w:val="auto"/>
        </w:rPr>
        <w:t>&lt;/Amend&gt;</w:t>
      </w:r>
    </w:p>
    <w:p w:rsidR="00CE4CD1" w:rsidRPr="00A56A02" w:rsidRDefault="00CE4CD1" w:rsidP="00CE4CD1">
      <w:pPr>
        <w:pStyle w:val="AMNumberTabs"/>
        <w:keepNext/>
      </w:pPr>
      <w:r w:rsidRPr="00A56A02">
        <w:rPr>
          <w:rStyle w:val="HideTWBExt"/>
          <w:b w:val="0"/>
          <w:noProof w:val="0"/>
          <w:color w:val="auto"/>
        </w:rPr>
        <w:t>&lt;Amend&gt;</w:t>
      </w:r>
      <w:r w:rsidRPr="00A56A02">
        <w:t>Enmienda</w:t>
      </w:r>
      <w:r w:rsidRPr="00A56A02">
        <w:tab/>
      </w:r>
      <w:r w:rsidRPr="00A56A02">
        <w:tab/>
      </w:r>
      <w:r w:rsidRPr="00A56A02">
        <w:rPr>
          <w:rStyle w:val="HideTWBExt"/>
          <w:b w:val="0"/>
          <w:noProof w:val="0"/>
          <w:color w:val="auto"/>
        </w:rPr>
        <w:t>&lt;NumAm&gt;</w:t>
      </w:r>
      <w:r w:rsidRPr="00A56A02">
        <w:t>2</w:t>
      </w:r>
      <w:r w:rsidRPr="00A56A02">
        <w:rPr>
          <w:rStyle w:val="HideTWBExt"/>
          <w:b w:val="0"/>
          <w:noProof w:val="0"/>
          <w:color w:val="auto"/>
        </w:rPr>
        <w:t>&lt;/NumAm&gt;</w:t>
      </w:r>
    </w:p>
    <w:p w:rsidR="00CE4CD1" w:rsidRPr="00A56A02" w:rsidRDefault="00CE4CD1" w:rsidP="00CE4CD1">
      <w:pPr>
        <w:pStyle w:val="NormalBold12b"/>
        <w:keepNext/>
      </w:pPr>
      <w:r w:rsidRPr="00A56A02">
        <w:rPr>
          <w:rStyle w:val="HideTWBExt"/>
          <w:b w:val="0"/>
          <w:noProof w:val="0"/>
          <w:color w:val="auto"/>
        </w:rPr>
        <w:t>&lt;DocAmend&gt;</w:t>
      </w:r>
      <w:r w:rsidRPr="00A56A02">
        <w:t>Propuesta de Reglamento</w:t>
      </w:r>
      <w:r w:rsidRPr="00A56A02">
        <w:rPr>
          <w:rStyle w:val="HideTWBExt"/>
          <w:b w:val="0"/>
          <w:noProof w:val="0"/>
          <w:color w:val="auto"/>
        </w:rPr>
        <w:t>&lt;/DocAmend&gt;</w:t>
      </w:r>
    </w:p>
    <w:p w:rsidR="00CE4CD1" w:rsidRPr="00A56A02" w:rsidRDefault="00CE4CD1" w:rsidP="00CE4CD1">
      <w:pPr>
        <w:pStyle w:val="NormalBold"/>
      </w:pPr>
      <w:r w:rsidRPr="00A56A02">
        <w:rPr>
          <w:rStyle w:val="HideTWBExt"/>
          <w:b w:val="0"/>
          <w:noProof w:val="0"/>
          <w:color w:val="auto"/>
        </w:rPr>
        <w:t>&lt;Article&gt;</w:t>
      </w:r>
      <w:r w:rsidRPr="00A56A02">
        <w:t>Considerando 1</w:t>
      </w:r>
      <w:r w:rsidRPr="00A56A0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6A02" w:rsidRPr="00A56A02" w:rsidTr="006B7FC7">
        <w:trPr>
          <w:jc w:val="center"/>
        </w:trPr>
        <w:tc>
          <w:tcPr>
            <w:tcW w:w="9752" w:type="dxa"/>
            <w:gridSpan w:val="2"/>
          </w:tcPr>
          <w:p w:rsidR="00CE4CD1" w:rsidRPr="00A56A02" w:rsidRDefault="00CE4CD1" w:rsidP="006B7FC7">
            <w:pPr>
              <w:keepNext/>
            </w:pPr>
          </w:p>
        </w:tc>
      </w:tr>
      <w:tr w:rsidR="00A56A02" w:rsidRPr="00A56A02" w:rsidTr="006B7FC7">
        <w:trPr>
          <w:jc w:val="center"/>
        </w:trPr>
        <w:tc>
          <w:tcPr>
            <w:tcW w:w="4876" w:type="dxa"/>
            <w:hideMark/>
          </w:tcPr>
          <w:p w:rsidR="00CE4CD1" w:rsidRPr="00A56A02" w:rsidRDefault="00CE4CD1" w:rsidP="006B7FC7">
            <w:pPr>
              <w:pStyle w:val="ColumnHeading"/>
              <w:keepNext/>
            </w:pPr>
            <w:r w:rsidRPr="00A56A02">
              <w:t>Texto de la Comisión</w:t>
            </w:r>
          </w:p>
        </w:tc>
        <w:tc>
          <w:tcPr>
            <w:tcW w:w="4876" w:type="dxa"/>
            <w:hideMark/>
          </w:tcPr>
          <w:p w:rsidR="00CE4CD1" w:rsidRPr="00A56A02" w:rsidRDefault="00CE4CD1" w:rsidP="006B7FC7">
            <w:pPr>
              <w:pStyle w:val="ColumnHeading"/>
              <w:keepNext/>
            </w:pPr>
            <w:r w:rsidRPr="00A56A02">
              <w:t>Enmienda</w:t>
            </w:r>
          </w:p>
        </w:tc>
      </w:tr>
      <w:tr w:rsidR="00A56A02" w:rsidRPr="00A56A02" w:rsidTr="006B7FC7">
        <w:trPr>
          <w:jc w:val="center"/>
        </w:trPr>
        <w:tc>
          <w:tcPr>
            <w:tcW w:w="4876" w:type="dxa"/>
            <w:hideMark/>
          </w:tcPr>
          <w:p w:rsidR="00CE4CD1" w:rsidRPr="00A56A02" w:rsidRDefault="00CE4CD1" w:rsidP="006B7FC7">
            <w:pPr>
              <w:pStyle w:val="Normal6"/>
            </w:pPr>
            <w:r w:rsidRPr="00A56A02">
              <w:t>(1)</w:t>
            </w:r>
            <w:r w:rsidRPr="00A56A02">
              <w:tab/>
              <w:t>El restablecimiento de controles fronterizos en las fronteras interiores debe seguir siendo excepcional en un espacio de libre circulación de personas. El restablecimiento de controles en las fronteras interiores debe decidirse únicamente como medida de último recurso, durante un periodo limitado y en la medida en que los controles sean necesarios y proporcionados a las amenazas graves detectadas para el orden público o la seguridad interior.</w:t>
            </w:r>
          </w:p>
        </w:tc>
        <w:tc>
          <w:tcPr>
            <w:tcW w:w="4876" w:type="dxa"/>
            <w:hideMark/>
          </w:tcPr>
          <w:p w:rsidR="00CE4CD1" w:rsidRPr="00A56A02" w:rsidRDefault="00CE4CD1" w:rsidP="006B7FC7">
            <w:pPr>
              <w:pStyle w:val="Normal6"/>
              <w:rPr>
                <w:szCs w:val="24"/>
              </w:rPr>
            </w:pPr>
            <w:r w:rsidRPr="00A56A02">
              <w:t>(1)</w:t>
            </w:r>
            <w:r w:rsidRPr="00A56A02">
              <w:tab/>
              <w:t xml:space="preserve">El restablecimiento de controles fronterizos en las fronteras interiores debe seguir siendo excepcional en un espacio de libre circulación de personas. </w:t>
            </w:r>
            <w:r w:rsidRPr="00A56A02">
              <w:rPr>
                <w:b/>
                <w:i/>
              </w:rPr>
              <w:t>No deben efectuarse controles fronterizos ni imponerse formalidades únicamente con motivo del cruce de una frontera interior. Dado que la libre circulación de personas queda afectada por</w:t>
            </w:r>
            <w:r w:rsidRPr="00A56A02">
              <w:rPr>
                <w:i/>
              </w:rPr>
              <w:t xml:space="preserve"> </w:t>
            </w:r>
            <w:r w:rsidRPr="00A56A02">
              <w:t xml:space="preserve">el restablecimiento </w:t>
            </w:r>
            <w:r w:rsidRPr="00A56A02">
              <w:rPr>
                <w:b/>
                <w:i/>
              </w:rPr>
              <w:t>temporal</w:t>
            </w:r>
            <w:r w:rsidRPr="00A56A02">
              <w:t xml:space="preserve"> de controles en las fronteras interiores</w:t>
            </w:r>
            <w:r w:rsidRPr="00A56A02">
              <w:rPr>
                <w:b/>
                <w:i/>
              </w:rPr>
              <w:t>,</w:t>
            </w:r>
            <w:r w:rsidRPr="00A56A02">
              <w:t xml:space="preserve"> </w:t>
            </w:r>
            <w:r w:rsidRPr="00A56A02">
              <w:rPr>
                <w:b/>
                <w:i/>
              </w:rPr>
              <w:t>este</w:t>
            </w:r>
            <w:r w:rsidRPr="00A56A02">
              <w:t xml:space="preserve"> debe decidirse únicamente como medida de último recurso, durante un periodo limitado y en la medida en que los controles sean necesarios y proporcionados a las amenazas graves detectadas para el orden público o la seguridad interior.</w:t>
            </w:r>
          </w:p>
        </w:tc>
      </w:tr>
    </w:tbl>
    <w:p w:rsidR="00CE4CD1" w:rsidRPr="00A56A02" w:rsidRDefault="00CE4CD1" w:rsidP="00131CD6">
      <w:pPr>
        <w:pStyle w:val="Olang"/>
        <w:rPr>
          <w:noProof w:val="0"/>
          <w:szCs w:val="24"/>
        </w:rPr>
      </w:pPr>
      <w:r w:rsidRPr="00A56A02">
        <w:rPr>
          <w:noProof w:val="0"/>
          <w:szCs w:val="24"/>
        </w:rPr>
        <w:t xml:space="preserve">Or. </w:t>
      </w:r>
      <w:r w:rsidRPr="00A56A02">
        <w:rPr>
          <w:rStyle w:val="HideTWBExt"/>
          <w:noProof w:val="0"/>
          <w:color w:val="auto"/>
        </w:rPr>
        <w:t>&lt;Original&gt;</w:t>
      </w:r>
      <w:r w:rsidRPr="00A56A02">
        <w:rPr>
          <w:rStyle w:val="HideTWBInt"/>
          <w:noProof w:val="0"/>
          <w:color w:val="auto"/>
        </w:rPr>
        <w:t>{EN}</w:t>
      </w:r>
      <w:r w:rsidRPr="00A56A02">
        <w:rPr>
          <w:noProof w:val="0"/>
          <w:szCs w:val="24"/>
        </w:rPr>
        <w:t>en</w:t>
      </w:r>
      <w:r w:rsidRPr="00A56A02">
        <w:rPr>
          <w:rStyle w:val="HideTWBExt"/>
          <w:noProof w:val="0"/>
          <w:color w:val="auto"/>
        </w:rPr>
        <w:t>&lt;/Original&gt;</w:t>
      </w:r>
    </w:p>
    <w:p w:rsidR="00CE4CD1" w:rsidRPr="00A56A02" w:rsidRDefault="00CE4CD1" w:rsidP="00CE4CD1">
      <w:pPr>
        <w:rPr>
          <w:szCs w:val="24"/>
        </w:rPr>
      </w:pPr>
      <w:r w:rsidRPr="00A56A02">
        <w:rPr>
          <w:rStyle w:val="HideTWBExt"/>
          <w:noProof w:val="0"/>
          <w:color w:val="auto"/>
        </w:rPr>
        <w:t>&lt;/Amend&gt;</w:t>
      </w:r>
    </w:p>
    <w:p w:rsidR="00CE4CD1" w:rsidRPr="00A56A02" w:rsidRDefault="00CE4CD1" w:rsidP="00CE4CD1">
      <w:pPr>
        <w:pStyle w:val="AMNumberTabs"/>
        <w:keepNext/>
      </w:pPr>
      <w:r w:rsidRPr="00A56A02">
        <w:rPr>
          <w:rStyle w:val="HideTWBExt"/>
          <w:b w:val="0"/>
          <w:noProof w:val="0"/>
          <w:color w:val="auto"/>
        </w:rPr>
        <w:t>&lt;Amend&gt;</w:t>
      </w:r>
      <w:r w:rsidRPr="00A56A02">
        <w:t>Enmienda</w:t>
      </w:r>
      <w:r w:rsidRPr="00A56A02">
        <w:tab/>
      </w:r>
      <w:r w:rsidRPr="00A56A02">
        <w:tab/>
      </w:r>
      <w:r w:rsidRPr="00A56A02">
        <w:rPr>
          <w:rStyle w:val="HideTWBExt"/>
          <w:b w:val="0"/>
          <w:noProof w:val="0"/>
          <w:color w:val="auto"/>
        </w:rPr>
        <w:t>&lt;NumAm&gt;</w:t>
      </w:r>
      <w:r w:rsidRPr="00A56A02">
        <w:t>3</w:t>
      </w:r>
      <w:r w:rsidRPr="00A56A02">
        <w:rPr>
          <w:rStyle w:val="HideTWBExt"/>
          <w:b w:val="0"/>
          <w:noProof w:val="0"/>
          <w:color w:val="auto"/>
        </w:rPr>
        <w:t>&lt;/NumAm&gt;</w:t>
      </w:r>
    </w:p>
    <w:p w:rsidR="00CE4CD1" w:rsidRPr="00A56A02" w:rsidRDefault="00CE4CD1" w:rsidP="00CE4CD1">
      <w:pPr>
        <w:pStyle w:val="NormalBold12b"/>
        <w:keepNext/>
      </w:pPr>
      <w:r w:rsidRPr="00A56A02">
        <w:rPr>
          <w:rStyle w:val="HideTWBExt"/>
          <w:b w:val="0"/>
          <w:noProof w:val="0"/>
          <w:color w:val="auto"/>
        </w:rPr>
        <w:t>&lt;DocAmend&gt;</w:t>
      </w:r>
      <w:r w:rsidRPr="00A56A02">
        <w:t>Propuesta de Reglamento</w:t>
      </w:r>
      <w:r w:rsidRPr="00A56A02">
        <w:rPr>
          <w:rStyle w:val="HideTWBExt"/>
          <w:b w:val="0"/>
          <w:noProof w:val="0"/>
          <w:color w:val="auto"/>
        </w:rPr>
        <w:t>&lt;/DocAmend&gt;</w:t>
      </w:r>
    </w:p>
    <w:p w:rsidR="00CE4CD1" w:rsidRPr="00A56A02" w:rsidRDefault="00CE4CD1" w:rsidP="00CE4CD1">
      <w:pPr>
        <w:pStyle w:val="NormalBold"/>
      </w:pPr>
      <w:r w:rsidRPr="00A56A02">
        <w:rPr>
          <w:rStyle w:val="HideTWBExt"/>
          <w:b w:val="0"/>
          <w:noProof w:val="0"/>
          <w:color w:val="auto"/>
        </w:rPr>
        <w:t>&lt;Article&gt;</w:t>
      </w:r>
      <w:r w:rsidRPr="00A56A02">
        <w:t>Considerando 1 bis (nuevo)</w:t>
      </w:r>
      <w:r w:rsidRPr="00A56A0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6A02" w:rsidRPr="00A56A02" w:rsidTr="006B7FC7">
        <w:trPr>
          <w:jc w:val="center"/>
        </w:trPr>
        <w:tc>
          <w:tcPr>
            <w:tcW w:w="9752" w:type="dxa"/>
            <w:gridSpan w:val="2"/>
          </w:tcPr>
          <w:p w:rsidR="00CE4CD1" w:rsidRPr="00A56A02" w:rsidRDefault="00CE4CD1" w:rsidP="006B7FC7">
            <w:pPr>
              <w:keepNext/>
            </w:pPr>
          </w:p>
        </w:tc>
      </w:tr>
      <w:tr w:rsidR="00A56A02" w:rsidRPr="00A56A02" w:rsidTr="006B7FC7">
        <w:trPr>
          <w:jc w:val="center"/>
        </w:trPr>
        <w:tc>
          <w:tcPr>
            <w:tcW w:w="4876" w:type="dxa"/>
            <w:hideMark/>
          </w:tcPr>
          <w:p w:rsidR="00CE4CD1" w:rsidRPr="00A56A02" w:rsidRDefault="00CE4CD1" w:rsidP="006B7FC7">
            <w:pPr>
              <w:pStyle w:val="ColumnHeading"/>
              <w:keepNext/>
            </w:pPr>
            <w:r w:rsidRPr="00A56A02">
              <w:t>Texto de la Comisión</w:t>
            </w:r>
          </w:p>
        </w:tc>
        <w:tc>
          <w:tcPr>
            <w:tcW w:w="4876" w:type="dxa"/>
            <w:hideMark/>
          </w:tcPr>
          <w:p w:rsidR="00CE4CD1" w:rsidRPr="00A56A02" w:rsidRDefault="00CE4CD1" w:rsidP="006B7FC7">
            <w:pPr>
              <w:pStyle w:val="ColumnHeading"/>
              <w:keepNext/>
            </w:pPr>
            <w:r w:rsidRPr="00A56A02">
              <w:t>Enmienda</w:t>
            </w:r>
          </w:p>
        </w:tc>
      </w:tr>
      <w:tr w:rsidR="00A56A02" w:rsidRPr="00A56A02" w:rsidTr="006B7FC7">
        <w:trPr>
          <w:jc w:val="center"/>
        </w:trPr>
        <w:tc>
          <w:tcPr>
            <w:tcW w:w="4876" w:type="dxa"/>
          </w:tcPr>
          <w:p w:rsidR="00CE4CD1" w:rsidRPr="00A56A02" w:rsidRDefault="00CE4CD1" w:rsidP="006B7FC7">
            <w:pPr>
              <w:pStyle w:val="Normal6"/>
            </w:pPr>
          </w:p>
        </w:tc>
        <w:tc>
          <w:tcPr>
            <w:tcW w:w="4876" w:type="dxa"/>
            <w:hideMark/>
          </w:tcPr>
          <w:p w:rsidR="00CE4CD1" w:rsidRPr="00A56A02" w:rsidRDefault="00CE4CD1" w:rsidP="006B7FC7">
            <w:pPr>
              <w:pStyle w:val="Normal6"/>
              <w:rPr>
                <w:szCs w:val="24"/>
              </w:rPr>
            </w:pPr>
            <w:r w:rsidRPr="00A56A02">
              <w:rPr>
                <w:b/>
                <w:i/>
              </w:rPr>
              <w:t>(1 bis)</w:t>
            </w:r>
            <w:r w:rsidRPr="00A56A02">
              <w:rPr>
                <w:b/>
                <w:i/>
              </w:rPr>
              <w:tab/>
              <w:t>La migración y el cruce de las fronteras exteriores por un gran número de nacionales de terceros países no deben considerarse por sí mismos una amenaza para el orden público o la seguridad interior.</w:t>
            </w:r>
          </w:p>
        </w:tc>
      </w:tr>
    </w:tbl>
    <w:p w:rsidR="00CE4CD1" w:rsidRPr="00A56A02" w:rsidRDefault="00CE4CD1" w:rsidP="00131CD6">
      <w:pPr>
        <w:pStyle w:val="Olang"/>
        <w:rPr>
          <w:noProof w:val="0"/>
          <w:szCs w:val="24"/>
        </w:rPr>
      </w:pPr>
      <w:r w:rsidRPr="00A56A02">
        <w:rPr>
          <w:noProof w:val="0"/>
          <w:szCs w:val="24"/>
        </w:rPr>
        <w:t xml:space="preserve">Or. </w:t>
      </w:r>
      <w:r w:rsidRPr="00A56A02">
        <w:rPr>
          <w:rStyle w:val="HideTWBExt"/>
          <w:noProof w:val="0"/>
          <w:color w:val="auto"/>
        </w:rPr>
        <w:t>&lt;Original&gt;</w:t>
      </w:r>
      <w:r w:rsidRPr="00A56A02">
        <w:rPr>
          <w:rStyle w:val="HideTWBInt"/>
          <w:noProof w:val="0"/>
          <w:color w:val="auto"/>
        </w:rPr>
        <w:t>{EN}</w:t>
      </w:r>
      <w:r w:rsidRPr="00A56A02">
        <w:rPr>
          <w:noProof w:val="0"/>
          <w:szCs w:val="24"/>
        </w:rPr>
        <w:t>en</w:t>
      </w:r>
      <w:r w:rsidRPr="00A56A02">
        <w:rPr>
          <w:rStyle w:val="HideTWBExt"/>
          <w:noProof w:val="0"/>
          <w:color w:val="auto"/>
        </w:rPr>
        <w:t>&lt;/Original&gt;</w:t>
      </w:r>
    </w:p>
    <w:p w:rsidR="00CE4CD1" w:rsidRPr="00A56A02" w:rsidRDefault="00CE4CD1" w:rsidP="00CE4CD1">
      <w:pPr>
        <w:rPr>
          <w:szCs w:val="24"/>
        </w:rPr>
      </w:pPr>
      <w:r w:rsidRPr="00A56A02">
        <w:rPr>
          <w:rStyle w:val="HideTWBExt"/>
          <w:noProof w:val="0"/>
          <w:color w:val="auto"/>
        </w:rPr>
        <w:t>&lt;/Amend&gt;</w:t>
      </w:r>
    </w:p>
    <w:p w:rsidR="00CE4CD1" w:rsidRPr="00A56A02" w:rsidRDefault="00CE4CD1" w:rsidP="00CE4CD1">
      <w:pPr>
        <w:pStyle w:val="AMNumberTabs"/>
        <w:keepNext/>
      </w:pPr>
      <w:r w:rsidRPr="00A56A02">
        <w:rPr>
          <w:rStyle w:val="HideTWBExt"/>
          <w:b w:val="0"/>
          <w:noProof w:val="0"/>
          <w:color w:val="auto"/>
        </w:rPr>
        <w:t>&lt;Amend&gt;</w:t>
      </w:r>
      <w:r w:rsidRPr="00A56A02">
        <w:t>Enmienda</w:t>
      </w:r>
      <w:r w:rsidRPr="00A56A02">
        <w:tab/>
      </w:r>
      <w:r w:rsidRPr="00A56A02">
        <w:tab/>
      </w:r>
      <w:r w:rsidRPr="00A56A02">
        <w:rPr>
          <w:rStyle w:val="HideTWBExt"/>
          <w:b w:val="0"/>
          <w:noProof w:val="0"/>
          <w:color w:val="auto"/>
        </w:rPr>
        <w:t>&lt;NumAm&gt;</w:t>
      </w:r>
      <w:r w:rsidRPr="00A56A02">
        <w:t>4</w:t>
      </w:r>
      <w:r w:rsidRPr="00A56A02">
        <w:rPr>
          <w:rStyle w:val="HideTWBExt"/>
          <w:b w:val="0"/>
          <w:noProof w:val="0"/>
          <w:color w:val="auto"/>
        </w:rPr>
        <w:t>&lt;/NumAm&gt;</w:t>
      </w:r>
    </w:p>
    <w:p w:rsidR="00CE4CD1" w:rsidRPr="00A56A02" w:rsidRDefault="00CE4CD1" w:rsidP="00CE4CD1">
      <w:pPr>
        <w:pStyle w:val="NormalBold12b"/>
        <w:keepNext/>
      </w:pPr>
      <w:r w:rsidRPr="00A56A02">
        <w:rPr>
          <w:rStyle w:val="HideTWBExt"/>
          <w:b w:val="0"/>
          <w:noProof w:val="0"/>
          <w:color w:val="auto"/>
        </w:rPr>
        <w:t>&lt;DocAmend&gt;</w:t>
      </w:r>
      <w:r w:rsidRPr="00A56A02">
        <w:t>Propuesta de Reglamento</w:t>
      </w:r>
      <w:r w:rsidRPr="00A56A02">
        <w:rPr>
          <w:rStyle w:val="HideTWBExt"/>
          <w:b w:val="0"/>
          <w:noProof w:val="0"/>
          <w:color w:val="auto"/>
        </w:rPr>
        <w:t>&lt;/DocAmend&gt;</w:t>
      </w:r>
    </w:p>
    <w:p w:rsidR="00CE4CD1" w:rsidRPr="00A56A02" w:rsidRDefault="00CE4CD1" w:rsidP="00CE4CD1">
      <w:pPr>
        <w:pStyle w:val="NormalBold"/>
      </w:pPr>
      <w:r w:rsidRPr="00A56A02">
        <w:rPr>
          <w:rStyle w:val="HideTWBExt"/>
          <w:b w:val="0"/>
          <w:noProof w:val="0"/>
          <w:color w:val="auto"/>
        </w:rPr>
        <w:t>&lt;Article&gt;</w:t>
      </w:r>
      <w:r w:rsidRPr="00A56A02">
        <w:t>Considerando 2 bis (nuevo)</w:t>
      </w:r>
      <w:r w:rsidRPr="00A56A0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6A02" w:rsidRPr="00A56A02" w:rsidTr="006B7FC7">
        <w:trPr>
          <w:jc w:val="center"/>
        </w:trPr>
        <w:tc>
          <w:tcPr>
            <w:tcW w:w="9752" w:type="dxa"/>
            <w:gridSpan w:val="2"/>
          </w:tcPr>
          <w:p w:rsidR="00CE4CD1" w:rsidRPr="00A56A02" w:rsidRDefault="00CE4CD1" w:rsidP="006B7FC7">
            <w:pPr>
              <w:keepNext/>
            </w:pPr>
          </w:p>
        </w:tc>
      </w:tr>
      <w:tr w:rsidR="00A56A02" w:rsidRPr="00A56A02" w:rsidTr="006B7FC7">
        <w:trPr>
          <w:jc w:val="center"/>
        </w:trPr>
        <w:tc>
          <w:tcPr>
            <w:tcW w:w="4876" w:type="dxa"/>
            <w:hideMark/>
          </w:tcPr>
          <w:p w:rsidR="00CE4CD1" w:rsidRPr="00A56A02" w:rsidRDefault="00CE4CD1" w:rsidP="006B7FC7">
            <w:pPr>
              <w:pStyle w:val="ColumnHeading"/>
              <w:keepNext/>
            </w:pPr>
            <w:r w:rsidRPr="00A56A02">
              <w:t>Texto de la Comisión</w:t>
            </w:r>
          </w:p>
        </w:tc>
        <w:tc>
          <w:tcPr>
            <w:tcW w:w="4876" w:type="dxa"/>
            <w:hideMark/>
          </w:tcPr>
          <w:p w:rsidR="00CE4CD1" w:rsidRPr="00A56A02" w:rsidRDefault="00CE4CD1" w:rsidP="006B7FC7">
            <w:pPr>
              <w:pStyle w:val="ColumnHeading"/>
              <w:keepNext/>
            </w:pPr>
            <w:r w:rsidRPr="00A56A02">
              <w:t>Enmienda</w:t>
            </w:r>
          </w:p>
        </w:tc>
      </w:tr>
      <w:tr w:rsidR="00A56A02" w:rsidRPr="00A56A02" w:rsidTr="006B7FC7">
        <w:trPr>
          <w:jc w:val="center"/>
        </w:trPr>
        <w:tc>
          <w:tcPr>
            <w:tcW w:w="4876" w:type="dxa"/>
          </w:tcPr>
          <w:p w:rsidR="00CE4CD1" w:rsidRPr="00A56A02" w:rsidRDefault="00CE4CD1" w:rsidP="006B7FC7">
            <w:pPr>
              <w:pStyle w:val="Normal6"/>
            </w:pPr>
          </w:p>
        </w:tc>
        <w:tc>
          <w:tcPr>
            <w:tcW w:w="4876" w:type="dxa"/>
            <w:hideMark/>
          </w:tcPr>
          <w:p w:rsidR="00CE4CD1" w:rsidRPr="00A56A02" w:rsidRDefault="00CE4CD1" w:rsidP="006B7FC7">
            <w:pPr>
              <w:pStyle w:val="Normal6"/>
              <w:rPr>
                <w:szCs w:val="24"/>
              </w:rPr>
            </w:pPr>
            <w:r w:rsidRPr="00A56A02">
              <w:rPr>
                <w:b/>
                <w:i/>
              </w:rPr>
              <w:t>(2 bis)</w:t>
            </w:r>
            <w:r w:rsidRPr="00A56A02">
              <w:rPr>
                <w:b/>
                <w:i/>
              </w:rPr>
              <w:tab/>
              <w:t>Antes de restablecer temporalmente los controles fronterizos en las fronteras interiores, debe darse preferencia a otro tipo de acciones y medidas para abordar la amenaza detectada. En particular, el Estado miembro afectado debe, cuando sea necesario y se justifique, considerar la posibilidad de utilizar con mayor eficacia o intensificar los controles policiales en su territorio (incluidas las zonas fronterizas), llevar a cabo controles policiales en las principales rutas de transporte (incluidas las zonas fronterizas), adaptar los controles policiales en las zonas fronterizas según una evaluación del riesgo —y velando por que dichos controles policiales no tengan por objeto el control de las fronteras— y recurrir a la tecnología disponible y a la cooperación policial transfronteriza.</w:t>
            </w:r>
          </w:p>
        </w:tc>
      </w:tr>
    </w:tbl>
    <w:p w:rsidR="00CE4CD1" w:rsidRPr="00A56A02" w:rsidRDefault="00CE4CD1" w:rsidP="00131CD6">
      <w:pPr>
        <w:pStyle w:val="Olang"/>
        <w:rPr>
          <w:noProof w:val="0"/>
          <w:szCs w:val="24"/>
        </w:rPr>
      </w:pPr>
      <w:r w:rsidRPr="00A56A02">
        <w:rPr>
          <w:noProof w:val="0"/>
          <w:szCs w:val="24"/>
        </w:rPr>
        <w:t xml:space="preserve">Or. </w:t>
      </w:r>
      <w:r w:rsidRPr="00A56A02">
        <w:rPr>
          <w:rStyle w:val="HideTWBExt"/>
          <w:noProof w:val="0"/>
          <w:color w:val="auto"/>
        </w:rPr>
        <w:t>&lt;Original&gt;</w:t>
      </w:r>
      <w:r w:rsidRPr="00A56A02">
        <w:rPr>
          <w:rStyle w:val="HideTWBInt"/>
          <w:noProof w:val="0"/>
          <w:color w:val="auto"/>
        </w:rPr>
        <w:t>{EN}</w:t>
      </w:r>
      <w:r w:rsidRPr="00A56A02">
        <w:rPr>
          <w:noProof w:val="0"/>
          <w:szCs w:val="24"/>
        </w:rPr>
        <w:t>en</w:t>
      </w:r>
      <w:r w:rsidRPr="00A56A02">
        <w:rPr>
          <w:rStyle w:val="HideTWBExt"/>
          <w:noProof w:val="0"/>
          <w:color w:val="auto"/>
        </w:rPr>
        <w:t>&lt;/Original&gt;</w:t>
      </w:r>
    </w:p>
    <w:p w:rsidR="00CE4CD1" w:rsidRPr="00A56A02" w:rsidRDefault="00CE4CD1" w:rsidP="00CE4CD1">
      <w:pPr>
        <w:rPr>
          <w:szCs w:val="24"/>
        </w:rPr>
      </w:pPr>
      <w:r w:rsidRPr="00A56A02">
        <w:rPr>
          <w:rStyle w:val="HideTWBExt"/>
          <w:noProof w:val="0"/>
          <w:color w:val="auto"/>
        </w:rPr>
        <w:t>&lt;/Amend&gt;</w:t>
      </w:r>
    </w:p>
    <w:p w:rsidR="00CE4CD1" w:rsidRPr="00A56A02" w:rsidRDefault="00CE4CD1" w:rsidP="00CE4CD1">
      <w:pPr>
        <w:pStyle w:val="AMNumberTabs"/>
        <w:keepNext/>
      </w:pPr>
      <w:r w:rsidRPr="00A56A02">
        <w:rPr>
          <w:rStyle w:val="HideTWBExt"/>
          <w:b w:val="0"/>
          <w:noProof w:val="0"/>
          <w:color w:val="auto"/>
        </w:rPr>
        <w:t>&lt;Amend&gt;</w:t>
      </w:r>
      <w:r w:rsidRPr="00A56A02">
        <w:t>Enmienda</w:t>
      </w:r>
      <w:r w:rsidRPr="00A56A02">
        <w:tab/>
      </w:r>
      <w:r w:rsidRPr="00A56A02">
        <w:tab/>
      </w:r>
      <w:r w:rsidRPr="00A56A02">
        <w:rPr>
          <w:rStyle w:val="HideTWBExt"/>
          <w:b w:val="0"/>
          <w:noProof w:val="0"/>
          <w:color w:val="auto"/>
        </w:rPr>
        <w:t>&lt;NumAm&gt;</w:t>
      </w:r>
      <w:r w:rsidRPr="00A56A02">
        <w:t>5</w:t>
      </w:r>
      <w:r w:rsidRPr="00A56A02">
        <w:rPr>
          <w:rStyle w:val="HideTWBExt"/>
          <w:b w:val="0"/>
          <w:noProof w:val="0"/>
          <w:color w:val="auto"/>
        </w:rPr>
        <w:t>&lt;/NumAm&gt;</w:t>
      </w:r>
    </w:p>
    <w:p w:rsidR="00CE4CD1" w:rsidRPr="00A56A02" w:rsidRDefault="00CE4CD1" w:rsidP="00CE4CD1">
      <w:pPr>
        <w:pStyle w:val="NormalBold12b"/>
        <w:keepNext/>
      </w:pPr>
      <w:r w:rsidRPr="00A56A02">
        <w:rPr>
          <w:rStyle w:val="HideTWBExt"/>
          <w:b w:val="0"/>
          <w:noProof w:val="0"/>
          <w:color w:val="auto"/>
        </w:rPr>
        <w:t>&lt;DocAmend&gt;</w:t>
      </w:r>
      <w:r w:rsidRPr="00A56A02">
        <w:t>Propuesta de Reglamento</w:t>
      </w:r>
      <w:r w:rsidRPr="00A56A02">
        <w:rPr>
          <w:rStyle w:val="HideTWBExt"/>
          <w:b w:val="0"/>
          <w:noProof w:val="0"/>
          <w:color w:val="auto"/>
        </w:rPr>
        <w:t>&lt;/DocAmend&gt;</w:t>
      </w:r>
    </w:p>
    <w:p w:rsidR="00CE4CD1" w:rsidRPr="00A56A02" w:rsidRDefault="00CE4CD1" w:rsidP="00CE4CD1">
      <w:pPr>
        <w:pStyle w:val="NormalBold"/>
      </w:pPr>
      <w:r w:rsidRPr="00A56A02">
        <w:rPr>
          <w:rStyle w:val="HideTWBExt"/>
          <w:b w:val="0"/>
          <w:noProof w:val="0"/>
          <w:color w:val="auto"/>
        </w:rPr>
        <w:t>&lt;Article&gt;</w:t>
      </w:r>
      <w:r w:rsidRPr="00A56A02">
        <w:t>Considerando 4</w:t>
      </w:r>
      <w:r w:rsidRPr="00A56A0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6A02" w:rsidRPr="00A56A02" w:rsidTr="006B7FC7">
        <w:trPr>
          <w:jc w:val="center"/>
        </w:trPr>
        <w:tc>
          <w:tcPr>
            <w:tcW w:w="9752" w:type="dxa"/>
            <w:gridSpan w:val="2"/>
          </w:tcPr>
          <w:p w:rsidR="00CE4CD1" w:rsidRPr="00A56A02" w:rsidRDefault="00CE4CD1" w:rsidP="006B7FC7">
            <w:pPr>
              <w:keepNext/>
            </w:pPr>
          </w:p>
        </w:tc>
      </w:tr>
      <w:tr w:rsidR="00A56A02" w:rsidRPr="00A56A02" w:rsidTr="006B7FC7">
        <w:trPr>
          <w:jc w:val="center"/>
        </w:trPr>
        <w:tc>
          <w:tcPr>
            <w:tcW w:w="4876" w:type="dxa"/>
            <w:hideMark/>
          </w:tcPr>
          <w:p w:rsidR="00CE4CD1" w:rsidRPr="00A56A02" w:rsidRDefault="00CE4CD1" w:rsidP="006B7FC7">
            <w:pPr>
              <w:pStyle w:val="ColumnHeading"/>
              <w:keepNext/>
            </w:pPr>
            <w:r w:rsidRPr="00A56A02">
              <w:t>Texto de la Comisión</w:t>
            </w:r>
          </w:p>
        </w:tc>
        <w:tc>
          <w:tcPr>
            <w:tcW w:w="4876" w:type="dxa"/>
            <w:hideMark/>
          </w:tcPr>
          <w:p w:rsidR="00CE4CD1" w:rsidRPr="00A56A02" w:rsidRDefault="00CE4CD1" w:rsidP="006B7FC7">
            <w:pPr>
              <w:pStyle w:val="ColumnHeading"/>
              <w:keepNext/>
            </w:pPr>
            <w:r w:rsidRPr="00A56A02">
              <w:t>Enmienda</w:t>
            </w:r>
          </w:p>
        </w:tc>
      </w:tr>
      <w:tr w:rsidR="00A56A02" w:rsidRPr="00A56A02" w:rsidTr="006B7FC7">
        <w:trPr>
          <w:jc w:val="center"/>
        </w:trPr>
        <w:tc>
          <w:tcPr>
            <w:tcW w:w="4876" w:type="dxa"/>
            <w:hideMark/>
          </w:tcPr>
          <w:p w:rsidR="00CE4CD1" w:rsidRPr="00A56A02" w:rsidRDefault="00CE4CD1" w:rsidP="006B7FC7">
            <w:pPr>
              <w:pStyle w:val="Normal6"/>
            </w:pPr>
            <w:r w:rsidRPr="00A56A02">
              <w:t>(4)</w:t>
            </w:r>
            <w:r w:rsidRPr="00A56A02">
              <w:tab/>
              <w:t xml:space="preserve">Sin embargo, la experiencia ha demostrado que determinadas amenazas graves para el orden público o la seguridad interior, </w:t>
            </w:r>
            <w:r w:rsidRPr="00A56A02">
              <w:rPr>
                <w:b/>
                <w:i/>
              </w:rPr>
              <w:t>como las amenazas terroristas transfronterizas o casos específicos de movimientos secundarios de migrantes irregulares dentro de la Unión que justifican el restablecimiento de los controles fronterizos,</w:t>
            </w:r>
            <w:r w:rsidRPr="00A56A02">
              <w:t xml:space="preserve"> pueden persistir más allá de los periodos </w:t>
            </w:r>
            <w:r w:rsidRPr="00A56A02">
              <w:rPr>
                <w:b/>
                <w:i/>
              </w:rPr>
              <w:t>mencionados</w:t>
            </w:r>
            <w:r w:rsidRPr="00A56A02">
              <w:t xml:space="preserve">. Es por tanto necesario </w:t>
            </w:r>
            <w:r w:rsidRPr="00A56A02">
              <w:rPr>
                <w:b/>
                <w:i/>
              </w:rPr>
              <w:t>y justificado</w:t>
            </w:r>
            <w:r w:rsidRPr="00A56A02">
              <w:t xml:space="preserve"> ajustar los plazos aplicables al restablecimiento temporal de controles fronterizos </w:t>
            </w:r>
            <w:r w:rsidRPr="00A56A02">
              <w:rPr>
                <w:b/>
                <w:i/>
              </w:rPr>
              <w:t>a las necesidades actuales</w:t>
            </w:r>
            <w:r w:rsidRPr="00A56A02">
              <w:t xml:space="preserve">, garantizando al mismo tiempo que no se abuse de esta medida y que siga siendo excepcional, utilizándose solo como último recurso. </w:t>
            </w:r>
            <w:r w:rsidRPr="00A56A02">
              <w:rPr>
                <w:b/>
                <w:i/>
              </w:rPr>
              <w:t>A tal fin, el plazo general aplicable con arreglo al artículo 25 del Código de fronteras Schengen debe ampliarse a un año.</w:t>
            </w:r>
          </w:p>
        </w:tc>
        <w:tc>
          <w:tcPr>
            <w:tcW w:w="4876" w:type="dxa"/>
            <w:hideMark/>
          </w:tcPr>
          <w:p w:rsidR="00CE4CD1" w:rsidRPr="00A56A02" w:rsidRDefault="00CE4CD1" w:rsidP="006B7FC7">
            <w:pPr>
              <w:pStyle w:val="Normal6"/>
              <w:rPr>
                <w:szCs w:val="24"/>
              </w:rPr>
            </w:pPr>
            <w:r w:rsidRPr="00A56A02">
              <w:t>(4)</w:t>
            </w:r>
            <w:r w:rsidRPr="00A56A02">
              <w:tab/>
              <w:t>Sin embargo, la experiencia ha demostrado que</w:t>
            </w:r>
            <w:r w:rsidRPr="00A56A02">
              <w:rPr>
                <w:b/>
                <w:i/>
              </w:rPr>
              <w:t xml:space="preserve"> pocas veces es necesario restablecer los controles fronterizos en las fronteras interiores por períodos superiores a dos meses</w:t>
            </w:r>
            <w:r w:rsidRPr="00A56A02">
              <w:t>.</w:t>
            </w:r>
            <w:r w:rsidRPr="00A56A02">
              <w:rPr>
                <w:b/>
                <w:i/>
              </w:rPr>
              <w:t xml:space="preserve"> En circunstancias excepcionales,</w:t>
            </w:r>
            <w:r w:rsidRPr="00A56A02">
              <w:t xml:space="preserve"> determinadas amenazas graves para el orden público o la seguridad interior pueden persistir más allá de los periodos </w:t>
            </w:r>
            <w:r w:rsidRPr="00A56A02">
              <w:rPr>
                <w:b/>
                <w:i/>
              </w:rPr>
              <w:t>máximos de seis meses autorizados en la actualidad</w:t>
            </w:r>
            <w:r w:rsidRPr="00A56A02">
              <w:t>. Es por tanto necesario ajustar los plazos aplicables al restablecimiento temporal de controles fronterizos, garantizando al mismo tiempo que no se abuse de esta medida y que siga siendo excepcional, utilizándose solo como último recurso.</w:t>
            </w:r>
          </w:p>
        </w:tc>
      </w:tr>
    </w:tbl>
    <w:p w:rsidR="00CE4CD1" w:rsidRPr="00A56A02" w:rsidRDefault="00CE4CD1" w:rsidP="00131CD6">
      <w:pPr>
        <w:pStyle w:val="Olang"/>
        <w:rPr>
          <w:noProof w:val="0"/>
          <w:szCs w:val="24"/>
        </w:rPr>
      </w:pPr>
      <w:r w:rsidRPr="00A56A02">
        <w:rPr>
          <w:noProof w:val="0"/>
          <w:szCs w:val="24"/>
        </w:rPr>
        <w:t xml:space="preserve">Or. </w:t>
      </w:r>
      <w:r w:rsidRPr="00A56A02">
        <w:rPr>
          <w:rStyle w:val="HideTWBExt"/>
          <w:noProof w:val="0"/>
          <w:color w:val="auto"/>
        </w:rPr>
        <w:t>&lt;Original&gt;</w:t>
      </w:r>
      <w:r w:rsidRPr="00A56A02">
        <w:rPr>
          <w:rStyle w:val="HideTWBInt"/>
          <w:noProof w:val="0"/>
          <w:color w:val="auto"/>
        </w:rPr>
        <w:t>{EN}</w:t>
      </w:r>
      <w:r w:rsidRPr="00A56A02">
        <w:rPr>
          <w:noProof w:val="0"/>
          <w:szCs w:val="24"/>
        </w:rPr>
        <w:t>en</w:t>
      </w:r>
      <w:r w:rsidRPr="00A56A02">
        <w:rPr>
          <w:rStyle w:val="HideTWBExt"/>
          <w:noProof w:val="0"/>
          <w:color w:val="auto"/>
        </w:rPr>
        <w:t>&lt;/Original&gt;</w:t>
      </w:r>
    </w:p>
    <w:p w:rsidR="00CE4CD1" w:rsidRPr="00A56A02" w:rsidRDefault="00CE4CD1" w:rsidP="00CE4CD1">
      <w:pPr>
        <w:pStyle w:val="JustificationTitle"/>
        <w:spacing w:after="240"/>
      </w:pPr>
      <w:r w:rsidRPr="00A56A02">
        <w:rPr>
          <w:rStyle w:val="HideTWBExt"/>
          <w:i w:val="0"/>
          <w:noProof w:val="0"/>
          <w:color w:val="auto"/>
        </w:rPr>
        <w:t>&lt;TitreJust&gt;</w:t>
      </w:r>
      <w:r w:rsidRPr="00A56A02">
        <w:t>Justificación</w:t>
      </w:r>
      <w:r w:rsidRPr="00A56A02">
        <w:rPr>
          <w:rStyle w:val="HideTWBExt"/>
          <w:i w:val="0"/>
          <w:noProof w:val="0"/>
          <w:color w:val="auto"/>
        </w:rPr>
        <w:t>&lt;/TitreJust&gt;</w:t>
      </w:r>
    </w:p>
    <w:p w:rsidR="00CE4CD1" w:rsidRPr="00A56A02" w:rsidRDefault="00CE4CD1" w:rsidP="00CE4CD1">
      <w:pPr>
        <w:pStyle w:val="Normal12Italic"/>
        <w:spacing w:before="0" w:after="240"/>
      </w:pPr>
      <w:r w:rsidRPr="00A56A02">
        <w:t>La amenaza grave para el orden público o la seguridad interior no es un concepto definido en el Derecho de la Unión, por lo que mencionar específicamente tales amenazas en relación con movimientos secundarios no es útil por varias razones. Podría crear la impresión de que ambas amenazas están igualmente justificadas o son igualmente graves, cuando nada demuestra que sea el caso, además de que, por otro lado, los Estados miembros pueden utilizar esta disposición para justificar determinadas prácticas que van contra el espíritu del Código de fronteras Schengen.</w:t>
      </w:r>
    </w:p>
    <w:p w:rsidR="00CE4CD1" w:rsidRPr="00A56A02" w:rsidRDefault="00CE4CD1" w:rsidP="00CE4CD1">
      <w:r w:rsidRPr="00A56A02">
        <w:rPr>
          <w:rStyle w:val="HideTWBExt"/>
          <w:noProof w:val="0"/>
          <w:color w:val="auto"/>
        </w:rPr>
        <w:t>&lt;/Amend&gt;</w:t>
      </w:r>
    </w:p>
    <w:p w:rsidR="00CE4CD1" w:rsidRPr="00A56A02" w:rsidRDefault="00CE4CD1" w:rsidP="00CE4CD1">
      <w:pPr>
        <w:pStyle w:val="AMNumberTabs"/>
        <w:keepNext/>
      </w:pPr>
      <w:r w:rsidRPr="00A56A02">
        <w:rPr>
          <w:rStyle w:val="HideTWBExt"/>
          <w:b w:val="0"/>
          <w:noProof w:val="0"/>
          <w:color w:val="auto"/>
        </w:rPr>
        <w:t>&lt;Amend&gt;</w:t>
      </w:r>
      <w:r w:rsidRPr="00A56A02">
        <w:t>Enmienda</w:t>
      </w:r>
      <w:r w:rsidRPr="00A56A02">
        <w:tab/>
      </w:r>
      <w:r w:rsidRPr="00A56A02">
        <w:tab/>
      </w:r>
      <w:r w:rsidRPr="00A56A02">
        <w:rPr>
          <w:rStyle w:val="HideTWBExt"/>
          <w:b w:val="0"/>
          <w:noProof w:val="0"/>
          <w:color w:val="auto"/>
        </w:rPr>
        <w:t>&lt;NumAm&gt;</w:t>
      </w:r>
      <w:r w:rsidRPr="00A56A02">
        <w:t>6</w:t>
      </w:r>
      <w:r w:rsidRPr="00A56A02">
        <w:rPr>
          <w:rStyle w:val="HideTWBExt"/>
          <w:b w:val="0"/>
          <w:noProof w:val="0"/>
          <w:color w:val="auto"/>
        </w:rPr>
        <w:t>&lt;/NumAm&gt;</w:t>
      </w:r>
    </w:p>
    <w:p w:rsidR="00CE4CD1" w:rsidRPr="00A56A02" w:rsidRDefault="00CE4CD1" w:rsidP="00CE4CD1">
      <w:pPr>
        <w:pStyle w:val="NormalBold12b"/>
        <w:keepNext/>
      </w:pPr>
      <w:r w:rsidRPr="00A56A02">
        <w:rPr>
          <w:rStyle w:val="HideTWBExt"/>
          <w:b w:val="0"/>
          <w:noProof w:val="0"/>
          <w:color w:val="auto"/>
        </w:rPr>
        <w:t>&lt;DocAmend&gt;</w:t>
      </w:r>
      <w:r w:rsidRPr="00A56A02">
        <w:t>Propuesta de Reglamento</w:t>
      </w:r>
      <w:r w:rsidRPr="00A56A02">
        <w:rPr>
          <w:rStyle w:val="HideTWBExt"/>
          <w:b w:val="0"/>
          <w:noProof w:val="0"/>
          <w:color w:val="auto"/>
        </w:rPr>
        <w:t>&lt;/DocAmend&gt;</w:t>
      </w:r>
    </w:p>
    <w:p w:rsidR="00CE4CD1" w:rsidRPr="00A56A02" w:rsidRDefault="00CE4CD1" w:rsidP="00CE4CD1">
      <w:pPr>
        <w:pStyle w:val="NormalBold"/>
      </w:pPr>
      <w:r w:rsidRPr="00A56A02">
        <w:rPr>
          <w:rStyle w:val="HideTWBExt"/>
          <w:b w:val="0"/>
          <w:noProof w:val="0"/>
          <w:color w:val="auto"/>
        </w:rPr>
        <w:t>&lt;Article&gt;</w:t>
      </w:r>
      <w:r w:rsidRPr="00A56A02">
        <w:t>Considerando 5</w:t>
      </w:r>
      <w:r w:rsidRPr="00A56A0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6A02" w:rsidRPr="00A56A02" w:rsidTr="006B7FC7">
        <w:trPr>
          <w:jc w:val="center"/>
        </w:trPr>
        <w:tc>
          <w:tcPr>
            <w:tcW w:w="9752" w:type="dxa"/>
            <w:gridSpan w:val="2"/>
          </w:tcPr>
          <w:p w:rsidR="00CE4CD1" w:rsidRPr="00A56A02" w:rsidRDefault="00CE4CD1" w:rsidP="006B7FC7">
            <w:pPr>
              <w:keepNext/>
            </w:pPr>
          </w:p>
        </w:tc>
      </w:tr>
      <w:tr w:rsidR="00A56A02" w:rsidRPr="00A56A02" w:rsidTr="006B7FC7">
        <w:trPr>
          <w:jc w:val="center"/>
        </w:trPr>
        <w:tc>
          <w:tcPr>
            <w:tcW w:w="4876" w:type="dxa"/>
            <w:hideMark/>
          </w:tcPr>
          <w:p w:rsidR="00CE4CD1" w:rsidRPr="00A56A02" w:rsidRDefault="00CE4CD1" w:rsidP="006B7FC7">
            <w:pPr>
              <w:pStyle w:val="ColumnHeading"/>
              <w:keepNext/>
            </w:pPr>
            <w:r w:rsidRPr="00A56A02">
              <w:t>Texto de la Comisión</w:t>
            </w:r>
          </w:p>
        </w:tc>
        <w:tc>
          <w:tcPr>
            <w:tcW w:w="4876" w:type="dxa"/>
            <w:hideMark/>
          </w:tcPr>
          <w:p w:rsidR="00CE4CD1" w:rsidRPr="00A56A02" w:rsidRDefault="00CE4CD1" w:rsidP="006B7FC7">
            <w:pPr>
              <w:pStyle w:val="ColumnHeading"/>
              <w:keepNext/>
            </w:pPr>
            <w:r w:rsidRPr="00A56A02">
              <w:t>Enmienda</w:t>
            </w:r>
          </w:p>
        </w:tc>
      </w:tr>
      <w:tr w:rsidR="00A56A02" w:rsidRPr="00A56A02" w:rsidTr="006B7FC7">
        <w:trPr>
          <w:jc w:val="center"/>
        </w:trPr>
        <w:tc>
          <w:tcPr>
            <w:tcW w:w="4876" w:type="dxa"/>
            <w:hideMark/>
          </w:tcPr>
          <w:p w:rsidR="00CE4CD1" w:rsidRPr="00A56A02" w:rsidRDefault="00CE4CD1" w:rsidP="006B7FC7">
            <w:pPr>
              <w:pStyle w:val="Normal6"/>
            </w:pPr>
            <w:r w:rsidRPr="00A56A02">
              <w:t>(5)</w:t>
            </w:r>
            <w:r w:rsidRPr="00A56A02">
              <w:tab/>
              <w:t xml:space="preserve">Con el fin de garantizar que estos controles en las fronteras interiores sigan siendo una excepción, los Estados miembros deben presentar una evaluación de riesgos sobre el </w:t>
            </w:r>
            <w:r w:rsidRPr="00A56A02">
              <w:rPr>
                <w:b/>
                <w:i/>
              </w:rPr>
              <w:t>restablecimiento</w:t>
            </w:r>
            <w:r w:rsidRPr="00A56A02">
              <w:t xml:space="preserve"> previsto de los controles fronterizos </w:t>
            </w:r>
            <w:r w:rsidRPr="00A56A02">
              <w:rPr>
                <w:b/>
                <w:i/>
              </w:rPr>
              <w:t>o la prórroga de los mismos</w:t>
            </w:r>
            <w:r w:rsidRPr="00A56A02">
              <w:t xml:space="preserve">. La evaluación de riesgos debe, en particular, evaluar durante cuánto tiempo se espera que persista la amenaza detectada y qué secciones de las fronteras interiores se ven afectadas, demostrar que la prórroga de los controles fronterizos es una medida de último recurso y explicar de qué manera el control de las fronteras podría contribuir a abordar la amenaza detectada. </w:t>
            </w:r>
            <w:r w:rsidRPr="00A56A02">
              <w:rPr>
                <w:b/>
                <w:i/>
              </w:rPr>
              <w:t>En el caso de controles en las fronteras interiores que vayan más allá de seis meses,</w:t>
            </w:r>
            <w:r w:rsidRPr="00A56A02">
              <w:rPr>
                <w:i/>
              </w:rPr>
              <w:t xml:space="preserve"> </w:t>
            </w:r>
            <w:r w:rsidRPr="00A56A02">
              <w:t>la evaluación de riesgos también deberá demostrar de forma retroactiva la eficacia del restablecimiento de los controles fronterizos para abordar la amenaza detectada y explicar con detalle la forma en que cada Estado miembro vecino afectado por dicha prórroga fue consultado y participó en la determinación de las modalidades operativas menos gravosas.</w:t>
            </w:r>
          </w:p>
        </w:tc>
        <w:tc>
          <w:tcPr>
            <w:tcW w:w="4876" w:type="dxa"/>
            <w:hideMark/>
          </w:tcPr>
          <w:p w:rsidR="00CE4CD1" w:rsidRPr="00A56A02" w:rsidRDefault="00CE4CD1" w:rsidP="006B7FC7">
            <w:pPr>
              <w:pStyle w:val="Normal6"/>
              <w:rPr>
                <w:szCs w:val="24"/>
              </w:rPr>
            </w:pPr>
            <w:r w:rsidRPr="00A56A02">
              <w:t>(5)</w:t>
            </w:r>
            <w:r w:rsidRPr="00A56A02">
              <w:tab/>
              <w:t xml:space="preserve">Con el fin de garantizar que estos controles en las fronteras interiores sigan siendo una excepción, los Estados miembros deben presentar una evaluación de riesgos sobre </w:t>
            </w:r>
            <w:r w:rsidRPr="00A56A02">
              <w:rPr>
                <w:b/>
                <w:i/>
              </w:rPr>
              <w:t>la prórroga</w:t>
            </w:r>
            <w:r w:rsidRPr="00A56A02">
              <w:rPr>
                <w:i/>
              </w:rPr>
              <w:t xml:space="preserve"> </w:t>
            </w:r>
            <w:r w:rsidRPr="00A56A02">
              <w:t xml:space="preserve">de los controles fronterizos </w:t>
            </w:r>
            <w:r w:rsidRPr="00A56A02">
              <w:rPr>
                <w:b/>
                <w:i/>
              </w:rPr>
              <w:t>prevista para</w:t>
            </w:r>
            <w:r w:rsidRPr="00A56A02">
              <w:t xml:space="preserve"> </w:t>
            </w:r>
            <w:r w:rsidRPr="00A56A02">
              <w:rPr>
                <w:b/>
                <w:i/>
              </w:rPr>
              <w:t>más de dos meses</w:t>
            </w:r>
            <w:r w:rsidRPr="00A56A02">
              <w:t>. La evaluación de riesgos debe, en particular, evaluar durante cuánto tiempo se espera que persista la amenaza detectada y qué secciones de las fronteras interiores se ven afectadas, demostrar que la prórroga de los controles fronterizos es una medida de último recurso y explicar de qué manera el control de las fronteras podría contribuir a abordar la amenaza detectada. La evaluación de riesgos también deberá demostrar de forma retroactiva la eficacia del restablecimiento de los controles fronterizos para abordar la amenaza detectada y explicar con detalle la forma en que cada Estado miembro vecino afectado por dicha prórroga fue consultado y participó en la determinación de las modalidades operativas menos gravosas.</w:t>
            </w:r>
          </w:p>
        </w:tc>
      </w:tr>
    </w:tbl>
    <w:p w:rsidR="00CE4CD1" w:rsidRPr="00A56A02" w:rsidRDefault="00CE4CD1" w:rsidP="00131CD6">
      <w:pPr>
        <w:pStyle w:val="Olang"/>
        <w:rPr>
          <w:noProof w:val="0"/>
          <w:szCs w:val="24"/>
        </w:rPr>
      </w:pPr>
      <w:r w:rsidRPr="00A56A02">
        <w:rPr>
          <w:noProof w:val="0"/>
          <w:szCs w:val="24"/>
        </w:rPr>
        <w:t xml:space="preserve">Or. </w:t>
      </w:r>
      <w:r w:rsidRPr="00A56A02">
        <w:rPr>
          <w:rStyle w:val="HideTWBExt"/>
          <w:noProof w:val="0"/>
          <w:color w:val="auto"/>
        </w:rPr>
        <w:t>&lt;Original&gt;</w:t>
      </w:r>
      <w:r w:rsidRPr="00A56A02">
        <w:rPr>
          <w:rStyle w:val="HideTWBInt"/>
          <w:noProof w:val="0"/>
          <w:color w:val="auto"/>
        </w:rPr>
        <w:t>{EN}</w:t>
      </w:r>
      <w:r w:rsidRPr="00A56A02">
        <w:rPr>
          <w:noProof w:val="0"/>
          <w:szCs w:val="24"/>
        </w:rPr>
        <w:t>en</w:t>
      </w:r>
      <w:r w:rsidRPr="00A56A02">
        <w:rPr>
          <w:rStyle w:val="HideTWBExt"/>
          <w:noProof w:val="0"/>
          <w:color w:val="auto"/>
        </w:rPr>
        <w:t>&lt;/Original&gt;</w:t>
      </w:r>
    </w:p>
    <w:p w:rsidR="00CE4CD1" w:rsidRPr="00A56A02" w:rsidRDefault="00CE4CD1" w:rsidP="00CE4CD1">
      <w:pPr>
        <w:rPr>
          <w:szCs w:val="24"/>
        </w:rPr>
      </w:pPr>
      <w:r w:rsidRPr="00A56A02">
        <w:rPr>
          <w:rStyle w:val="HideTWBExt"/>
          <w:noProof w:val="0"/>
          <w:color w:val="auto"/>
        </w:rPr>
        <w:t>&lt;/Amend&gt;</w:t>
      </w:r>
    </w:p>
    <w:p w:rsidR="00CE4CD1" w:rsidRPr="00A56A02" w:rsidRDefault="00CE4CD1" w:rsidP="00CE4CD1">
      <w:pPr>
        <w:pStyle w:val="AMNumberTabs"/>
        <w:keepNext/>
      </w:pPr>
      <w:r w:rsidRPr="00A56A02">
        <w:rPr>
          <w:rStyle w:val="HideTWBExt"/>
          <w:b w:val="0"/>
          <w:noProof w:val="0"/>
          <w:color w:val="auto"/>
        </w:rPr>
        <w:t>&lt;Amend&gt;</w:t>
      </w:r>
      <w:r w:rsidRPr="00A56A02">
        <w:t>Enmienda</w:t>
      </w:r>
      <w:r w:rsidRPr="00A56A02">
        <w:tab/>
      </w:r>
      <w:r w:rsidRPr="00A56A02">
        <w:tab/>
      </w:r>
      <w:r w:rsidRPr="00A56A02">
        <w:rPr>
          <w:rStyle w:val="HideTWBExt"/>
          <w:b w:val="0"/>
          <w:noProof w:val="0"/>
          <w:color w:val="auto"/>
        </w:rPr>
        <w:t>&lt;NumAm&gt;</w:t>
      </w:r>
      <w:r w:rsidRPr="00A56A02">
        <w:t>7</w:t>
      </w:r>
      <w:r w:rsidRPr="00A56A02">
        <w:rPr>
          <w:rStyle w:val="HideTWBExt"/>
          <w:b w:val="0"/>
          <w:noProof w:val="0"/>
          <w:color w:val="auto"/>
        </w:rPr>
        <w:t>&lt;/NumAm&gt;</w:t>
      </w:r>
    </w:p>
    <w:p w:rsidR="00CE4CD1" w:rsidRPr="00A56A02" w:rsidRDefault="00CE4CD1" w:rsidP="00CE4CD1">
      <w:pPr>
        <w:pStyle w:val="NormalBold12b"/>
        <w:keepNext/>
      </w:pPr>
      <w:r w:rsidRPr="00A56A02">
        <w:rPr>
          <w:rStyle w:val="HideTWBExt"/>
          <w:b w:val="0"/>
          <w:noProof w:val="0"/>
          <w:color w:val="auto"/>
        </w:rPr>
        <w:t>&lt;DocAmend&gt;</w:t>
      </w:r>
      <w:r w:rsidRPr="00A56A02">
        <w:t>Propuesta de Reglamento</w:t>
      </w:r>
      <w:r w:rsidRPr="00A56A02">
        <w:rPr>
          <w:rStyle w:val="HideTWBExt"/>
          <w:b w:val="0"/>
          <w:noProof w:val="0"/>
          <w:color w:val="auto"/>
        </w:rPr>
        <w:t>&lt;/DocAmend&gt;</w:t>
      </w:r>
    </w:p>
    <w:p w:rsidR="00CE4CD1" w:rsidRPr="00A56A02" w:rsidRDefault="00CE4CD1" w:rsidP="00CE4CD1">
      <w:pPr>
        <w:pStyle w:val="NormalBold"/>
      </w:pPr>
      <w:r w:rsidRPr="00A56A02">
        <w:rPr>
          <w:rStyle w:val="HideTWBExt"/>
          <w:b w:val="0"/>
          <w:noProof w:val="0"/>
          <w:color w:val="auto"/>
        </w:rPr>
        <w:t>&lt;Article&gt;</w:t>
      </w:r>
      <w:r w:rsidRPr="00A56A02">
        <w:t>Considerando 7</w:t>
      </w:r>
      <w:r w:rsidRPr="00A56A0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6A02" w:rsidRPr="00A56A02" w:rsidTr="006B7FC7">
        <w:trPr>
          <w:jc w:val="center"/>
        </w:trPr>
        <w:tc>
          <w:tcPr>
            <w:tcW w:w="9752" w:type="dxa"/>
            <w:gridSpan w:val="2"/>
          </w:tcPr>
          <w:p w:rsidR="00CE4CD1" w:rsidRPr="00A56A02" w:rsidRDefault="00CE4CD1" w:rsidP="006B7FC7">
            <w:pPr>
              <w:keepNext/>
            </w:pPr>
          </w:p>
        </w:tc>
      </w:tr>
      <w:tr w:rsidR="00A56A02" w:rsidRPr="00A56A02" w:rsidTr="006B7FC7">
        <w:trPr>
          <w:jc w:val="center"/>
        </w:trPr>
        <w:tc>
          <w:tcPr>
            <w:tcW w:w="4876" w:type="dxa"/>
            <w:hideMark/>
          </w:tcPr>
          <w:p w:rsidR="00CE4CD1" w:rsidRPr="00A56A02" w:rsidRDefault="00CE4CD1" w:rsidP="006B7FC7">
            <w:pPr>
              <w:pStyle w:val="ColumnHeading"/>
              <w:keepNext/>
            </w:pPr>
            <w:r w:rsidRPr="00A56A02">
              <w:t>Texto de la Comisión</w:t>
            </w:r>
          </w:p>
        </w:tc>
        <w:tc>
          <w:tcPr>
            <w:tcW w:w="4876" w:type="dxa"/>
            <w:hideMark/>
          </w:tcPr>
          <w:p w:rsidR="00CE4CD1" w:rsidRPr="00A56A02" w:rsidRDefault="00CE4CD1" w:rsidP="006B7FC7">
            <w:pPr>
              <w:pStyle w:val="ColumnHeading"/>
              <w:keepNext/>
            </w:pPr>
            <w:r w:rsidRPr="00A56A02">
              <w:t>Enmienda</w:t>
            </w:r>
          </w:p>
        </w:tc>
      </w:tr>
      <w:tr w:rsidR="00A56A02" w:rsidRPr="00A56A02" w:rsidTr="006B7FC7">
        <w:trPr>
          <w:jc w:val="center"/>
        </w:trPr>
        <w:tc>
          <w:tcPr>
            <w:tcW w:w="4876" w:type="dxa"/>
            <w:hideMark/>
          </w:tcPr>
          <w:p w:rsidR="00CE4CD1" w:rsidRPr="00A56A02" w:rsidRDefault="00CE4CD1" w:rsidP="006B7FC7">
            <w:pPr>
              <w:pStyle w:val="Normal6"/>
            </w:pPr>
            <w:r w:rsidRPr="00A56A02">
              <w:rPr>
                <w:b/>
                <w:i/>
              </w:rPr>
              <w:t>(7)</w:t>
            </w:r>
            <w:r w:rsidRPr="00A56A02">
              <w:rPr>
                <w:b/>
                <w:i/>
              </w:rPr>
              <w:tab/>
              <w:t>La facultad de la Comisión de emitir un dictamen de conformidad con el artículo 27, apartado 4, del Código de fronteras Schengen debe modificarse para reflejar las nuevas obligaciones de los Estados miembros relacionadas con la evaluación de riesgos, en particular la cooperación con los Estados miembros afectados. Cuando los controles fronterizos en las fronteras interiores se lleven a cabo durante más de seis meses, la Comisión está obligada a emitir un dictamen. También el procedimiento de consulta previsto en el artículo 27, apartado 5, del Código de fronteras Schengen debe modificarse a fin de reflejar el papel de las Agencias (Agencia Europea de la Guardia de Fronteras y Costas y Europol) y centrarse en la aplicación práctica de los diferentes aspectos de la cooperación entre los Estados miembros, incluida la coordinación, en su caso, de medidas diferentes a ambos lados de la frontera.</w:t>
            </w:r>
          </w:p>
        </w:tc>
        <w:tc>
          <w:tcPr>
            <w:tcW w:w="4876" w:type="dxa"/>
            <w:hideMark/>
          </w:tcPr>
          <w:p w:rsidR="00CE4CD1" w:rsidRPr="00A56A02" w:rsidRDefault="00CE4CD1" w:rsidP="006B7FC7">
            <w:pPr>
              <w:pStyle w:val="Normal6"/>
              <w:rPr>
                <w:szCs w:val="24"/>
              </w:rPr>
            </w:pPr>
            <w:r w:rsidRPr="00A56A02">
              <w:rPr>
                <w:b/>
                <w:i/>
              </w:rPr>
              <w:t>suprimido</w:t>
            </w:r>
          </w:p>
        </w:tc>
      </w:tr>
    </w:tbl>
    <w:p w:rsidR="00CE4CD1" w:rsidRPr="00A56A02" w:rsidRDefault="00CE4CD1" w:rsidP="00131CD6">
      <w:pPr>
        <w:pStyle w:val="Olang"/>
        <w:rPr>
          <w:noProof w:val="0"/>
          <w:szCs w:val="24"/>
        </w:rPr>
      </w:pPr>
      <w:r w:rsidRPr="00A56A02">
        <w:rPr>
          <w:noProof w:val="0"/>
          <w:szCs w:val="24"/>
        </w:rPr>
        <w:t xml:space="preserve">Or. </w:t>
      </w:r>
      <w:r w:rsidRPr="00A56A02">
        <w:rPr>
          <w:rStyle w:val="HideTWBExt"/>
          <w:noProof w:val="0"/>
          <w:color w:val="auto"/>
        </w:rPr>
        <w:t>&lt;Original&gt;</w:t>
      </w:r>
      <w:r w:rsidRPr="00A56A02">
        <w:rPr>
          <w:rStyle w:val="HideTWBInt"/>
          <w:noProof w:val="0"/>
          <w:color w:val="auto"/>
        </w:rPr>
        <w:t>{EN}</w:t>
      </w:r>
      <w:r w:rsidRPr="00A56A02">
        <w:rPr>
          <w:noProof w:val="0"/>
          <w:szCs w:val="24"/>
        </w:rPr>
        <w:t>en</w:t>
      </w:r>
      <w:r w:rsidRPr="00A56A02">
        <w:rPr>
          <w:rStyle w:val="HideTWBExt"/>
          <w:noProof w:val="0"/>
          <w:color w:val="auto"/>
        </w:rPr>
        <w:t>&lt;/Original&gt;</w:t>
      </w:r>
    </w:p>
    <w:p w:rsidR="00CE4CD1" w:rsidRPr="00A56A02" w:rsidRDefault="00CE4CD1" w:rsidP="00CE4CD1">
      <w:pPr>
        <w:pStyle w:val="JustificationTitle"/>
        <w:spacing w:after="240"/>
      </w:pPr>
      <w:r w:rsidRPr="00A56A02">
        <w:rPr>
          <w:rStyle w:val="HideTWBExt"/>
          <w:i w:val="0"/>
          <w:noProof w:val="0"/>
          <w:color w:val="auto"/>
        </w:rPr>
        <w:t>&lt;TitreJust&gt;</w:t>
      </w:r>
      <w:r w:rsidRPr="00A56A02">
        <w:t>Justificación</w:t>
      </w:r>
      <w:r w:rsidRPr="00A56A02">
        <w:rPr>
          <w:rStyle w:val="HideTWBExt"/>
          <w:i w:val="0"/>
          <w:noProof w:val="0"/>
          <w:color w:val="auto"/>
        </w:rPr>
        <w:t>&lt;/TitreJust&gt;</w:t>
      </w:r>
    </w:p>
    <w:p w:rsidR="00CE4CD1" w:rsidRPr="00A56A02" w:rsidRDefault="00CE4CD1" w:rsidP="00CE4CD1">
      <w:pPr>
        <w:pStyle w:val="Normal12Italic"/>
        <w:spacing w:before="0" w:after="240"/>
      </w:pPr>
      <w:r w:rsidRPr="00A56A02">
        <w:t>La ponente no propone modificar esta disposición en el Reglamento, por lo que este considerando ya no es necesario y debe por tanto suprimirse.</w:t>
      </w:r>
    </w:p>
    <w:p w:rsidR="00CE4CD1" w:rsidRPr="00A56A02" w:rsidRDefault="00CE4CD1" w:rsidP="00CE4CD1">
      <w:r w:rsidRPr="00A56A02">
        <w:rPr>
          <w:rStyle w:val="HideTWBExt"/>
          <w:noProof w:val="0"/>
          <w:color w:val="auto"/>
        </w:rPr>
        <w:t>&lt;/Amend&gt;</w:t>
      </w:r>
    </w:p>
    <w:p w:rsidR="00CE4CD1" w:rsidRPr="00A56A02" w:rsidRDefault="00CE4CD1" w:rsidP="00CE4CD1">
      <w:pPr>
        <w:pStyle w:val="AMNumberTabs"/>
        <w:keepNext/>
      </w:pPr>
      <w:r w:rsidRPr="00A56A02">
        <w:rPr>
          <w:rStyle w:val="HideTWBExt"/>
          <w:b w:val="0"/>
          <w:noProof w:val="0"/>
          <w:color w:val="auto"/>
        </w:rPr>
        <w:t>&lt;Amend&gt;</w:t>
      </w:r>
      <w:r w:rsidRPr="00A56A02">
        <w:t>Enmienda</w:t>
      </w:r>
      <w:r w:rsidRPr="00A56A02">
        <w:tab/>
      </w:r>
      <w:r w:rsidRPr="00A56A02">
        <w:tab/>
      </w:r>
      <w:r w:rsidRPr="00A56A02">
        <w:rPr>
          <w:rStyle w:val="HideTWBExt"/>
          <w:b w:val="0"/>
          <w:noProof w:val="0"/>
          <w:color w:val="auto"/>
        </w:rPr>
        <w:t>&lt;NumAm&gt;</w:t>
      </w:r>
      <w:r w:rsidRPr="00A56A02">
        <w:t>8</w:t>
      </w:r>
      <w:r w:rsidRPr="00A56A02">
        <w:rPr>
          <w:rStyle w:val="HideTWBExt"/>
          <w:b w:val="0"/>
          <w:noProof w:val="0"/>
          <w:color w:val="auto"/>
        </w:rPr>
        <w:t>&lt;/NumAm&gt;</w:t>
      </w:r>
    </w:p>
    <w:p w:rsidR="00CE4CD1" w:rsidRPr="00A56A02" w:rsidRDefault="00CE4CD1" w:rsidP="00CE4CD1">
      <w:pPr>
        <w:pStyle w:val="NormalBold12b"/>
        <w:keepNext/>
      </w:pPr>
      <w:r w:rsidRPr="00A56A02">
        <w:rPr>
          <w:rStyle w:val="HideTWBExt"/>
          <w:b w:val="0"/>
          <w:noProof w:val="0"/>
          <w:color w:val="auto"/>
        </w:rPr>
        <w:t>&lt;DocAmend&gt;</w:t>
      </w:r>
      <w:r w:rsidRPr="00A56A02">
        <w:t>Propuesta de Reglamento</w:t>
      </w:r>
      <w:r w:rsidRPr="00A56A02">
        <w:rPr>
          <w:rStyle w:val="HideTWBExt"/>
          <w:b w:val="0"/>
          <w:noProof w:val="0"/>
          <w:color w:val="auto"/>
        </w:rPr>
        <w:t>&lt;/DocAmend&gt;</w:t>
      </w:r>
    </w:p>
    <w:p w:rsidR="00CE4CD1" w:rsidRPr="00A56A02" w:rsidRDefault="00CE4CD1" w:rsidP="00CE4CD1">
      <w:pPr>
        <w:pStyle w:val="NormalBold"/>
      </w:pPr>
      <w:r w:rsidRPr="00A56A02">
        <w:rPr>
          <w:rStyle w:val="HideTWBExt"/>
          <w:b w:val="0"/>
          <w:noProof w:val="0"/>
          <w:color w:val="auto"/>
        </w:rPr>
        <w:t>&lt;Article&gt;</w:t>
      </w:r>
      <w:r w:rsidRPr="00A56A02">
        <w:t>Considerando 8</w:t>
      </w:r>
      <w:r w:rsidRPr="00A56A0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6A02" w:rsidRPr="00A56A02" w:rsidTr="006B7FC7">
        <w:trPr>
          <w:jc w:val="center"/>
        </w:trPr>
        <w:tc>
          <w:tcPr>
            <w:tcW w:w="9752" w:type="dxa"/>
            <w:gridSpan w:val="2"/>
          </w:tcPr>
          <w:p w:rsidR="00CE4CD1" w:rsidRPr="00A56A02" w:rsidRDefault="00CE4CD1" w:rsidP="006B7FC7">
            <w:pPr>
              <w:keepNext/>
            </w:pPr>
          </w:p>
        </w:tc>
      </w:tr>
      <w:tr w:rsidR="00A56A02" w:rsidRPr="00A56A02" w:rsidTr="006B7FC7">
        <w:trPr>
          <w:jc w:val="center"/>
        </w:trPr>
        <w:tc>
          <w:tcPr>
            <w:tcW w:w="4876" w:type="dxa"/>
            <w:hideMark/>
          </w:tcPr>
          <w:p w:rsidR="00CE4CD1" w:rsidRPr="00A56A02" w:rsidRDefault="00CE4CD1" w:rsidP="006B7FC7">
            <w:pPr>
              <w:pStyle w:val="ColumnHeading"/>
              <w:keepNext/>
            </w:pPr>
            <w:r w:rsidRPr="00A56A02">
              <w:t>Texto de la Comisión</w:t>
            </w:r>
          </w:p>
        </w:tc>
        <w:tc>
          <w:tcPr>
            <w:tcW w:w="4876" w:type="dxa"/>
            <w:hideMark/>
          </w:tcPr>
          <w:p w:rsidR="00CE4CD1" w:rsidRPr="00A56A02" w:rsidRDefault="00CE4CD1" w:rsidP="006B7FC7">
            <w:pPr>
              <w:pStyle w:val="ColumnHeading"/>
              <w:keepNext/>
            </w:pPr>
            <w:r w:rsidRPr="00A56A02">
              <w:t>Enmienda</w:t>
            </w:r>
          </w:p>
        </w:tc>
      </w:tr>
      <w:tr w:rsidR="00A56A02" w:rsidRPr="00A56A02" w:rsidTr="006B7FC7">
        <w:trPr>
          <w:jc w:val="center"/>
        </w:trPr>
        <w:tc>
          <w:tcPr>
            <w:tcW w:w="4876" w:type="dxa"/>
            <w:hideMark/>
          </w:tcPr>
          <w:p w:rsidR="00CE4CD1" w:rsidRPr="00A56A02" w:rsidRDefault="00CE4CD1" w:rsidP="006B7FC7">
            <w:pPr>
              <w:pStyle w:val="Normal6"/>
            </w:pPr>
            <w:r w:rsidRPr="00A56A02">
              <w:t>(8)</w:t>
            </w:r>
            <w:r w:rsidRPr="00A56A02">
              <w:tab/>
              <w:t xml:space="preserve">Con el fin de hacer que las normas revisadas se adapten mejor a los retos relacionados con la persistencia de las amenazas graves para el orden público o la seguridad interior, debería preverse la posibilidad de prorrogar los controles en las fronteras interiores más allá de </w:t>
            </w:r>
            <w:r w:rsidRPr="00A56A02">
              <w:rPr>
                <w:b/>
                <w:i/>
              </w:rPr>
              <w:t>un año</w:t>
            </w:r>
            <w:r w:rsidRPr="00A56A02">
              <w:t xml:space="preserve">. Dicha prórroga debería ir acompañada de la adopción de medidas nacionales excepcionales proporcionales también en el territorio para hacer frente a la amenaza, tales como el estado de emergencia. En cualquier caso, dicha posibilidad no debe dar lugar a la posibilidad de prorrogar los controles fronterizos internos temporales más allá de </w:t>
            </w:r>
            <w:r w:rsidRPr="00A56A02">
              <w:rPr>
                <w:b/>
                <w:i/>
              </w:rPr>
              <w:t>dos años</w:t>
            </w:r>
            <w:r w:rsidRPr="00A56A02">
              <w:t>.</w:t>
            </w:r>
          </w:p>
        </w:tc>
        <w:tc>
          <w:tcPr>
            <w:tcW w:w="4876" w:type="dxa"/>
            <w:hideMark/>
          </w:tcPr>
          <w:p w:rsidR="00CE4CD1" w:rsidRPr="00A56A02" w:rsidRDefault="00CE4CD1" w:rsidP="006B7FC7">
            <w:pPr>
              <w:pStyle w:val="Normal6"/>
              <w:rPr>
                <w:szCs w:val="24"/>
              </w:rPr>
            </w:pPr>
            <w:r w:rsidRPr="00A56A02">
              <w:t>(8)</w:t>
            </w:r>
            <w:r w:rsidRPr="00A56A02">
              <w:tab/>
              <w:t xml:space="preserve">Con el fin de hacer que las normas revisadas se adapten mejor a los retos relacionados con la persistencia de las amenazas graves para el orden público o la seguridad interior, debería preverse la posibilidad de prorrogar los controles en las fronteras interiores más allá de </w:t>
            </w:r>
            <w:r w:rsidRPr="00A56A02">
              <w:rPr>
                <w:b/>
                <w:i/>
              </w:rPr>
              <w:t>seis meses</w:t>
            </w:r>
            <w:r w:rsidRPr="00A56A02">
              <w:t xml:space="preserve">. Dicha prórroga debería ir acompañada de la adopción de medidas nacionales excepcionales proporcionales también en el territorio para hacer frente a la amenaza, tales como el estado de emergencia. En cualquier caso, dicha posibilidad no debe dar lugar a la posibilidad de prorrogar los controles fronterizos internos temporales más allá de </w:t>
            </w:r>
            <w:r w:rsidRPr="00A56A02">
              <w:rPr>
                <w:b/>
                <w:i/>
              </w:rPr>
              <w:t>un año</w:t>
            </w:r>
            <w:r w:rsidRPr="00A56A02">
              <w:t>.</w:t>
            </w:r>
          </w:p>
        </w:tc>
      </w:tr>
    </w:tbl>
    <w:p w:rsidR="00CE4CD1" w:rsidRPr="00A56A02" w:rsidRDefault="00CE4CD1" w:rsidP="00131CD6">
      <w:pPr>
        <w:pStyle w:val="Olang"/>
        <w:rPr>
          <w:noProof w:val="0"/>
          <w:szCs w:val="24"/>
        </w:rPr>
      </w:pPr>
      <w:r w:rsidRPr="00A56A02">
        <w:rPr>
          <w:noProof w:val="0"/>
          <w:szCs w:val="24"/>
        </w:rPr>
        <w:t xml:space="preserve">Or. </w:t>
      </w:r>
      <w:r w:rsidRPr="00A56A02">
        <w:rPr>
          <w:rStyle w:val="HideTWBExt"/>
          <w:noProof w:val="0"/>
          <w:color w:val="auto"/>
        </w:rPr>
        <w:t>&lt;Original&gt;</w:t>
      </w:r>
      <w:r w:rsidRPr="00A56A02">
        <w:rPr>
          <w:rStyle w:val="HideTWBInt"/>
          <w:noProof w:val="0"/>
          <w:color w:val="auto"/>
        </w:rPr>
        <w:t>{EN}</w:t>
      </w:r>
      <w:r w:rsidRPr="00A56A02">
        <w:rPr>
          <w:noProof w:val="0"/>
          <w:szCs w:val="24"/>
        </w:rPr>
        <w:t>en</w:t>
      </w:r>
      <w:r w:rsidRPr="00A56A02">
        <w:rPr>
          <w:rStyle w:val="HideTWBExt"/>
          <w:noProof w:val="0"/>
          <w:color w:val="auto"/>
        </w:rPr>
        <w:t>&lt;/Original&gt;</w:t>
      </w:r>
    </w:p>
    <w:p w:rsidR="00CE4CD1" w:rsidRPr="00A56A02" w:rsidRDefault="00CE4CD1" w:rsidP="00CE4CD1">
      <w:pPr>
        <w:rPr>
          <w:szCs w:val="24"/>
        </w:rPr>
      </w:pPr>
      <w:r w:rsidRPr="00A56A02">
        <w:rPr>
          <w:rStyle w:val="HideTWBExt"/>
          <w:noProof w:val="0"/>
          <w:color w:val="auto"/>
        </w:rPr>
        <w:t>&lt;/Amend&gt;</w:t>
      </w:r>
    </w:p>
    <w:p w:rsidR="00CE4CD1" w:rsidRPr="00A56A02" w:rsidRDefault="00CE4CD1" w:rsidP="00CE4CD1">
      <w:pPr>
        <w:pStyle w:val="AMNumberTabs"/>
        <w:keepNext/>
      </w:pPr>
      <w:r w:rsidRPr="00A56A02">
        <w:rPr>
          <w:rStyle w:val="HideTWBExt"/>
          <w:b w:val="0"/>
          <w:noProof w:val="0"/>
          <w:color w:val="auto"/>
        </w:rPr>
        <w:t>&lt;Amend&gt;</w:t>
      </w:r>
      <w:r w:rsidRPr="00A56A02">
        <w:t>Enmienda</w:t>
      </w:r>
      <w:r w:rsidRPr="00A56A02">
        <w:tab/>
      </w:r>
      <w:r w:rsidRPr="00A56A02">
        <w:tab/>
      </w:r>
      <w:r w:rsidRPr="00A56A02">
        <w:rPr>
          <w:rStyle w:val="HideTWBExt"/>
          <w:b w:val="0"/>
          <w:noProof w:val="0"/>
          <w:color w:val="auto"/>
        </w:rPr>
        <w:t>&lt;NumAm&gt;</w:t>
      </w:r>
      <w:r w:rsidRPr="00A56A02">
        <w:t>9</w:t>
      </w:r>
      <w:r w:rsidRPr="00A56A02">
        <w:rPr>
          <w:rStyle w:val="HideTWBExt"/>
          <w:b w:val="0"/>
          <w:noProof w:val="0"/>
          <w:color w:val="auto"/>
        </w:rPr>
        <w:t>&lt;/NumAm&gt;</w:t>
      </w:r>
    </w:p>
    <w:p w:rsidR="00CE4CD1" w:rsidRPr="00A56A02" w:rsidRDefault="00CE4CD1" w:rsidP="00CE4CD1">
      <w:pPr>
        <w:pStyle w:val="NormalBold12b"/>
        <w:keepNext/>
      </w:pPr>
      <w:r w:rsidRPr="00A56A02">
        <w:rPr>
          <w:rStyle w:val="HideTWBExt"/>
          <w:b w:val="0"/>
          <w:noProof w:val="0"/>
          <w:color w:val="auto"/>
        </w:rPr>
        <w:t>&lt;DocAmend&gt;</w:t>
      </w:r>
      <w:r w:rsidRPr="00A56A02">
        <w:t>Propuesta de Reglamento</w:t>
      </w:r>
      <w:r w:rsidRPr="00A56A02">
        <w:rPr>
          <w:rStyle w:val="HideTWBExt"/>
          <w:b w:val="0"/>
          <w:noProof w:val="0"/>
          <w:color w:val="auto"/>
        </w:rPr>
        <w:t>&lt;/DocAmend&gt;</w:t>
      </w:r>
    </w:p>
    <w:p w:rsidR="00CE4CD1" w:rsidRPr="00A56A02" w:rsidRDefault="00CE4CD1" w:rsidP="00CE4CD1">
      <w:pPr>
        <w:pStyle w:val="NormalBold"/>
      </w:pPr>
      <w:r w:rsidRPr="00A56A02">
        <w:rPr>
          <w:rStyle w:val="HideTWBExt"/>
          <w:b w:val="0"/>
          <w:noProof w:val="0"/>
          <w:color w:val="auto"/>
        </w:rPr>
        <w:t>&lt;Article&gt;</w:t>
      </w:r>
      <w:r w:rsidRPr="00A56A02">
        <w:t>Considerando 8 bis (nuevo)</w:t>
      </w:r>
      <w:r w:rsidRPr="00A56A0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6A02" w:rsidRPr="00A56A02" w:rsidTr="006B7FC7">
        <w:trPr>
          <w:jc w:val="center"/>
        </w:trPr>
        <w:tc>
          <w:tcPr>
            <w:tcW w:w="9752" w:type="dxa"/>
            <w:gridSpan w:val="2"/>
          </w:tcPr>
          <w:p w:rsidR="00CE4CD1" w:rsidRPr="00A56A02" w:rsidRDefault="00CE4CD1" w:rsidP="006B7FC7">
            <w:pPr>
              <w:keepNext/>
            </w:pPr>
          </w:p>
        </w:tc>
      </w:tr>
      <w:tr w:rsidR="00A56A02" w:rsidRPr="00A56A02" w:rsidTr="006B7FC7">
        <w:trPr>
          <w:jc w:val="center"/>
        </w:trPr>
        <w:tc>
          <w:tcPr>
            <w:tcW w:w="4876" w:type="dxa"/>
            <w:hideMark/>
          </w:tcPr>
          <w:p w:rsidR="00CE4CD1" w:rsidRPr="00A56A02" w:rsidRDefault="00CE4CD1" w:rsidP="006B7FC7">
            <w:pPr>
              <w:pStyle w:val="ColumnHeading"/>
              <w:keepNext/>
            </w:pPr>
            <w:r w:rsidRPr="00A56A02">
              <w:t>Texto de la Comisión</w:t>
            </w:r>
          </w:p>
        </w:tc>
        <w:tc>
          <w:tcPr>
            <w:tcW w:w="4876" w:type="dxa"/>
            <w:hideMark/>
          </w:tcPr>
          <w:p w:rsidR="00CE4CD1" w:rsidRPr="00A56A02" w:rsidRDefault="00CE4CD1" w:rsidP="006B7FC7">
            <w:pPr>
              <w:pStyle w:val="ColumnHeading"/>
              <w:keepNext/>
            </w:pPr>
            <w:r w:rsidRPr="00A56A02">
              <w:t>Enmienda</w:t>
            </w:r>
          </w:p>
        </w:tc>
      </w:tr>
      <w:tr w:rsidR="00A56A02" w:rsidRPr="00A56A02" w:rsidTr="006B7FC7">
        <w:trPr>
          <w:jc w:val="center"/>
        </w:trPr>
        <w:tc>
          <w:tcPr>
            <w:tcW w:w="4876" w:type="dxa"/>
          </w:tcPr>
          <w:p w:rsidR="00CE4CD1" w:rsidRPr="00A56A02" w:rsidRDefault="00CE4CD1" w:rsidP="006B7FC7">
            <w:pPr>
              <w:pStyle w:val="Normal6"/>
            </w:pPr>
          </w:p>
        </w:tc>
        <w:tc>
          <w:tcPr>
            <w:tcW w:w="4876" w:type="dxa"/>
            <w:hideMark/>
          </w:tcPr>
          <w:p w:rsidR="00CE4CD1" w:rsidRPr="00A56A02" w:rsidRDefault="00CE4CD1" w:rsidP="006B7FC7">
            <w:pPr>
              <w:pStyle w:val="Normal6"/>
              <w:rPr>
                <w:szCs w:val="24"/>
              </w:rPr>
            </w:pPr>
            <w:r w:rsidRPr="00A56A02">
              <w:rPr>
                <w:b/>
                <w:i/>
              </w:rPr>
              <w:t>(8 bis)</w:t>
            </w:r>
            <w:r w:rsidRPr="00A56A02">
              <w:rPr>
                <w:b/>
                <w:i/>
              </w:rPr>
              <w:tab/>
              <w:t>Toda excepción al principio fundamental de libre circulación de las personas debe interpretarse en sentido estricto, y el concepto de orden público presupone la existencia de una amenaza real, actual y suficientemente grave que afecte a uno de los intereses fundamentales de la sociedad.</w:t>
            </w:r>
          </w:p>
        </w:tc>
      </w:tr>
    </w:tbl>
    <w:p w:rsidR="00CE4CD1" w:rsidRPr="00A56A02" w:rsidRDefault="00CE4CD1" w:rsidP="00131CD6">
      <w:pPr>
        <w:pStyle w:val="Olang"/>
        <w:rPr>
          <w:noProof w:val="0"/>
          <w:szCs w:val="24"/>
        </w:rPr>
      </w:pPr>
      <w:r w:rsidRPr="00A56A02">
        <w:rPr>
          <w:noProof w:val="0"/>
          <w:szCs w:val="24"/>
        </w:rPr>
        <w:t xml:space="preserve">Or. </w:t>
      </w:r>
      <w:r w:rsidRPr="00A56A02">
        <w:rPr>
          <w:rStyle w:val="HideTWBExt"/>
          <w:noProof w:val="0"/>
          <w:color w:val="auto"/>
        </w:rPr>
        <w:t>&lt;Original&gt;</w:t>
      </w:r>
      <w:r w:rsidRPr="00A56A02">
        <w:rPr>
          <w:rStyle w:val="HideTWBInt"/>
          <w:noProof w:val="0"/>
          <w:color w:val="auto"/>
        </w:rPr>
        <w:t>{EN}</w:t>
      </w:r>
      <w:r w:rsidRPr="00A56A02">
        <w:rPr>
          <w:noProof w:val="0"/>
          <w:szCs w:val="24"/>
        </w:rPr>
        <w:t>en</w:t>
      </w:r>
      <w:r w:rsidRPr="00A56A02">
        <w:rPr>
          <w:rStyle w:val="HideTWBExt"/>
          <w:noProof w:val="0"/>
          <w:color w:val="auto"/>
        </w:rPr>
        <w:t>&lt;/Original&gt;</w:t>
      </w:r>
    </w:p>
    <w:p w:rsidR="00CE4CD1" w:rsidRPr="00A56A02" w:rsidRDefault="00CE4CD1" w:rsidP="00CE4CD1">
      <w:pPr>
        <w:pStyle w:val="JustificationTitle"/>
        <w:spacing w:after="240"/>
      </w:pPr>
      <w:r w:rsidRPr="00A56A02">
        <w:rPr>
          <w:rStyle w:val="HideTWBExt"/>
          <w:i w:val="0"/>
          <w:noProof w:val="0"/>
          <w:color w:val="auto"/>
        </w:rPr>
        <w:t>&lt;TitreJust&gt;</w:t>
      </w:r>
      <w:r w:rsidRPr="00A56A02">
        <w:t>Justificación</w:t>
      </w:r>
      <w:r w:rsidRPr="00A56A02">
        <w:rPr>
          <w:rStyle w:val="HideTWBExt"/>
          <w:i w:val="0"/>
          <w:noProof w:val="0"/>
          <w:color w:val="auto"/>
        </w:rPr>
        <w:t>&lt;/TitreJust&gt;</w:t>
      </w:r>
    </w:p>
    <w:p w:rsidR="00CE4CD1" w:rsidRPr="00A56A02" w:rsidRDefault="00CE4CD1" w:rsidP="00CE4CD1">
      <w:pPr>
        <w:pStyle w:val="Normal12Italic"/>
        <w:spacing w:before="0" w:after="240"/>
      </w:pPr>
      <w:r w:rsidRPr="00A56A02">
        <w:t>De conformidad con el considerando 27 del Código de fronteras Schengen (Reglamento (UE) 399/2016), al restablecerse los controles en las fronteras interiores por una amenaza grave para el orden público o la seguridad interior es importante que la medida corresponda a una amenaza real, actual y suficientemente grave.</w:t>
      </w:r>
    </w:p>
    <w:p w:rsidR="00CE4CD1" w:rsidRPr="00A56A02" w:rsidRDefault="00CE4CD1" w:rsidP="00CE4CD1">
      <w:r w:rsidRPr="00A56A02">
        <w:rPr>
          <w:rStyle w:val="HideTWBExt"/>
          <w:noProof w:val="0"/>
          <w:color w:val="auto"/>
        </w:rPr>
        <w:t>&lt;/Amend&gt;</w:t>
      </w:r>
    </w:p>
    <w:p w:rsidR="00CE4CD1" w:rsidRPr="00A56A02" w:rsidRDefault="00CE4CD1" w:rsidP="00CE4CD1">
      <w:pPr>
        <w:pStyle w:val="AMNumberTabs"/>
        <w:keepNext/>
      </w:pPr>
      <w:r w:rsidRPr="00A56A02">
        <w:rPr>
          <w:rStyle w:val="HideTWBExt"/>
          <w:b w:val="0"/>
          <w:noProof w:val="0"/>
          <w:color w:val="auto"/>
        </w:rPr>
        <w:t>&lt;Amend&gt;</w:t>
      </w:r>
      <w:r w:rsidRPr="00A56A02">
        <w:t>Enmienda</w:t>
      </w:r>
      <w:r w:rsidRPr="00A56A02">
        <w:tab/>
      </w:r>
      <w:r w:rsidRPr="00A56A02">
        <w:tab/>
      </w:r>
      <w:r w:rsidRPr="00A56A02">
        <w:rPr>
          <w:rStyle w:val="HideTWBExt"/>
          <w:b w:val="0"/>
          <w:noProof w:val="0"/>
          <w:color w:val="auto"/>
        </w:rPr>
        <w:t>&lt;NumAm&gt;</w:t>
      </w:r>
      <w:r w:rsidRPr="00A56A02">
        <w:t>10</w:t>
      </w:r>
      <w:r w:rsidRPr="00A56A02">
        <w:rPr>
          <w:rStyle w:val="HideTWBExt"/>
          <w:b w:val="0"/>
          <w:noProof w:val="0"/>
          <w:color w:val="auto"/>
        </w:rPr>
        <w:t>&lt;/NumAm&gt;</w:t>
      </w:r>
    </w:p>
    <w:p w:rsidR="00CE4CD1" w:rsidRPr="00A56A02" w:rsidRDefault="00CE4CD1" w:rsidP="00CE4CD1">
      <w:pPr>
        <w:pStyle w:val="NormalBold12b"/>
        <w:keepNext/>
      </w:pPr>
      <w:r w:rsidRPr="00A56A02">
        <w:rPr>
          <w:rStyle w:val="HideTWBExt"/>
          <w:b w:val="0"/>
          <w:noProof w:val="0"/>
          <w:color w:val="auto"/>
        </w:rPr>
        <w:t>&lt;DocAmend&gt;</w:t>
      </w:r>
      <w:r w:rsidRPr="00A56A02">
        <w:t>Propuesta de Reglamento</w:t>
      </w:r>
      <w:r w:rsidRPr="00A56A02">
        <w:rPr>
          <w:rStyle w:val="HideTWBExt"/>
          <w:b w:val="0"/>
          <w:noProof w:val="0"/>
          <w:color w:val="auto"/>
        </w:rPr>
        <w:t>&lt;/DocAmend&gt;</w:t>
      </w:r>
    </w:p>
    <w:p w:rsidR="00CE4CD1" w:rsidRPr="00A56A02" w:rsidRDefault="00CE4CD1" w:rsidP="00CE4CD1">
      <w:pPr>
        <w:pStyle w:val="NormalBold"/>
      </w:pPr>
      <w:r w:rsidRPr="00A56A02">
        <w:rPr>
          <w:rStyle w:val="HideTWBExt"/>
          <w:b w:val="0"/>
          <w:noProof w:val="0"/>
          <w:color w:val="auto"/>
        </w:rPr>
        <w:t>&lt;Article&gt;</w:t>
      </w:r>
      <w:r w:rsidRPr="00A56A02">
        <w:t>Considerando 9</w:t>
      </w:r>
      <w:r w:rsidRPr="00A56A0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6A02" w:rsidRPr="00A56A02" w:rsidTr="006B7FC7">
        <w:trPr>
          <w:jc w:val="center"/>
        </w:trPr>
        <w:tc>
          <w:tcPr>
            <w:tcW w:w="9752" w:type="dxa"/>
            <w:gridSpan w:val="2"/>
          </w:tcPr>
          <w:p w:rsidR="00CE4CD1" w:rsidRPr="00A56A02" w:rsidRDefault="00CE4CD1" w:rsidP="006B7FC7">
            <w:pPr>
              <w:keepNext/>
            </w:pPr>
          </w:p>
        </w:tc>
      </w:tr>
      <w:tr w:rsidR="00A56A02" w:rsidRPr="00A56A02" w:rsidTr="006B7FC7">
        <w:trPr>
          <w:jc w:val="center"/>
        </w:trPr>
        <w:tc>
          <w:tcPr>
            <w:tcW w:w="4876" w:type="dxa"/>
            <w:hideMark/>
          </w:tcPr>
          <w:p w:rsidR="00CE4CD1" w:rsidRPr="00A56A02" w:rsidRDefault="00CE4CD1" w:rsidP="006B7FC7">
            <w:pPr>
              <w:pStyle w:val="ColumnHeading"/>
              <w:keepNext/>
            </w:pPr>
            <w:r w:rsidRPr="00A56A02">
              <w:t>Texto de la Comisión</w:t>
            </w:r>
          </w:p>
        </w:tc>
        <w:tc>
          <w:tcPr>
            <w:tcW w:w="4876" w:type="dxa"/>
            <w:hideMark/>
          </w:tcPr>
          <w:p w:rsidR="00CE4CD1" w:rsidRPr="00A56A02" w:rsidRDefault="00CE4CD1" w:rsidP="006B7FC7">
            <w:pPr>
              <w:pStyle w:val="ColumnHeading"/>
              <w:keepNext/>
            </w:pPr>
            <w:r w:rsidRPr="00A56A02">
              <w:t>Enmienda</w:t>
            </w:r>
          </w:p>
        </w:tc>
      </w:tr>
      <w:tr w:rsidR="00A56A02" w:rsidRPr="00A56A02" w:rsidTr="006B7FC7">
        <w:trPr>
          <w:jc w:val="center"/>
        </w:trPr>
        <w:tc>
          <w:tcPr>
            <w:tcW w:w="4876" w:type="dxa"/>
            <w:hideMark/>
          </w:tcPr>
          <w:p w:rsidR="00CE4CD1" w:rsidRPr="00A56A02" w:rsidRDefault="00CE4CD1" w:rsidP="006B7FC7">
            <w:pPr>
              <w:pStyle w:val="Normal6"/>
            </w:pPr>
            <w:r w:rsidRPr="00A56A02">
              <w:rPr>
                <w:b/>
                <w:i/>
              </w:rPr>
              <w:t>(9)</w:t>
            </w:r>
            <w:r w:rsidRPr="00A56A02">
              <w:rPr>
                <w:b/>
                <w:i/>
              </w:rPr>
              <w:tab/>
              <w:t>La referencia al artículo 29 en el artículo 25, apartado 4, debe modificarse con el fin de aclarar la relación entre los periodos de tiempo aplicables de conformidad con el artículo 29 y el artículo 25 del Código de fronteras Schengen.</w:t>
            </w:r>
          </w:p>
        </w:tc>
        <w:tc>
          <w:tcPr>
            <w:tcW w:w="4876" w:type="dxa"/>
            <w:hideMark/>
          </w:tcPr>
          <w:p w:rsidR="00CE4CD1" w:rsidRPr="00A56A02" w:rsidRDefault="00CE4CD1" w:rsidP="006B7FC7">
            <w:pPr>
              <w:pStyle w:val="Normal6"/>
              <w:rPr>
                <w:szCs w:val="24"/>
              </w:rPr>
            </w:pPr>
            <w:r w:rsidRPr="00A56A02">
              <w:rPr>
                <w:b/>
                <w:i/>
              </w:rPr>
              <w:t>suprimido</w:t>
            </w:r>
          </w:p>
        </w:tc>
      </w:tr>
    </w:tbl>
    <w:p w:rsidR="00CE4CD1" w:rsidRPr="00A56A02" w:rsidRDefault="00CE4CD1" w:rsidP="00131CD6">
      <w:pPr>
        <w:pStyle w:val="Olang"/>
        <w:rPr>
          <w:noProof w:val="0"/>
          <w:szCs w:val="24"/>
        </w:rPr>
      </w:pPr>
      <w:r w:rsidRPr="00A56A02">
        <w:rPr>
          <w:noProof w:val="0"/>
          <w:szCs w:val="24"/>
        </w:rPr>
        <w:t xml:space="preserve">Or. </w:t>
      </w:r>
      <w:r w:rsidRPr="00A56A02">
        <w:rPr>
          <w:rStyle w:val="HideTWBExt"/>
          <w:noProof w:val="0"/>
          <w:color w:val="auto"/>
        </w:rPr>
        <w:t>&lt;Original&gt;</w:t>
      </w:r>
      <w:r w:rsidRPr="00A56A02">
        <w:rPr>
          <w:rStyle w:val="HideTWBInt"/>
          <w:noProof w:val="0"/>
          <w:color w:val="auto"/>
        </w:rPr>
        <w:t>{EN}</w:t>
      </w:r>
      <w:r w:rsidRPr="00A56A02">
        <w:rPr>
          <w:noProof w:val="0"/>
          <w:szCs w:val="24"/>
        </w:rPr>
        <w:t>en</w:t>
      </w:r>
      <w:r w:rsidRPr="00A56A02">
        <w:rPr>
          <w:rStyle w:val="HideTWBExt"/>
          <w:noProof w:val="0"/>
          <w:color w:val="auto"/>
        </w:rPr>
        <w:t>&lt;/Original&gt;</w:t>
      </w:r>
    </w:p>
    <w:p w:rsidR="00CE4CD1" w:rsidRPr="00A56A02" w:rsidRDefault="00CE4CD1" w:rsidP="00CE4CD1">
      <w:pPr>
        <w:pStyle w:val="JustificationTitle"/>
        <w:spacing w:after="240"/>
      </w:pPr>
      <w:r w:rsidRPr="00A56A02">
        <w:rPr>
          <w:rStyle w:val="HideTWBExt"/>
          <w:i w:val="0"/>
          <w:noProof w:val="0"/>
          <w:color w:val="auto"/>
        </w:rPr>
        <w:t>&lt;TitreJust&gt;</w:t>
      </w:r>
      <w:r w:rsidRPr="00A56A02">
        <w:t>Justificación</w:t>
      </w:r>
      <w:r w:rsidRPr="00A56A02">
        <w:rPr>
          <w:rStyle w:val="HideTWBExt"/>
          <w:i w:val="0"/>
          <w:noProof w:val="0"/>
          <w:color w:val="auto"/>
        </w:rPr>
        <w:t>&lt;/TitreJust&gt;</w:t>
      </w:r>
    </w:p>
    <w:p w:rsidR="00CE4CD1" w:rsidRPr="00A56A02" w:rsidRDefault="00CE4CD1" w:rsidP="00CE4CD1">
      <w:pPr>
        <w:pStyle w:val="Normal12Italic"/>
        <w:spacing w:before="0" w:after="240"/>
      </w:pPr>
      <w:r w:rsidRPr="00A56A02">
        <w:t>La ponente propone modificar el artículo 29, lo que hace innecesario este considerando.</w:t>
      </w:r>
    </w:p>
    <w:p w:rsidR="00CE4CD1" w:rsidRPr="00A56A02" w:rsidRDefault="00CE4CD1" w:rsidP="00CE4CD1">
      <w:r w:rsidRPr="00A56A02">
        <w:rPr>
          <w:rStyle w:val="HideTWBExt"/>
          <w:noProof w:val="0"/>
          <w:color w:val="auto"/>
        </w:rPr>
        <w:t>&lt;/Amend&gt;</w:t>
      </w:r>
    </w:p>
    <w:p w:rsidR="00CE4CD1" w:rsidRPr="00A56A02" w:rsidRDefault="00CE4CD1" w:rsidP="00CE4CD1">
      <w:pPr>
        <w:pStyle w:val="AMNumberTabs"/>
        <w:keepNext/>
      </w:pPr>
      <w:r w:rsidRPr="00A56A02">
        <w:rPr>
          <w:rStyle w:val="HideTWBExt"/>
          <w:b w:val="0"/>
          <w:noProof w:val="0"/>
          <w:color w:val="auto"/>
        </w:rPr>
        <w:t>&lt;Amend&gt;</w:t>
      </w:r>
      <w:r w:rsidRPr="00A56A02">
        <w:t>Enmienda</w:t>
      </w:r>
      <w:r w:rsidRPr="00A56A02">
        <w:tab/>
      </w:r>
      <w:r w:rsidRPr="00A56A02">
        <w:tab/>
      </w:r>
      <w:r w:rsidRPr="00A56A02">
        <w:rPr>
          <w:rStyle w:val="HideTWBExt"/>
          <w:b w:val="0"/>
          <w:noProof w:val="0"/>
          <w:color w:val="auto"/>
        </w:rPr>
        <w:t>&lt;NumAm&gt;</w:t>
      </w:r>
      <w:r w:rsidRPr="00A56A02">
        <w:t>11</w:t>
      </w:r>
      <w:r w:rsidRPr="00A56A02">
        <w:rPr>
          <w:rStyle w:val="HideTWBExt"/>
          <w:b w:val="0"/>
          <w:noProof w:val="0"/>
          <w:color w:val="auto"/>
        </w:rPr>
        <w:t>&lt;/NumAm&gt;</w:t>
      </w:r>
    </w:p>
    <w:p w:rsidR="00CE4CD1" w:rsidRPr="00A56A02" w:rsidRDefault="00CE4CD1" w:rsidP="00CE4CD1">
      <w:pPr>
        <w:pStyle w:val="NormalBold12b"/>
        <w:keepNext/>
      </w:pPr>
      <w:r w:rsidRPr="00A56A02">
        <w:rPr>
          <w:rStyle w:val="HideTWBExt"/>
          <w:b w:val="0"/>
          <w:noProof w:val="0"/>
          <w:color w:val="auto"/>
        </w:rPr>
        <w:t>&lt;DocAmend&gt;</w:t>
      </w:r>
      <w:r w:rsidRPr="00A56A02">
        <w:t>Propuesta de Reglamento</w:t>
      </w:r>
      <w:r w:rsidRPr="00A56A02">
        <w:rPr>
          <w:rStyle w:val="HideTWBExt"/>
          <w:b w:val="0"/>
          <w:noProof w:val="0"/>
          <w:color w:val="auto"/>
        </w:rPr>
        <w:t>&lt;/DocAmend&gt;</w:t>
      </w:r>
    </w:p>
    <w:p w:rsidR="00CE4CD1" w:rsidRPr="00A56A02" w:rsidRDefault="00CE4CD1" w:rsidP="00CE4CD1">
      <w:pPr>
        <w:pStyle w:val="NormalBold"/>
      </w:pPr>
      <w:r w:rsidRPr="00A56A02">
        <w:rPr>
          <w:rStyle w:val="HideTWBExt"/>
          <w:b w:val="0"/>
          <w:noProof w:val="0"/>
          <w:color w:val="auto"/>
        </w:rPr>
        <w:t>&lt;Article&gt;</w:t>
      </w:r>
      <w:r w:rsidRPr="00A56A02">
        <w:t>Considerando 10</w:t>
      </w:r>
      <w:r w:rsidRPr="00A56A0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6A02" w:rsidRPr="00A56A02" w:rsidTr="006B7FC7">
        <w:trPr>
          <w:jc w:val="center"/>
        </w:trPr>
        <w:tc>
          <w:tcPr>
            <w:tcW w:w="9752" w:type="dxa"/>
            <w:gridSpan w:val="2"/>
          </w:tcPr>
          <w:p w:rsidR="00CE4CD1" w:rsidRPr="00A56A02" w:rsidRDefault="00CE4CD1" w:rsidP="006B7FC7">
            <w:pPr>
              <w:keepNext/>
            </w:pPr>
          </w:p>
        </w:tc>
      </w:tr>
      <w:tr w:rsidR="00A56A02" w:rsidRPr="00A56A02" w:rsidTr="006B7FC7">
        <w:trPr>
          <w:jc w:val="center"/>
        </w:trPr>
        <w:tc>
          <w:tcPr>
            <w:tcW w:w="4876" w:type="dxa"/>
            <w:hideMark/>
          </w:tcPr>
          <w:p w:rsidR="00CE4CD1" w:rsidRPr="00A56A02" w:rsidRDefault="00CE4CD1" w:rsidP="006B7FC7">
            <w:pPr>
              <w:pStyle w:val="ColumnHeading"/>
              <w:keepNext/>
            </w:pPr>
            <w:r w:rsidRPr="00A56A02">
              <w:t>Texto de la Comisión</w:t>
            </w:r>
          </w:p>
        </w:tc>
        <w:tc>
          <w:tcPr>
            <w:tcW w:w="4876" w:type="dxa"/>
            <w:hideMark/>
          </w:tcPr>
          <w:p w:rsidR="00CE4CD1" w:rsidRPr="00A56A02" w:rsidRDefault="00CE4CD1" w:rsidP="006B7FC7">
            <w:pPr>
              <w:pStyle w:val="ColumnHeading"/>
              <w:keepNext/>
            </w:pPr>
            <w:r w:rsidRPr="00A56A02">
              <w:t>Enmienda</w:t>
            </w:r>
          </w:p>
        </w:tc>
      </w:tr>
      <w:tr w:rsidR="00A56A02" w:rsidRPr="00A56A02" w:rsidTr="006B7FC7">
        <w:trPr>
          <w:jc w:val="center"/>
        </w:trPr>
        <w:tc>
          <w:tcPr>
            <w:tcW w:w="4876" w:type="dxa"/>
            <w:hideMark/>
          </w:tcPr>
          <w:p w:rsidR="00CE4CD1" w:rsidRPr="00A56A02" w:rsidRDefault="00CE4CD1" w:rsidP="006B7FC7">
            <w:pPr>
              <w:pStyle w:val="Normal6"/>
            </w:pPr>
            <w:r w:rsidRPr="00A56A02">
              <w:t>(10)</w:t>
            </w:r>
            <w:r w:rsidRPr="00A56A02">
              <w:tab/>
              <w:t xml:space="preserve">La posibilidad de realizar controles temporales en las fronteras interiores en respuesta a una amenaza para el orden público o la seguridad interior que persista más allá de </w:t>
            </w:r>
            <w:r w:rsidRPr="00A56A02">
              <w:rPr>
                <w:b/>
                <w:i/>
              </w:rPr>
              <w:t>un año</w:t>
            </w:r>
            <w:r w:rsidRPr="00A56A02">
              <w:t xml:space="preserve"> debe someterse a un procedimiento específico.</w:t>
            </w:r>
          </w:p>
        </w:tc>
        <w:tc>
          <w:tcPr>
            <w:tcW w:w="4876" w:type="dxa"/>
            <w:hideMark/>
          </w:tcPr>
          <w:p w:rsidR="00CE4CD1" w:rsidRPr="00A56A02" w:rsidRDefault="00CE4CD1" w:rsidP="006B7FC7">
            <w:pPr>
              <w:pStyle w:val="Normal6"/>
              <w:rPr>
                <w:szCs w:val="24"/>
              </w:rPr>
            </w:pPr>
            <w:r w:rsidRPr="00A56A02">
              <w:t>(10)</w:t>
            </w:r>
            <w:r w:rsidRPr="00A56A02">
              <w:tab/>
              <w:t xml:space="preserve">La posibilidad de realizar controles temporales en las fronteras interiores en respuesta a una amenaza para el orden público o la seguridad interior que persista más allá de </w:t>
            </w:r>
            <w:r w:rsidRPr="00A56A02">
              <w:rPr>
                <w:b/>
                <w:i/>
              </w:rPr>
              <w:t>seis meses</w:t>
            </w:r>
            <w:r w:rsidRPr="00A56A02">
              <w:t xml:space="preserve"> debe someterse a un procedimiento específico.</w:t>
            </w:r>
          </w:p>
        </w:tc>
      </w:tr>
    </w:tbl>
    <w:p w:rsidR="00CE4CD1" w:rsidRPr="00A56A02" w:rsidRDefault="00CE4CD1" w:rsidP="00131CD6">
      <w:pPr>
        <w:pStyle w:val="Olang"/>
        <w:rPr>
          <w:noProof w:val="0"/>
          <w:szCs w:val="24"/>
        </w:rPr>
      </w:pPr>
      <w:r w:rsidRPr="00A56A02">
        <w:rPr>
          <w:noProof w:val="0"/>
          <w:szCs w:val="24"/>
        </w:rPr>
        <w:t xml:space="preserve">Or. </w:t>
      </w:r>
      <w:r w:rsidRPr="00A56A02">
        <w:rPr>
          <w:rStyle w:val="HideTWBExt"/>
          <w:noProof w:val="0"/>
          <w:color w:val="auto"/>
        </w:rPr>
        <w:t>&lt;Original&gt;</w:t>
      </w:r>
      <w:r w:rsidRPr="00A56A02">
        <w:rPr>
          <w:rStyle w:val="HideTWBInt"/>
          <w:noProof w:val="0"/>
          <w:color w:val="auto"/>
        </w:rPr>
        <w:t>{EN}</w:t>
      </w:r>
      <w:r w:rsidRPr="00A56A02">
        <w:rPr>
          <w:noProof w:val="0"/>
          <w:szCs w:val="24"/>
        </w:rPr>
        <w:t>en</w:t>
      </w:r>
      <w:r w:rsidRPr="00A56A02">
        <w:rPr>
          <w:rStyle w:val="HideTWBExt"/>
          <w:noProof w:val="0"/>
          <w:color w:val="auto"/>
        </w:rPr>
        <w:t>&lt;/Original&gt;</w:t>
      </w:r>
    </w:p>
    <w:p w:rsidR="00CE4CD1" w:rsidRPr="00A56A02" w:rsidRDefault="00CE4CD1" w:rsidP="00CE4CD1">
      <w:pPr>
        <w:rPr>
          <w:szCs w:val="24"/>
        </w:rPr>
      </w:pPr>
      <w:r w:rsidRPr="00A56A02">
        <w:rPr>
          <w:rStyle w:val="HideTWBExt"/>
          <w:noProof w:val="0"/>
          <w:color w:val="auto"/>
        </w:rPr>
        <w:t>&lt;/Amend&gt;</w:t>
      </w:r>
    </w:p>
    <w:p w:rsidR="00CE4CD1" w:rsidRPr="00A56A02" w:rsidRDefault="00CE4CD1" w:rsidP="00CE4CD1">
      <w:pPr>
        <w:pStyle w:val="AMNumberTabs"/>
        <w:keepNext/>
      </w:pPr>
      <w:r w:rsidRPr="00A56A02">
        <w:rPr>
          <w:rStyle w:val="HideTWBExt"/>
          <w:b w:val="0"/>
          <w:noProof w:val="0"/>
          <w:color w:val="auto"/>
        </w:rPr>
        <w:t>&lt;Amend&gt;</w:t>
      </w:r>
      <w:r w:rsidRPr="00A56A02">
        <w:t>Enmienda</w:t>
      </w:r>
      <w:r w:rsidRPr="00A56A02">
        <w:tab/>
      </w:r>
      <w:r w:rsidRPr="00A56A02">
        <w:tab/>
      </w:r>
      <w:r w:rsidRPr="00A56A02">
        <w:rPr>
          <w:rStyle w:val="HideTWBExt"/>
          <w:b w:val="0"/>
          <w:noProof w:val="0"/>
          <w:color w:val="auto"/>
        </w:rPr>
        <w:t>&lt;NumAm&gt;</w:t>
      </w:r>
      <w:r w:rsidRPr="00A56A02">
        <w:t>12</w:t>
      </w:r>
      <w:r w:rsidRPr="00A56A02">
        <w:rPr>
          <w:rStyle w:val="HideTWBExt"/>
          <w:b w:val="0"/>
          <w:noProof w:val="0"/>
          <w:color w:val="auto"/>
        </w:rPr>
        <w:t>&lt;/NumAm&gt;</w:t>
      </w:r>
    </w:p>
    <w:p w:rsidR="00CE4CD1" w:rsidRPr="00A56A02" w:rsidRDefault="00CE4CD1" w:rsidP="00CE4CD1">
      <w:pPr>
        <w:pStyle w:val="NormalBold12b"/>
        <w:keepNext/>
      </w:pPr>
      <w:r w:rsidRPr="00A56A02">
        <w:rPr>
          <w:rStyle w:val="HideTWBExt"/>
          <w:b w:val="0"/>
          <w:noProof w:val="0"/>
          <w:color w:val="auto"/>
        </w:rPr>
        <w:t>&lt;DocAmend&gt;</w:t>
      </w:r>
      <w:r w:rsidRPr="00A56A02">
        <w:t>Propuesta de Reglamento</w:t>
      </w:r>
      <w:r w:rsidRPr="00A56A02">
        <w:rPr>
          <w:rStyle w:val="HideTWBExt"/>
          <w:b w:val="0"/>
          <w:noProof w:val="0"/>
          <w:color w:val="auto"/>
        </w:rPr>
        <w:t>&lt;/DocAmend&gt;</w:t>
      </w:r>
    </w:p>
    <w:p w:rsidR="00CE4CD1" w:rsidRPr="00A56A02" w:rsidRDefault="00CE4CD1" w:rsidP="00CE4CD1">
      <w:pPr>
        <w:pStyle w:val="NormalBold"/>
      </w:pPr>
      <w:r w:rsidRPr="00A56A02">
        <w:rPr>
          <w:rStyle w:val="HideTWBExt"/>
          <w:b w:val="0"/>
          <w:noProof w:val="0"/>
          <w:color w:val="auto"/>
        </w:rPr>
        <w:t>&lt;Article&gt;</w:t>
      </w:r>
      <w:r w:rsidRPr="00A56A02">
        <w:t>Considerando 11</w:t>
      </w:r>
      <w:r w:rsidRPr="00A56A0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6A02" w:rsidRPr="00A56A02" w:rsidTr="006B7FC7">
        <w:trPr>
          <w:jc w:val="center"/>
        </w:trPr>
        <w:tc>
          <w:tcPr>
            <w:tcW w:w="9752" w:type="dxa"/>
            <w:gridSpan w:val="2"/>
          </w:tcPr>
          <w:p w:rsidR="00CE4CD1" w:rsidRPr="00A56A02" w:rsidRDefault="00CE4CD1" w:rsidP="006B7FC7">
            <w:pPr>
              <w:keepNext/>
            </w:pPr>
          </w:p>
        </w:tc>
      </w:tr>
      <w:tr w:rsidR="00A56A02" w:rsidRPr="00A56A02" w:rsidTr="006B7FC7">
        <w:trPr>
          <w:jc w:val="center"/>
        </w:trPr>
        <w:tc>
          <w:tcPr>
            <w:tcW w:w="4876" w:type="dxa"/>
            <w:hideMark/>
          </w:tcPr>
          <w:p w:rsidR="00CE4CD1" w:rsidRPr="00A56A02" w:rsidRDefault="00CE4CD1" w:rsidP="006B7FC7">
            <w:pPr>
              <w:pStyle w:val="ColumnHeading"/>
              <w:keepNext/>
            </w:pPr>
            <w:r w:rsidRPr="00A56A02">
              <w:t>Texto de la Comisión</w:t>
            </w:r>
          </w:p>
        </w:tc>
        <w:tc>
          <w:tcPr>
            <w:tcW w:w="4876" w:type="dxa"/>
            <w:hideMark/>
          </w:tcPr>
          <w:p w:rsidR="00CE4CD1" w:rsidRPr="00A56A02" w:rsidRDefault="00CE4CD1" w:rsidP="006B7FC7">
            <w:pPr>
              <w:pStyle w:val="ColumnHeading"/>
              <w:keepNext/>
            </w:pPr>
            <w:r w:rsidRPr="00A56A02">
              <w:t>Enmienda</w:t>
            </w:r>
          </w:p>
        </w:tc>
      </w:tr>
      <w:tr w:rsidR="00A56A02" w:rsidRPr="00A56A02" w:rsidTr="006B7FC7">
        <w:trPr>
          <w:jc w:val="center"/>
        </w:trPr>
        <w:tc>
          <w:tcPr>
            <w:tcW w:w="4876" w:type="dxa"/>
            <w:hideMark/>
          </w:tcPr>
          <w:p w:rsidR="00CE4CD1" w:rsidRPr="00A56A02" w:rsidRDefault="00CE4CD1" w:rsidP="006B7FC7">
            <w:pPr>
              <w:pStyle w:val="Normal6"/>
            </w:pPr>
            <w:r w:rsidRPr="00A56A02">
              <w:t>(11)</w:t>
            </w:r>
            <w:r w:rsidRPr="00A56A02">
              <w:tab/>
              <w:t>Para ello, la Comisión debe emitir un dictamen sobre la necesidad y la proporcionalidad de dicha prórroga</w:t>
            </w:r>
            <w:r w:rsidRPr="00A56A02">
              <w:rPr>
                <w:b/>
                <w:i/>
              </w:rPr>
              <w:t>, y en su caso sobre la cooperación con los Estados miembros vecinos</w:t>
            </w:r>
            <w:r w:rsidRPr="00A56A02">
              <w:t>.</w:t>
            </w:r>
          </w:p>
        </w:tc>
        <w:tc>
          <w:tcPr>
            <w:tcW w:w="4876" w:type="dxa"/>
            <w:hideMark/>
          </w:tcPr>
          <w:p w:rsidR="00CE4CD1" w:rsidRPr="00A56A02" w:rsidRDefault="00CE4CD1" w:rsidP="006B7FC7">
            <w:pPr>
              <w:pStyle w:val="Normal6"/>
              <w:rPr>
                <w:szCs w:val="24"/>
              </w:rPr>
            </w:pPr>
            <w:r w:rsidRPr="00A56A02">
              <w:t>(11)</w:t>
            </w:r>
            <w:r w:rsidRPr="00A56A02">
              <w:tab/>
              <w:t>Para ello, la Comisión debe emitir un dictamen sobre la necesidad y la proporcionalidad de dicha prórroga.</w:t>
            </w:r>
          </w:p>
        </w:tc>
      </w:tr>
    </w:tbl>
    <w:p w:rsidR="00CE4CD1" w:rsidRPr="00A56A02" w:rsidRDefault="00CE4CD1" w:rsidP="00131CD6">
      <w:pPr>
        <w:pStyle w:val="Olang"/>
        <w:rPr>
          <w:noProof w:val="0"/>
          <w:szCs w:val="24"/>
        </w:rPr>
      </w:pPr>
      <w:r w:rsidRPr="00A56A02">
        <w:rPr>
          <w:noProof w:val="0"/>
          <w:szCs w:val="24"/>
        </w:rPr>
        <w:t xml:space="preserve">Or. </w:t>
      </w:r>
      <w:r w:rsidRPr="00A56A02">
        <w:rPr>
          <w:rStyle w:val="HideTWBExt"/>
          <w:noProof w:val="0"/>
          <w:color w:val="auto"/>
        </w:rPr>
        <w:t>&lt;Original&gt;</w:t>
      </w:r>
      <w:r w:rsidRPr="00A56A02">
        <w:rPr>
          <w:rStyle w:val="HideTWBInt"/>
          <w:noProof w:val="0"/>
          <w:color w:val="auto"/>
        </w:rPr>
        <w:t>{EN}</w:t>
      </w:r>
      <w:r w:rsidRPr="00A56A02">
        <w:rPr>
          <w:noProof w:val="0"/>
          <w:szCs w:val="24"/>
        </w:rPr>
        <w:t>en</w:t>
      </w:r>
      <w:r w:rsidRPr="00A56A02">
        <w:rPr>
          <w:rStyle w:val="HideTWBExt"/>
          <w:noProof w:val="0"/>
          <w:color w:val="auto"/>
        </w:rPr>
        <w:t>&lt;/Original&gt;</w:t>
      </w:r>
    </w:p>
    <w:p w:rsidR="00CE4CD1" w:rsidRPr="00A56A02" w:rsidRDefault="00CE4CD1" w:rsidP="00CE4CD1">
      <w:pPr>
        <w:rPr>
          <w:szCs w:val="24"/>
        </w:rPr>
      </w:pPr>
      <w:r w:rsidRPr="00A56A02">
        <w:rPr>
          <w:rStyle w:val="HideTWBExt"/>
          <w:noProof w:val="0"/>
          <w:color w:val="auto"/>
        </w:rPr>
        <w:t>&lt;/Amend&gt;</w:t>
      </w:r>
    </w:p>
    <w:p w:rsidR="00CE4CD1" w:rsidRPr="00A56A02" w:rsidRDefault="00CE4CD1" w:rsidP="00CE4CD1">
      <w:pPr>
        <w:pStyle w:val="AMNumberTabs"/>
        <w:keepNext/>
      </w:pPr>
      <w:r w:rsidRPr="00A56A02">
        <w:rPr>
          <w:rStyle w:val="HideTWBExt"/>
          <w:b w:val="0"/>
          <w:noProof w:val="0"/>
          <w:color w:val="auto"/>
        </w:rPr>
        <w:t>&lt;Amend&gt;</w:t>
      </w:r>
      <w:r w:rsidRPr="00A56A02">
        <w:t>Enmienda</w:t>
      </w:r>
      <w:r w:rsidRPr="00A56A02">
        <w:tab/>
      </w:r>
      <w:r w:rsidRPr="00A56A02">
        <w:tab/>
      </w:r>
      <w:r w:rsidRPr="00A56A02">
        <w:rPr>
          <w:rStyle w:val="HideTWBExt"/>
          <w:b w:val="0"/>
          <w:noProof w:val="0"/>
          <w:color w:val="auto"/>
        </w:rPr>
        <w:t>&lt;NumAm&gt;</w:t>
      </w:r>
      <w:r w:rsidRPr="00A56A02">
        <w:t>13</w:t>
      </w:r>
      <w:r w:rsidRPr="00A56A02">
        <w:rPr>
          <w:rStyle w:val="HideTWBExt"/>
          <w:b w:val="0"/>
          <w:noProof w:val="0"/>
          <w:color w:val="auto"/>
        </w:rPr>
        <w:t>&lt;/NumAm&gt;</w:t>
      </w:r>
    </w:p>
    <w:p w:rsidR="00CE4CD1" w:rsidRPr="00A56A02" w:rsidRDefault="00CE4CD1" w:rsidP="00CE4CD1">
      <w:pPr>
        <w:pStyle w:val="NormalBold12b"/>
        <w:keepNext/>
      </w:pPr>
      <w:r w:rsidRPr="00A56A02">
        <w:rPr>
          <w:rStyle w:val="HideTWBExt"/>
          <w:b w:val="0"/>
          <w:noProof w:val="0"/>
          <w:color w:val="auto"/>
        </w:rPr>
        <w:t>&lt;DocAmend&gt;</w:t>
      </w:r>
      <w:r w:rsidRPr="00A56A02">
        <w:t>Propuesta de Reglamento</w:t>
      </w:r>
      <w:r w:rsidRPr="00A56A02">
        <w:rPr>
          <w:rStyle w:val="HideTWBExt"/>
          <w:b w:val="0"/>
          <w:noProof w:val="0"/>
          <w:color w:val="auto"/>
        </w:rPr>
        <w:t>&lt;/DocAmend&gt;</w:t>
      </w:r>
    </w:p>
    <w:p w:rsidR="00CE4CD1" w:rsidRPr="00A56A02" w:rsidRDefault="00CE4CD1" w:rsidP="00CE4CD1">
      <w:pPr>
        <w:pStyle w:val="NormalBold"/>
      </w:pPr>
      <w:r w:rsidRPr="00A56A02">
        <w:rPr>
          <w:rStyle w:val="HideTWBExt"/>
          <w:b w:val="0"/>
          <w:noProof w:val="0"/>
          <w:color w:val="auto"/>
        </w:rPr>
        <w:t>&lt;Article&gt;</w:t>
      </w:r>
      <w:r w:rsidRPr="00A56A02">
        <w:t>Considerando 13</w:t>
      </w:r>
      <w:r w:rsidRPr="00A56A0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6A02" w:rsidRPr="00A56A02" w:rsidTr="006B7FC7">
        <w:trPr>
          <w:jc w:val="center"/>
        </w:trPr>
        <w:tc>
          <w:tcPr>
            <w:tcW w:w="9752" w:type="dxa"/>
            <w:gridSpan w:val="2"/>
          </w:tcPr>
          <w:p w:rsidR="00CE4CD1" w:rsidRPr="00A56A02" w:rsidRDefault="00CE4CD1" w:rsidP="006B7FC7">
            <w:pPr>
              <w:keepNext/>
            </w:pPr>
          </w:p>
        </w:tc>
      </w:tr>
      <w:tr w:rsidR="00A56A02" w:rsidRPr="00A56A02" w:rsidTr="006B7FC7">
        <w:trPr>
          <w:jc w:val="center"/>
        </w:trPr>
        <w:tc>
          <w:tcPr>
            <w:tcW w:w="4876" w:type="dxa"/>
            <w:hideMark/>
          </w:tcPr>
          <w:p w:rsidR="00CE4CD1" w:rsidRPr="00A56A02" w:rsidRDefault="00CE4CD1" w:rsidP="006B7FC7">
            <w:pPr>
              <w:pStyle w:val="ColumnHeading"/>
              <w:keepNext/>
            </w:pPr>
            <w:r w:rsidRPr="00A56A02">
              <w:t>Texto de la Comisión</w:t>
            </w:r>
          </w:p>
        </w:tc>
        <w:tc>
          <w:tcPr>
            <w:tcW w:w="4876" w:type="dxa"/>
            <w:hideMark/>
          </w:tcPr>
          <w:p w:rsidR="00CE4CD1" w:rsidRPr="00A56A02" w:rsidRDefault="00CE4CD1" w:rsidP="006B7FC7">
            <w:pPr>
              <w:pStyle w:val="ColumnHeading"/>
              <w:keepNext/>
            </w:pPr>
            <w:r w:rsidRPr="00A56A02">
              <w:t>Enmienda</w:t>
            </w:r>
          </w:p>
        </w:tc>
      </w:tr>
      <w:tr w:rsidR="00A56A02" w:rsidRPr="00A56A02" w:rsidTr="006B7FC7">
        <w:trPr>
          <w:jc w:val="center"/>
        </w:trPr>
        <w:tc>
          <w:tcPr>
            <w:tcW w:w="4876" w:type="dxa"/>
            <w:hideMark/>
          </w:tcPr>
          <w:p w:rsidR="00CE4CD1" w:rsidRPr="00A56A02" w:rsidRDefault="00CE4CD1" w:rsidP="006B7FC7">
            <w:pPr>
              <w:pStyle w:val="Normal6"/>
            </w:pPr>
            <w:r w:rsidRPr="00A56A02">
              <w:t>(13)</w:t>
            </w:r>
            <w:r w:rsidRPr="00A56A02">
              <w:tab/>
              <w:t xml:space="preserve">El Consejo, teniendo en cuenta el dictamen de la Comisión, podrá recomendar esta prórroga adicional extraordinaria y, cuando proceda, determinar las condiciones para la cooperación entre los Estados miembros afectados, con el fin de garantizar que se trata de una medida excepcional aplicable únicamente durante el tiempo que sea necesario y esté justificado, y que es coherente con las medidas adoptadas a nivel nacional en el territorio para hacer frente a la misma amenaza específica para el orden público o la seguridad interior. La recomendación del Consejo debe constituir un requisito previo para cualquier nueva prórroga más allá del plazo de </w:t>
            </w:r>
            <w:r w:rsidRPr="00A56A02">
              <w:rPr>
                <w:b/>
                <w:i/>
              </w:rPr>
              <w:t>un año, y por tanto, debe ser de la misma naturaleza que la prevista en el artículo 29</w:t>
            </w:r>
            <w:r w:rsidRPr="00A56A02">
              <w:t>.</w:t>
            </w:r>
          </w:p>
        </w:tc>
        <w:tc>
          <w:tcPr>
            <w:tcW w:w="4876" w:type="dxa"/>
            <w:hideMark/>
          </w:tcPr>
          <w:p w:rsidR="00CE4CD1" w:rsidRPr="00A56A02" w:rsidRDefault="00CE4CD1" w:rsidP="006B7FC7">
            <w:pPr>
              <w:pStyle w:val="Normal6"/>
              <w:rPr>
                <w:szCs w:val="24"/>
              </w:rPr>
            </w:pPr>
            <w:r w:rsidRPr="00A56A02">
              <w:t>(13)</w:t>
            </w:r>
            <w:r w:rsidRPr="00A56A02">
              <w:tab/>
              <w:t xml:space="preserve">El Consejo, teniendo en cuenta el dictamen de la Comisión, podrá recomendar esta prórroga adicional extraordinaria y, cuando proceda, determinar las condiciones para la cooperación entre los Estados miembros afectados, con el fin de garantizar que se trata de una medida excepcional aplicable únicamente durante el tiempo que sea necesario y esté justificado, y que es coherente con las medidas adoptadas a nivel nacional en el territorio para hacer frente a la misma amenaza específica para el orden público o la seguridad interior. La recomendación del Consejo debe constituir un requisito previo para cualquier nueva prórroga más allá del plazo de </w:t>
            </w:r>
            <w:r w:rsidRPr="00A56A02">
              <w:rPr>
                <w:b/>
                <w:i/>
              </w:rPr>
              <w:t>seis meses.</w:t>
            </w:r>
          </w:p>
        </w:tc>
      </w:tr>
    </w:tbl>
    <w:p w:rsidR="00CE4CD1" w:rsidRPr="00A56A02" w:rsidRDefault="00CE4CD1" w:rsidP="00131CD6">
      <w:pPr>
        <w:pStyle w:val="Olang"/>
        <w:rPr>
          <w:noProof w:val="0"/>
          <w:szCs w:val="24"/>
        </w:rPr>
      </w:pPr>
      <w:r w:rsidRPr="00A56A02">
        <w:rPr>
          <w:noProof w:val="0"/>
          <w:szCs w:val="24"/>
        </w:rPr>
        <w:t xml:space="preserve">Or. </w:t>
      </w:r>
      <w:r w:rsidRPr="00A56A02">
        <w:rPr>
          <w:rStyle w:val="HideTWBExt"/>
          <w:noProof w:val="0"/>
          <w:color w:val="auto"/>
        </w:rPr>
        <w:t>&lt;Original&gt;</w:t>
      </w:r>
      <w:r w:rsidRPr="00A56A02">
        <w:rPr>
          <w:rStyle w:val="HideTWBInt"/>
          <w:noProof w:val="0"/>
          <w:color w:val="auto"/>
        </w:rPr>
        <w:t>{EN}</w:t>
      </w:r>
      <w:r w:rsidRPr="00A56A02">
        <w:rPr>
          <w:noProof w:val="0"/>
          <w:szCs w:val="24"/>
        </w:rPr>
        <w:t>en</w:t>
      </w:r>
      <w:r w:rsidRPr="00A56A02">
        <w:rPr>
          <w:rStyle w:val="HideTWBExt"/>
          <w:noProof w:val="0"/>
          <w:color w:val="auto"/>
        </w:rPr>
        <w:t>&lt;/Original&gt;</w:t>
      </w:r>
    </w:p>
    <w:p w:rsidR="00CE4CD1" w:rsidRPr="00A56A02" w:rsidRDefault="00CE4CD1" w:rsidP="00CE4CD1">
      <w:pPr>
        <w:rPr>
          <w:szCs w:val="24"/>
        </w:rPr>
      </w:pPr>
      <w:r w:rsidRPr="00A56A02">
        <w:rPr>
          <w:rStyle w:val="HideTWBExt"/>
          <w:noProof w:val="0"/>
          <w:color w:val="auto"/>
        </w:rPr>
        <w:t>&lt;/Amend&gt;</w:t>
      </w:r>
    </w:p>
    <w:p w:rsidR="00CE4CD1" w:rsidRPr="00A56A02" w:rsidRDefault="00CE4CD1" w:rsidP="00CE4CD1">
      <w:pPr>
        <w:pStyle w:val="AMNumberTabs"/>
        <w:keepNext/>
      </w:pPr>
      <w:r w:rsidRPr="00A56A02">
        <w:rPr>
          <w:rStyle w:val="HideTWBExt"/>
          <w:b w:val="0"/>
          <w:noProof w:val="0"/>
          <w:color w:val="auto"/>
        </w:rPr>
        <w:t>&lt;Amend&gt;</w:t>
      </w:r>
      <w:r w:rsidRPr="00A56A02">
        <w:t>Enmienda</w:t>
      </w:r>
      <w:r w:rsidRPr="00A56A02">
        <w:tab/>
      </w:r>
      <w:r w:rsidRPr="00A56A02">
        <w:tab/>
      </w:r>
      <w:r w:rsidRPr="00A56A02">
        <w:rPr>
          <w:rStyle w:val="HideTWBExt"/>
          <w:b w:val="0"/>
          <w:noProof w:val="0"/>
          <w:color w:val="auto"/>
        </w:rPr>
        <w:t>&lt;NumAm&gt;</w:t>
      </w:r>
      <w:r w:rsidRPr="00A56A02">
        <w:t>14</w:t>
      </w:r>
      <w:r w:rsidRPr="00A56A02">
        <w:rPr>
          <w:rStyle w:val="HideTWBExt"/>
          <w:b w:val="0"/>
          <w:noProof w:val="0"/>
          <w:color w:val="auto"/>
        </w:rPr>
        <w:t>&lt;/NumAm&gt;</w:t>
      </w:r>
    </w:p>
    <w:p w:rsidR="00CE4CD1" w:rsidRPr="00A56A02" w:rsidRDefault="00CE4CD1" w:rsidP="00CE4CD1">
      <w:pPr>
        <w:pStyle w:val="NormalBold12b"/>
        <w:keepNext/>
      </w:pPr>
      <w:r w:rsidRPr="00A56A02">
        <w:rPr>
          <w:rStyle w:val="HideTWBExt"/>
          <w:b w:val="0"/>
          <w:noProof w:val="0"/>
          <w:color w:val="auto"/>
        </w:rPr>
        <w:t>&lt;DocAmend&gt;</w:t>
      </w:r>
      <w:r w:rsidRPr="00A56A02">
        <w:t>Propuesta de Reglamento</w:t>
      </w:r>
      <w:r w:rsidRPr="00A56A02">
        <w:rPr>
          <w:rStyle w:val="HideTWBExt"/>
          <w:b w:val="0"/>
          <w:noProof w:val="0"/>
          <w:color w:val="auto"/>
        </w:rPr>
        <w:t>&lt;/DocAmend&gt;</w:t>
      </w:r>
    </w:p>
    <w:p w:rsidR="00CE4CD1" w:rsidRPr="00A56A02" w:rsidRDefault="00CE4CD1" w:rsidP="00CE4CD1">
      <w:pPr>
        <w:pStyle w:val="NormalBold"/>
      </w:pPr>
      <w:r w:rsidRPr="00A56A02">
        <w:rPr>
          <w:rStyle w:val="HideTWBExt"/>
          <w:b w:val="0"/>
          <w:noProof w:val="0"/>
          <w:color w:val="auto"/>
        </w:rPr>
        <w:t>&lt;Article&gt;</w:t>
      </w:r>
      <w:r w:rsidRPr="00A56A02">
        <w:t>Considerando 13 bis (nuevo)</w:t>
      </w:r>
      <w:r w:rsidRPr="00A56A0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6A02" w:rsidRPr="00A56A02" w:rsidTr="006B7FC7">
        <w:trPr>
          <w:jc w:val="center"/>
        </w:trPr>
        <w:tc>
          <w:tcPr>
            <w:tcW w:w="9752" w:type="dxa"/>
            <w:gridSpan w:val="2"/>
          </w:tcPr>
          <w:p w:rsidR="00CE4CD1" w:rsidRPr="00A56A02" w:rsidRDefault="00CE4CD1" w:rsidP="006B7FC7">
            <w:pPr>
              <w:keepNext/>
            </w:pPr>
          </w:p>
        </w:tc>
      </w:tr>
      <w:tr w:rsidR="00A56A02" w:rsidRPr="00A56A02" w:rsidTr="006B7FC7">
        <w:trPr>
          <w:jc w:val="center"/>
        </w:trPr>
        <w:tc>
          <w:tcPr>
            <w:tcW w:w="4876" w:type="dxa"/>
            <w:hideMark/>
          </w:tcPr>
          <w:p w:rsidR="00CE4CD1" w:rsidRPr="00A56A02" w:rsidRDefault="00CE4CD1" w:rsidP="006B7FC7">
            <w:pPr>
              <w:pStyle w:val="ColumnHeading"/>
              <w:keepNext/>
            </w:pPr>
            <w:r w:rsidRPr="00A56A02">
              <w:t>Texto de la Comisión</w:t>
            </w:r>
          </w:p>
        </w:tc>
        <w:tc>
          <w:tcPr>
            <w:tcW w:w="4876" w:type="dxa"/>
            <w:hideMark/>
          </w:tcPr>
          <w:p w:rsidR="00CE4CD1" w:rsidRPr="00A56A02" w:rsidRDefault="00CE4CD1" w:rsidP="006B7FC7">
            <w:pPr>
              <w:pStyle w:val="ColumnHeading"/>
              <w:keepNext/>
            </w:pPr>
            <w:r w:rsidRPr="00A56A02">
              <w:t>Enmienda</w:t>
            </w:r>
          </w:p>
        </w:tc>
      </w:tr>
      <w:tr w:rsidR="00A56A02" w:rsidRPr="00A56A02" w:rsidTr="006B7FC7">
        <w:trPr>
          <w:jc w:val="center"/>
        </w:trPr>
        <w:tc>
          <w:tcPr>
            <w:tcW w:w="4876" w:type="dxa"/>
          </w:tcPr>
          <w:p w:rsidR="00CE4CD1" w:rsidRPr="00A56A02" w:rsidRDefault="00CE4CD1" w:rsidP="006B7FC7">
            <w:pPr>
              <w:pStyle w:val="Normal6"/>
            </w:pPr>
          </w:p>
        </w:tc>
        <w:tc>
          <w:tcPr>
            <w:tcW w:w="4876" w:type="dxa"/>
            <w:hideMark/>
          </w:tcPr>
          <w:p w:rsidR="00CE4CD1" w:rsidRPr="00A56A02" w:rsidRDefault="00CE4CD1" w:rsidP="006B7FC7">
            <w:pPr>
              <w:pStyle w:val="Normal6"/>
              <w:rPr>
                <w:szCs w:val="24"/>
              </w:rPr>
            </w:pPr>
            <w:r w:rsidRPr="00A56A02">
              <w:rPr>
                <w:b/>
                <w:i/>
              </w:rPr>
              <w:t>(13 bis)</w:t>
            </w:r>
            <w:r w:rsidRPr="00A56A02">
              <w:rPr>
                <w:b/>
                <w:i/>
              </w:rPr>
              <w:tab/>
              <w:t>Las medidas adoptadas en el marco del procedimiento aplicable en caso de circunstancias excepcionales que amenacen el funcionamiento general del espacio sin control en las fronteras interiores no deben prorrogarse ni combinarse con medidas adoptadas en el marco de otro procedimiento de restablecimiento o prórroga de los controles en las fronteras interiores previsto en el Reglamento (UE) 2016/399. Únicamente debe poder activarse una nueva aplicación de las normas —y con ella un nuevo cálculo de la duración del período de control de fronteras— en caso de que surja una nueva amenaza para el orden público o la seguridad interior.</w:t>
            </w:r>
          </w:p>
        </w:tc>
      </w:tr>
    </w:tbl>
    <w:p w:rsidR="00CE4CD1" w:rsidRPr="00A56A02" w:rsidRDefault="00CE4CD1" w:rsidP="00131CD6">
      <w:pPr>
        <w:pStyle w:val="Olang"/>
        <w:rPr>
          <w:noProof w:val="0"/>
          <w:szCs w:val="24"/>
        </w:rPr>
      </w:pPr>
      <w:r w:rsidRPr="00A56A02">
        <w:rPr>
          <w:noProof w:val="0"/>
          <w:szCs w:val="24"/>
        </w:rPr>
        <w:t xml:space="preserve">Or. </w:t>
      </w:r>
      <w:r w:rsidRPr="00A56A02">
        <w:rPr>
          <w:rStyle w:val="HideTWBExt"/>
          <w:noProof w:val="0"/>
          <w:color w:val="auto"/>
        </w:rPr>
        <w:t>&lt;Original&gt;</w:t>
      </w:r>
      <w:r w:rsidRPr="00A56A02">
        <w:rPr>
          <w:rStyle w:val="HideTWBInt"/>
          <w:noProof w:val="0"/>
          <w:color w:val="auto"/>
        </w:rPr>
        <w:t>{EN}</w:t>
      </w:r>
      <w:r w:rsidRPr="00A56A02">
        <w:rPr>
          <w:noProof w:val="0"/>
          <w:szCs w:val="24"/>
        </w:rPr>
        <w:t>en</w:t>
      </w:r>
      <w:r w:rsidRPr="00A56A02">
        <w:rPr>
          <w:rStyle w:val="HideTWBExt"/>
          <w:noProof w:val="0"/>
          <w:color w:val="auto"/>
        </w:rPr>
        <w:t>&lt;/Original&gt;</w:t>
      </w:r>
    </w:p>
    <w:p w:rsidR="00CE4CD1" w:rsidRPr="00A56A02" w:rsidRDefault="00CE4CD1" w:rsidP="00CE4CD1">
      <w:pPr>
        <w:rPr>
          <w:szCs w:val="24"/>
        </w:rPr>
      </w:pPr>
      <w:r w:rsidRPr="00A56A02">
        <w:rPr>
          <w:rStyle w:val="HideTWBExt"/>
          <w:noProof w:val="0"/>
          <w:color w:val="auto"/>
        </w:rPr>
        <w:t>&lt;/Amend&gt;</w:t>
      </w:r>
    </w:p>
    <w:p w:rsidR="00CE4CD1" w:rsidRPr="00A56A02" w:rsidRDefault="00CE4CD1" w:rsidP="00CE4CD1">
      <w:pPr>
        <w:pStyle w:val="AMNumberTabs"/>
        <w:keepNext/>
      </w:pPr>
      <w:r w:rsidRPr="00A56A02">
        <w:rPr>
          <w:rStyle w:val="HideTWBExt"/>
          <w:b w:val="0"/>
          <w:noProof w:val="0"/>
          <w:color w:val="auto"/>
        </w:rPr>
        <w:t>&lt;Amend&gt;</w:t>
      </w:r>
      <w:r w:rsidRPr="00A56A02">
        <w:t>Enmienda</w:t>
      </w:r>
      <w:r w:rsidRPr="00A56A02">
        <w:tab/>
      </w:r>
      <w:r w:rsidRPr="00A56A02">
        <w:tab/>
      </w:r>
      <w:r w:rsidRPr="00A56A02">
        <w:rPr>
          <w:rStyle w:val="HideTWBExt"/>
          <w:b w:val="0"/>
          <w:noProof w:val="0"/>
          <w:color w:val="auto"/>
        </w:rPr>
        <w:t>&lt;NumAm&gt;</w:t>
      </w:r>
      <w:r w:rsidRPr="00A56A02">
        <w:t>15</w:t>
      </w:r>
      <w:r w:rsidRPr="00A56A02">
        <w:rPr>
          <w:rStyle w:val="HideTWBExt"/>
          <w:b w:val="0"/>
          <w:noProof w:val="0"/>
          <w:color w:val="auto"/>
        </w:rPr>
        <w:t>&lt;/NumAm&gt;</w:t>
      </w:r>
    </w:p>
    <w:p w:rsidR="00CE4CD1" w:rsidRPr="00A56A02" w:rsidRDefault="00CE4CD1" w:rsidP="00CE4CD1">
      <w:pPr>
        <w:pStyle w:val="NormalBold12b"/>
        <w:keepNext/>
      </w:pPr>
      <w:r w:rsidRPr="00A56A02">
        <w:rPr>
          <w:rStyle w:val="HideTWBExt"/>
          <w:b w:val="0"/>
          <w:noProof w:val="0"/>
          <w:color w:val="auto"/>
        </w:rPr>
        <w:t>&lt;DocAmend&gt;</w:t>
      </w:r>
      <w:r w:rsidRPr="00A56A02">
        <w:t>Propuesta de Reglamento</w:t>
      </w:r>
      <w:r w:rsidRPr="00A56A02">
        <w:rPr>
          <w:rStyle w:val="HideTWBExt"/>
          <w:b w:val="0"/>
          <w:noProof w:val="0"/>
          <w:color w:val="auto"/>
        </w:rPr>
        <w:t>&lt;/DocAmend&gt;</w:t>
      </w:r>
    </w:p>
    <w:p w:rsidR="00CE4CD1" w:rsidRPr="00A56A02" w:rsidRDefault="00CE4CD1" w:rsidP="00CE4CD1">
      <w:pPr>
        <w:pStyle w:val="NormalBold"/>
      </w:pPr>
      <w:r w:rsidRPr="00A56A02">
        <w:rPr>
          <w:rStyle w:val="HideTWBExt"/>
          <w:b w:val="0"/>
          <w:noProof w:val="0"/>
          <w:color w:val="auto"/>
        </w:rPr>
        <w:t>&lt;Article&gt;</w:t>
      </w:r>
      <w:r w:rsidRPr="00A56A02">
        <w:t>Considerando 13 ter (nuevo)</w:t>
      </w:r>
      <w:r w:rsidRPr="00A56A02">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6A02" w:rsidRPr="00A56A02" w:rsidTr="006B7FC7">
        <w:trPr>
          <w:jc w:val="center"/>
        </w:trPr>
        <w:tc>
          <w:tcPr>
            <w:tcW w:w="9752" w:type="dxa"/>
            <w:gridSpan w:val="2"/>
          </w:tcPr>
          <w:p w:rsidR="00CE4CD1" w:rsidRPr="00A56A02" w:rsidRDefault="00CE4CD1" w:rsidP="006B7FC7">
            <w:pPr>
              <w:keepNext/>
            </w:pPr>
          </w:p>
        </w:tc>
      </w:tr>
      <w:tr w:rsidR="00A56A02" w:rsidRPr="00A56A02" w:rsidTr="006B7FC7">
        <w:trPr>
          <w:jc w:val="center"/>
        </w:trPr>
        <w:tc>
          <w:tcPr>
            <w:tcW w:w="4876" w:type="dxa"/>
            <w:hideMark/>
          </w:tcPr>
          <w:p w:rsidR="00CE4CD1" w:rsidRPr="00A56A02" w:rsidRDefault="00CE4CD1" w:rsidP="006B7FC7">
            <w:pPr>
              <w:pStyle w:val="ColumnHeading"/>
              <w:keepNext/>
            </w:pPr>
            <w:r w:rsidRPr="00A56A02">
              <w:t>Texto de la Comisión</w:t>
            </w:r>
          </w:p>
        </w:tc>
        <w:tc>
          <w:tcPr>
            <w:tcW w:w="4876" w:type="dxa"/>
            <w:hideMark/>
          </w:tcPr>
          <w:p w:rsidR="00CE4CD1" w:rsidRPr="00A56A02" w:rsidRDefault="00CE4CD1" w:rsidP="006B7FC7">
            <w:pPr>
              <w:pStyle w:val="ColumnHeading"/>
              <w:keepNext/>
            </w:pPr>
            <w:r w:rsidRPr="00A56A02">
              <w:t>Enmienda</w:t>
            </w:r>
          </w:p>
        </w:tc>
      </w:tr>
      <w:tr w:rsidR="00A56A02" w:rsidRPr="00A56A02" w:rsidTr="006B7FC7">
        <w:trPr>
          <w:jc w:val="center"/>
        </w:trPr>
        <w:tc>
          <w:tcPr>
            <w:tcW w:w="4876" w:type="dxa"/>
          </w:tcPr>
          <w:p w:rsidR="00CE4CD1" w:rsidRPr="00A56A02" w:rsidRDefault="00CE4CD1" w:rsidP="006B7FC7">
            <w:pPr>
              <w:pStyle w:val="Normal6"/>
            </w:pPr>
          </w:p>
        </w:tc>
        <w:tc>
          <w:tcPr>
            <w:tcW w:w="4876" w:type="dxa"/>
            <w:hideMark/>
          </w:tcPr>
          <w:p w:rsidR="00CE4CD1" w:rsidRPr="00A56A02" w:rsidRDefault="00CE4CD1" w:rsidP="006B7FC7">
            <w:pPr>
              <w:pStyle w:val="Normal6"/>
              <w:rPr>
                <w:szCs w:val="24"/>
              </w:rPr>
            </w:pPr>
            <w:r w:rsidRPr="00A56A02">
              <w:rPr>
                <w:b/>
                <w:i/>
              </w:rPr>
              <w:t>(13 ter)</w:t>
            </w:r>
            <w:r w:rsidRPr="00A56A02">
              <w:rPr>
                <w:b/>
                <w:i/>
              </w:rPr>
              <w:tab/>
              <w:t>De conformidad con el artículo 258 del Tratado de Funcionamiento de la Unión Europea, la Comisión debe, como guardiana de los Tratados, supervisar la aplicación del Derecho de la Unión y de las medidas adoptadas por las instituciones en virtud de este, adoptar las medidas oportunas —por ejemplo llevando el asunto ante el Tribunal de Justicia de la Unión Europea— cuando considere que un Estado miembro ha incumplido una de las obligaciones que le incumben en virtud de los Tratados.</w:t>
            </w:r>
          </w:p>
        </w:tc>
      </w:tr>
    </w:tbl>
    <w:p w:rsidR="00CE4CD1" w:rsidRPr="00A56A02" w:rsidRDefault="00CE4CD1" w:rsidP="00131CD6">
      <w:pPr>
        <w:pStyle w:val="Olang"/>
        <w:rPr>
          <w:noProof w:val="0"/>
          <w:szCs w:val="24"/>
        </w:rPr>
      </w:pPr>
      <w:r w:rsidRPr="00A56A02">
        <w:rPr>
          <w:noProof w:val="0"/>
          <w:szCs w:val="24"/>
        </w:rPr>
        <w:t xml:space="preserve">Or. </w:t>
      </w:r>
      <w:r w:rsidRPr="00A56A02">
        <w:rPr>
          <w:rStyle w:val="HideTWBExt"/>
          <w:noProof w:val="0"/>
          <w:color w:val="auto"/>
        </w:rPr>
        <w:t>&lt;Original&gt;</w:t>
      </w:r>
      <w:r w:rsidRPr="00A56A02">
        <w:rPr>
          <w:rStyle w:val="HideTWBInt"/>
          <w:noProof w:val="0"/>
          <w:color w:val="auto"/>
        </w:rPr>
        <w:t>{EN}</w:t>
      </w:r>
      <w:r w:rsidRPr="00A56A02">
        <w:rPr>
          <w:noProof w:val="0"/>
          <w:szCs w:val="24"/>
        </w:rPr>
        <w:t>en</w:t>
      </w:r>
      <w:r w:rsidRPr="00A56A02">
        <w:rPr>
          <w:rStyle w:val="HideTWBExt"/>
          <w:noProof w:val="0"/>
          <w:color w:val="auto"/>
        </w:rPr>
        <w:t>&lt;/Original&gt;</w:t>
      </w:r>
    </w:p>
    <w:p w:rsidR="00CE4CD1" w:rsidRPr="00A56A02" w:rsidRDefault="00CE4CD1" w:rsidP="00CE4CD1">
      <w:pPr>
        <w:pStyle w:val="JustificationTitle"/>
        <w:spacing w:after="240"/>
      </w:pPr>
      <w:r w:rsidRPr="00A56A02">
        <w:rPr>
          <w:rStyle w:val="HideTWBExt"/>
          <w:i w:val="0"/>
          <w:noProof w:val="0"/>
          <w:color w:val="auto"/>
        </w:rPr>
        <w:t>&lt;TitreJust&gt;</w:t>
      </w:r>
      <w:r w:rsidRPr="00A56A02">
        <w:t>Justificación</w:t>
      </w:r>
      <w:r w:rsidRPr="00A56A02">
        <w:rPr>
          <w:rStyle w:val="HideTWBExt"/>
          <w:i w:val="0"/>
          <w:noProof w:val="0"/>
          <w:color w:val="auto"/>
        </w:rPr>
        <w:t>&lt;/TitreJust&gt;</w:t>
      </w:r>
    </w:p>
    <w:p w:rsidR="00CE4CD1" w:rsidRPr="00A56A02" w:rsidRDefault="00CE4CD1" w:rsidP="00CE4CD1">
      <w:pPr>
        <w:pStyle w:val="Normal12Italic"/>
        <w:spacing w:before="0" w:after="240"/>
      </w:pPr>
      <w:r w:rsidRPr="00A56A02">
        <w:t>Como guardiana de los Tratados, la Comisión tiene la obligación de supervisar la aplicación del Derecho de la Unión. Es importante recordar que, si un Estado miembro no cumple las normas, la Comisión está legalmente obligada a considerar la posibilidad de emprender acciones legales contra los Estados miembros, incluso mediante la apertura de procedimientos de infracción contra el Estado miembro en cuestión.</w:t>
      </w:r>
    </w:p>
    <w:p w:rsidR="00CE4CD1" w:rsidRPr="00A56A02" w:rsidRDefault="00CE4CD1" w:rsidP="00CE4CD1">
      <w:pPr>
        <w:rPr>
          <w:rStyle w:val="HideTWBExt"/>
          <w:noProof w:val="0"/>
          <w:color w:val="auto"/>
        </w:rPr>
      </w:pPr>
      <w:r w:rsidRPr="00A56A02">
        <w:rPr>
          <w:rStyle w:val="HideTWBExt"/>
          <w:noProof w:val="0"/>
          <w:color w:val="auto"/>
        </w:rPr>
        <w:t>&lt;/Amend&gt;</w:t>
      </w:r>
    </w:p>
    <w:p w:rsidR="00CE4CD1" w:rsidRPr="00A56A02" w:rsidRDefault="00CE4CD1" w:rsidP="00CE4CD1">
      <w:pPr>
        <w:pStyle w:val="AMNumberTabs"/>
        <w:keepNext/>
      </w:pPr>
      <w:r w:rsidRPr="00A56A02">
        <w:rPr>
          <w:rStyle w:val="HideTWBExt"/>
          <w:b w:val="0"/>
          <w:noProof w:val="0"/>
          <w:color w:val="auto"/>
        </w:rPr>
        <w:t>&lt;Amend&gt;</w:t>
      </w:r>
      <w:r w:rsidRPr="00A56A02">
        <w:t>Enmienda</w:t>
      </w:r>
      <w:r w:rsidRPr="00A56A02">
        <w:tab/>
      </w:r>
      <w:r w:rsidRPr="00A56A02">
        <w:tab/>
      </w:r>
      <w:r w:rsidRPr="00A56A02">
        <w:rPr>
          <w:rStyle w:val="HideTWBExt"/>
          <w:b w:val="0"/>
          <w:noProof w:val="0"/>
          <w:color w:val="auto"/>
        </w:rPr>
        <w:t>&lt;NumAm&gt;</w:t>
      </w:r>
      <w:r w:rsidRPr="00A56A02">
        <w:t>16</w:t>
      </w:r>
      <w:r w:rsidRPr="00A56A02">
        <w:rPr>
          <w:rStyle w:val="HideTWBExt"/>
          <w:b w:val="0"/>
          <w:noProof w:val="0"/>
          <w:color w:val="auto"/>
        </w:rPr>
        <w:t>&lt;/NumAm&gt;</w:t>
      </w:r>
    </w:p>
    <w:p w:rsidR="00CE4CD1" w:rsidRPr="00A56A02" w:rsidRDefault="00CE4CD1" w:rsidP="00CE4CD1">
      <w:pPr>
        <w:pStyle w:val="NormalBold12b"/>
        <w:keepNext/>
      </w:pPr>
      <w:r w:rsidRPr="00A56A02">
        <w:rPr>
          <w:rStyle w:val="HideTWBExt"/>
          <w:b w:val="0"/>
          <w:noProof w:val="0"/>
          <w:color w:val="auto"/>
        </w:rPr>
        <w:t>&lt;DocAmend&gt;</w:t>
      </w:r>
      <w:r w:rsidRPr="00A56A02">
        <w:t>Propuesta de Reglamento</w:t>
      </w:r>
      <w:r w:rsidRPr="00A56A02">
        <w:rPr>
          <w:rStyle w:val="HideTWBExt"/>
          <w:b w:val="0"/>
          <w:noProof w:val="0"/>
          <w:color w:val="auto"/>
        </w:rPr>
        <w:t>&lt;/DocAmend&gt;</w:t>
      </w:r>
    </w:p>
    <w:p w:rsidR="00CE4CD1" w:rsidRPr="00A56A02" w:rsidRDefault="00CE4CD1" w:rsidP="00CE4CD1">
      <w:pPr>
        <w:pStyle w:val="NormalBold"/>
      </w:pPr>
      <w:r w:rsidRPr="00A56A02">
        <w:rPr>
          <w:rStyle w:val="HideTWBExt"/>
          <w:b w:val="0"/>
          <w:noProof w:val="0"/>
          <w:color w:val="auto"/>
        </w:rPr>
        <w:t>&lt;Article&gt;</w:t>
      </w:r>
      <w:r w:rsidRPr="00A56A02">
        <w:t>Artículo 1 – párrafo 1 – punto 1</w:t>
      </w:r>
      <w:r w:rsidRPr="00A56A02">
        <w:rPr>
          <w:rStyle w:val="HideTWBExt"/>
          <w:b w:val="0"/>
          <w:noProof w:val="0"/>
          <w:color w:val="auto"/>
        </w:rPr>
        <w:t>&lt;/Article&gt;</w:t>
      </w:r>
    </w:p>
    <w:p w:rsidR="00CE4CD1" w:rsidRPr="00A56A02" w:rsidRDefault="00CE4CD1" w:rsidP="00CE4CD1">
      <w:pPr>
        <w:keepNext/>
      </w:pPr>
      <w:r w:rsidRPr="00A56A02">
        <w:rPr>
          <w:rStyle w:val="HideTWBExt"/>
          <w:noProof w:val="0"/>
          <w:color w:val="auto"/>
        </w:rPr>
        <w:t>&lt;DocAmend2&gt;</w:t>
      </w:r>
      <w:r w:rsidRPr="00A56A02">
        <w:t>Reglamento (UE) 2016/399</w:t>
      </w:r>
      <w:r w:rsidRPr="00A56A02">
        <w:rPr>
          <w:rStyle w:val="HideTWBExt"/>
          <w:noProof w:val="0"/>
          <w:color w:val="auto"/>
        </w:rPr>
        <w:t>&lt;/DocAmend2&gt;</w:t>
      </w:r>
    </w:p>
    <w:p w:rsidR="00CE4CD1" w:rsidRPr="00A56A02" w:rsidRDefault="00CE4CD1" w:rsidP="00CE4CD1">
      <w:r w:rsidRPr="00A56A02">
        <w:rPr>
          <w:rStyle w:val="HideTWBExt"/>
          <w:noProof w:val="0"/>
          <w:color w:val="auto"/>
        </w:rPr>
        <w:t>&lt;Article2&gt;</w:t>
      </w:r>
      <w:r w:rsidRPr="00A56A02">
        <w:t>Artículo 25 – apartado 1</w:t>
      </w:r>
      <w:r w:rsidRPr="00A56A02">
        <w:rPr>
          <w:rStyle w:val="HideTWBExt"/>
          <w:noProof w:val="0"/>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56A02" w:rsidRPr="00A56A02" w:rsidTr="006B7FC7">
        <w:trPr>
          <w:jc w:val="center"/>
        </w:trPr>
        <w:tc>
          <w:tcPr>
            <w:tcW w:w="9752" w:type="dxa"/>
            <w:gridSpan w:val="2"/>
          </w:tcPr>
          <w:p w:rsidR="00CE4CD1" w:rsidRPr="00A56A02" w:rsidRDefault="00CE4CD1" w:rsidP="006B7FC7">
            <w:pPr>
              <w:keepNext/>
            </w:pPr>
          </w:p>
        </w:tc>
      </w:tr>
      <w:tr w:rsidR="00A56A02" w:rsidRPr="00A56A02" w:rsidTr="006B7FC7">
        <w:trPr>
          <w:jc w:val="center"/>
        </w:trPr>
        <w:tc>
          <w:tcPr>
            <w:tcW w:w="4876" w:type="dxa"/>
          </w:tcPr>
          <w:p w:rsidR="00CE4CD1" w:rsidRPr="00A56A02" w:rsidRDefault="00CE4CD1" w:rsidP="006B7FC7">
            <w:pPr>
              <w:pStyle w:val="ColumnHeading"/>
              <w:keepNext/>
            </w:pPr>
            <w:r w:rsidRPr="00A56A02">
              <w:t>Texto de la Comisión</w:t>
            </w:r>
          </w:p>
        </w:tc>
        <w:tc>
          <w:tcPr>
            <w:tcW w:w="4876" w:type="dxa"/>
          </w:tcPr>
          <w:p w:rsidR="00CE4CD1" w:rsidRPr="00A56A02" w:rsidRDefault="00CE4CD1" w:rsidP="006B7FC7">
            <w:pPr>
              <w:pStyle w:val="ColumnHeading"/>
              <w:keepNext/>
            </w:pPr>
            <w:r w:rsidRPr="00A56A02">
              <w:t>Enmienda</w:t>
            </w:r>
          </w:p>
        </w:tc>
      </w:tr>
      <w:tr w:rsidR="00A56A02" w:rsidRPr="00A56A02" w:rsidTr="006B7FC7">
        <w:trPr>
          <w:jc w:val="center"/>
        </w:trPr>
        <w:tc>
          <w:tcPr>
            <w:tcW w:w="4876" w:type="dxa"/>
          </w:tcPr>
          <w:p w:rsidR="00CE4CD1" w:rsidRPr="00A56A02" w:rsidRDefault="00CE4CD1" w:rsidP="006B7FC7">
            <w:pPr>
              <w:pStyle w:val="Normal6"/>
            </w:pPr>
            <w:r w:rsidRPr="00A56A02">
              <w:t>1.</w:t>
            </w:r>
            <w:r w:rsidRPr="00A56A02">
              <w:tab/>
              <w:t xml:space="preserve">Cuando en el espacio sin controles en las fronteras interiores se presente una amenaza grave para el orden público o la seguridad interior de un Estado miembro, este podrá restablecer los controles fronterizos en partes específicas o en la totalidad de sus fronteras interiores, con carácter excepcional y durante un periodo limitado </w:t>
            </w:r>
            <w:r w:rsidRPr="00A56A02">
              <w:rPr>
                <w:b/>
                <w:i/>
              </w:rPr>
              <w:t>no superior a 30 días, o mientras se prevea que persista la amenaza grave cuando su duración sobrepase el plazo de 30 días pero no exceda de seis meses</w:t>
            </w:r>
            <w:r w:rsidRPr="00A56A02">
              <w:t>. La amplitud y la duración del restablecimiento temporal de controles fronterizos en las fronteras interiores no excederán de lo que sea estrictamente necesario para responder a la amenaza grave.</w:t>
            </w:r>
          </w:p>
        </w:tc>
        <w:tc>
          <w:tcPr>
            <w:tcW w:w="4876" w:type="dxa"/>
          </w:tcPr>
          <w:p w:rsidR="00CE4CD1" w:rsidRPr="00A56A02" w:rsidRDefault="00CE4CD1" w:rsidP="006B7FC7">
            <w:pPr>
              <w:pStyle w:val="Normal6"/>
              <w:rPr>
                <w:szCs w:val="24"/>
              </w:rPr>
            </w:pPr>
            <w:r w:rsidRPr="00A56A02">
              <w:t>1.</w:t>
            </w:r>
            <w:r w:rsidRPr="00A56A02">
              <w:tab/>
              <w:t>Cuando en el espacio sin controles en las fronteras interiores se presente una amenaza grave para el orden público o la seguridad interior de un Estado miembro, este podrá restablecer los controles fronterizos en partes específicas o en la totalidad de sus fronteras interiores, con carácter excepcional y durante un periodo limitado. La amplitud y la duración del restablecimiento temporal de controles fronterizos en las fronteras interiores no excederán de lo que sea estrictamente necesario para responder a la amenaza grave.</w:t>
            </w:r>
          </w:p>
        </w:tc>
      </w:tr>
    </w:tbl>
    <w:p w:rsidR="00CE4CD1" w:rsidRPr="00A56A02" w:rsidRDefault="00CE4CD1" w:rsidP="00131CD6">
      <w:pPr>
        <w:pStyle w:val="Olang"/>
        <w:rPr>
          <w:noProof w:val="0"/>
          <w:szCs w:val="24"/>
        </w:rPr>
      </w:pPr>
      <w:r w:rsidRPr="00A56A02">
        <w:rPr>
          <w:noProof w:val="0"/>
          <w:szCs w:val="24"/>
        </w:rPr>
        <w:t xml:space="preserve">Or. </w:t>
      </w:r>
      <w:r w:rsidRPr="00A56A02">
        <w:rPr>
          <w:rStyle w:val="HideTWBExt"/>
          <w:noProof w:val="0"/>
          <w:color w:val="auto"/>
        </w:rPr>
        <w:t>&lt;Original&gt;</w:t>
      </w:r>
      <w:r w:rsidRPr="00A56A02">
        <w:rPr>
          <w:rStyle w:val="HideTWBInt"/>
          <w:noProof w:val="0"/>
          <w:color w:val="auto"/>
        </w:rPr>
        <w:t>{EN}</w:t>
      </w:r>
      <w:r w:rsidRPr="00A56A02">
        <w:rPr>
          <w:noProof w:val="0"/>
          <w:szCs w:val="24"/>
        </w:rPr>
        <w:t>en</w:t>
      </w:r>
      <w:r w:rsidRPr="00A56A02">
        <w:rPr>
          <w:rStyle w:val="HideTWBExt"/>
          <w:noProof w:val="0"/>
          <w:color w:val="auto"/>
        </w:rPr>
        <w:t>&lt;/Original&gt;</w:t>
      </w:r>
    </w:p>
    <w:p w:rsidR="00CE4CD1" w:rsidRPr="00A56A02" w:rsidRDefault="00CE4CD1" w:rsidP="00CE4CD1">
      <w:pPr>
        <w:pStyle w:val="JustificationTitle"/>
        <w:spacing w:after="240"/>
      </w:pPr>
      <w:r w:rsidRPr="00A56A02">
        <w:rPr>
          <w:rStyle w:val="HideTWBExt"/>
          <w:i w:val="0"/>
          <w:noProof w:val="0"/>
          <w:color w:val="auto"/>
        </w:rPr>
        <w:t>&lt;TitreJust&gt;</w:t>
      </w:r>
      <w:r w:rsidRPr="00A56A02">
        <w:t>Justificación</w:t>
      </w:r>
      <w:r w:rsidRPr="00A56A02">
        <w:rPr>
          <w:rStyle w:val="HideTWBExt"/>
          <w:i w:val="0"/>
          <w:noProof w:val="0"/>
          <w:color w:val="auto"/>
        </w:rPr>
        <w:t>&lt;/TitreJust&gt;</w:t>
      </w:r>
    </w:p>
    <w:p w:rsidR="00CE4CD1" w:rsidRPr="00A56A02" w:rsidRDefault="00CE4CD1" w:rsidP="00CE4CD1">
      <w:pPr>
        <w:pStyle w:val="Normal12Italic"/>
        <w:spacing w:before="0" w:after="240"/>
      </w:pPr>
      <w:r w:rsidRPr="00A56A02">
        <w:t>La estructura de los artículos debe seguir una cierta lógica que prevea partes completas y separadas con elementos lógicos, lo cual no es el caso en la actualidad. El contenido actual del artículo 25 ha de estar más en consonancia con el título «marco general» y debe establecer los principios horizontales más importantes que rigen el restablecimiento temporal de los controles en las fronteras interiores en caso de acontecimientos previsibles. No debe definir una parte del procedimiento que ha de seguirse.</w:t>
      </w:r>
    </w:p>
    <w:p w:rsidR="00CE4CD1" w:rsidRPr="00A56A02" w:rsidRDefault="00CE4CD1" w:rsidP="00CE4CD1">
      <w:r w:rsidRPr="00A56A02">
        <w:rPr>
          <w:rStyle w:val="HideTWBExt"/>
          <w:noProof w:val="0"/>
          <w:color w:val="auto"/>
        </w:rPr>
        <w:t>&lt;/Amend&gt;</w:t>
      </w:r>
    </w:p>
    <w:p w:rsidR="00CE4CD1" w:rsidRPr="00A56A02" w:rsidRDefault="00CE4CD1" w:rsidP="00CE4CD1">
      <w:pPr>
        <w:pStyle w:val="AMNumberTabs"/>
        <w:keepNext/>
      </w:pPr>
      <w:r w:rsidRPr="00A56A02">
        <w:rPr>
          <w:rStyle w:val="HideTWBExt"/>
          <w:b w:val="0"/>
          <w:noProof w:val="0"/>
          <w:color w:val="auto"/>
        </w:rPr>
        <w:t>&lt;Amend&gt;</w:t>
      </w:r>
      <w:r w:rsidRPr="00A56A02">
        <w:t>Enmienda</w:t>
      </w:r>
      <w:r w:rsidRPr="00A56A02">
        <w:tab/>
      </w:r>
      <w:r w:rsidRPr="00A56A02">
        <w:tab/>
      </w:r>
      <w:r w:rsidRPr="00A56A02">
        <w:rPr>
          <w:rStyle w:val="HideTWBExt"/>
          <w:b w:val="0"/>
          <w:noProof w:val="0"/>
          <w:color w:val="auto"/>
        </w:rPr>
        <w:t>&lt;NumAm&gt;</w:t>
      </w:r>
      <w:r w:rsidRPr="00A56A02">
        <w:t>17</w:t>
      </w:r>
      <w:r w:rsidRPr="00A56A02">
        <w:rPr>
          <w:rStyle w:val="HideTWBExt"/>
          <w:b w:val="0"/>
          <w:noProof w:val="0"/>
          <w:color w:val="auto"/>
        </w:rPr>
        <w:t>&lt;/NumAm&gt;</w:t>
      </w:r>
    </w:p>
    <w:p w:rsidR="00CE4CD1" w:rsidRPr="00A56A02" w:rsidRDefault="00CE4CD1" w:rsidP="00CE4CD1">
      <w:pPr>
        <w:pStyle w:val="NormalBold12b"/>
        <w:keepNext/>
      </w:pPr>
      <w:r w:rsidRPr="00A56A02">
        <w:rPr>
          <w:rStyle w:val="HideTWBExt"/>
          <w:b w:val="0"/>
          <w:noProof w:val="0"/>
          <w:color w:val="auto"/>
        </w:rPr>
        <w:t>&lt;DocAmend&gt;</w:t>
      </w:r>
      <w:r w:rsidRPr="00A56A02">
        <w:t>Propuesta de Reglamento</w:t>
      </w:r>
      <w:r w:rsidRPr="00A56A02">
        <w:rPr>
          <w:rStyle w:val="HideTWBExt"/>
          <w:b w:val="0"/>
          <w:noProof w:val="0"/>
          <w:color w:val="auto"/>
        </w:rPr>
        <w:t>&lt;/DocAmend&gt;</w:t>
      </w:r>
    </w:p>
    <w:p w:rsidR="00CE4CD1" w:rsidRPr="00A56A02" w:rsidRDefault="00CE4CD1" w:rsidP="00CE4CD1">
      <w:pPr>
        <w:pStyle w:val="NormalBold"/>
      </w:pPr>
      <w:r w:rsidRPr="00A56A02">
        <w:rPr>
          <w:rStyle w:val="HideTWBExt"/>
          <w:b w:val="0"/>
          <w:noProof w:val="0"/>
          <w:color w:val="auto"/>
        </w:rPr>
        <w:t>&lt;Article&gt;</w:t>
      </w:r>
      <w:r w:rsidRPr="00A56A02">
        <w:t>Artículo 1 – párrafo 1 – punto 1</w:t>
      </w:r>
      <w:r w:rsidRPr="00A56A02">
        <w:rPr>
          <w:rStyle w:val="HideTWBExt"/>
          <w:b w:val="0"/>
          <w:noProof w:val="0"/>
          <w:color w:val="auto"/>
        </w:rPr>
        <w:t>&lt;/Article&gt;</w:t>
      </w:r>
    </w:p>
    <w:p w:rsidR="00CE4CD1" w:rsidRPr="00A56A02" w:rsidRDefault="00CE4CD1" w:rsidP="00CE4CD1">
      <w:pPr>
        <w:keepNext/>
      </w:pPr>
      <w:r w:rsidRPr="00A56A02">
        <w:rPr>
          <w:rStyle w:val="HideTWBExt"/>
          <w:noProof w:val="0"/>
          <w:color w:val="auto"/>
        </w:rPr>
        <w:t>&lt;DocAmend2&gt;</w:t>
      </w:r>
      <w:r w:rsidRPr="00A56A02">
        <w:t>Reglamento (UE) 2016/399</w:t>
      </w:r>
      <w:r w:rsidRPr="00A56A02">
        <w:rPr>
          <w:rStyle w:val="HideTWBExt"/>
          <w:noProof w:val="0"/>
          <w:color w:val="auto"/>
        </w:rPr>
        <w:t>&lt;/DocAmend2&gt;</w:t>
      </w:r>
    </w:p>
    <w:p w:rsidR="00CE4CD1" w:rsidRPr="00A56A02" w:rsidRDefault="00CE4CD1" w:rsidP="00CE4CD1">
      <w:r w:rsidRPr="00A56A02">
        <w:rPr>
          <w:rStyle w:val="HideTWBExt"/>
          <w:noProof w:val="0"/>
          <w:color w:val="auto"/>
        </w:rPr>
        <w:t>&lt;Article2&gt;</w:t>
      </w:r>
      <w:r w:rsidRPr="00A56A02">
        <w:t>Artículo 25 – apartado 2</w:t>
      </w:r>
      <w:r w:rsidRPr="00A56A02">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6A02" w:rsidRPr="00A56A02" w:rsidTr="006B7FC7">
        <w:trPr>
          <w:jc w:val="center"/>
        </w:trPr>
        <w:tc>
          <w:tcPr>
            <w:tcW w:w="9752" w:type="dxa"/>
            <w:gridSpan w:val="2"/>
          </w:tcPr>
          <w:p w:rsidR="00CE4CD1" w:rsidRPr="00A56A02" w:rsidRDefault="00CE4CD1" w:rsidP="006B7FC7">
            <w:pPr>
              <w:keepNext/>
            </w:pPr>
          </w:p>
        </w:tc>
      </w:tr>
      <w:tr w:rsidR="00A56A02" w:rsidRPr="00A56A02" w:rsidTr="006B7FC7">
        <w:trPr>
          <w:jc w:val="center"/>
        </w:trPr>
        <w:tc>
          <w:tcPr>
            <w:tcW w:w="4876" w:type="dxa"/>
            <w:hideMark/>
          </w:tcPr>
          <w:p w:rsidR="00CE4CD1" w:rsidRPr="00A56A02" w:rsidRDefault="00CE4CD1" w:rsidP="006B7FC7">
            <w:pPr>
              <w:pStyle w:val="ColumnHeading"/>
              <w:keepNext/>
            </w:pPr>
            <w:r w:rsidRPr="00A56A02">
              <w:t>Texto de la Comisión</w:t>
            </w:r>
          </w:p>
        </w:tc>
        <w:tc>
          <w:tcPr>
            <w:tcW w:w="4876" w:type="dxa"/>
            <w:hideMark/>
          </w:tcPr>
          <w:p w:rsidR="00CE4CD1" w:rsidRPr="00A56A02" w:rsidRDefault="00CE4CD1" w:rsidP="006B7FC7">
            <w:pPr>
              <w:pStyle w:val="ColumnHeading"/>
              <w:keepNext/>
            </w:pPr>
            <w:r w:rsidRPr="00A56A02">
              <w:t>Enmienda</w:t>
            </w:r>
          </w:p>
        </w:tc>
      </w:tr>
      <w:tr w:rsidR="00A56A02" w:rsidRPr="00A56A02" w:rsidTr="006B7FC7">
        <w:trPr>
          <w:jc w:val="center"/>
        </w:trPr>
        <w:tc>
          <w:tcPr>
            <w:tcW w:w="4876" w:type="dxa"/>
            <w:hideMark/>
          </w:tcPr>
          <w:p w:rsidR="00CE4CD1" w:rsidRPr="00A56A02" w:rsidRDefault="00CE4CD1" w:rsidP="006B7FC7">
            <w:pPr>
              <w:pStyle w:val="Normal6"/>
            </w:pPr>
            <w:r w:rsidRPr="00A56A02">
              <w:rPr>
                <w:b/>
                <w:i/>
              </w:rPr>
              <w:t>2.</w:t>
            </w:r>
            <w:r w:rsidRPr="00A56A02">
              <w:rPr>
                <w:b/>
                <w:i/>
              </w:rPr>
              <w:tab/>
              <w:t>Los controles fronterizos en las fronteras interiores solo se restablecerán como último recurso y de acuerdo con lo previsto en los artículos 27, 27bis, 28 y 29. Los criterios enumerados en los artículos 26 y 30, respectivamente, deberán tenerse en cuenta cada vez que se considere la decisión de restablecer controles fronterizos en las fronteras interiores con arreglo a lo dispuesto en los artículos 27, 27bis, 28 y 29, respectivamente.</w:t>
            </w:r>
          </w:p>
        </w:tc>
        <w:tc>
          <w:tcPr>
            <w:tcW w:w="4876" w:type="dxa"/>
            <w:hideMark/>
          </w:tcPr>
          <w:p w:rsidR="00CE4CD1" w:rsidRPr="00A56A02" w:rsidRDefault="00CE4CD1" w:rsidP="006B7FC7">
            <w:pPr>
              <w:pStyle w:val="Normal6"/>
              <w:rPr>
                <w:szCs w:val="24"/>
              </w:rPr>
            </w:pPr>
            <w:r w:rsidRPr="00A56A02">
              <w:rPr>
                <w:b/>
                <w:i/>
              </w:rPr>
              <w:t>suprimido</w:t>
            </w:r>
          </w:p>
        </w:tc>
      </w:tr>
    </w:tbl>
    <w:p w:rsidR="00CE4CD1" w:rsidRPr="00A56A02" w:rsidRDefault="00CE4CD1" w:rsidP="00131CD6">
      <w:pPr>
        <w:pStyle w:val="Olang"/>
        <w:rPr>
          <w:noProof w:val="0"/>
          <w:szCs w:val="24"/>
        </w:rPr>
      </w:pPr>
      <w:r w:rsidRPr="00A56A02">
        <w:rPr>
          <w:noProof w:val="0"/>
          <w:szCs w:val="24"/>
        </w:rPr>
        <w:t xml:space="preserve">Or. </w:t>
      </w:r>
      <w:r w:rsidRPr="00A56A02">
        <w:rPr>
          <w:rStyle w:val="HideTWBExt"/>
          <w:noProof w:val="0"/>
          <w:color w:val="auto"/>
        </w:rPr>
        <w:t>&lt;Original&gt;</w:t>
      </w:r>
      <w:r w:rsidRPr="00A56A02">
        <w:rPr>
          <w:rStyle w:val="HideTWBInt"/>
          <w:noProof w:val="0"/>
          <w:color w:val="auto"/>
        </w:rPr>
        <w:t>{EN}</w:t>
      </w:r>
      <w:r w:rsidRPr="00A56A02">
        <w:rPr>
          <w:noProof w:val="0"/>
          <w:szCs w:val="24"/>
        </w:rPr>
        <w:t>en</w:t>
      </w:r>
      <w:r w:rsidRPr="00A56A02">
        <w:rPr>
          <w:rStyle w:val="HideTWBExt"/>
          <w:noProof w:val="0"/>
          <w:color w:val="auto"/>
        </w:rPr>
        <w:t>&lt;/Original&gt;</w:t>
      </w:r>
    </w:p>
    <w:p w:rsidR="00CE4CD1" w:rsidRPr="00A56A02" w:rsidRDefault="00CE4CD1" w:rsidP="00CE4CD1">
      <w:pPr>
        <w:pStyle w:val="JustificationTitle"/>
        <w:spacing w:after="240"/>
      </w:pPr>
      <w:r w:rsidRPr="00A56A02">
        <w:rPr>
          <w:rStyle w:val="HideTWBExt"/>
          <w:i w:val="0"/>
          <w:noProof w:val="0"/>
          <w:color w:val="auto"/>
        </w:rPr>
        <w:t>&lt;TitreJust&gt;</w:t>
      </w:r>
      <w:r w:rsidRPr="00A56A02">
        <w:t>Justificación</w:t>
      </w:r>
      <w:r w:rsidRPr="00A56A02">
        <w:rPr>
          <w:rStyle w:val="HideTWBExt"/>
          <w:i w:val="0"/>
          <w:noProof w:val="0"/>
          <w:color w:val="auto"/>
        </w:rPr>
        <w:t>&lt;/TitreJust&gt;</w:t>
      </w:r>
    </w:p>
    <w:p w:rsidR="00CE4CD1" w:rsidRPr="00A56A02" w:rsidRDefault="00CE4CD1" w:rsidP="00CE4CD1">
      <w:pPr>
        <w:pStyle w:val="Normal12Italic"/>
        <w:spacing w:before="0" w:after="240"/>
      </w:pPr>
      <w:r w:rsidRPr="00A56A02">
        <w:t>Los procedimientos para la introducción temporal de controles en caso de acontecimientos previsibles se han desplazado al artículo 27.</w:t>
      </w:r>
    </w:p>
    <w:p w:rsidR="00CE4CD1" w:rsidRPr="00A56A02" w:rsidRDefault="00CE4CD1" w:rsidP="00CE4CD1">
      <w:pPr>
        <w:pStyle w:val="Olang"/>
        <w:rPr>
          <w:noProof w:val="0"/>
          <w:szCs w:val="24"/>
        </w:rPr>
      </w:pPr>
    </w:p>
    <w:p w:rsidR="00CE4CD1" w:rsidRPr="00A56A02" w:rsidRDefault="00CE4CD1" w:rsidP="00CE4CD1">
      <w:r w:rsidRPr="00A56A02">
        <w:rPr>
          <w:rStyle w:val="HideTWBExt"/>
          <w:noProof w:val="0"/>
          <w:color w:val="auto"/>
        </w:rPr>
        <w:t>&lt;/Amend&gt;</w:t>
      </w:r>
    </w:p>
    <w:p w:rsidR="00CE4CD1" w:rsidRPr="00A56A02" w:rsidRDefault="00CE4CD1" w:rsidP="00CE4CD1">
      <w:pPr>
        <w:pStyle w:val="AMNumberTabs"/>
        <w:keepNext/>
      </w:pPr>
      <w:r w:rsidRPr="00A56A02">
        <w:rPr>
          <w:rStyle w:val="HideTWBExt"/>
          <w:b w:val="0"/>
          <w:noProof w:val="0"/>
          <w:color w:val="auto"/>
        </w:rPr>
        <w:t>&lt;Amend&gt;</w:t>
      </w:r>
      <w:r w:rsidRPr="00A56A02">
        <w:t>Enmienda</w:t>
      </w:r>
      <w:r w:rsidRPr="00A56A02">
        <w:tab/>
      </w:r>
      <w:r w:rsidRPr="00A56A02">
        <w:tab/>
      </w:r>
      <w:r w:rsidRPr="00A56A02">
        <w:rPr>
          <w:rStyle w:val="HideTWBExt"/>
          <w:b w:val="0"/>
          <w:noProof w:val="0"/>
          <w:color w:val="auto"/>
        </w:rPr>
        <w:t>&lt;NumAm&gt;</w:t>
      </w:r>
      <w:r w:rsidRPr="00A56A02">
        <w:t>18</w:t>
      </w:r>
      <w:r w:rsidRPr="00A56A02">
        <w:rPr>
          <w:rStyle w:val="HideTWBExt"/>
          <w:b w:val="0"/>
          <w:noProof w:val="0"/>
          <w:color w:val="auto"/>
        </w:rPr>
        <w:t>&lt;/NumAm&gt;</w:t>
      </w:r>
    </w:p>
    <w:p w:rsidR="00CE4CD1" w:rsidRPr="00A56A02" w:rsidRDefault="00CE4CD1" w:rsidP="00CE4CD1">
      <w:pPr>
        <w:pStyle w:val="NormalBold12b"/>
        <w:keepNext/>
      </w:pPr>
      <w:r w:rsidRPr="00A56A02">
        <w:rPr>
          <w:rStyle w:val="HideTWBExt"/>
          <w:b w:val="0"/>
          <w:noProof w:val="0"/>
          <w:color w:val="auto"/>
        </w:rPr>
        <w:t>&lt;DocAmend&gt;</w:t>
      </w:r>
      <w:r w:rsidRPr="00A56A02">
        <w:t>Propuesta de Reglamento</w:t>
      </w:r>
      <w:r w:rsidRPr="00A56A02">
        <w:rPr>
          <w:rStyle w:val="HideTWBExt"/>
          <w:b w:val="0"/>
          <w:noProof w:val="0"/>
          <w:color w:val="auto"/>
        </w:rPr>
        <w:t>&lt;/DocAmend&gt;</w:t>
      </w:r>
    </w:p>
    <w:p w:rsidR="00CE4CD1" w:rsidRPr="00A56A02" w:rsidRDefault="00CE4CD1" w:rsidP="00CE4CD1">
      <w:pPr>
        <w:pStyle w:val="NormalBold"/>
      </w:pPr>
      <w:r w:rsidRPr="00A56A02">
        <w:rPr>
          <w:rStyle w:val="HideTWBExt"/>
          <w:b w:val="0"/>
          <w:noProof w:val="0"/>
          <w:color w:val="auto"/>
        </w:rPr>
        <w:t>&lt;Article&gt;</w:t>
      </w:r>
      <w:r w:rsidRPr="00A56A02">
        <w:t>Artículo 1 – párrafo 1 – punto 1</w:t>
      </w:r>
      <w:r w:rsidRPr="00A56A02">
        <w:rPr>
          <w:rStyle w:val="HideTWBExt"/>
          <w:b w:val="0"/>
          <w:noProof w:val="0"/>
          <w:color w:val="auto"/>
        </w:rPr>
        <w:t>&lt;/Article&gt;</w:t>
      </w:r>
    </w:p>
    <w:p w:rsidR="00CE4CD1" w:rsidRPr="00A56A02" w:rsidRDefault="00CE4CD1" w:rsidP="00CE4CD1">
      <w:pPr>
        <w:keepNext/>
      </w:pPr>
      <w:r w:rsidRPr="00A56A02">
        <w:rPr>
          <w:rStyle w:val="HideTWBExt"/>
          <w:noProof w:val="0"/>
          <w:color w:val="auto"/>
        </w:rPr>
        <w:t>&lt;DocAmend2&gt;</w:t>
      </w:r>
      <w:r w:rsidRPr="00A56A02">
        <w:t>Reglamento (UE) 2016/399</w:t>
      </w:r>
      <w:r w:rsidRPr="00A56A02">
        <w:rPr>
          <w:rStyle w:val="HideTWBExt"/>
          <w:noProof w:val="0"/>
          <w:color w:val="auto"/>
        </w:rPr>
        <w:t>&lt;/DocAmend2&gt;</w:t>
      </w:r>
    </w:p>
    <w:p w:rsidR="00CE4CD1" w:rsidRPr="00A56A02" w:rsidRDefault="00CE4CD1" w:rsidP="00CE4CD1">
      <w:r w:rsidRPr="00A56A02">
        <w:rPr>
          <w:rStyle w:val="HideTWBExt"/>
          <w:noProof w:val="0"/>
          <w:color w:val="auto"/>
        </w:rPr>
        <w:t>&lt;Article2&gt;</w:t>
      </w:r>
      <w:r w:rsidRPr="00A56A02">
        <w:t>Artículo 25 – apartado 3</w:t>
      </w:r>
      <w:r w:rsidRPr="00A56A02">
        <w:rPr>
          <w:rStyle w:val="HideTWBExt"/>
          <w:noProof w:val="0"/>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56A02" w:rsidRPr="00A56A02" w:rsidTr="006B7FC7">
        <w:trPr>
          <w:jc w:val="center"/>
        </w:trPr>
        <w:tc>
          <w:tcPr>
            <w:tcW w:w="9752" w:type="dxa"/>
            <w:gridSpan w:val="2"/>
          </w:tcPr>
          <w:p w:rsidR="00CE4CD1" w:rsidRPr="00A56A02" w:rsidRDefault="00CE4CD1" w:rsidP="006B7FC7">
            <w:pPr>
              <w:keepNext/>
            </w:pPr>
          </w:p>
        </w:tc>
      </w:tr>
      <w:tr w:rsidR="00A56A02" w:rsidRPr="00A56A02" w:rsidTr="006B7FC7">
        <w:trPr>
          <w:jc w:val="center"/>
        </w:trPr>
        <w:tc>
          <w:tcPr>
            <w:tcW w:w="4876" w:type="dxa"/>
          </w:tcPr>
          <w:p w:rsidR="00CE4CD1" w:rsidRPr="00A56A02" w:rsidRDefault="00CE4CD1" w:rsidP="006B7FC7">
            <w:pPr>
              <w:pStyle w:val="ColumnHeading"/>
              <w:keepNext/>
            </w:pPr>
            <w:r w:rsidRPr="00A56A02">
              <w:t>Texto de la Comisión</w:t>
            </w:r>
          </w:p>
        </w:tc>
        <w:tc>
          <w:tcPr>
            <w:tcW w:w="4876" w:type="dxa"/>
          </w:tcPr>
          <w:p w:rsidR="00CE4CD1" w:rsidRPr="00A56A02" w:rsidRDefault="00CE4CD1" w:rsidP="006B7FC7">
            <w:pPr>
              <w:pStyle w:val="ColumnHeading"/>
              <w:keepNext/>
            </w:pPr>
            <w:r w:rsidRPr="00A56A02">
              <w:t>Enmienda</w:t>
            </w:r>
          </w:p>
        </w:tc>
      </w:tr>
      <w:tr w:rsidR="00A56A02" w:rsidRPr="00A56A02" w:rsidTr="006B7FC7">
        <w:trPr>
          <w:jc w:val="center"/>
        </w:trPr>
        <w:tc>
          <w:tcPr>
            <w:tcW w:w="4876" w:type="dxa"/>
          </w:tcPr>
          <w:p w:rsidR="00CE4CD1" w:rsidRPr="00A56A02" w:rsidRDefault="00CE4CD1" w:rsidP="006B7FC7">
            <w:pPr>
              <w:pStyle w:val="Normal6"/>
            </w:pPr>
            <w:r w:rsidRPr="00A56A02">
              <w:rPr>
                <w:b/>
                <w:i/>
              </w:rPr>
              <w:t>3.</w:t>
            </w:r>
            <w:r w:rsidRPr="00A56A02">
              <w:rPr>
                <w:b/>
                <w:i/>
              </w:rPr>
              <w:tab/>
              <w:t>Cuando la amenaza grave para el orden público o la seguridad interior en el Estado miembro interesado persista más allá del periodo estipulado en el apartado 1 del presente artículo, dicho Estado miembro podrá prolongar los controles fronterizos en sus fronteras interiores, teniendo en cuenta los criterios enumerados en el artículo 26 y de conformidad con el artículo 27, por las mismas razones que las indicadas en el apartado del presente artículo, y, teniendo en cuenta posibles nuevos datos, durante periodos renovables correspondientes a la duración previsible de la amenaza grave y que no superen los seis meses.</w:t>
            </w:r>
          </w:p>
        </w:tc>
        <w:tc>
          <w:tcPr>
            <w:tcW w:w="4876" w:type="dxa"/>
          </w:tcPr>
          <w:p w:rsidR="00CE4CD1" w:rsidRPr="00A56A02" w:rsidRDefault="00CE4CD1" w:rsidP="006B7FC7">
            <w:pPr>
              <w:pStyle w:val="Normal6"/>
              <w:rPr>
                <w:szCs w:val="24"/>
              </w:rPr>
            </w:pPr>
            <w:r w:rsidRPr="00A56A02">
              <w:rPr>
                <w:b/>
                <w:i/>
              </w:rPr>
              <w:t>suprimido</w:t>
            </w:r>
          </w:p>
        </w:tc>
      </w:tr>
    </w:tbl>
    <w:p w:rsidR="00CE4CD1" w:rsidRPr="00A56A02" w:rsidRDefault="00CE4CD1" w:rsidP="00131CD6">
      <w:pPr>
        <w:pStyle w:val="Olang"/>
        <w:rPr>
          <w:noProof w:val="0"/>
          <w:szCs w:val="24"/>
        </w:rPr>
      </w:pPr>
      <w:r w:rsidRPr="00A56A02">
        <w:rPr>
          <w:noProof w:val="0"/>
          <w:szCs w:val="24"/>
        </w:rPr>
        <w:t xml:space="preserve">Or. </w:t>
      </w:r>
      <w:r w:rsidRPr="00A56A02">
        <w:rPr>
          <w:rStyle w:val="HideTWBExt"/>
          <w:noProof w:val="0"/>
          <w:color w:val="auto"/>
        </w:rPr>
        <w:t>&lt;Original&gt;</w:t>
      </w:r>
      <w:r w:rsidRPr="00A56A02">
        <w:rPr>
          <w:rStyle w:val="HideTWBInt"/>
          <w:noProof w:val="0"/>
          <w:color w:val="auto"/>
        </w:rPr>
        <w:t>{EN}</w:t>
      </w:r>
      <w:r w:rsidRPr="00A56A02">
        <w:rPr>
          <w:noProof w:val="0"/>
          <w:szCs w:val="24"/>
        </w:rPr>
        <w:t>en</w:t>
      </w:r>
      <w:r w:rsidRPr="00A56A02">
        <w:rPr>
          <w:rStyle w:val="HideTWBExt"/>
          <w:noProof w:val="0"/>
          <w:color w:val="auto"/>
        </w:rPr>
        <w:t>&lt;/Original&gt;</w:t>
      </w:r>
    </w:p>
    <w:p w:rsidR="00CE4CD1" w:rsidRPr="00A56A02" w:rsidRDefault="00CE4CD1" w:rsidP="00CE4CD1">
      <w:pPr>
        <w:pStyle w:val="JustificationTitle"/>
        <w:spacing w:after="240"/>
      </w:pPr>
      <w:r w:rsidRPr="00A56A02">
        <w:rPr>
          <w:rStyle w:val="HideTWBExt"/>
          <w:i w:val="0"/>
          <w:noProof w:val="0"/>
          <w:color w:val="auto"/>
        </w:rPr>
        <w:t>&lt;TitreJust&gt;</w:t>
      </w:r>
      <w:r w:rsidRPr="00A56A02">
        <w:t>Justificación</w:t>
      </w:r>
      <w:r w:rsidRPr="00A56A02">
        <w:rPr>
          <w:rStyle w:val="HideTWBExt"/>
          <w:i w:val="0"/>
          <w:noProof w:val="0"/>
          <w:color w:val="auto"/>
        </w:rPr>
        <w:t>&lt;/TitreJust&gt;</w:t>
      </w:r>
    </w:p>
    <w:p w:rsidR="00CE4CD1" w:rsidRPr="00A56A02" w:rsidRDefault="00CE4CD1" w:rsidP="00CE4CD1">
      <w:pPr>
        <w:pStyle w:val="Normal12Italic"/>
        <w:spacing w:before="0" w:after="240"/>
      </w:pPr>
      <w:r w:rsidRPr="00A56A02">
        <w:t>Los procedimientos para la introducción temporal de controles en caso de acontecimientos previsibles se han desplazado al artículo 27.</w:t>
      </w:r>
    </w:p>
    <w:p w:rsidR="00CE4CD1" w:rsidRPr="00A56A02" w:rsidRDefault="00CE4CD1" w:rsidP="00CE4CD1">
      <w:r w:rsidRPr="00A56A02">
        <w:rPr>
          <w:rStyle w:val="HideTWBExt"/>
          <w:noProof w:val="0"/>
          <w:color w:val="auto"/>
        </w:rPr>
        <w:t>&lt;/Amend&gt;</w:t>
      </w:r>
    </w:p>
    <w:p w:rsidR="00CE4CD1" w:rsidRPr="00A56A02" w:rsidRDefault="00CE4CD1" w:rsidP="00CE4CD1">
      <w:pPr>
        <w:pStyle w:val="AMNumberTabs"/>
        <w:keepNext/>
      </w:pPr>
      <w:r w:rsidRPr="00A56A02">
        <w:rPr>
          <w:rStyle w:val="HideTWBExt"/>
          <w:b w:val="0"/>
          <w:noProof w:val="0"/>
          <w:color w:val="auto"/>
        </w:rPr>
        <w:t>&lt;Amend&gt;</w:t>
      </w:r>
      <w:r w:rsidRPr="00A56A02">
        <w:t>Enmienda</w:t>
      </w:r>
      <w:r w:rsidRPr="00A56A02">
        <w:tab/>
      </w:r>
      <w:r w:rsidRPr="00A56A02">
        <w:tab/>
      </w:r>
      <w:r w:rsidRPr="00A56A02">
        <w:rPr>
          <w:rStyle w:val="HideTWBExt"/>
          <w:b w:val="0"/>
          <w:noProof w:val="0"/>
          <w:color w:val="auto"/>
        </w:rPr>
        <w:t>&lt;NumAm&gt;</w:t>
      </w:r>
      <w:r w:rsidRPr="00A56A02">
        <w:t>19</w:t>
      </w:r>
      <w:r w:rsidRPr="00A56A02">
        <w:rPr>
          <w:rStyle w:val="HideTWBExt"/>
          <w:b w:val="0"/>
          <w:noProof w:val="0"/>
          <w:color w:val="auto"/>
        </w:rPr>
        <w:t>&lt;/NumAm&gt;</w:t>
      </w:r>
    </w:p>
    <w:p w:rsidR="00CE4CD1" w:rsidRPr="00A56A02" w:rsidRDefault="00CE4CD1" w:rsidP="00CE4CD1">
      <w:pPr>
        <w:pStyle w:val="NormalBold12b"/>
        <w:keepNext/>
      </w:pPr>
      <w:r w:rsidRPr="00A56A02">
        <w:rPr>
          <w:rStyle w:val="HideTWBExt"/>
          <w:b w:val="0"/>
          <w:noProof w:val="0"/>
          <w:color w:val="auto"/>
        </w:rPr>
        <w:t>&lt;DocAmend&gt;</w:t>
      </w:r>
      <w:r w:rsidRPr="00A56A02">
        <w:t>Propuesta de Reglamento</w:t>
      </w:r>
      <w:r w:rsidRPr="00A56A02">
        <w:rPr>
          <w:rStyle w:val="HideTWBExt"/>
          <w:b w:val="0"/>
          <w:noProof w:val="0"/>
          <w:color w:val="auto"/>
        </w:rPr>
        <w:t>&lt;/DocAmend&gt;</w:t>
      </w:r>
    </w:p>
    <w:p w:rsidR="00CE4CD1" w:rsidRPr="00A56A02" w:rsidRDefault="00CE4CD1" w:rsidP="00CE4CD1">
      <w:pPr>
        <w:pStyle w:val="NormalBold"/>
      </w:pPr>
      <w:r w:rsidRPr="00A56A02">
        <w:rPr>
          <w:rStyle w:val="HideTWBExt"/>
          <w:b w:val="0"/>
          <w:noProof w:val="0"/>
          <w:color w:val="auto"/>
        </w:rPr>
        <w:t>&lt;Article&gt;</w:t>
      </w:r>
      <w:r w:rsidRPr="00A56A02">
        <w:t>Artículo 1 – párrafo 1 – punto 1</w:t>
      </w:r>
      <w:r w:rsidRPr="00A56A02">
        <w:rPr>
          <w:rStyle w:val="HideTWBExt"/>
          <w:b w:val="0"/>
          <w:noProof w:val="0"/>
          <w:color w:val="auto"/>
        </w:rPr>
        <w:t>&lt;/Article&gt;</w:t>
      </w:r>
    </w:p>
    <w:p w:rsidR="00CE4CD1" w:rsidRPr="00A56A02" w:rsidRDefault="00CE4CD1" w:rsidP="00CE4CD1">
      <w:pPr>
        <w:keepNext/>
      </w:pPr>
      <w:r w:rsidRPr="00A56A02">
        <w:rPr>
          <w:rStyle w:val="HideTWBExt"/>
          <w:noProof w:val="0"/>
          <w:color w:val="auto"/>
        </w:rPr>
        <w:t>&lt;DocAmend2&gt;</w:t>
      </w:r>
      <w:r w:rsidRPr="00A56A02">
        <w:t>Reglamento (UE) 2016/399</w:t>
      </w:r>
      <w:r w:rsidRPr="00A56A02">
        <w:rPr>
          <w:rStyle w:val="HideTWBExt"/>
          <w:noProof w:val="0"/>
          <w:color w:val="auto"/>
        </w:rPr>
        <w:t>&lt;/DocAmend2&gt;</w:t>
      </w:r>
    </w:p>
    <w:p w:rsidR="00CE4CD1" w:rsidRPr="00A56A02" w:rsidRDefault="00CE4CD1" w:rsidP="00CE4CD1">
      <w:r w:rsidRPr="00A56A02">
        <w:rPr>
          <w:rStyle w:val="HideTWBExt"/>
          <w:noProof w:val="0"/>
          <w:color w:val="auto"/>
        </w:rPr>
        <w:t>&lt;Article2&gt;</w:t>
      </w:r>
      <w:r w:rsidRPr="00A56A02">
        <w:t>Artículo 25 – apartado 4</w:t>
      </w:r>
      <w:r w:rsidRPr="00A56A02">
        <w:rPr>
          <w:rStyle w:val="HideTWBExt"/>
          <w:noProof w:val="0"/>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6A02" w:rsidRPr="00A56A02" w:rsidTr="006B7FC7">
        <w:trPr>
          <w:jc w:val="center"/>
        </w:trPr>
        <w:tc>
          <w:tcPr>
            <w:tcW w:w="9752" w:type="dxa"/>
            <w:gridSpan w:val="2"/>
          </w:tcPr>
          <w:p w:rsidR="00CE4CD1" w:rsidRPr="00A56A02" w:rsidRDefault="00CE4CD1" w:rsidP="006B7FC7">
            <w:pPr>
              <w:keepNext/>
            </w:pPr>
          </w:p>
        </w:tc>
      </w:tr>
      <w:tr w:rsidR="00A56A02" w:rsidRPr="00A56A02" w:rsidTr="006B7FC7">
        <w:trPr>
          <w:jc w:val="center"/>
        </w:trPr>
        <w:tc>
          <w:tcPr>
            <w:tcW w:w="4876" w:type="dxa"/>
          </w:tcPr>
          <w:p w:rsidR="00CE4CD1" w:rsidRPr="00A56A02" w:rsidRDefault="00CE4CD1" w:rsidP="006B7FC7">
            <w:pPr>
              <w:pStyle w:val="ColumnHeading"/>
              <w:keepNext/>
            </w:pPr>
            <w:r w:rsidRPr="00A56A02">
              <w:t>Texto de la Comisión</w:t>
            </w:r>
          </w:p>
        </w:tc>
        <w:tc>
          <w:tcPr>
            <w:tcW w:w="4876" w:type="dxa"/>
          </w:tcPr>
          <w:p w:rsidR="00CE4CD1" w:rsidRPr="00A56A02" w:rsidRDefault="00CE4CD1" w:rsidP="006B7FC7">
            <w:pPr>
              <w:pStyle w:val="ColumnHeading"/>
              <w:keepNext/>
            </w:pPr>
            <w:r w:rsidRPr="00A56A02">
              <w:t>Enmienda</w:t>
            </w:r>
          </w:p>
        </w:tc>
      </w:tr>
      <w:tr w:rsidR="00A56A02" w:rsidRPr="00A56A02" w:rsidTr="006B7FC7">
        <w:trPr>
          <w:jc w:val="center"/>
        </w:trPr>
        <w:tc>
          <w:tcPr>
            <w:tcW w:w="4876" w:type="dxa"/>
          </w:tcPr>
          <w:p w:rsidR="00CE4CD1" w:rsidRPr="00A56A02" w:rsidRDefault="00CE4CD1" w:rsidP="006B7FC7">
            <w:pPr>
              <w:pStyle w:val="Normal6"/>
            </w:pPr>
            <w:r w:rsidRPr="00A56A02">
              <w:rPr>
                <w:b/>
                <w:i/>
              </w:rPr>
              <w:t>4.</w:t>
            </w:r>
            <w:r w:rsidRPr="00A56A02">
              <w:rPr>
                <w:b/>
                <w:i/>
              </w:rPr>
              <w:tab/>
              <w:t>La duración total del restablecimiento de los controles fronterizos en las fronteras interiores, incluido el periodo inicial contemplado en el apartado 3, del presente artículo, no podrá superar un año.</w:t>
            </w:r>
          </w:p>
        </w:tc>
        <w:tc>
          <w:tcPr>
            <w:tcW w:w="4876" w:type="dxa"/>
          </w:tcPr>
          <w:p w:rsidR="00CE4CD1" w:rsidRPr="00A56A02" w:rsidRDefault="00CE4CD1" w:rsidP="006B7FC7">
            <w:pPr>
              <w:pStyle w:val="Normal6"/>
              <w:rPr>
                <w:szCs w:val="24"/>
              </w:rPr>
            </w:pPr>
            <w:r w:rsidRPr="00A56A02">
              <w:rPr>
                <w:b/>
                <w:i/>
              </w:rPr>
              <w:t>suprimido</w:t>
            </w:r>
          </w:p>
        </w:tc>
      </w:tr>
      <w:tr w:rsidR="00A56A02" w:rsidRPr="00A56A02" w:rsidTr="006B7FC7">
        <w:trPr>
          <w:jc w:val="center"/>
        </w:trPr>
        <w:tc>
          <w:tcPr>
            <w:tcW w:w="4876" w:type="dxa"/>
          </w:tcPr>
          <w:p w:rsidR="00CE4CD1" w:rsidRPr="00A56A02" w:rsidRDefault="00CE4CD1" w:rsidP="006B7FC7">
            <w:pPr>
              <w:pStyle w:val="Normal6"/>
            </w:pPr>
            <w:r w:rsidRPr="00A56A02">
              <w:rPr>
                <w:b/>
                <w:i/>
              </w:rPr>
              <w:t>En los casos excepcionales contemplados en el artículo 27 bis, el periodo total podrá prolongarse hasta una duración máxima de dos años, conforme a lo previsto en dicho artículo.</w:t>
            </w:r>
          </w:p>
        </w:tc>
        <w:tc>
          <w:tcPr>
            <w:tcW w:w="4876" w:type="dxa"/>
          </w:tcPr>
          <w:p w:rsidR="00CE4CD1" w:rsidRPr="00A56A02" w:rsidRDefault="00CE4CD1" w:rsidP="006B7FC7">
            <w:pPr>
              <w:pStyle w:val="Normal6"/>
              <w:rPr>
                <w:szCs w:val="24"/>
              </w:rPr>
            </w:pPr>
          </w:p>
        </w:tc>
      </w:tr>
      <w:tr w:rsidR="00A56A02" w:rsidRPr="00A56A02" w:rsidTr="006B7FC7">
        <w:trPr>
          <w:jc w:val="center"/>
        </w:trPr>
        <w:tc>
          <w:tcPr>
            <w:tcW w:w="4876" w:type="dxa"/>
          </w:tcPr>
          <w:p w:rsidR="00CE4CD1" w:rsidRPr="00A56A02" w:rsidRDefault="00CE4CD1" w:rsidP="006B7FC7">
            <w:pPr>
              <w:pStyle w:val="Normal6"/>
            </w:pPr>
            <w:r w:rsidRPr="00A56A02">
              <w:rPr>
                <w:b/>
                <w:i/>
              </w:rPr>
              <w:t>Cuando se den las circunstancias excepcionales contempladas en el artículo 29, el periodo total podrá prolongarse hasta una duración máxima de dos años, conforme a lo previsto en el apartado 1 de dicho artículo.».</w:t>
            </w:r>
          </w:p>
        </w:tc>
        <w:tc>
          <w:tcPr>
            <w:tcW w:w="4876" w:type="dxa"/>
          </w:tcPr>
          <w:p w:rsidR="00CE4CD1" w:rsidRPr="00A56A02" w:rsidRDefault="00CE4CD1" w:rsidP="006B7FC7">
            <w:pPr>
              <w:pStyle w:val="Normal6"/>
              <w:rPr>
                <w:szCs w:val="24"/>
              </w:rPr>
            </w:pPr>
          </w:p>
        </w:tc>
      </w:tr>
    </w:tbl>
    <w:p w:rsidR="00CE4CD1" w:rsidRPr="00A56A02" w:rsidRDefault="00CE4CD1" w:rsidP="00131CD6">
      <w:pPr>
        <w:pStyle w:val="Olang"/>
        <w:rPr>
          <w:noProof w:val="0"/>
          <w:szCs w:val="24"/>
        </w:rPr>
      </w:pPr>
      <w:r w:rsidRPr="00A56A02">
        <w:rPr>
          <w:noProof w:val="0"/>
          <w:szCs w:val="24"/>
        </w:rPr>
        <w:t xml:space="preserve">Or. </w:t>
      </w:r>
      <w:r w:rsidRPr="00A56A02">
        <w:rPr>
          <w:rStyle w:val="HideTWBExt"/>
          <w:noProof w:val="0"/>
          <w:color w:val="auto"/>
        </w:rPr>
        <w:t>&lt;Original&gt;</w:t>
      </w:r>
      <w:r w:rsidRPr="00A56A02">
        <w:rPr>
          <w:rStyle w:val="HideTWBInt"/>
          <w:noProof w:val="0"/>
          <w:color w:val="auto"/>
        </w:rPr>
        <w:t>{EN}</w:t>
      </w:r>
      <w:r w:rsidRPr="00A56A02">
        <w:rPr>
          <w:noProof w:val="0"/>
          <w:szCs w:val="24"/>
        </w:rPr>
        <w:t>en</w:t>
      </w:r>
      <w:r w:rsidRPr="00A56A02">
        <w:rPr>
          <w:rStyle w:val="HideTWBExt"/>
          <w:noProof w:val="0"/>
          <w:color w:val="auto"/>
        </w:rPr>
        <w:t>&lt;/Original&gt;</w:t>
      </w:r>
    </w:p>
    <w:p w:rsidR="00CE4CD1" w:rsidRPr="00A56A02" w:rsidRDefault="00CE4CD1" w:rsidP="00CE4CD1">
      <w:pPr>
        <w:pStyle w:val="JustificationTitle"/>
        <w:spacing w:after="240"/>
      </w:pPr>
      <w:r w:rsidRPr="00A56A02">
        <w:rPr>
          <w:rStyle w:val="HideTWBExt"/>
          <w:i w:val="0"/>
          <w:noProof w:val="0"/>
          <w:color w:val="auto"/>
        </w:rPr>
        <w:t>&lt;TitreJust&gt;</w:t>
      </w:r>
      <w:r w:rsidRPr="00A56A02">
        <w:t>Justificación</w:t>
      </w:r>
      <w:r w:rsidRPr="00A56A02">
        <w:rPr>
          <w:rStyle w:val="HideTWBExt"/>
          <w:i w:val="0"/>
          <w:noProof w:val="0"/>
          <w:color w:val="auto"/>
        </w:rPr>
        <w:t>&lt;/TitreJust&gt;</w:t>
      </w:r>
    </w:p>
    <w:p w:rsidR="00CE4CD1" w:rsidRPr="00A56A02" w:rsidRDefault="00CE4CD1" w:rsidP="00CE4CD1">
      <w:pPr>
        <w:pStyle w:val="Normal12Italic"/>
        <w:spacing w:before="0" w:after="240"/>
        <w:rPr>
          <w:szCs w:val="24"/>
        </w:rPr>
      </w:pPr>
      <w:r w:rsidRPr="00A56A02">
        <w:t>Los procedimientos para la introducción temporal de controles en caso de acontecimientos previsibles se desplazan al artículo 27 y 27 bis.</w:t>
      </w:r>
    </w:p>
    <w:p w:rsidR="00CE4CD1" w:rsidRPr="00A56A02" w:rsidRDefault="00CE4CD1" w:rsidP="00CE4CD1">
      <w:r w:rsidRPr="00A56A02">
        <w:rPr>
          <w:rStyle w:val="HideTWBExt"/>
          <w:noProof w:val="0"/>
          <w:color w:val="auto"/>
        </w:rPr>
        <w:t>&lt;/Amend&gt;</w:t>
      </w:r>
    </w:p>
    <w:p w:rsidR="00CE4CD1" w:rsidRPr="00A56A02" w:rsidRDefault="00CE4CD1" w:rsidP="00CE4CD1">
      <w:pPr>
        <w:pStyle w:val="AMNumberTabs"/>
        <w:keepNext/>
      </w:pPr>
      <w:r w:rsidRPr="00A56A02">
        <w:rPr>
          <w:rStyle w:val="HideTWBExt"/>
          <w:b w:val="0"/>
          <w:noProof w:val="0"/>
          <w:color w:val="auto"/>
        </w:rPr>
        <w:t>&lt;Amend&gt;</w:t>
      </w:r>
      <w:r w:rsidRPr="00A56A02">
        <w:t>Enmienda</w:t>
      </w:r>
      <w:r w:rsidRPr="00A56A02">
        <w:tab/>
      </w:r>
      <w:r w:rsidRPr="00A56A02">
        <w:tab/>
      </w:r>
      <w:r w:rsidRPr="00A56A02">
        <w:rPr>
          <w:rStyle w:val="HideTWBExt"/>
          <w:b w:val="0"/>
          <w:noProof w:val="0"/>
          <w:color w:val="auto"/>
        </w:rPr>
        <w:t>&lt;NumAm&gt;</w:t>
      </w:r>
      <w:r w:rsidRPr="00A56A02">
        <w:t>20</w:t>
      </w:r>
      <w:r w:rsidRPr="00A56A02">
        <w:rPr>
          <w:rStyle w:val="HideTWBExt"/>
          <w:b w:val="0"/>
          <w:noProof w:val="0"/>
          <w:color w:val="auto"/>
        </w:rPr>
        <w:t>&lt;/NumAm&gt;</w:t>
      </w:r>
    </w:p>
    <w:p w:rsidR="00CE4CD1" w:rsidRPr="00A56A02" w:rsidRDefault="00CE4CD1" w:rsidP="00CE4CD1">
      <w:pPr>
        <w:pStyle w:val="NormalBold12b"/>
        <w:keepNext/>
      </w:pPr>
      <w:r w:rsidRPr="00A56A02">
        <w:rPr>
          <w:rStyle w:val="HideTWBExt"/>
          <w:b w:val="0"/>
          <w:noProof w:val="0"/>
          <w:color w:val="auto"/>
        </w:rPr>
        <w:t>&lt;DocAmend&gt;</w:t>
      </w:r>
      <w:r w:rsidRPr="00A56A02">
        <w:t>Propuesta de Reglamento</w:t>
      </w:r>
      <w:r w:rsidRPr="00A56A02">
        <w:rPr>
          <w:rStyle w:val="HideTWBExt"/>
          <w:b w:val="0"/>
          <w:noProof w:val="0"/>
          <w:color w:val="auto"/>
        </w:rPr>
        <w:t>&lt;/DocAmend&gt;</w:t>
      </w:r>
    </w:p>
    <w:p w:rsidR="00CE4CD1" w:rsidRPr="00A56A02" w:rsidRDefault="00CE4CD1" w:rsidP="00CE4CD1">
      <w:pPr>
        <w:pStyle w:val="NormalBold"/>
      </w:pPr>
      <w:r w:rsidRPr="00A56A02">
        <w:rPr>
          <w:rStyle w:val="HideTWBExt"/>
          <w:b w:val="0"/>
          <w:noProof w:val="0"/>
          <w:color w:val="auto"/>
        </w:rPr>
        <w:t>&lt;Article&gt;</w:t>
      </w:r>
      <w:r w:rsidRPr="00A56A02">
        <w:t>Artículo 1 – párrafo 1 – punto 1 bis (nuevo)</w:t>
      </w:r>
      <w:r w:rsidRPr="00A56A02">
        <w:rPr>
          <w:rStyle w:val="HideTWBExt"/>
          <w:b w:val="0"/>
          <w:noProof w:val="0"/>
          <w:color w:val="auto"/>
        </w:rPr>
        <w:t>&lt;/Article&gt;</w:t>
      </w:r>
    </w:p>
    <w:p w:rsidR="00CE4CD1" w:rsidRPr="00A56A02" w:rsidRDefault="00CE4CD1" w:rsidP="00CE4CD1">
      <w:pPr>
        <w:keepNext/>
      </w:pPr>
      <w:r w:rsidRPr="00A56A02">
        <w:rPr>
          <w:rStyle w:val="HideTWBExt"/>
          <w:noProof w:val="0"/>
          <w:color w:val="auto"/>
        </w:rPr>
        <w:t>&lt;DocAmend2&gt;</w:t>
      </w:r>
      <w:r w:rsidRPr="00A56A02">
        <w:t>Reglamento (UE) 2016/399</w:t>
      </w:r>
      <w:r w:rsidRPr="00A56A02">
        <w:rPr>
          <w:rStyle w:val="HideTWBExt"/>
          <w:noProof w:val="0"/>
          <w:color w:val="auto"/>
        </w:rPr>
        <w:t>&lt;/DocAmend2&gt;</w:t>
      </w:r>
    </w:p>
    <w:p w:rsidR="00CE4CD1" w:rsidRPr="00A56A02" w:rsidRDefault="00CE4CD1" w:rsidP="00CE4CD1">
      <w:r w:rsidRPr="00A56A02">
        <w:rPr>
          <w:rStyle w:val="HideTWBExt"/>
          <w:noProof w:val="0"/>
          <w:color w:val="auto"/>
        </w:rPr>
        <w:t>&lt;Article2&gt;</w:t>
      </w:r>
      <w:r w:rsidRPr="00A56A02">
        <w:t>Artículo 26</w:t>
      </w:r>
      <w:r w:rsidRPr="00A56A02">
        <w:rPr>
          <w:rStyle w:val="HideTWBExt"/>
          <w:noProof w:val="0"/>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56A02" w:rsidRPr="00A56A02" w:rsidTr="006B7FC7">
        <w:trPr>
          <w:jc w:val="center"/>
        </w:trPr>
        <w:tc>
          <w:tcPr>
            <w:tcW w:w="9752" w:type="dxa"/>
            <w:gridSpan w:val="2"/>
          </w:tcPr>
          <w:p w:rsidR="00CE4CD1" w:rsidRPr="00A56A02" w:rsidRDefault="00CE4CD1" w:rsidP="006B7FC7">
            <w:pPr>
              <w:keepNext/>
            </w:pPr>
          </w:p>
        </w:tc>
      </w:tr>
      <w:tr w:rsidR="00A56A02" w:rsidRPr="00A56A02" w:rsidTr="006B7FC7">
        <w:trPr>
          <w:jc w:val="center"/>
        </w:trPr>
        <w:tc>
          <w:tcPr>
            <w:tcW w:w="4876" w:type="dxa"/>
            <w:hideMark/>
          </w:tcPr>
          <w:p w:rsidR="00CE4CD1" w:rsidRPr="00A56A02" w:rsidRDefault="00CE4CD1" w:rsidP="006B7FC7">
            <w:pPr>
              <w:pStyle w:val="ColumnHeading"/>
              <w:keepNext/>
            </w:pPr>
            <w:r w:rsidRPr="00A56A02">
              <w:t>Texto en vigor</w:t>
            </w:r>
          </w:p>
        </w:tc>
        <w:tc>
          <w:tcPr>
            <w:tcW w:w="4876" w:type="dxa"/>
            <w:hideMark/>
          </w:tcPr>
          <w:p w:rsidR="00CE4CD1" w:rsidRPr="00A56A02" w:rsidRDefault="00CE4CD1" w:rsidP="006B7FC7">
            <w:pPr>
              <w:pStyle w:val="ColumnHeading"/>
              <w:keepNext/>
            </w:pPr>
            <w:r w:rsidRPr="00A56A02">
              <w:t>Enmienda</w:t>
            </w:r>
          </w:p>
        </w:tc>
      </w:tr>
      <w:tr w:rsidR="00A56A02" w:rsidRPr="00A56A02" w:rsidTr="006B7FC7">
        <w:trPr>
          <w:jc w:val="center"/>
        </w:trPr>
        <w:tc>
          <w:tcPr>
            <w:tcW w:w="4876" w:type="dxa"/>
          </w:tcPr>
          <w:p w:rsidR="00CE4CD1" w:rsidRPr="00A56A02" w:rsidRDefault="00CE4CD1" w:rsidP="006B7FC7">
            <w:pPr>
              <w:pStyle w:val="Normal6"/>
            </w:pPr>
          </w:p>
        </w:tc>
        <w:tc>
          <w:tcPr>
            <w:tcW w:w="4876" w:type="dxa"/>
            <w:hideMark/>
          </w:tcPr>
          <w:p w:rsidR="00CE4CD1" w:rsidRPr="00A56A02" w:rsidRDefault="00CE4CD1" w:rsidP="006B7FC7">
            <w:pPr>
              <w:pStyle w:val="Normal6"/>
              <w:rPr>
                <w:szCs w:val="24"/>
              </w:rPr>
            </w:pPr>
            <w:r w:rsidRPr="00A56A02">
              <w:rPr>
                <w:b/>
                <w:i/>
              </w:rPr>
              <w:t>(1 bis)</w:t>
            </w:r>
            <w:r w:rsidRPr="00A56A02">
              <w:rPr>
                <w:b/>
                <w:i/>
              </w:rPr>
              <w:tab/>
              <w:t>El artículo 26 se sustituye por el texto siguiente:</w:t>
            </w:r>
          </w:p>
        </w:tc>
      </w:tr>
      <w:tr w:rsidR="00A56A02" w:rsidRPr="00A56A02" w:rsidTr="006B7FC7">
        <w:trPr>
          <w:jc w:val="center"/>
        </w:trPr>
        <w:tc>
          <w:tcPr>
            <w:tcW w:w="4876" w:type="dxa"/>
            <w:hideMark/>
          </w:tcPr>
          <w:p w:rsidR="00CE4CD1" w:rsidRPr="00A56A02" w:rsidRDefault="00CE4CD1" w:rsidP="006B7FC7">
            <w:pPr>
              <w:pStyle w:val="Normal6"/>
            </w:pPr>
            <w:r w:rsidRPr="00A56A02">
              <w:rPr>
                <w:b/>
                <w:i/>
              </w:rPr>
              <w:t>Cuando</w:t>
            </w:r>
            <w:r w:rsidRPr="00A56A02">
              <w:t xml:space="preserve"> un Estado miembro decida, como último recurso, restablecer temporalmente los controles fronterizos en una o varias fronteras interiores o en partes de ellas, o decida prolongar dicho restablecimiento</w:t>
            </w:r>
            <w:r w:rsidRPr="00A56A02">
              <w:rPr>
                <w:b/>
                <w:i/>
              </w:rPr>
              <w:t>, de conformidad con el artículo 25 o el artículo 28, apartado 1,</w:t>
            </w:r>
            <w:r w:rsidRPr="00A56A02">
              <w:t xml:space="preserve"> evaluará </w:t>
            </w:r>
            <w:r w:rsidRPr="00A56A02">
              <w:rPr>
                <w:b/>
                <w:i/>
              </w:rPr>
              <w:t>la medida en que dicho</w:t>
            </w:r>
            <w:r w:rsidRPr="00A56A02">
              <w:t xml:space="preserve"> </w:t>
            </w:r>
            <w:r w:rsidRPr="00A56A02">
              <w:rPr>
                <w:b/>
                <w:i/>
              </w:rPr>
              <w:t>restablecimiento puede responder</w:t>
            </w:r>
            <w:r w:rsidRPr="00A56A02">
              <w:rPr>
                <w:i/>
              </w:rPr>
              <w:t xml:space="preserve"> </w:t>
            </w:r>
            <w:r w:rsidRPr="00A56A02">
              <w:rPr>
                <w:b/>
                <w:i/>
              </w:rPr>
              <w:t>correctamente</w:t>
            </w:r>
            <w:r w:rsidRPr="00A56A02">
              <w:t xml:space="preserve"> a la amenaza para el orden público o la seguridad interior y la proporcionalidad </w:t>
            </w:r>
            <w:r w:rsidRPr="00A56A02">
              <w:rPr>
                <w:b/>
                <w:i/>
              </w:rPr>
              <w:t>de la medida</w:t>
            </w:r>
            <w:r w:rsidRPr="00A56A02">
              <w:t xml:space="preserve"> en relación con dicha amenaza.</w:t>
            </w:r>
            <w:r w:rsidRPr="00A56A02">
              <w:rPr>
                <w:b/>
                <w:i/>
              </w:rPr>
              <w:t xml:space="preserve"> En esa evaluación, el Estado miembro tendrá en cuenta, en particular, las consideraciones siguientes:</w:t>
            </w:r>
          </w:p>
        </w:tc>
        <w:tc>
          <w:tcPr>
            <w:tcW w:w="4876" w:type="dxa"/>
            <w:hideMark/>
          </w:tcPr>
          <w:p w:rsidR="00CE4CD1" w:rsidRPr="00A56A02" w:rsidRDefault="00CE4CD1" w:rsidP="006B7FC7">
            <w:pPr>
              <w:pStyle w:val="Normal6"/>
              <w:rPr>
                <w:szCs w:val="24"/>
              </w:rPr>
            </w:pPr>
            <w:r w:rsidRPr="00A56A02">
              <w:rPr>
                <w:b/>
                <w:i/>
              </w:rPr>
              <w:t>Antes de que</w:t>
            </w:r>
            <w:r w:rsidRPr="00A56A02">
              <w:t xml:space="preserve"> un Estado miembro decida, como </w:t>
            </w:r>
            <w:r w:rsidRPr="00A56A02">
              <w:rPr>
                <w:b/>
                <w:i/>
              </w:rPr>
              <w:t>medida de</w:t>
            </w:r>
            <w:r w:rsidRPr="00A56A02">
              <w:t xml:space="preserve"> último recurso, restablecer temporalmente los controles fronterizos en una o varias fronteras interiores o en partes de ellas, o decida prolongar dicho restablecimiento</w:t>
            </w:r>
            <w:r w:rsidRPr="00A56A02">
              <w:rPr>
                <w:b/>
                <w:i/>
              </w:rPr>
              <w:t>:</w:t>
            </w:r>
          </w:p>
        </w:tc>
      </w:tr>
      <w:tr w:rsidR="00A56A02" w:rsidRPr="00A56A02" w:rsidTr="006B7FC7">
        <w:trPr>
          <w:jc w:val="center"/>
        </w:trPr>
        <w:tc>
          <w:tcPr>
            <w:tcW w:w="4876" w:type="dxa"/>
          </w:tcPr>
          <w:p w:rsidR="00CE4CD1" w:rsidRPr="00A56A02" w:rsidRDefault="00CE4CD1" w:rsidP="006B7FC7">
            <w:pPr>
              <w:pStyle w:val="Normal6"/>
            </w:pPr>
          </w:p>
        </w:tc>
        <w:tc>
          <w:tcPr>
            <w:tcW w:w="4876" w:type="dxa"/>
            <w:hideMark/>
          </w:tcPr>
          <w:p w:rsidR="00CE4CD1" w:rsidRPr="00A56A02" w:rsidRDefault="00CE4CD1" w:rsidP="006B7FC7">
            <w:pPr>
              <w:pStyle w:val="Normal6"/>
              <w:rPr>
                <w:szCs w:val="24"/>
              </w:rPr>
            </w:pPr>
            <w:r w:rsidRPr="00A56A02">
              <w:rPr>
                <w:b/>
                <w:i/>
              </w:rPr>
              <w:t>a)</w:t>
            </w:r>
            <w:r w:rsidRPr="00A56A02">
              <w:t xml:space="preserve"> evaluará</w:t>
            </w:r>
            <w:r w:rsidRPr="00A56A02">
              <w:rPr>
                <w:b/>
                <w:i/>
              </w:rPr>
              <w:t xml:space="preserve"> si parece probable que el restablecimiento temporal del control fronterizo en las fronteras interiores pueda responder de manera suficiente</w:t>
            </w:r>
            <w:r w:rsidRPr="00A56A02">
              <w:rPr>
                <w:i/>
              </w:rPr>
              <w:t xml:space="preserve"> </w:t>
            </w:r>
            <w:r w:rsidRPr="00A56A02">
              <w:t>a la amenaza para el orden público o la seguridad interior;</w:t>
            </w:r>
          </w:p>
        </w:tc>
      </w:tr>
      <w:tr w:rsidR="00A56A02" w:rsidRPr="00A56A02" w:rsidTr="006B7FC7">
        <w:trPr>
          <w:jc w:val="center"/>
        </w:trPr>
        <w:tc>
          <w:tcPr>
            <w:tcW w:w="4876" w:type="dxa"/>
          </w:tcPr>
          <w:p w:rsidR="00CE4CD1" w:rsidRPr="00A56A02" w:rsidRDefault="00CE4CD1" w:rsidP="006B7FC7">
            <w:pPr>
              <w:pStyle w:val="Normal6"/>
            </w:pPr>
          </w:p>
        </w:tc>
        <w:tc>
          <w:tcPr>
            <w:tcW w:w="4876" w:type="dxa"/>
            <w:hideMark/>
          </w:tcPr>
          <w:p w:rsidR="00CE4CD1" w:rsidRPr="00A56A02" w:rsidRDefault="00CE4CD1" w:rsidP="006B7FC7">
            <w:pPr>
              <w:pStyle w:val="Normal6"/>
              <w:rPr>
                <w:szCs w:val="24"/>
              </w:rPr>
            </w:pPr>
            <w:r w:rsidRPr="00A56A02">
              <w:rPr>
                <w:b/>
                <w:i/>
              </w:rPr>
              <w:t>b) evaluará si se puede responder de manera suficiente la amenaza para el orden público o la seguridad interior con medidas que no sean el restablecimiento temporal del control fronterizo en las fronteras interiores;</w:t>
            </w:r>
          </w:p>
        </w:tc>
      </w:tr>
      <w:tr w:rsidR="00A56A02" w:rsidRPr="00A56A02" w:rsidTr="006B7FC7">
        <w:trPr>
          <w:jc w:val="center"/>
        </w:trPr>
        <w:tc>
          <w:tcPr>
            <w:tcW w:w="4876" w:type="dxa"/>
          </w:tcPr>
          <w:p w:rsidR="00CE4CD1" w:rsidRPr="00A56A02" w:rsidRDefault="00CE4CD1" w:rsidP="006B7FC7">
            <w:pPr>
              <w:pStyle w:val="Normal6"/>
            </w:pPr>
          </w:p>
        </w:tc>
        <w:tc>
          <w:tcPr>
            <w:tcW w:w="4876" w:type="dxa"/>
            <w:hideMark/>
          </w:tcPr>
          <w:p w:rsidR="00CE4CD1" w:rsidRPr="00A56A02" w:rsidRDefault="00CE4CD1" w:rsidP="006B7FC7">
            <w:pPr>
              <w:pStyle w:val="Normal6"/>
              <w:rPr>
                <w:szCs w:val="24"/>
              </w:rPr>
            </w:pPr>
            <w:r w:rsidRPr="00A56A02">
              <w:rPr>
                <w:b/>
                <w:i/>
              </w:rPr>
              <w:t>c)</w:t>
            </w:r>
            <w:r w:rsidRPr="00A56A02">
              <w:t xml:space="preserve"> evaluará la proporcionalidad </w:t>
            </w:r>
            <w:r w:rsidRPr="00A56A02">
              <w:rPr>
                <w:b/>
                <w:i/>
              </w:rPr>
              <w:t>del restablecimiento temporal del</w:t>
            </w:r>
            <w:r w:rsidRPr="00A56A02">
              <w:t xml:space="preserve"> </w:t>
            </w:r>
            <w:r w:rsidRPr="00A56A02">
              <w:rPr>
                <w:b/>
                <w:i/>
              </w:rPr>
              <w:t>control fronterizo en las fronteras interiores</w:t>
            </w:r>
            <w:r w:rsidRPr="00A56A02">
              <w:t xml:space="preserve"> en relación con dicha amenaza</w:t>
            </w:r>
            <w:r w:rsidRPr="00A56A02">
              <w:rPr>
                <w:b/>
                <w:i/>
              </w:rPr>
              <w:t>,</w:t>
            </w:r>
            <w:r w:rsidR="00BF4484">
              <w:rPr>
                <w:b/>
                <w:i/>
              </w:rPr>
              <w:t xml:space="preserve"> </w:t>
            </w:r>
            <w:r w:rsidRPr="00A56A02">
              <w:rPr>
                <w:b/>
                <w:i/>
              </w:rPr>
              <w:t>teniendo en cuenta en particular:</w:t>
            </w:r>
          </w:p>
        </w:tc>
      </w:tr>
      <w:tr w:rsidR="00A56A02" w:rsidRPr="00A56A02" w:rsidTr="006B7FC7">
        <w:trPr>
          <w:jc w:val="center"/>
        </w:trPr>
        <w:tc>
          <w:tcPr>
            <w:tcW w:w="4876" w:type="dxa"/>
          </w:tcPr>
          <w:p w:rsidR="00CE4CD1" w:rsidRPr="00A56A02" w:rsidRDefault="00CE4CD1" w:rsidP="006B7FC7">
            <w:pPr>
              <w:pStyle w:val="Normal6"/>
            </w:pPr>
            <w:r w:rsidRPr="00A56A02">
              <w:rPr>
                <w:b/>
                <w:i/>
              </w:rPr>
              <w:t>a)</w:t>
            </w:r>
            <w:r w:rsidRPr="00A56A02">
              <w:t xml:space="preserve"> las repercusiones probables de cualquier amenaza para el orden público o la seguridad interior en el Estado miembro interesado, incluidas las derivadas de actos o amenazas terroristas, y las que conlleven las amenazas relacionadas con la delincuencia organizada;</w:t>
            </w:r>
          </w:p>
        </w:tc>
        <w:tc>
          <w:tcPr>
            <w:tcW w:w="4876" w:type="dxa"/>
            <w:hideMark/>
          </w:tcPr>
          <w:p w:rsidR="00CE4CD1" w:rsidRPr="00A56A02" w:rsidRDefault="00CE4CD1" w:rsidP="006B7FC7">
            <w:pPr>
              <w:pStyle w:val="Normal6"/>
              <w:rPr>
                <w:szCs w:val="24"/>
              </w:rPr>
            </w:pPr>
            <w:r w:rsidRPr="00A56A02">
              <w:rPr>
                <w:b/>
                <w:i/>
              </w:rPr>
              <w:t>i)</w:t>
            </w:r>
            <w:r w:rsidRPr="00A56A02">
              <w:t xml:space="preserve"> las repercusiones probables de cualquier amenaza para el orden público o la seguridad interior en el Estado miembro interesado, incluidas las derivadas de actos o amenazas terroristas, y las que conlleven las amenazas relacionadas con la delincuencia organizada;</w:t>
            </w:r>
          </w:p>
        </w:tc>
      </w:tr>
      <w:tr w:rsidR="00A56A02" w:rsidRPr="00A56A02" w:rsidTr="006B7FC7">
        <w:trPr>
          <w:jc w:val="center"/>
        </w:trPr>
        <w:tc>
          <w:tcPr>
            <w:tcW w:w="4876" w:type="dxa"/>
          </w:tcPr>
          <w:p w:rsidR="00CE4CD1" w:rsidRPr="00A56A02" w:rsidRDefault="00CE4CD1" w:rsidP="006B7FC7">
            <w:pPr>
              <w:pStyle w:val="Normal6"/>
            </w:pPr>
            <w:r w:rsidRPr="00A56A02">
              <w:rPr>
                <w:b/>
                <w:i/>
              </w:rPr>
              <w:t>b)</w:t>
            </w:r>
            <w:r w:rsidRPr="00A56A02">
              <w:t xml:space="preserve"> las repercusiones probables del restablecimiento de los controles en la libre circulación de las personas dentro del espacio sin controles en las fronteras interiores.</w:t>
            </w:r>
          </w:p>
        </w:tc>
        <w:tc>
          <w:tcPr>
            <w:tcW w:w="4876" w:type="dxa"/>
            <w:hideMark/>
          </w:tcPr>
          <w:p w:rsidR="00CE4CD1" w:rsidRPr="00A56A02" w:rsidRDefault="00CE4CD1" w:rsidP="006B7FC7">
            <w:pPr>
              <w:pStyle w:val="Normal6"/>
              <w:rPr>
                <w:szCs w:val="24"/>
              </w:rPr>
            </w:pPr>
            <w:r w:rsidRPr="00A56A02">
              <w:rPr>
                <w:b/>
                <w:i/>
              </w:rPr>
              <w:t>ii)</w:t>
            </w:r>
            <w:r w:rsidRPr="00A56A02">
              <w:t xml:space="preserve"> las repercusiones probables del restablecimiento de los controles </w:t>
            </w:r>
            <w:r w:rsidRPr="00A56A02">
              <w:rPr>
                <w:b/>
                <w:i/>
              </w:rPr>
              <w:t>en las fronteras interiores</w:t>
            </w:r>
            <w:r w:rsidRPr="00A56A02">
              <w:rPr>
                <w:i/>
              </w:rPr>
              <w:t xml:space="preserve"> </w:t>
            </w:r>
            <w:r w:rsidRPr="00A56A02">
              <w:t>en la libre circulación de las personas dentro del espacio sin controles en las fronteras interiores.</w:t>
            </w:r>
          </w:p>
        </w:tc>
      </w:tr>
      <w:tr w:rsidR="00A56A02" w:rsidRPr="00A56A02" w:rsidTr="006B7FC7">
        <w:trPr>
          <w:jc w:val="center"/>
        </w:trPr>
        <w:tc>
          <w:tcPr>
            <w:tcW w:w="4876" w:type="dxa"/>
          </w:tcPr>
          <w:p w:rsidR="00CE4CD1" w:rsidRPr="00A56A02" w:rsidRDefault="00CE4CD1" w:rsidP="006B7FC7">
            <w:pPr>
              <w:pStyle w:val="Normal6"/>
            </w:pPr>
          </w:p>
        </w:tc>
        <w:tc>
          <w:tcPr>
            <w:tcW w:w="4876" w:type="dxa"/>
          </w:tcPr>
          <w:p w:rsidR="00CE4CD1" w:rsidRPr="00A56A02" w:rsidDel="00F25C14" w:rsidRDefault="00CE4CD1" w:rsidP="006B7FC7">
            <w:pPr>
              <w:pStyle w:val="Normal6"/>
              <w:rPr>
                <w:b/>
                <w:i/>
              </w:rPr>
            </w:pPr>
            <w:r w:rsidRPr="00A56A02">
              <w:rPr>
                <w:b/>
                <w:i/>
              </w:rPr>
              <w:t>Cuando un Estado miembro llegue a la conclusión, en virtud de la letra a) del párrafo primero, de que no es probable que el restablecimiento temporal del control en las fronteras interiores responda de manera suficiente a la amenaza para el orden público o la seguridad interior, no restablecerá controles fronterizos en las fronteras interiores</w:t>
            </w:r>
            <w:r w:rsidRPr="00A56A02">
              <w:rPr>
                <w:i/>
              </w:rPr>
              <w:t>.</w:t>
            </w:r>
          </w:p>
        </w:tc>
      </w:tr>
      <w:tr w:rsidR="00A56A02" w:rsidRPr="00A56A02" w:rsidTr="006B7FC7">
        <w:trPr>
          <w:jc w:val="center"/>
        </w:trPr>
        <w:tc>
          <w:tcPr>
            <w:tcW w:w="4876" w:type="dxa"/>
          </w:tcPr>
          <w:p w:rsidR="00CE4CD1" w:rsidRPr="00A56A02" w:rsidRDefault="00CE4CD1" w:rsidP="006B7FC7">
            <w:pPr>
              <w:pStyle w:val="Normal6"/>
            </w:pPr>
          </w:p>
        </w:tc>
        <w:tc>
          <w:tcPr>
            <w:tcW w:w="4876" w:type="dxa"/>
          </w:tcPr>
          <w:p w:rsidR="00CE4CD1" w:rsidRPr="00A56A02" w:rsidDel="00F25C14" w:rsidRDefault="00CE4CD1" w:rsidP="006B7FC7">
            <w:pPr>
              <w:pStyle w:val="Normal6"/>
              <w:rPr>
                <w:b/>
                <w:i/>
              </w:rPr>
            </w:pPr>
            <w:r w:rsidRPr="00A56A02">
              <w:rPr>
                <w:b/>
                <w:i/>
              </w:rPr>
              <w:t>Cuando un Estado miembro llegue a la conclusión, en virtud de la letra b) del párrafo primero, de que otras medidas que no sean el restablecimiento temporal de los controles en las fronteras interiores pueden responder de manera suficiente a la amenaza para el orden público o la seguridad interior, no deberá restablecer o prolongar los controles y adoptará estas otras medidas.</w:t>
            </w:r>
          </w:p>
        </w:tc>
      </w:tr>
      <w:tr w:rsidR="00A56A02" w:rsidRPr="00A56A02" w:rsidTr="006B7FC7">
        <w:trPr>
          <w:jc w:val="center"/>
        </w:trPr>
        <w:tc>
          <w:tcPr>
            <w:tcW w:w="4876" w:type="dxa"/>
          </w:tcPr>
          <w:p w:rsidR="00CE4CD1" w:rsidRPr="00A56A02" w:rsidRDefault="00CE4CD1" w:rsidP="006B7FC7">
            <w:pPr>
              <w:pStyle w:val="Normal6"/>
            </w:pPr>
          </w:p>
        </w:tc>
        <w:tc>
          <w:tcPr>
            <w:tcW w:w="4876" w:type="dxa"/>
            <w:hideMark/>
          </w:tcPr>
          <w:p w:rsidR="00CE4CD1" w:rsidRPr="00A56A02" w:rsidRDefault="00CE4CD1" w:rsidP="006B7FC7">
            <w:pPr>
              <w:pStyle w:val="Normal6"/>
              <w:rPr>
                <w:szCs w:val="24"/>
              </w:rPr>
            </w:pPr>
            <w:r w:rsidRPr="00A56A02">
              <w:rPr>
                <w:b/>
                <w:i/>
              </w:rPr>
              <w:t>Cuando un Estado miembro llegue a la conclusión, en virtud de la letra c) del primer párrafo, de que el restablecimiento previsto del control en las fronteras interiores no es proporcional a la amenaza, no deberá restablecer o prolongar los controles en las fronteras interiores.»</w:t>
            </w:r>
          </w:p>
        </w:tc>
      </w:tr>
    </w:tbl>
    <w:p w:rsidR="00CE4CD1" w:rsidRPr="00A56A02" w:rsidRDefault="00CE4CD1" w:rsidP="00131CD6">
      <w:pPr>
        <w:pStyle w:val="Olang"/>
        <w:rPr>
          <w:noProof w:val="0"/>
          <w:szCs w:val="24"/>
        </w:rPr>
      </w:pPr>
      <w:r w:rsidRPr="00A56A02">
        <w:rPr>
          <w:noProof w:val="0"/>
          <w:szCs w:val="24"/>
        </w:rPr>
        <w:t xml:space="preserve">Or. </w:t>
      </w:r>
      <w:r w:rsidRPr="00A56A02">
        <w:rPr>
          <w:rStyle w:val="HideTWBExt"/>
          <w:noProof w:val="0"/>
          <w:color w:val="auto"/>
        </w:rPr>
        <w:t>&lt;Original&gt;</w:t>
      </w:r>
      <w:r w:rsidRPr="00A56A02">
        <w:rPr>
          <w:rStyle w:val="HideTWBInt"/>
          <w:noProof w:val="0"/>
          <w:color w:val="auto"/>
        </w:rPr>
        <w:t>{EN}</w:t>
      </w:r>
      <w:r w:rsidRPr="00A56A02">
        <w:rPr>
          <w:noProof w:val="0"/>
          <w:szCs w:val="24"/>
        </w:rPr>
        <w:t>en</w:t>
      </w:r>
      <w:r w:rsidRPr="00A56A02">
        <w:rPr>
          <w:rStyle w:val="HideTWBExt"/>
          <w:noProof w:val="0"/>
          <w:color w:val="auto"/>
        </w:rPr>
        <w:t>&lt;/Original&gt;</w:t>
      </w:r>
    </w:p>
    <w:p w:rsidR="00CE4CD1" w:rsidRPr="00A56A02" w:rsidRDefault="00CE4CD1" w:rsidP="00CE4CD1">
      <w:pPr>
        <w:pStyle w:val="CrossRef"/>
      </w:pPr>
      <w:r w:rsidRPr="00A56A02">
        <w:t>(https://eur-lex.europa.eu/legal-content/ES/TXT/?qid=1522053548833&amp;uri=CELEX:02016R0399-20170407)</w:t>
      </w:r>
    </w:p>
    <w:p w:rsidR="00CE4CD1" w:rsidRPr="00A56A02" w:rsidRDefault="00CE4CD1" w:rsidP="00CE4CD1">
      <w:pPr>
        <w:pStyle w:val="JustificationTitle"/>
        <w:spacing w:after="240"/>
      </w:pPr>
      <w:r w:rsidRPr="00A56A02">
        <w:rPr>
          <w:rStyle w:val="HideTWBExt"/>
          <w:i w:val="0"/>
          <w:noProof w:val="0"/>
          <w:color w:val="auto"/>
        </w:rPr>
        <w:t>&lt;TitreJust&gt;</w:t>
      </w:r>
      <w:r w:rsidRPr="00A56A02">
        <w:t>Justificación</w:t>
      </w:r>
      <w:r w:rsidRPr="00A56A02">
        <w:rPr>
          <w:rStyle w:val="HideTWBExt"/>
          <w:i w:val="0"/>
          <w:noProof w:val="0"/>
          <w:color w:val="auto"/>
        </w:rPr>
        <w:t>&lt;/TitreJust&gt;</w:t>
      </w:r>
    </w:p>
    <w:p w:rsidR="00CE4CD1" w:rsidRPr="00A56A02" w:rsidRDefault="00CE4CD1" w:rsidP="00CE4CD1">
      <w:pPr>
        <w:pStyle w:val="Normal12Italic"/>
        <w:spacing w:before="0" w:after="240"/>
      </w:pPr>
      <w:r w:rsidRPr="00A56A02">
        <w:t>El artículo 26 que establece los criterios para valorar el restablecimiento temporal de los controles en las fronteras interiores debería ampliarse convenientemente con el fin de garantizar que el restablecimiento de los controles fronterizos es realmente una medida de último recurso, y que se ajusta a los criterios de necesidad y proporcionalidad.</w:t>
      </w:r>
    </w:p>
    <w:p w:rsidR="00CE4CD1" w:rsidRPr="00A56A02" w:rsidRDefault="00CE4CD1" w:rsidP="00CE4CD1">
      <w:r w:rsidRPr="00A56A02">
        <w:rPr>
          <w:rStyle w:val="HideTWBExt"/>
          <w:noProof w:val="0"/>
          <w:color w:val="auto"/>
        </w:rPr>
        <w:t>&lt;/Amend&gt;</w:t>
      </w:r>
    </w:p>
    <w:p w:rsidR="00CE4CD1" w:rsidRPr="00A56A02" w:rsidRDefault="00CE4CD1" w:rsidP="00CE4CD1">
      <w:pPr>
        <w:pStyle w:val="AMNumberTabs"/>
        <w:keepNext/>
      </w:pPr>
      <w:r w:rsidRPr="00A56A02">
        <w:rPr>
          <w:rStyle w:val="HideTWBExt"/>
          <w:b w:val="0"/>
          <w:noProof w:val="0"/>
          <w:color w:val="auto"/>
        </w:rPr>
        <w:t>&lt;Amend&gt;</w:t>
      </w:r>
      <w:r w:rsidRPr="00A56A02">
        <w:t>Enmienda</w:t>
      </w:r>
      <w:r w:rsidRPr="00A56A02">
        <w:tab/>
      </w:r>
      <w:r w:rsidRPr="00A56A02">
        <w:tab/>
      </w:r>
      <w:r w:rsidRPr="00A56A02">
        <w:rPr>
          <w:rStyle w:val="HideTWBExt"/>
          <w:b w:val="0"/>
          <w:noProof w:val="0"/>
          <w:color w:val="auto"/>
        </w:rPr>
        <w:t>&lt;NumAm&gt;</w:t>
      </w:r>
      <w:r w:rsidRPr="00A56A02">
        <w:t>21</w:t>
      </w:r>
      <w:r w:rsidRPr="00A56A02">
        <w:rPr>
          <w:rStyle w:val="HideTWBExt"/>
          <w:b w:val="0"/>
          <w:noProof w:val="0"/>
          <w:color w:val="auto"/>
        </w:rPr>
        <w:t>&lt;/NumAm&gt;</w:t>
      </w:r>
    </w:p>
    <w:p w:rsidR="00CE4CD1" w:rsidRPr="00A56A02" w:rsidRDefault="00CE4CD1" w:rsidP="00CE4CD1">
      <w:pPr>
        <w:pStyle w:val="NormalBold12b"/>
        <w:keepNext/>
      </w:pPr>
      <w:r w:rsidRPr="00A56A02">
        <w:rPr>
          <w:rStyle w:val="HideTWBExt"/>
          <w:b w:val="0"/>
          <w:noProof w:val="0"/>
          <w:color w:val="auto"/>
        </w:rPr>
        <w:t>&lt;DocAmend&gt;</w:t>
      </w:r>
      <w:r w:rsidRPr="00A56A02">
        <w:t>Propuesta de Reglamento</w:t>
      </w:r>
      <w:r w:rsidRPr="00A56A02">
        <w:rPr>
          <w:rStyle w:val="HideTWBExt"/>
          <w:b w:val="0"/>
          <w:noProof w:val="0"/>
          <w:color w:val="auto"/>
        </w:rPr>
        <w:t>&lt;/DocAmend&gt;</w:t>
      </w:r>
    </w:p>
    <w:p w:rsidR="00CE4CD1" w:rsidRPr="00A56A02" w:rsidRDefault="00CE4CD1" w:rsidP="00CE4CD1">
      <w:pPr>
        <w:pStyle w:val="NormalBold"/>
      </w:pPr>
      <w:r w:rsidRPr="00A56A02">
        <w:rPr>
          <w:rStyle w:val="HideTWBExt"/>
          <w:b w:val="0"/>
          <w:noProof w:val="0"/>
          <w:color w:val="auto"/>
        </w:rPr>
        <w:t>&lt;Article&gt;</w:t>
      </w:r>
      <w:r w:rsidRPr="00A56A02">
        <w:t>Artículo 1 – párrafo 1 –punto 2 – inciso -i (nuevo)</w:t>
      </w:r>
      <w:r w:rsidRPr="00A56A02">
        <w:rPr>
          <w:rStyle w:val="HideTWBExt"/>
          <w:b w:val="0"/>
          <w:noProof w:val="0"/>
          <w:color w:val="auto"/>
        </w:rPr>
        <w:t>&lt;/Article&gt;</w:t>
      </w:r>
    </w:p>
    <w:p w:rsidR="00CE4CD1" w:rsidRPr="00A56A02" w:rsidRDefault="00CE4CD1" w:rsidP="00CE4CD1">
      <w:pPr>
        <w:keepNext/>
      </w:pPr>
      <w:r w:rsidRPr="00A56A02">
        <w:rPr>
          <w:rStyle w:val="HideTWBExt"/>
          <w:noProof w:val="0"/>
          <w:color w:val="auto"/>
        </w:rPr>
        <w:t>&lt;DocAmend2&gt;</w:t>
      </w:r>
      <w:r w:rsidRPr="00A56A02">
        <w:t>Reglamento (UE) 2016/399</w:t>
      </w:r>
      <w:r w:rsidRPr="00A56A02">
        <w:rPr>
          <w:rStyle w:val="HideTWBExt"/>
          <w:noProof w:val="0"/>
          <w:color w:val="auto"/>
        </w:rPr>
        <w:t>&lt;/DocAmend2&gt;</w:t>
      </w:r>
    </w:p>
    <w:p w:rsidR="00CE4CD1" w:rsidRPr="00A56A02" w:rsidRDefault="00CE4CD1" w:rsidP="00CE4CD1">
      <w:r w:rsidRPr="00A56A02">
        <w:rPr>
          <w:rStyle w:val="HideTWBExt"/>
          <w:noProof w:val="0"/>
          <w:color w:val="auto"/>
        </w:rPr>
        <w:t>&lt;Article2&gt;</w:t>
      </w:r>
      <w:r w:rsidRPr="00A56A02">
        <w:t>Artículo 27 – título</w:t>
      </w:r>
      <w:r w:rsidRPr="00A56A02">
        <w:rPr>
          <w:rStyle w:val="HideTWBExt"/>
          <w:noProof w:val="0"/>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6A02" w:rsidRPr="00A56A02" w:rsidTr="006B7FC7">
        <w:trPr>
          <w:jc w:val="center"/>
        </w:trPr>
        <w:tc>
          <w:tcPr>
            <w:tcW w:w="9752" w:type="dxa"/>
            <w:gridSpan w:val="2"/>
          </w:tcPr>
          <w:p w:rsidR="00CE4CD1" w:rsidRPr="00A56A02" w:rsidRDefault="00CE4CD1" w:rsidP="006B7FC7">
            <w:pPr>
              <w:keepNext/>
            </w:pPr>
          </w:p>
        </w:tc>
      </w:tr>
      <w:tr w:rsidR="00A56A02" w:rsidRPr="00A56A02" w:rsidTr="006B7FC7">
        <w:trPr>
          <w:jc w:val="center"/>
        </w:trPr>
        <w:tc>
          <w:tcPr>
            <w:tcW w:w="4876" w:type="dxa"/>
          </w:tcPr>
          <w:p w:rsidR="00CE4CD1" w:rsidRPr="00A56A02" w:rsidRDefault="00CE4CD1" w:rsidP="006B7FC7">
            <w:pPr>
              <w:pStyle w:val="ColumnHeading"/>
              <w:keepNext/>
            </w:pPr>
            <w:r w:rsidRPr="00A56A02">
              <w:t>Texto en vigor</w:t>
            </w:r>
          </w:p>
        </w:tc>
        <w:tc>
          <w:tcPr>
            <w:tcW w:w="4876" w:type="dxa"/>
          </w:tcPr>
          <w:p w:rsidR="00CE4CD1" w:rsidRPr="00A56A02" w:rsidRDefault="00CE4CD1" w:rsidP="006B7FC7">
            <w:pPr>
              <w:pStyle w:val="ColumnHeading"/>
              <w:keepNext/>
            </w:pPr>
            <w:r w:rsidRPr="00A56A02">
              <w:t>Enmienda</w:t>
            </w:r>
          </w:p>
        </w:tc>
      </w:tr>
      <w:tr w:rsidR="00A56A02" w:rsidRPr="00A56A02" w:rsidTr="006B7FC7">
        <w:trPr>
          <w:jc w:val="center"/>
        </w:trPr>
        <w:tc>
          <w:tcPr>
            <w:tcW w:w="4876" w:type="dxa"/>
          </w:tcPr>
          <w:p w:rsidR="00CE4CD1" w:rsidRPr="00A56A02" w:rsidRDefault="00CE4CD1" w:rsidP="006B7FC7">
            <w:pPr>
              <w:pStyle w:val="Normal6"/>
            </w:pPr>
          </w:p>
        </w:tc>
        <w:tc>
          <w:tcPr>
            <w:tcW w:w="4876" w:type="dxa"/>
          </w:tcPr>
          <w:p w:rsidR="00CE4CD1" w:rsidRPr="00A56A02" w:rsidRDefault="00CE4CD1" w:rsidP="006B7FC7">
            <w:pPr>
              <w:pStyle w:val="Normal6"/>
              <w:rPr>
                <w:szCs w:val="24"/>
              </w:rPr>
            </w:pPr>
            <w:r w:rsidRPr="00A56A02">
              <w:rPr>
                <w:b/>
                <w:i/>
              </w:rPr>
              <w:t>-i)</w:t>
            </w:r>
            <w:r w:rsidRPr="00A56A02">
              <w:rPr>
                <w:b/>
                <w:i/>
              </w:rPr>
              <w:tab/>
              <w:t>El título se sustituye por el texto siguiente:</w:t>
            </w:r>
          </w:p>
        </w:tc>
      </w:tr>
      <w:tr w:rsidR="00A56A02" w:rsidRPr="00A56A02" w:rsidTr="006B7FC7">
        <w:trPr>
          <w:jc w:val="center"/>
        </w:trPr>
        <w:tc>
          <w:tcPr>
            <w:tcW w:w="4876" w:type="dxa"/>
          </w:tcPr>
          <w:p w:rsidR="00CE4CD1" w:rsidRPr="00A56A02" w:rsidRDefault="00CE4CD1" w:rsidP="006B7FC7">
            <w:pPr>
              <w:pStyle w:val="Normal6"/>
            </w:pPr>
            <w:r w:rsidRPr="00A56A02">
              <w:t xml:space="preserve">Procedimiento para el restablecimiento temporal de controles fronterizos en las fronteras interiores </w:t>
            </w:r>
            <w:r w:rsidRPr="00A56A02">
              <w:rPr>
                <w:b/>
                <w:i/>
              </w:rPr>
              <w:t>en virtud del artículo 25</w:t>
            </w:r>
          </w:p>
        </w:tc>
        <w:tc>
          <w:tcPr>
            <w:tcW w:w="4876" w:type="dxa"/>
          </w:tcPr>
          <w:p w:rsidR="00CE4CD1" w:rsidRPr="00A56A02" w:rsidRDefault="00CE4CD1" w:rsidP="006B7FC7">
            <w:pPr>
              <w:pStyle w:val="Normal6"/>
              <w:rPr>
                <w:szCs w:val="24"/>
              </w:rPr>
            </w:pPr>
            <w:r w:rsidRPr="00A56A02">
              <w:t xml:space="preserve">«Procedimiento para el restablecimiento temporal de controles fronterizos en las fronteras interiores </w:t>
            </w:r>
            <w:r w:rsidRPr="00A56A02">
              <w:rPr>
                <w:b/>
                <w:i/>
              </w:rPr>
              <w:t>en caso de amenaza grave previsible para el orden público o la seguridad interior</w:t>
            </w:r>
            <w:r w:rsidRPr="00A56A02">
              <w:t>»;</w:t>
            </w:r>
          </w:p>
        </w:tc>
      </w:tr>
    </w:tbl>
    <w:p w:rsidR="00CE4CD1" w:rsidRPr="00A56A02" w:rsidRDefault="00CE4CD1" w:rsidP="00131CD6">
      <w:pPr>
        <w:pStyle w:val="Olang"/>
        <w:rPr>
          <w:noProof w:val="0"/>
          <w:szCs w:val="24"/>
        </w:rPr>
      </w:pPr>
      <w:r w:rsidRPr="00A56A02">
        <w:rPr>
          <w:noProof w:val="0"/>
          <w:szCs w:val="24"/>
        </w:rPr>
        <w:t xml:space="preserve">Or. </w:t>
      </w:r>
      <w:r w:rsidRPr="00A56A02">
        <w:rPr>
          <w:rStyle w:val="HideTWBExt"/>
          <w:noProof w:val="0"/>
          <w:color w:val="auto"/>
        </w:rPr>
        <w:t>&lt;Original&gt;</w:t>
      </w:r>
      <w:r w:rsidRPr="00A56A02">
        <w:rPr>
          <w:rStyle w:val="HideTWBInt"/>
          <w:noProof w:val="0"/>
          <w:color w:val="auto"/>
        </w:rPr>
        <w:t>{EN}</w:t>
      </w:r>
      <w:r w:rsidRPr="00A56A02">
        <w:rPr>
          <w:noProof w:val="0"/>
          <w:szCs w:val="24"/>
        </w:rPr>
        <w:t>en</w:t>
      </w:r>
      <w:r w:rsidRPr="00A56A02">
        <w:rPr>
          <w:rStyle w:val="HideTWBExt"/>
          <w:noProof w:val="0"/>
          <w:color w:val="auto"/>
        </w:rPr>
        <w:t>&lt;/Original&gt;</w:t>
      </w:r>
    </w:p>
    <w:p w:rsidR="00CE4CD1" w:rsidRPr="00A56A02" w:rsidRDefault="00CE4CD1" w:rsidP="00CE4CD1">
      <w:pPr>
        <w:pStyle w:val="CrossRef"/>
      </w:pPr>
      <w:r w:rsidRPr="00A56A02">
        <w:t>(https://eur-lex.europa.eu/legal-content/ES/TXT/?qid=1522053548833&amp;uri=CELEX:02016R0399-20170407)</w:t>
      </w:r>
    </w:p>
    <w:p w:rsidR="00CE4CD1" w:rsidRPr="00A56A02" w:rsidRDefault="00CE4CD1" w:rsidP="00CE4CD1">
      <w:pPr>
        <w:pStyle w:val="JustificationTitle"/>
        <w:spacing w:after="240"/>
      </w:pPr>
      <w:r w:rsidRPr="00A56A02">
        <w:rPr>
          <w:rStyle w:val="HideTWBExt"/>
          <w:i w:val="0"/>
          <w:noProof w:val="0"/>
          <w:color w:val="auto"/>
        </w:rPr>
        <w:t>&lt;TitreJust&gt;</w:t>
      </w:r>
      <w:r w:rsidRPr="00A56A02">
        <w:t>Justificación</w:t>
      </w:r>
      <w:r w:rsidRPr="00A56A02">
        <w:rPr>
          <w:rStyle w:val="HideTWBExt"/>
          <w:i w:val="0"/>
          <w:noProof w:val="0"/>
          <w:color w:val="auto"/>
        </w:rPr>
        <w:t>&lt;/TitreJust&gt;</w:t>
      </w:r>
    </w:p>
    <w:p w:rsidR="00CE4CD1" w:rsidRPr="00A56A02" w:rsidRDefault="00CE4CD1" w:rsidP="00CE4CD1">
      <w:pPr>
        <w:pStyle w:val="Normal12Italic"/>
        <w:spacing w:before="0" w:after="240"/>
      </w:pPr>
      <w:r w:rsidRPr="00A56A02">
        <w:t>El título del artículo 27 debe ajustarse al contenido del artículo. Esto no ha de confundirse con las medidas adoptadas de conformidad con el artículo 28, medidas que exijan una intervención inmediata) y con el artículo 29 (circunstancias excepcionales que pongan en riesgo el funcionamiento general del espacio sin fronteras interiores).</w:t>
      </w:r>
    </w:p>
    <w:p w:rsidR="00CE4CD1" w:rsidRPr="00A56A02" w:rsidRDefault="00CE4CD1" w:rsidP="00CE4CD1">
      <w:r w:rsidRPr="00A56A02">
        <w:rPr>
          <w:rStyle w:val="HideTWBExt"/>
          <w:noProof w:val="0"/>
          <w:color w:val="auto"/>
        </w:rPr>
        <w:t>&lt;/Amend&gt;</w:t>
      </w:r>
    </w:p>
    <w:p w:rsidR="00CE4CD1" w:rsidRPr="00A56A02" w:rsidRDefault="00CE4CD1" w:rsidP="00CE4CD1">
      <w:pPr>
        <w:pStyle w:val="AMNumberTabs"/>
        <w:keepNext/>
      </w:pPr>
      <w:r w:rsidRPr="00A56A02">
        <w:rPr>
          <w:rStyle w:val="HideTWBExt"/>
          <w:b w:val="0"/>
          <w:noProof w:val="0"/>
          <w:color w:val="auto"/>
        </w:rPr>
        <w:t>&lt;Amend&gt;</w:t>
      </w:r>
      <w:r w:rsidRPr="00A56A02">
        <w:t>Enmienda</w:t>
      </w:r>
      <w:r w:rsidRPr="00A56A02">
        <w:tab/>
      </w:r>
      <w:r w:rsidRPr="00A56A02">
        <w:tab/>
      </w:r>
      <w:r w:rsidRPr="00A56A02">
        <w:rPr>
          <w:rStyle w:val="HideTWBExt"/>
          <w:b w:val="0"/>
          <w:noProof w:val="0"/>
          <w:color w:val="auto"/>
        </w:rPr>
        <w:t>&lt;NumAm&gt;</w:t>
      </w:r>
      <w:r w:rsidRPr="00A56A02">
        <w:t>22</w:t>
      </w:r>
      <w:r w:rsidRPr="00A56A02">
        <w:rPr>
          <w:rStyle w:val="HideTWBExt"/>
          <w:b w:val="0"/>
          <w:noProof w:val="0"/>
          <w:color w:val="auto"/>
        </w:rPr>
        <w:t>&lt;/NumAm&gt;</w:t>
      </w:r>
    </w:p>
    <w:p w:rsidR="00CE4CD1" w:rsidRPr="00A56A02" w:rsidRDefault="00CE4CD1" w:rsidP="00CE4CD1">
      <w:pPr>
        <w:pStyle w:val="NormalBold12b"/>
        <w:keepNext/>
      </w:pPr>
      <w:r w:rsidRPr="00A56A02">
        <w:rPr>
          <w:rStyle w:val="HideTWBExt"/>
          <w:b w:val="0"/>
          <w:noProof w:val="0"/>
          <w:color w:val="auto"/>
        </w:rPr>
        <w:t>&lt;DocAmend&gt;</w:t>
      </w:r>
      <w:r w:rsidRPr="00A56A02">
        <w:t>Propuesta de Reglamento</w:t>
      </w:r>
      <w:r w:rsidRPr="00A56A02">
        <w:rPr>
          <w:rStyle w:val="HideTWBExt"/>
          <w:b w:val="0"/>
          <w:noProof w:val="0"/>
          <w:color w:val="auto"/>
        </w:rPr>
        <w:t>&lt;/DocAmend&gt;</w:t>
      </w:r>
    </w:p>
    <w:p w:rsidR="00CE4CD1" w:rsidRPr="00A56A02" w:rsidRDefault="00CE4CD1" w:rsidP="00CE4CD1">
      <w:pPr>
        <w:pStyle w:val="NormalBold"/>
      </w:pPr>
      <w:r w:rsidRPr="00A56A02">
        <w:rPr>
          <w:rStyle w:val="HideTWBExt"/>
          <w:b w:val="0"/>
          <w:noProof w:val="0"/>
          <w:color w:val="auto"/>
        </w:rPr>
        <w:t>&lt;Article&gt;</w:t>
      </w:r>
      <w:r w:rsidRPr="00A56A02">
        <w:t>Artículo 1 – párrafo 1 –punto 2 – inciso -i bis (nuevo)</w:t>
      </w:r>
      <w:r w:rsidRPr="00A56A02">
        <w:rPr>
          <w:rStyle w:val="HideTWBExt"/>
          <w:b w:val="0"/>
          <w:noProof w:val="0"/>
          <w:color w:val="auto"/>
        </w:rPr>
        <w:t>&lt;/Article&gt;</w:t>
      </w:r>
    </w:p>
    <w:p w:rsidR="00CE4CD1" w:rsidRPr="00A56A02" w:rsidRDefault="00CE4CD1" w:rsidP="00CE4CD1">
      <w:pPr>
        <w:keepNext/>
      </w:pPr>
      <w:r w:rsidRPr="00A56A02">
        <w:rPr>
          <w:rStyle w:val="HideTWBExt"/>
          <w:noProof w:val="0"/>
          <w:color w:val="auto"/>
        </w:rPr>
        <w:t>&lt;DocAmend2&gt;</w:t>
      </w:r>
      <w:r w:rsidRPr="00A56A02">
        <w:t>Reglamento (UE) 2016/399</w:t>
      </w:r>
      <w:r w:rsidRPr="00A56A02">
        <w:rPr>
          <w:rStyle w:val="HideTWBExt"/>
          <w:noProof w:val="0"/>
          <w:color w:val="auto"/>
        </w:rPr>
        <w:t>&lt;/DocAmend2&gt;</w:t>
      </w:r>
    </w:p>
    <w:p w:rsidR="00CE4CD1" w:rsidRPr="00A56A02" w:rsidRDefault="00CE4CD1" w:rsidP="00CE4CD1">
      <w:r w:rsidRPr="00A56A02">
        <w:rPr>
          <w:rStyle w:val="HideTWBExt"/>
          <w:noProof w:val="0"/>
          <w:color w:val="auto"/>
        </w:rPr>
        <w:t>&lt;Article2&gt;</w:t>
      </w:r>
      <w:r w:rsidRPr="00A56A02">
        <w:t>Artículo 27 – apartado -1</w:t>
      </w:r>
      <w:r w:rsidRPr="00A56A02">
        <w:rPr>
          <w:rStyle w:val="HideTWBExt"/>
          <w:noProof w:val="0"/>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56A02" w:rsidRPr="00A56A02" w:rsidTr="006B7FC7">
        <w:trPr>
          <w:jc w:val="center"/>
        </w:trPr>
        <w:tc>
          <w:tcPr>
            <w:tcW w:w="9752" w:type="dxa"/>
            <w:gridSpan w:val="2"/>
          </w:tcPr>
          <w:p w:rsidR="00CE4CD1" w:rsidRPr="00A56A02" w:rsidRDefault="00CE4CD1" w:rsidP="006B7FC7">
            <w:pPr>
              <w:keepNext/>
            </w:pPr>
          </w:p>
        </w:tc>
      </w:tr>
      <w:tr w:rsidR="00A56A02" w:rsidRPr="00A56A02" w:rsidTr="006B7FC7">
        <w:trPr>
          <w:jc w:val="center"/>
        </w:trPr>
        <w:tc>
          <w:tcPr>
            <w:tcW w:w="4876" w:type="dxa"/>
          </w:tcPr>
          <w:p w:rsidR="00CE4CD1" w:rsidRPr="00A56A02" w:rsidRDefault="00CE4CD1" w:rsidP="006B7FC7">
            <w:pPr>
              <w:pStyle w:val="ColumnHeading"/>
              <w:keepNext/>
            </w:pPr>
            <w:r w:rsidRPr="00A56A02">
              <w:t>Texto de la Comisión</w:t>
            </w:r>
          </w:p>
        </w:tc>
        <w:tc>
          <w:tcPr>
            <w:tcW w:w="4876" w:type="dxa"/>
          </w:tcPr>
          <w:p w:rsidR="00CE4CD1" w:rsidRPr="00A56A02" w:rsidRDefault="00CE4CD1" w:rsidP="006B7FC7">
            <w:pPr>
              <w:pStyle w:val="ColumnHeading"/>
              <w:keepNext/>
            </w:pPr>
            <w:r w:rsidRPr="00A56A02">
              <w:t>Enmienda</w:t>
            </w:r>
          </w:p>
        </w:tc>
      </w:tr>
      <w:tr w:rsidR="00A56A02" w:rsidRPr="00A56A02" w:rsidTr="006B7FC7">
        <w:trPr>
          <w:jc w:val="center"/>
        </w:trPr>
        <w:tc>
          <w:tcPr>
            <w:tcW w:w="4876" w:type="dxa"/>
          </w:tcPr>
          <w:p w:rsidR="00CE4CD1" w:rsidRPr="00A56A02" w:rsidRDefault="00CE4CD1" w:rsidP="006B7FC7">
            <w:pPr>
              <w:pStyle w:val="Normal6"/>
            </w:pPr>
          </w:p>
        </w:tc>
        <w:tc>
          <w:tcPr>
            <w:tcW w:w="4876" w:type="dxa"/>
          </w:tcPr>
          <w:p w:rsidR="00CE4CD1" w:rsidRPr="00A56A02" w:rsidRDefault="00CE4CD1" w:rsidP="006B7FC7">
            <w:pPr>
              <w:pStyle w:val="Normal6"/>
              <w:rPr>
                <w:szCs w:val="24"/>
              </w:rPr>
            </w:pPr>
            <w:r w:rsidRPr="00A56A02">
              <w:rPr>
                <w:b/>
                <w:i/>
              </w:rPr>
              <w:t>-i bis)</w:t>
            </w:r>
            <w:r w:rsidRPr="00A56A02">
              <w:rPr>
                <w:b/>
                <w:i/>
              </w:rPr>
              <w:tab/>
              <w:t>Se añade un nuevo apartado -1:</w:t>
            </w:r>
          </w:p>
        </w:tc>
      </w:tr>
      <w:tr w:rsidR="00A56A02" w:rsidRPr="00A56A02" w:rsidTr="006B7FC7">
        <w:trPr>
          <w:jc w:val="center"/>
        </w:trPr>
        <w:tc>
          <w:tcPr>
            <w:tcW w:w="4876" w:type="dxa"/>
          </w:tcPr>
          <w:p w:rsidR="00CE4CD1" w:rsidRPr="00A56A02" w:rsidRDefault="00CE4CD1" w:rsidP="006B7FC7">
            <w:pPr>
              <w:pStyle w:val="Normal6"/>
            </w:pPr>
          </w:p>
        </w:tc>
        <w:tc>
          <w:tcPr>
            <w:tcW w:w="4876" w:type="dxa"/>
          </w:tcPr>
          <w:p w:rsidR="00CE4CD1" w:rsidRPr="00A56A02" w:rsidRDefault="00CE4CD1" w:rsidP="006B7FC7">
            <w:pPr>
              <w:pStyle w:val="Normal6"/>
              <w:rPr>
                <w:szCs w:val="24"/>
              </w:rPr>
            </w:pPr>
            <w:r w:rsidRPr="00A56A02">
              <w:rPr>
                <w:b/>
                <w:i/>
              </w:rPr>
              <w:t>«-1.</w:t>
            </w:r>
            <w:r w:rsidRPr="00A56A02">
              <w:rPr>
                <w:b/>
                <w:i/>
              </w:rPr>
              <w:tab/>
              <w:t>Si existiere una amenaza grave para el orden público o la seguridad interior en un Estado miembro y este tuviere previsto restablecer el control fronterizo en las fronteras interiores, dicho Estado miembro podrá, como medida de último recurso y según los criterios establecidos en el artículo 26, restablecer controles fronterizos en todas o en algunas partes de sus fronteras interiores durante un período limitado de un máximo de 30 días o, en caso de que la</w:t>
            </w:r>
            <w:r w:rsidR="00BF4484">
              <w:rPr>
                <w:b/>
                <w:i/>
              </w:rPr>
              <w:t xml:space="preserve"> </w:t>
            </w:r>
            <w:r w:rsidRPr="00A56A02">
              <w:rPr>
                <w:b/>
                <w:i/>
              </w:rPr>
              <w:t>amenaza grave persista más allá de 30 días, durante la duración previsible de la amenaza grave pero en ningún caso por un período superior a dos meses.</w:t>
            </w:r>
          </w:p>
        </w:tc>
      </w:tr>
    </w:tbl>
    <w:p w:rsidR="00CE4CD1" w:rsidRPr="00A56A02" w:rsidRDefault="00CE4CD1" w:rsidP="00131CD6">
      <w:pPr>
        <w:pStyle w:val="Olang"/>
        <w:rPr>
          <w:noProof w:val="0"/>
          <w:szCs w:val="24"/>
        </w:rPr>
      </w:pPr>
      <w:r w:rsidRPr="00A56A02">
        <w:rPr>
          <w:noProof w:val="0"/>
          <w:szCs w:val="24"/>
        </w:rPr>
        <w:t xml:space="preserve">Or. </w:t>
      </w:r>
      <w:r w:rsidRPr="00A56A02">
        <w:rPr>
          <w:rStyle w:val="HideTWBExt"/>
          <w:noProof w:val="0"/>
          <w:color w:val="auto"/>
        </w:rPr>
        <w:t>&lt;Original&gt;</w:t>
      </w:r>
      <w:r w:rsidRPr="00A56A02">
        <w:rPr>
          <w:rStyle w:val="HideTWBInt"/>
          <w:noProof w:val="0"/>
          <w:color w:val="auto"/>
        </w:rPr>
        <w:t>{EN}</w:t>
      </w:r>
      <w:r w:rsidRPr="00A56A02">
        <w:rPr>
          <w:noProof w:val="0"/>
          <w:szCs w:val="24"/>
        </w:rPr>
        <w:t>en</w:t>
      </w:r>
      <w:r w:rsidRPr="00A56A02">
        <w:rPr>
          <w:rStyle w:val="HideTWBExt"/>
          <w:noProof w:val="0"/>
          <w:color w:val="auto"/>
        </w:rPr>
        <w:t>&lt;/Original&gt;</w:t>
      </w:r>
    </w:p>
    <w:p w:rsidR="00CE4CD1" w:rsidRPr="00A56A02" w:rsidRDefault="00CE4CD1" w:rsidP="00CE4CD1">
      <w:pPr>
        <w:pStyle w:val="CrossRef"/>
      </w:pPr>
      <w:r w:rsidRPr="00A56A02">
        <w:t>(http://eur-lex.europa.eu/legal-content/ES/TXT/?qid=1519392180316&amp;uri=CELEX:02016R0399-20170407)</w:t>
      </w:r>
    </w:p>
    <w:p w:rsidR="00CE4CD1" w:rsidRPr="00A56A02" w:rsidRDefault="00CE4CD1" w:rsidP="00CE4CD1">
      <w:pPr>
        <w:pStyle w:val="JustificationTitle"/>
        <w:spacing w:after="240"/>
      </w:pPr>
      <w:r w:rsidRPr="00A56A02">
        <w:rPr>
          <w:rStyle w:val="HideTWBExt"/>
          <w:i w:val="0"/>
          <w:noProof w:val="0"/>
          <w:color w:val="auto"/>
        </w:rPr>
        <w:t>&lt;TitreJust&gt;</w:t>
      </w:r>
      <w:r w:rsidRPr="00A56A02">
        <w:t>Justificación</w:t>
      </w:r>
      <w:r w:rsidRPr="00A56A02">
        <w:rPr>
          <w:rStyle w:val="HideTWBExt"/>
          <w:i w:val="0"/>
          <w:noProof w:val="0"/>
          <w:color w:val="auto"/>
        </w:rPr>
        <w:t>&lt;/TitreJust&gt;</w:t>
      </w:r>
    </w:p>
    <w:p w:rsidR="00CE4CD1" w:rsidRPr="00A56A02" w:rsidRDefault="00CE4CD1" w:rsidP="00CE4CD1">
      <w:pPr>
        <w:pStyle w:val="Normal12Italic"/>
        <w:spacing w:before="0" w:after="240"/>
      </w:pPr>
      <w:r w:rsidRPr="00A56A02">
        <w:t>Este apartado (antiguo artículo 25, apartado 1), establece el procedimiento para el período inicial de los controles fronterizos con una duración máxima de 2 meses.</w:t>
      </w:r>
    </w:p>
    <w:p w:rsidR="00CE4CD1" w:rsidRPr="00A56A02" w:rsidRDefault="00CE4CD1" w:rsidP="00CE4CD1">
      <w:r w:rsidRPr="00A56A02">
        <w:rPr>
          <w:rStyle w:val="HideTWBExt"/>
          <w:noProof w:val="0"/>
          <w:color w:val="auto"/>
        </w:rPr>
        <w:t>&lt;/Amend&gt;</w:t>
      </w:r>
    </w:p>
    <w:p w:rsidR="00CE4CD1" w:rsidRPr="00A56A02" w:rsidRDefault="00CE4CD1" w:rsidP="00CE4CD1">
      <w:pPr>
        <w:pStyle w:val="AMNumberTabs"/>
        <w:keepNext/>
      </w:pPr>
      <w:r w:rsidRPr="00A56A02">
        <w:rPr>
          <w:rStyle w:val="HideTWBExt"/>
          <w:b w:val="0"/>
          <w:noProof w:val="0"/>
          <w:color w:val="auto"/>
        </w:rPr>
        <w:t>&lt;Amend&gt;</w:t>
      </w:r>
      <w:r w:rsidRPr="00A56A02">
        <w:t>Enmienda</w:t>
      </w:r>
      <w:r w:rsidRPr="00A56A02">
        <w:tab/>
      </w:r>
      <w:r w:rsidRPr="00A56A02">
        <w:tab/>
      </w:r>
      <w:r w:rsidRPr="00A56A02">
        <w:rPr>
          <w:rStyle w:val="HideTWBExt"/>
          <w:b w:val="0"/>
          <w:noProof w:val="0"/>
          <w:color w:val="auto"/>
        </w:rPr>
        <w:t>&lt;NumAm&gt;</w:t>
      </w:r>
      <w:r w:rsidRPr="00A56A02">
        <w:t>23</w:t>
      </w:r>
      <w:r w:rsidRPr="00A56A02">
        <w:rPr>
          <w:rStyle w:val="HideTWBExt"/>
          <w:b w:val="0"/>
          <w:noProof w:val="0"/>
          <w:color w:val="auto"/>
        </w:rPr>
        <w:t>&lt;/NumAm&gt;</w:t>
      </w:r>
    </w:p>
    <w:p w:rsidR="00CE4CD1" w:rsidRPr="00A56A02" w:rsidRDefault="00CE4CD1" w:rsidP="00CE4CD1">
      <w:pPr>
        <w:pStyle w:val="NormalBold12b"/>
        <w:keepNext/>
      </w:pPr>
      <w:r w:rsidRPr="00A56A02">
        <w:rPr>
          <w:rStyle w:val="HideTWBExt"/>
          <w:b w:val="0"/>
          <w:noProof w:val="0"/>
          <w:color w:val="auto"/>
        </w:rPr>
        <w:t>&lt;DocAmend&gt;</w:t>
      </w:r>
      <w:r w:rsidRPr="00A56A02">
        <w:t>Propuesta de Reglamento</w:t>
      </w:r>
      <w:r w:rsidRPr="00A56A02">
        <w:rPr>
          <w:rStyle w:val="HideTWBExt"/>
          <w:b w:val="0"/>
          <w:noProof w:val="0"/>
          <w:color w:val="auto"/>
        </w:rPr>
        <w:t>&lt;/DocAmend&gt;</w:t>
      </w:r>
    </w:p>
    <w:p w:rsidR="00CE4CD1" w:rsidRPr="00A56A02" w:rsidRDefault="00CE4CD1" w:rsidP="00CE4CD1">
      <w:pPr>
        <w:pStyle w:val="NormalBold"/>
      </w:pPr>
      <w:r w:rsidRPr="00A56A02">
        <w:rPr>
          <w:rStyle w:val="HideTWBExt"/>
          <w:b w:val="0"/>
          <w:noProof w:val="0"/>
          <w:color w:val="auto"/>
        </w:rPr>
        <w:t>&lt;Article&gt;</w:t>
      </w:r>
      <w:r w:rsidRPr="00A56A02">
        <w:t>Artículo 1 – párrafo 1 –punto 2 – inciso -i ter (nuevo)</w:t>
      </w:r>
      <w:r w:rsidRPr="00A56A02">
        <w:rPr>
          <w:rStyle w:val="HideTWBExt"/>
          <w:b w:val="0"/>
          <w:noProof w:val="0"/>
          <w:color w:val="auto"/>
        </w:rPr>
        <w:t>&lt;/Article&gt;</w:t>
      </w:r>
    </w:p>
    <w:p w:rsidR="00CE4CD1" w:rsidRPr="00A56A02" w:rsidRDefault="00CE4CD1" w:rsidP="00CE4CD1">
      <w:pPr>
        <w:keepNext/>
      </w:pPr>
      <w:r w:rsidRPr="00A56A02">
        <w:rPr>
          <w:rStyle w:val="HideTWBExt"/>
          <w:noProof w:val="0"/>
          <w:color w:val="auto"/>
        </w:rPr>
        <w:t>&lt;DocAmend2&gt;</w:t>
      </w:r>
      <w:r w:rsidRPr="00A56A02">
        <w:t>Reglamento (UE) 2016/399</w:t>
      </w:r>
      <w:r w:rsidRPr="00A56A02">
        <w:rPr>
          <w:rStyle w:val="HideTWBExt"/>
          <w:noProof w:val="0"/>
          <w:color w:val="auto"/>
        </w:rPr>
        <w:t>&lt;/DocAmend2&gt;</w:t>
      </w:r>
    </w:p>
    <w:p w:rsidR="00CE4CD1" w:rsidRPr="00A56A02" w:rsidRDefault="00CE4CD1" w:rsidP="00CE4CD1">
      <w:r w:rsidRPr="00A56A02">
        <w:rPr>
          <w:rStyle w:val="HideTWBExt"/>
          <w:noProof w:val="0"/>
          <w:color w:val="auto"/>
        </w:rPr>
        <w:t>&lt;Article2&gt;</w:t>
      </w:r>
      <w:r w:rsidRPr="00A56A02">
        <w:t>Artículo 27 – apartado 1 – parte introductoria</w:t>
      </w:r>
      <w:r w:rsidRPr="00A56A02">
        <w:rPr>
          <w:rStyle w:val="HideTWBExt"/>
          <w:noProof w:val="0"/>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56A02" w:rsidRPr="00A56A02" w:rsidTr="006B7FC7">
        <w:trPr>
          <w:jc w:val="center"/>
        </w:trPr>
        <w:tc>
          <w:tcPr>
            <w:tcW w:w="9752" w:type="dxa"/>
            <w:gridSpan w:val="2"/>
          </w:tcPr>
          <w:p w:rsidR="00CE4CD1" w:rsidRPr="00A56A02" w:rsidRDefault="00CE4CD1" w:rsidP="006B7FC7">
            <w:pPr>
              <w:keepNext/>
            </w:pPr>
          </w:p>
        </w:tc>
      </w:tr>
      <w:tr w:rsidR="00A56A02" w:rsidRPr="00A56A02" w:rsidTr="006B7FC7">
        <w:trPr>
          <w:jc w:val="center"/>
        </w:trPr>
        <w:tc>
          <w:tcPr>
            <w:tcW w:w="4876" w:type="dxa"/>
          </w:tcPr>
          <w:p w:rsidR="00CE4CD1" w:rsidRPr="00A56A02" w:rsidRDefault="00CE4CD1" w:rsidP="006B7FC7">
            <w:pPr>
              <w:pStyle w:val="ColumnHeading"/>
              <w:keepNext/>
            </w:pPr>
            <w:r w:rsidRPr="00A56A02">
              <w:t>Texto en vigor</w:t>
            </w:r>
          </w:p>
        </w:tc>
        <w:tc>
          <w:tcPr>
            <w:tcW w:w="4876" w:type="dxa"/>
          </w:tcPr>
          <w:p w:rsidR="00CE4CD1" w:rsidRPr="00A56A02" w:rsidRDefault="00CE4CD1" w:rsidP="006B7FC7">
            <w:pPr>
              <w:pStyle w:val="ColumnHeading"/>
              <w:keepNext/>
            </w:pPr>
            <w:r w:rsidRPr="00A56A02">
              <w:t>Enmienda</w:t>
            </w:r>
          </w:p>
        </w:tc>
      </w:tr>
      <w:tr w:rsidR="00A56A02" w:rsidRPr="00A56A02" w:rsidTr="006B7FC7">
        <w:trPr>
          <w:jc w:val="center"/>
        </w:trPr>
        <w:tc>
          <w:tcPr>
            <w:tcW w:w="4876" w:type="dxa"/>
          </w:tcPr>
          <w:p w:rsidR="00CE4CD1" w:rsidRPr="00A56A02" w:rsidRDefault="00CE4CD1" w:rsidP="006B7FC7">
            <w:pPr>
              <w:pStyle w:val="Normal6"/>
            </w:pPr>
          </w:p>
        </w:tc>
        <w:tc>
          <w:tcPr>
            <w:tcW w:w="4876" w:type="dxa"/>
          </w:tcPr>
          <w:p w:rsidR="00CE4CD1" w:rsidRPr="00A56A02" w:rsidRDefault="00CE4CD1" w:rsidP="006B7FC7">
            <w:pPr>
              <w:pStyle w:val="Normal6"/>
              <w:rPr>
                <w:szCs w:val="24"/>
              </w:rPr>
            </w:pPr>
            <w:r w:rsidRPr="00A56A02">
              <w:rPr>
                <w:b/>
                <w:i/>
              </w:rPr>
              <w:t>- i ter)</w:t>
            </w:r>
            <w:r w:rsidRPr="00A56A02">
              <w:rPr>
                <w:b/>
                <w:i/>
              </w:rPr>
              <w:tab/>
              <w:t>En el apartado 1, la frase introductoria se sustituye por el texto siguiente:</w:t>
            </w:r>
          </w:p>
        </w:tc>
      </w:tr>
      <w:tr w:rsidR="00A56A02" w:rsidRPr="00A56A02" w:rsidTr="006B7FC7">
        <w:trPr>
          <w:jc w:val="center"/>
        </w:trPr>
        <w:tc>
          <w:tcPr>
            <w:tcW w:w="4876" w:type="dxa"/>
          </w:tcPr>
          <w:p w:rsidR="00CE4CD1" w:rsidRPr="00A56A02" w:rsidRDefault="00CE4CD1" w:rsidP="006B7FC7">
            <w:pPr>
              <w:pStyle w:val="Normal6"/>
            </w:pPr>
            <w:r w:rsidRPr="00A56A02">
              <w:t xml:space="preserve">1. </w:t>
            </w:r>
            <w:r w:rsidRPr="00A56A02">
              <w:rPr>
                <w:b/>
                <w:i/>
              </w:rPr>
              <w:t>Cuando un Estado miembro se proponga restablecer los controles fronterizos en las fronteras interiores en virtud del artículo 25</w:t>
            </w:r>
            <w:r w:rsidRPr="00A56A02">
              <w:t>, se lo notificará a los demás Estados miembros y a la Comisión con al menos cuatro semanas de antelación con respecto al restablecimiento previsto, o en un plazo más corto si las circunstancias que dan lugar a la necesidad de restablecer los controles fronterizos en las fronteras interiores se conocen en un plazo inferior a cuatro semanas con respecto a la fecha prevista del restablecimiento. En dichas circunstancias, el Estado miembro facilitará la información siguiente:</w:t>
            </w:r>
          </w:p>
        </w:tc>
        <w:tc>
          <w:tcPr>
            <w:tcW w:w="4876" w:type="dxa"/>
          </w:tcPr>
          <w:p w:rsidR="00CE4CD1" w:rsidRPr="00A56A02" w:rsidRDefault="00CE4CD1" w:rsidP="006B7FC7">
            <w:pPr>
              <w:pStyle w:val="Normal6"/>
              <w:rPr>
                <w:szCs w:val="24"/>
              </w:rPr>
            </w:pPr>
            <w:r w:rsidRPr="00A56A02">
              <w:t>«1.</w:t>
            </w:r>
            <w:r w:rsidRPr="00A56A02">
              <w:rPr>
                <w:b/>
                <w:i/>
              </w:rPr>
              <w:tab/>
              <w:t>A efectos del apartado -1, el Estado miembro afectado</w:t>
            </w:r>
            <w:r w:rsidRPr="00A56A02">
              <w:t xml:space="preserve"> se lo notificará a los demás Estados miembros y a la Comisión con al menos cuatro semanas de antelación con respecto al restablecimiento previsto, o en un plazo más corto si las circunstancias que dan lugar a la necesidad de restablecer los controles fronterizos en las fronteras interiores se conocen en un plazo inferior a cuatro semanas con respecto a la fecha prevista del restablecimiento. En dichas circunstancias, el Estado miembro facilitará la información siguiente:</w:t>
            </w:r>
          </w:p>
        </w:tc>
      </w:tr>
    </w:tbl>
    <w:p w:rsidR="00CE4CD1" w:rsidRPr="00A56A02" w:rsidRDefault="00CE4CD1" w:rsidP="00131CD6">
      <w:pPr>
        <w:pStyle w:val="Olang"/>
        <w:rPr>
          <w:noProof w:val="0"/>
          <w:szCs w:val="24"/>
        </w:rPr>
      </w:pPr>
      <w:r w:rsidRPr="00A56A02">
        <w:rPr>
          <w:noProof w:val="0"/>
          <w:szCs w:val="24"/>
        </w:rPr>
        <w:t xml:space="preserve">Or. </w:t>
      </w:r>
      <w:r w:rsidRPr="00A56A02">
        <w:rPr>
          <w:rStyle w:val="HideTWBExt"/>
          <w:noProof w:val="0"/>
          <w:color w:val="auto"/>
        </w:rPr>
        <w:t>&lt;Original&gt;</w:t>
      </w:r>
      <w:r w:rsidRPr="00A56A02">
        <w:rPr>
          <w:rStyle w:val="HideTWBInt"/>
          <w:noProof w:val="0"/>
          <w:color w:val="auto"/>
        </w:rPr>
        <w:t>{EN}</w:t>
      </w:r>
      <w:r w:rsidRPr="00A56A02">
        <w:rPr>
          <w:noProof w:val="0"/>
          <w:szCs w:val="24"/>
        </w:rPr>
        <w:t>en</w:t>
      </w:r>
      <w:r w:rsidRPr="00A56A02">
        <w:rPr>
          <w:rStyle w:val="HideTWBExt"/>
          <w:noProof w:val="0"/>
          <w:color w:val="auto"/>
        </w:rPr>
        <w:t>&lt;/Original&gt;</w:t>
      </w:r>
    </w:p>
    <w:p w:rsidR="00CE4CD1" w:rsidRPr="00A56A02" w:rsidRDefault="00CE4CD1" w:rsidP="00CE4CD1">
      <w:pPr>
        <w:pStyle w:val="CrossRef"/>
      </w:pPr>
      <w:r w:rsidRPr="00A56A02">
        <w:t>(http://eur-lex.europa.eu/legal-content/ES/TXT/?qid=1519392180316&amp;uri=CELEX:02016R0399-20170407)</w:t>
      </w:r>
    </w:p>
    <w:p w:rsidR="00CE4CD1" w:rsidRPr="00A56A02" w:rsidRDefault="00CE4CD1" w:rsidP="00CE4CD1">
      <w:r w:rsidRPr="00A56A02">
        <w:rPr>
          <w:rStyle w:val="HideTWBExt"/>
          <w:noProof w:val="0"/>
          <w:color w:val="auto"/>
        </w:rPr>
        <w:t>&lt;/Amend&gt;</w:t>
      </w:r>
    </w:p>
    <w:p w:rsidR="00CE4CD1" w:rsidRPr="00A56A02" w:rsidRDefault="00CE4CD1" w:rsidP="00CE4CD1">
      <w:pPr>
        <w:pStyle w:val="AMNumberTabs"/>
        <w:keepNext/>
      </w:pPr>
      <w:r w:rsidRPr="00A56A02">
        <w:rPr>
          <w:rStyle w:val="HideTWBExt"/>
          <w:b w:val="0"/>
          <w:noProof w:val="0"/>
          <w:color w:val="auto"/>
        </w:rPr>
        <w:t>&lt;Amend&gt;</w:t>
      </w:r>
      <w:r w:rsidRPr="00A56A02">
        <w:t>Enmienda</w:t>
      </w:r>
      <w:r w:rsidRPr="00A56A02">
        <w:tab/>
      </w:r>
      <w:r w:rsidRPr="00A56A02">
        <w:tab/>
      </w:r>
      <w:r w:rsidRPr="00A56A02">
        <w:rPr>
          <w:rStyle w:val="HideTWBExt"/>
          <w:b w:val="0"/>
          <w:noProof w:val="0"/>
          <w:color w:val="auto"/>
        </w:rPr>
        <w:t>&lt;NumAm&gt;</w:t>
      </w:r>
      <w:r w:rsidRPr="00A56A02">
        <w:t>24</w:t>
      </w:r>
      <w:r w:rsidRPr="00A56A02">
        <w:rPr>
          <w:rStyle w:val="HideTWBExt"/>
          <w:b w:val="0"/>
          <w:noProof w:val="0"/>
          <w:color w:val="auto"/>
        </w:rPr>
        <w:t>&lt;/NumAm&gt;</w:t>
      </w:r>
    </w:p>
    <w:p w:rsidR="00CE4CD1" w:rsidRPr="00A56A02" w:rsidRDefault="00CE4CD1" w:rsidP="00CE4CD1">
      <w:pPr>
        <w:pStyle w:val="NormalBold12b"/>
        <w:keepNext/>
      </w:pPr>
      <w:r w:rsidRPr="00A56A02">
        <w:rPr>
          <w:rStyle w:val="HideTWBExt"/>
          <w:b w:val="0"/>
          <w:noProof w:val="0"/>
          <w:color w:val="auto"/>
        </w:rPr>
        <w:t>&lt;DocAmend&gt;</w:t>
      </w:r>
      <w:r w:rsidRPr="00A56A02">
        <w:t>Propuesta de Reglamento</w:t>
      </w:r>
      <w:r w:rsidRPr="00A56A02">
        <w:rPr>
          <w:rStyle w:val="HideTWBExt"/>
          <w:b w:val="0"/>
          <w:noProof w:val="0"/>
          <w:color w:val="auto"/>
        </w:rPr>
        <w:t>&lt;/DocAmend&gt;</w:t>
      </w:r>
    </w:p>
    <w:p w:rsidR="00CE4CD1" w:rsidRPr="00A56A02" w:rsidRDefault="00CE4CD1" w:rsidP="00CE4CD1">
      <w:pPr>
        <w:pStyle w:val="NormalBold"/>
      </w:pPr>
      <w:r w:rsidRPr="00A56A02">
        <w:rPr>
          <w:rStyle w:val="HideTWBExt"/>
          <w:b w:val="0"/>
          <w:noProof w:val="0"/>
          <w:color w:val="auto"/>
        </w:rPr>
        <w:t>&lt;Article&gt;</w:t>
      </w:r>
      <w:r w:rsidRPr="00A56A02">
        <w:t>Artículo 1 – párrafo 1 – punto 2 – inciso i</w:t>
      </w:r>
      <w:r w:rsidRPr="00A56A02">
        <w:rPr>
          <w:rStyle w:val="HideTWBExt"/>
          <w:b w:val="0"/>
          <w:noProof w:val="0"/>
          <w:color w:val="auto"/>
        </w:rPr>
        <w:t>&lt;/Article&gt;</w:t>
      </w:r>
    </w:p>
    <w:p w:rsidR="00CE4CD1" w:rsidRPr="00A56A02" w:rsidRDefault="00CE4CD1" w:rsidP="00CE4CD1">
      <w:pPr>
        <w:keepNext/>
      </w:pPr>
      <w:r w:rsidRPr="00A56A02">
        <w:rPr>
          <w:rStyle w:val="HideTWBExt"/>
          <w:noProof w:val="0"/>
          <w:color w:val="auto"/>
        </w:rPr>
        <w:t>&lt;DocAmend2&gt;</w:t>
      </w:r>
      <w:r w:rsidRPr="00A56A02">
        <w:t>Reglamento (UE) 2016/399</w:t>
      </w:r>
      <w:r w:rsidRPr="00A56A02">
        <w:rPr>
          <w:rStyle w:val="HideTWBExt"/>
          <w:noProof w:val="0"/>
          <w:color w:val="auto"/>
        </w:rPr>
        <w:t>&lt;/DocAmend2&gt;</w:t>
      </w:r>
    </w:p>
    <w:p w:rsidR="00CE4CD1" w:rsidRPr="00A56A02" w:rsidRDefault="00CE4CD1" w:rsidP="00CE4CD1">
      <w:r w:rsidRPr="00A56A02">
        <w:rPr>
          <w:rStyle w:val="HideTWBExt"/>
          <w:noProof w:val="0"/>
          <w:color w:val="auto"/>
        </w:rPr>
        <w:t>&lt;Article2&gt;</w:t>
      </w:r>
      <w:r w:rsidRPr="00A56A02">
        <w:t>Artículo 27 – apartado 1 – letra aa</w:t>
      </w:r>
      <w:r w:rsidRPr="00A56A02">
        <w:rPr>
          <w:rStyle w:val="HideTWBExt"/>
          <w:noProof w:val="0"/>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6A02" w:rsidRPr="00A56A02" w:rsidTr="006B7FC7">
        <w:trPr>
          <w:jc w:val="center"/>
        </w:trPr>
        <w:tc>
          <w:tcPr>
            <w:tcW w:w="9752" w:type="dxa"/>
            <w:gridSpan w:val="2"/>
          </w:tcPr>
          <w:p w:rsidR="00CE4CD1" w:rsidRPr="00A56A02" w:rsidRDefault="00CE4CD1" w:rsidP="006B7FC7">
            <w:pPr>
              <w:keepNext/>
            </w:pPr>
          </w:p>
        </w:tc>
      </w:tr>
      <w:tr w:rsidR="00A56A02" w:rsidRPr="00A56A02" w:rsidTr="006B7FC7">
        <w:trPr>
          <w:jc w:val="center"/>
        </w:trPr>
        <w:tc>
          <w:tcPr>
            <w:tcW w:w="4876" w:type="dxa"/>
          </w:tcPr>
          <w:p w:rsidR="00CE4CD1" w:rsidRPr="00A56A02" w:rsidRDefault="00CE4CD1" w:rsidP="006B7FC7">
            <w:pPr>
              <w:pStyle w:val="ColumnHeading"/>
              <w:keepNext/>
            </w:pPr>
            <w:r w:rsidRPr="00A56A02">
              <w:t>Texto de la Comisión</w:t>
            </w:r>
          </w:p>
        </w:tc>
        <w:tc>
          <w:tcPr>
            <w:tcW w:w="4876" w:type="dxa"/>
          </w:tcPr>
          <w:p w:rsidR="00CE4CD1" w:rsidRPr="00A56A02" w:rsidRDefault="00CE4CD1" w:rsidP="006B7FC7">
            <w:pPr>
              <w:pStyle w:val="ColumnHeading"/>
              <w:keepNext/>
            </w:pPr>
            <w:r w:rsidRPr="00A56A02">
              <w:t>Enmienda</w:t>
            </w:r>
          </w:p>
        </w:tc>
      </w:tr>
      <w:tr w:rsidR="00A56A02" w:rsidRPr="00A56A02" w:rsidTr="006B7FC7">
        <w:trPr>
          <w:jc w:val="center"/>
        </w:trPr>
        <w:tc>
          <w:tcPr>
            <w:tcW w:w="4876" w:type="dxa"/>
          </w:tcPr>
          <w:p w:rsidR="00CE4CD1" w:rsidRPr="00A56A02" w:rsidRDefault="00CE4CD1" w:rsidP="006B7FC7">
            <w:pPr>
              <w:pStyle w:val="Normal6"/>
              <w:rPr>
                <w:b/>
                <w:i/>
              </w:rPr>
            </w:pPr>
            <w:r w:rsidRPr="00A56A02">
              <w:rPr>
                <w:b/>
                <w:i/>
              </w:rPr>
              <w:t>i) En el apartado 1, se añade la letra aa) siguiente:</w:t>
            </w:r>
          </w:p>
        </w:tc>
        <w:tc>
          <w:tcPr>
            <w:tcW w:w="4876" w:type="dxa"/>
          </w:tcPr>
          <w:p w:rsidR="00CE4CD1" w:rsidRPr="00A56A02" w:rsidRDefault="00CE4CD1" w:rsidP="006B7FC7">
            <w:pPr>
              <w:pStyle w:val="Normal6"/>
              <w:rPr>
                <w:b/>
                <w:i/>
              </w:rPr>
            </w:pPr>
            <w:r w:rsidRPr="00A56A02">
              <w:rPr>
                <w:b/>
                <w:i/>
              </w:rPr>
              <w:t>suprimido</w:t>
            </w:r>
          </w:p>
        </w:tc>
      </w:tr>
      <w:tr w:rsidR="00A56A02" w:rsidRPr="00A56A02" w:rsidTr="006B7FC7">
        <w:trPr>
          <w:jc w:val="center"/>
        </w:trPr>
        <w:tc>
          <w:tcPr>
            <w:tcW w:w="4876" w:type="dxa"/>
          </w:tcPr>
          <w:p w:rsidR="00CE4CD1" w:rsidRPr="00A56A02" w:rsidRDefault="00CE4CD1" w:rsidP="006B7FC7">
            <w:pPr>
              <w:pStyle w:val="Normal6"/>
              <w:rPr>
                <w:b/>
                <w:i/>
              </w:rPr>
            </w:pPr>
            <w:r w:rsidRPr="00A56A02">
              <w:rPr>
                <w:b/>
                <w:i/>
              </w:rPr>
              <w:t>aa)</w:t>
            </w:r>
            <w:r w:rsidRPr="00A56A02">
              <w:rPr>
                <w:b/>
                <w:i/>
              </w:rPr>
              <w:tab/>
              <w:t>«aa) una evaluación de riesgos que evalúe durante cuánto tiempo se espera que persista la amenaza detectada y qué secciones de las fronteras interiores se ven afectadas, demuestre que la prórroga de los controles fronterizos es una medida de último recurso y explique de qué manera el control de las fronteras podría contribuir a abordar la amenaza detectada. En los casos en que ya se hayan restablecido los controles fronterizos durante más de seis meses, la evaluación de riesgos deberá explicar también de qué forma el restablecimiento de estos controles ha contribuido a poner remedio a la amenaza detectada.</w:t>
            </w:r>
          </w:p>
        </w:tc>
        <w:tc>
          <w:tcPr>
            <w:tcW w:w="4876" w:type="dxa"/>
          </w:tcPr>
          <w:p w:rsidR="00CE4CD1" w:rsidRPr="00A56A02" w:rsidRDefault="00CE4CD1" w:rsidP="006B7FC7">
            <w:pPr>
              <w:pStyle w:val="Normal6"/>
              <w:rPr>
                <w:b/>
                <w:i/>
                <w:szCs w:val="24"/>
              </w:rPr>
            </w:pPr>
          </w:p>
        </w:tc>
      </w:tr>
      <w:tr w:rsidR="00A56A02" w:rsidRPr="00A56A02" w:rsidTr="006B7FC7">
        <w:trPr>
          <w:jc w:val="center"/>
        </w:trPr>
        <w:tc>
          <w:tcPr>
            <w:tcW w:w="4876" w:type="dxa"/>
          </w:tcPr>
          <w:p w:rsidR="00CE4CD1" w:rsidRPr="00A56A02" w:rsidRDefault="00CE4CD1" w:rsidP="006B7FC7">
            <w:pPr>
              <w:pStyle w:val="Normal6"/>
              <w:rPr>
                <w:b/>
                <w:i/>
              </w:rPr>
            </w:pPr>
            <w:r w:rsidRPr="00A56A02">
              <w:rPr>
                <w:b/>
                <w:i/>
              </w:rPr>
              <w:t>La evaluación de riesgos incluirá asimismo un informe detallado de la coordinación que tuvo lugar entre el Estado miembro afectado y el Estado miembro o los Estados miembros con los que comparte fronteras interiores en cuyas fronteras se realizaron los controles.</w:t>
            </w:r>
          </w:p>
        </w:tc>
        <w:tc>
          <w:tcPr>
            <w:tcW w:w="4876" w:type="dxa"/>
          </w:tcPr>
          <w:p w:rsidR="00CE4CD1" w:rsidRPr="00A56A02" w:rsidRDefault="00CE4CD1" w:rsidP="006B7FC7">
            <w:pPr>
              <w:pStyle w:val="Normal6"/>
              <w:rPr>
                <w:szCs w:val="24"/>
              </w:rPr>
            </w:pPr>
          </w:p>
        </w:tc>
      </w:tr>
      <w:tr w:rsidR="00A56A02" w:rsidRPr="00A56A02" w:rsidTr="006B7FC7">
        <w:trPr>
          <w:jc w:val="center"/>
        </w:trPr>
        <w:tc>
          <w:tcPr>
            <w:tcW w:w="4876" w:type="dxa"/>
          </w:tcPr>
          <w:p w:rsidR="00CE4CD1" w:rsidRPr="00A56A02" w:rsidRDefault="00CE4CD1" w:rsidP="006B7FC7">
            <w:pPr>
              <w:pStyle w:val="Normal6"/>
              <w:rPr>
                <w:b/>
                <w:i/>
              </w:rPr>
            </w:pPr>
            <w:r w:rsidRPr="00A56A02">
              <w:rPr>
                <w:b/>
                <w:i/>
              </w:rPr>
              <w:t>La Comisión compartirá la evaluación de riesgos con la Agencia Europea de la Guardia de Fronteras y Costas y Europol, según proceda.».</w:t>
            </w:r>
          </w:p>
        </w:tc>
        <w:tc>
          <w:tcPr>
            <w:tcW w:w="4876" w:type="dxa"/>
          </w:tcPr>
          <w:p w:rsidR="00CE4CD1" w:rsidRPr="00A56A02" w:rsidRDefault="00CE4CD1" w:rsidP="006B7FC7">
            <w:pPr>
              <w:pStyle w:val="Normal6"/>
              <w:rPr>
                <w:szCs w:val="24"/>
              </w:rPr>
            </w:pPr>
          </w:p>
        </w:tc>
      </w:tr>
    </w:tbl>
    <w:p w:rsidR="00CE4CD1" w:rsidRPr="00A56A02" w:rsidRDefault="00CE4CD1" w:rsidP="00131CD6">
      <w:pPr>
        <w:pStyle w:val="Olang"/>
        <w:rPr>
          <w:noProof w:val="0"/>
          <w:szCs w:val="24"/>
        </w:rPr>
      </w:pPr>
      <w:r w:rsidRPr="00A56A02">
        <w:rPr>
          <w:noProof w:val="0"/>
          <w:szCs w:val="24"/>
        </w:rPr>
        <w:t xml:space="preserve">Or. </w:t>
      </w:r>
      <w:r w:rsidRPr="00A56A02">
        <w:rPr>
          <w:rStyle w:val="HideTWBExt"/>
          <w:noProof w:val="0"/>
          <w:color w:val="auto"/>
        </w:rPr>
        <w:t>&lt;Original&gt;</w:t>
      </w:r>
      <w:r w:rsidRPr="00A56A02">
        <w:rPr>
          <w:rStyle w:val="HideTWBInt"/>
          <w:noProof w:val="0"/>
          <w:color w:val="auto"/>
        </w:rPr>
        <w:t>{EN}</w:t>
      </w:r>
      <w:r w:rsidRPr="00A56A02">
        <w:rPr>
          <w:noProof w:val="0"/>
          <w:szCs w:val="24"/>
        </w:rPr>
        <w:t>en</w:t>
      </w:r>
      <w:r w:rsidRPr="00A56A02">
        <w:rPr>
          <w:rStyle w:val="HideTWBExt"/>
          <w:noProof w:val="0"/>
          <w:color w:val="auto"/>
        </w:rPr>
        <w:t>&lt;/Original&gt;</w:t>
      </w:r>
    </w:p>
    <w:p w:rsidR="00CE4CD1" w:rsidRPr="00A56A02" w:rsidRDefault="00CE4CD1" w:rsidP="00CE4CD1">
      <w:pPr>
        <w:pStyle w:val="JustificationTitle"/>
        <w:spacing w:after="240"/>
      </w:pPr>
      <w:r w:rsidRPr="00A56A02">
        <w:rPr>
          <w:rStyle w:val="HideTWBExt"/>
          <w:i w:val="0"/>
          <w:noProof w:val="0"/>
          <w:color w:val="auto"/>
        </w:rPr>
        <w:t>&lt;TitreJust&gt;</w:t>
      </w:r>
      <w:r w:rsidRPr="00A56A02">
        <w:t>Justificación</w:t>
      </w:r>
      <w:r w:rsidRPr="00A56A02">
        <w:rPr>
          <w:rStyle w:val="HideTWBExt"/>
          <w:i w:val="0"/>
          <w:noProof w:val="0"/>
          <w:color w:val="auto"/>
        </w:rPr>
        <w:t>&lt;/TitreJust&gt;</w:t>
      </w:r>
    </w:p>
    <w:p w:rsidR="00CE4CD1" w:rsidRPr="00A56A02" w:rsidRDefault="00CE4CD1" w:rsidP="00CE4CD1">
      <w:pPr>
        <w:pStyle w:val="Normal12Italic"/>
        <w:spacing w:before="0" w:after="240"/>
      </w:pPr>
      <w:r w:rsidRPr="00A56A02">
        <w:t>Esta parte de la propuesta de la Comisión se ha trasladado al apartado 1 bis.</w:t>
      </w:r>
    </w:p>
    <w:p w:rsidR="00CE4CD1" w:rsidRPr="00A56A02" w:rsidRDefault="00CE4CD1" w:rsidP="00CE4CD1">
      <w:r w:rsidRPr="00A56A02">
        <w:rPr>
          <w:rStyle w:val="HideTWBExt"/>
          <w:noProof w:val="0"/>
          <w:color w:val="auto"/>
        </w:rPr>
        <w:t>&lt;/Amend&gt;</w:t>
      </w:r>
    </w:p>
    <w:p w:rsidR="00CE4CD1" w:rsidRPr="00A56A02" w:rsidRDefault="00CE4CD1" w:rsidP="00CE4CD1">
      <w:pPr>
        <w:pStyle w:val="AMNumberTabs"/>
        <w:keepNext/>
      </w:pPr>
      <w:r w:rsidRPr="00A56A02">
        <w:rPr>
          <w:rStyle w:val="HideTWBExt"/>
          <w:b w:val="0"/>
          <w:noProof w:val="0"/>
          <w:color w:val="auto"/>
        </w:rPr>
        <w:t>&lt;Amend&gt;</w:t>
      </w:r>
      <w:r w:rsidRPr="00A56A02">
        <w:t>Enmienda</w:t>
      </w:r>
      <w:r w:rsidRPr="00A56A02">
        <w:tab/>
      </w:r>
      <w:r w:rsidRPr="00A56A02">
        <w:tab/>
      </w:r>
      <w:r w:rsidRPr="00A56A02">
        <w:rPr>
          <w:rStyle w:val="HideTWBExt"/>
          <w:b w:val="0"/>
          <w:noProof w:val="0"/>
          <w:color w:val="auto"/>
        </w:rPr>
        <w:t>&lt;NumAm&gt;</w:t>
      </w:r>
      <w:r w:rsidRPr="00A56A02">
        <w:t>25</w:t>
      </w:r>
      <w:r w:rsidRPr="00A56A02">
        <w:rPr>
          <w:rStyle w:val="HideTWBExt"/>
          <w:b w:val="0"/>
          <w:noProof w:val="0"/>
          <w:color w:val="auto"/>
        </w:rPr>
        <w:t>&lt;/NumAm&gt;</w:t>
      </w:r>
    </w:p>
    <w:p w:rsidR="00CE4CD1" w:rsidRPr="00A56A02" w:rsidRDefault="00CE4CD1" w:rsidP="00CE4CD1">
      <w:pPr>
        <w:pStyle w:val="NormalBold12b"/>
        <w:keepNext/>
      </w:pPr>
      <w:r w:rsidRPr="00A56A02">
        <w:rPr>
          <w:rStyle w:val="HideTWBExt"/>
          <w:b w:val="0"/>
          <w:noProof w:val="0"/>
          <w:color w:val="auto"/>
        </w:rPr>
        <w:t>&lt;DocAmend&gt;</w:t>
      </w:r>
      <w:r w:rsidRPr="00A56A02">
        <w:t>Propuesta de Reglamento</w:t>
      </w:r>
      <w:r w:rsidRPr="00A56A02">
        <w:rPr>
          <w:rStyle w:val="HideTWBExt"/>
          <w:b w:val="0"/>
          <w:noProof w:val="0"/>
          <w:color w:val="auto"/>
        </w:rPr>
        <w:t>&lt;/DocAmend&gt;</w:t>
      </w:r>
    </w:p>
    <w:p w:rsidR="00CE4CD1" w:rsidRPr="00A56A02" w:rsidRDefault="00CE4CD1" w:rsidP="00CE4CD1">
      <w:pPr>
        <w:pStyle w:val="NormalBold"/>
      </w:pPr>
      <w:r w:rsidRPr="00A56A02">
        <w:rPr>
          <w:rStyle w:val="HideTWBExt"/>
          <w:b w:val="0"/>
          <w:noProof w:val="0"/>
          <w:color w:val="auto"/>
        </w:rPr>
        <w:t>&lt;Article&gt;</w:t>
      </w:r>
      <w:r w:rsidRPr="00A56A02">
        <w:t>Artículo 1 – párrafo 1 –punto 2 – inciso -i bis (nuevo)</w:t>
      </w:r>
      <w:r w:rsidRPr="00A56A02">
        <w:rPr>
          <w:rStyle w:val="HideTWBExt"/>
          <w:b w:val="0"/>
          <w:noProof w:val="0"/>
          <w:color w:val="auto"/>
        </w:rPr>
        <w:t>&lt;/Article&gt;</w:t>
      </w:r>
    </w:p>
    <w:p w:rsidR="00CE4CD1" w:rsidRPr="00A56A02" w:rsidRDefault="00CE4CD1" w:rsidP="00CE4CD1">
      <w:pPr>
        <w:keepNext/>
      </w:pPr>
      <w:r w:rsidRPr="00A56A02">
        <w:rPr>
          <w:rStyle w:val="HideTWBExt"/>
          <w:noProof w:val="0"/>
          <w:color w:val="auto"/>
        </w:rPr>
        <w:t>&lt;DocAmend2&gt;</w:t>
      </w:r>
      <w:r w:rsidRPr="00A56A02">
        <w:t>Reglamento (UE) 2016/399</w:t>
      </w:r>
      <w:r w:rsidRPr="00A56A02">
        <w:rPr>
          <w:rStyle w:val="HideTWBExt"/>
          <w:noProof w:val="0"/>
          <w:color w:val="auto"/>
        </w:rPr>
        <w:t>&lt;/DocAmend2&gt;</w:t>
      </w:r>
    </w:p>
    <w:p w:rsidR="00CE4CD1" w:rsidRPr="00A56A02" w:rsidRDefault="00CE4CD1" w:rsidP="00CE4CD1">
      <w:r w:rsidRPr="00A56A02">
        <w:rPr>
          <w:rStyle w:val="HideTWBExt"/>
          <w:noProof w:val="0"/>
          <w:color w:val="auto"/>
        </w:rPr>
        <w:t>&lt;Article2&gt;</w:t>
      </w:r>
      <w:r w:rsidRPr="00A56A02">
        <w:t>Artículo 27 – apartado 1 – letra a ter (nueva)</w:t>
      </w:r>
      <w:r w:rsidRPr="00A56A02">
        <w:rPr>
          <w:rStyle w:val="HideTWBExt"/>
          <w:noProof w:val="0"/>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6A02" w:rsidRPr="00A56A02" w:rsidTr="006B7FC7">
        <w:trPr>
          <w:jc w:val="center"/>
        </w:trPr>
        <w:tc>
          <w:tcPr>
            <w:tcW w:w="9752" w:type="dxa"/>
            <w:gridSpan w:val="2"/>
          </w:tcPr>
          <w:p w:rsidR="00CE4CD1" w:rsidRPr="00A56A02" w:rsidRDefault="00CE4CD1" w:rsidP="006B7FC7">
            <w:pPr>
              <w:keepNext/>
            </w:pPr>
          </w:p>
        </w:tc>
      </w:tr>
      <w:tr w:rsidR="00A56A02" w:rsidRPr="00A56A02" w:rsidTr="006B7FC7">
        <w:trPr>
          <w:jc w:val="center"/>
        </w:trPr>
        <w:tc>
          <w:tcPr>
            <w:tcW w:w="4876" w:type="dxa"/>
          </w:tcPr>
          <w:p w:rsidR="00CE4CD1" w:rsidRPr="00A56A02" w:rsidRDefault="00CE4CD1" w:rsidP="006B7FC7">
            <w:pPr>
              <w:pStyle w:val="ColumnHeading"/>
              <w:keepNext/>
            </w:pPr>
            <w:r w:rsidRPr="00A56A02">
              <w:t>Texto de la Comisión</w:t>
            </w:r>
          </w:p>
        </w:tc>
        <w:tc>
          <w:tcPr>
            <w:tcW w:w="4876" w:type="dxa"/>
          </w:tcPr>
          <w:p w:rsidR="00CE4CD1" w:rsidRPr="00A56A02" w:rsidRDefault="00CE4CD1" w:rsidP="006B7FC7">
            <w:pPr>
              <w:pStyle w:val="ColumnHeading"/>
              <w:keepNext/>
            </w:pPr>
            <w:r w:rsidRPr="00A56A02">
              <w:t>Enmienda</w:t>
            </w:r>
          </w:p>
        </w:tc>
      </w:tr>
      <w:tr w:rsidR="00A56A02" w:rsidRPr="00A56A02" w:rsidTr="006B7FC7">
        <w:trPr>
          <w:jc w:val="center"/>
        </w:trPr>
        <w:tc>
          <w:tcPr>
            <w:tcW w:w="4876" w:type="dxa"/>
          </w:tcPr>
          <w:p w:rsidR="00CE4CD1" w:rsidRPr="00A56A02" w:rsidRDefault="00CE4CD1" w:rsidP="006B7FC7">
            <w:pPr>
              <w:pStyle w:val="Normal6"/>
            </w:pPr>
          </w:p>
        </w:tc>
        <w:tc>
          <w:tcPr>
            <w:tcW w:w="4876" w:type="dxa"/>
          </w:tcPr>
          <w:p w:rsidR="00CE4CD1" w:rsidRPr="00A56A02" w:rsidRDefault="00CE4CD1" w:rsidP="006B7FC7">
            <w:pPr>
              <w:pStyle w:val="Normal6"/>
            </w:pPr>
            <w:r w:rsidRPr="00A56A02">
              <w:rPr>
                <w:b/>
                <w:i/>
              </w:rPr>
              <w:t>i bis)</w:t>
            </w:r>
            <w:r w:rsidRPr="00A56A02">
              <w:rPr>
                <w:b/>
                <w:i/>
              </w:rPr>
              <w:tab/>
              <w:t>En el apartado 1, se añade la letra a ter siguiente:</w:t>
            </w:r>
          </w:p>
        </w:tc>
      </w:tr>
      <w:tr w:rsidR="00A56A02" w:rsidRPr="00A56A02" w:rsidTr="006B7FC7">
        <w:trPr>
          <w:jc w:val="center"/>
        </w:trPr>
        <w:tc>
          <w:tcPr>
            <w:tcW w:w="4876" w:type="dxa"/>
          </w:tcPr>
          <w:p w:rsidR="00CE4CD1" w:rsidRPr="00A56A02" w:rsidRDefault="00CE4CD1" w:rsidP="006B7FC7">
            <w:pPr>
              <w:pStyle w:val="Normal6"/>
            </w:pPr>
          </w:p>
        </w:tc>
        <w:tc>
          <w:tcPr>
            <w:tcW w:w="4876" w:type="dxa"/>
          </w:tcPr>
          <w:p w:rsidR="00CE4CD1" w:rsidRPr="00A56A02" w:rsidRDefault="00CE4CD1" w:rsidP="006B7FC7">
            <w:pPr>
              <w:pStyle w:val="Normal6"/>
              <w:rPr>
                <w:szCs w:val="24"/>
              </w:rPr>
            </w:pPr>
            <w:r w:rsidRPr="00A56A02">
              <w:rPr>
                <w:b/>
                <w:i/>
              </w:rPr>
              <w:t>a ter)</w:t>
            </w:r>
            <w:r w:rsidRPr="00A56A02">
              <w:rPr>
                <w:b/>
                <w:i/>
              </w:rPr>
              <w:tab/>
              <w:t>cualquier medida distinta del restablecimiento de los controles fronterizos en las fronteras interiores que el Estado miembro afectado haya adoptado o considerado la posibilidad de adoptar para hacer frente a dicha amenaza para el orden público o la seguridad interior;</w:t>
            </w:r>
            <w:r w:rsidRPr="00A56A02">
              <w:t xml:space="preserve"> "</w:t>
            </w:r>
          </w:p>
        </w:tc>
      </w:tr>
    </w:tbl>
    <w:p w:rsidR="00CE4CD1" w:rsidRPr="00A56A02" w:rsidRDefault="00CE4CD1" w:rsidP="00131CD6">
      <w:pPr>
        <w:pStyle w:val="Olang"/>
        <w:rPr>
          <w:noProof w:val="0"/>
          <w:szCs w:val="24"/>
        </w:rPr>
      </w:pPr>
      <w:r w:rsidRPr="00A56A02">
        <w:rPr>
          <w:noProof w:val="0"/>
          <w:szCs w:val="24"/>
        </w:rPr>
        <w:t xml:space="preserve">Or. </w:t>
      </w:r>
      <w:r w:rsidRPr="00A56A02">
        <w:rPr>
          <w:rStyle w:val="HideTWBExt"/>
          <w:noProof w:val="0"/>
          <w:color w:val="auto"/>
        </w:rPr>
        <w:t>&lt;Original&gt;</w:t>
      </w:r>
      <w:r w:rsidRPr="00A56A02">
        <w:rPr>
          <w:rStyle w:val="HideTWBInt"/>
          <w:noProof w:val="0"/>
          <w:color w:val="auto"/>
        </w:rPr>
        <w:t>{EN}</w:t>
      </w:r>
      <w:r w:rsidRPr="00A56A02">
        <w:rPr>
          <w:noProof w:val="0"/>
          <w:szCs w:val="24"/>
        </w:rPr>
        <w:t>en</w:t>
      </w:r>
      <w:r w:rsidRPr="00A56A02">
        <w:rPr>
          <w:rStyle w:val="HideTWBExt"/>
          <w:noProof w:val="0"/>
          <w:color w:val="auto"/>
        </w:rPr>
        <w:t>&lt;/Original&gt;</w:t>
      </w:r>
    </w:p>
    <w:p w:rsidR="00CE4CD1" w:rsidRPr="00A56A02" w:rsidRDefault="00CE4CD1" w:rsidP="00CE4CD1">
      <w:pPr>
        <w:pStyle w:val="CrossRef"/>
      </w:pPr>
      <w:r w:rsidRPr="00A56A02">
        <w:t>(http://eur-lex.europa.eu/legal-content/ES/TXT/?qid=1519392180316&amp;uri=CELEX:02016R0399-20170407)</w:t>
      </w:r>
    </w:p>
    <w:p w:rsidR="00CE4CD1" w:rsidRPr="00A56A02" w:rsidRDefault="00CE4CD1" w:rsidP="00CE4CD1">
      <w:r w:rsidRPr="00A56A02">
        <w:rPr>
          <w:rStyle w:val="HideTWBExt"/>
          <w:noProof w:val="0"/>
          <w:color w:val="auto"/>
        </w:rPr>
        <w:t>&lt;/Amend&gt;</w:t>
      </w:r>
    </w:p>
    <w:p w:rsidR="003D0417" w:rsidRPr="00A56A02" w:rsidRDefault="003D0417" w:rsidP="00CE4CD1">
      <w:pPr>
        <w:pStyle w:val="AMNumberTabs"/>
        <w:keepNext/>
      </w:pPr>
      <w:r w:rsidRPr="00A56A02">
        <w:rPr>
          <w:rStyle w:val="HideTWBExt"/>
          <w:b w:val="0"/>
          <w:noProof w:val="0"/>
          <w:color w:val="auto"/>
        </w:rPr>
        <w:t>&lt;Amend&gt;</w:t>
      </w:r>
      <w:r w:rsidRPr="00A56A02">
        <w:t>Enmienda</w:t>
      </w:r>
      <w:r w:rsidRPr="00A56A02">
        <w:tab/>
      </w:r>
      <w:r w:rsidRPr="00A56A02">
        <w:tab/>
      </w:r>
      <w:r w:rsidRPr="00A56A02">
        <w:rPr>
          <w:rStyle w:val="HideTWBExt"/>
          <w:b w:val="0"/>
          <w:noProof w:val="0"/>
          <w:color w:val="auto"/>
        </w:rPr>
        <w:t>&lt;NumAm&gt;</w:t>
      </w:r>
      <w:r w:rsidRPr="00A56A02">
        <w:t>26</w:t>
      </w:r>
      <w:r w:rsidRPr="00A56A02">
        <w:rPr>
          <w:rStyle w:val="HideTWBExt"/>
          <w:b w:val="0"/>
          <w:noProof w:val="0"/>
          <w:color w:val="auto"/>
        </w:rPr>
        <w:t>&lt;/NumAm&gt;</w:t>
      </w:r>
    </w:p>
    <w:p w:rsidR="003D0417" w:rsidRPr="00A56A02" w:rsidRDefault="003D0417" w:rsidP="00CE4CD1">
      <w:pPr>
        <w:pStyle w:val="NormalBold12b"/>
        <w:keepNext/>
      </w:pPr>
      <w:r w:rsidRPr="00A56A02">
        <w:rPr>
          <w:rStyle w:val="HideTWBExt"/>
          <w:b w:val="0"/>
          <w:noProof w:val="0"/>
          <w:color w:val="auto"/>
        </w:rPr>
        <w:t>&lt;DocAmend&gt;</w:t>
      </w:r>
      <w:r w:rsidRPr="00A56A02">
        <w:t>Propuesta de Reglamento</w:t>
      </w:r>
      <w:r w:rsidRPr="00A56A02">
        <w:rPr>
          <w:rStyle w:val="HideTWBExt"/>
          <w:b w:val="0"/>
          <w:noProof w:val="0"/>
          <w:color w:val="auto"/>
        </w:rPr>
        <w:t>&lt;/DocAmend&gt;</w:t>
      </w:r>
    </w:p>
    <w:p w:rsidR="003D0417" w:rsidRPr="00A56A02" w:rsidRDefault="003D0417" w:rsidP="00CE4CD1">
      <w:pPr>
        <w:pStyle w:val="NormalBold"/>
      </w:pPr>
      <w:r w:rsidRPr="00A56A02">
        <w:rPr>
          <w:rStyle w:val="HideTWBExt"/>
          <w:b w:val="0"/>
          <w:noProof w:val="0"/>
          <w:color w:val="auto"/>
        </w:rPr>
        <w:t>&lt;Article&gt;</w:t>
      </w:r>
      <w:r w:rsidRPr="00A56A02">
        <w:t>Artículo 1 – párrafo 1 – punto 2 – inciso ii</w:t>
      </w:r>
      <w:r w:rsidRPr="00A56A02">
        <w:rPr>
          <w:rStyle w:val="HideTWBExt"/>
          <w:b w:val="0"/>
          <w:noProof w:val="0"/>
          <w:color w:val="auto"/>
        </w:rPr>
        <w:t>&lt;/Article&gt;</w:t>
      </w:r>
    </w:p>
    <w:p w:rsidR="003D0417" w:rsidRPr="00A56A02" w:rsidRDefault="003D0417" w:rsidP="00CE4CD1">
      <w:pPr>
        <w:keepNext/>
      </w:pPr>
      <w:r w:rsidRPr="00A56A02">
        <w:rPr>
          <w:rStyle w:val="HideTWBExt"/>
          <w:noProof w:val="0"/>
          <w:color w:val="auto"/>
        </w:rPr>
        <w:t>&lt;DocAmend2&gt;</w:t>
      </w:r>
      <w:r w:rsidRPr="00A56A02">
        <w:t>Reglamento (UE) 2016/399</w:t>
      </w:r>
      <w:r w:rsidRPr="00A56A02">
        <w:rPr>
          <w:rStyle w:val="HideTWBExt"/>
          <w:noProof w:val="0"/>
          <w:color w:val="auto"/>
        </w:rPr>
        <w:t>&lt;/DocAmend2&gt;</w:t>
      </w:r>
    </w:p>
    <w:p w:rsidR="003D0417" w:rsidRPr="00A56A02" w:rsidRDefault="003D0417" w:rsidP="00CE4CD1">
      <w:r w:rsidRPr="00A56A02">
        <w:rPr>
          <w:rStyle w:val="HideTWBExt"/>
          <w:noProof w:val="0"/>
          <w:color w:val="auto"/>
        </w:rPr>
        <w:t>&lt;Article2&gt;</w:t>
      </w:r>
      <w:r w:rsidRPr="00A56A02">
        <w:t>Artículo 27 – apartado 1 – letra e</w:t>
      </w:r>
      <w:r w:rsidRPr="00A56A02">
        <w:rPr>
          <w:rStyle w:val="HideTWBExt"/>
          <w:noProof w:val="0"/>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6A02" w:rsidRPr="00A56A02" w:rsidTr="006B7FC7">
        <w:trPr>
          <w:jc w:val="center"/>
        </w:trPr>
        <w:tc>
          <w:tcPr>
            <w:tcW w:w="9752" w:type="dxa"/>
            <w:gridSpan w:val="2"/>
          </w:tcPr>
          <w:p w:rsidR="003D0417" w:rsidRPr="00A56A02" w:rsidRDefault="003D0417" w:rsidP="006B7FC7">
            <w:pPr>
              <w:keepNext/>
            </w:pPr>
          </w:p>
        </w:tc>
      </w:tr>
      <w:tr w:rsidR="00A56A02" w:rsidRPr="00A56A02" w:rsidTr="006B7FC7">
        <w:trPr>
          <w:jc w:val="center"/>
        </w:trPr>
        <w:tc>
          <w:tcPr>
            <w:tcW w:w="4876" w:type="dxa"/>
          </w:tcPr>
          <w:p w:rsidR="003D0417" w:rsidRPr="00A56A02" w:rsidRDefault="003D0417" w:rsidP="006B7FC7">
            <w:pPr>
              <w:pStyle w:val="ColumnHeading"/>
              <w:keepNext/>
            </w:pPr>
            <w:r w:rsidRPr="00A56A02">
              <w:t>Texto de la Comisión</w:t>
            </w:r>
          </w:p>
        </w:tc>
        <w:tc>
          <w:tcPr>
            <w:tcW w:w="4876" w:type="dxa"/>
          </w:tcPr>
          <w:p w:rsidR="003D0417" w:rsidRPr="00A56A02" w:rsidRDefault="003D0417" w:rsidP="006B7FC7">
            <w:pPr>
              <w:pStyle w:val="ColumnHeading"/>
              <w:keepNext/>
            </w:pPr>
            <w:r w:rsidRPr="00A56A02">
              <w:t>Enmienda</w:t>
            </w:r>
          </w:p>
        </w:tc>
      </w:tr>
      <w:tr w:rsidR="00A56A02" w:rsidRPr="00A56A02" w:rsidTr="006B7FC7">
        <w:trPr>
          <w:jc w:val="center"/>
        </w:trPr>
        <w:tc>
          <w:tcPr>
            <w:tcW w:w="4876" w:type="dxa"/>
          </w:tcPr>
          <w:p w:rsidR="003D0417" w:rsidRPr="00A56A02" w:rsidRDefault="003D0417" w:rsidP="006B7FC7">
            <w:pPr>
              <w:pStyle w:val="Normal6"/>
            </w:pPr>
            <w:r w:rsidRPr="00A56A02">
              <w:t xml:space="preserve">«e) cuando proceda, las medidas que deban adoptar los demás Estados miembros conforme a lo acordado con anterioridad al restablecimiento temporal de controles fronterizos en las fronteras interiores </w:t>
            </w:r>
            <w:r w:rsidRPr="00A56A02">
              <w:rPr>
                <w:b/>
                <w:i/>
              </w:rPr>
              <w:t>de que se trate</w:t>
            </w:r>
            <w:r w:rsidRPr="00A56A02">
              <w:t>.».</w:t>
            </w:r>
          </w:p>
        </w:tc>
        <w:tc>
          <w:tcPr>
            <w:tcW w:w="4876" w:type="dxa"/>
          </w:tcPr>
          <w:p w:rsidR="003D0417" w:rsidRPr="00A56A02" w:rsidRDefault="003D0417" w:rsidP="006B7FC7">
            <w:pPr>
              <w:pStyle w:val="Normal6"/>
              <w:rPr>
                <w:szCs w:val="24"/>
              </w:rPr>
            </w:pPr>
            <w:r w:rsidRPr="00A56A02">
              <w:t xml:space="preserve">«e) cuando proceda, las medidas que deban adoptar los demás Estados miembros conforme a lo acordado con anterioridad al restablecimiento temporal de controles fronterizos en las fronteras interiores </w:t>
            </w:r>
            <w:r w:rsidRPr="00A56A02">
              <w:rPr>
                <w:b/>
                <w:i/>
              </w:rPr>
              <w:t>pertinentes</w:t>
            </w:r>
            <w:r w:rsidRPr="00A56A02">
              <w:t>.».</w:t>
            </w:r>
          </w:p>
        </w:tc>
      </w:tr>
    </w:tbl>
    <w:p w:rsidR="003D0417" w:rsidRPr="00A56A02" w:rsidRDefault="003D0417" w:rsidP="00B8352C">
      <w:pPr>
        <w:pStyle w:val="Olang"/>
        <w:rPr>
          <w:noProof w:val="0"/>
          <w:szCs w:val="24"/>
        </w:rPr>
      </w:pPr>
      <w:r w:rsidRPr="00A56A02">
        <w:rPr>
          <w:noProof w:val="0"/>
          <w:szCs w:val="24"/>
        </w:rPr>
        <w:t xml:space="preserve">Or. </w:t>
      </w:r>
      <w:r w:rsidRPr="00A56A02">
        <w:rPr>
          <w:rStyle w:val="HideTWBExt"/>
          <w:noProof w:val="0"/>
          <w:color w:val="auto"/>
        </w:rPr>
        <w:t>&lt;Original&gt;</w:t>
      </w:r>
      <w:r w:rsidRPr="00A56A02">
        <w:rPr>
          <w:rStyle w:val="HideTWBInt"/>
          <w:noProof w:val="0"/>
          <w:color w:val="auto"/>
        </w:rPr>
        <w:t>{EN}</w:t>
      </w:r>
      <w:r w:rsidRPr="00A56A02">
        <w:rPr>
          <w:noProof w:val="0"/>
          <w:szCs w:val="24"/>
        </w:rPr>
        <w:t>en</w:t>
      </w:r>
      <w:r w:rsidRPr="00A56A02">
        <w:rPr>
          <w:rStyle w:val="HideTWBExt"/>
          <w:noProof w:val="0"/>
          <w:color w:val="auto"/>
        </w:rPr>
        <w:t>&lt;/Original&gt;</w:t>
      </w:r>
    </w:p>
    <w:p w:rsidR="003D0417" w:rsidRPr="00A56A02" w:rsidRDefault="003D0417" w:rsidP="00CE4CD1">
      <w:pPr>
        <w:pStyle w:val="CrossRef"/>
      </w:pPr>
      <w:r w:rsidRPr="00A56A02">
        <w:t>(http://eur-lex.europa.eu/legal-content/ES/TXT/?qid=1519392180316&amp;uri=CELEX:02016R0399-20170407)</w:t>
      </w:r>
    </w:p>
    <w:p w:rsidR="003D0417" w:rsidRPr="00A56A02" w:rsidRDefault="003D0417" w:rsidP="00CE4CD1">
      <w:r w:rsidRPr="00A56A02">
        <w:rPr>
          <w:rStyle w:val="HideTWBExt"/>
          <w:noProof w:val="0"/>
          <w:color w:val="auto"/>
        </w:rPr>
        <w:t>&lt;/Amend&gt;</w:t>
      </w:r>
    </w:p>
    <w:p w:rsidR="003D0417" w:rsidRPr="00A56A02" w:rsidRDefault="003D0417" w:rsidP="00CE4CD1">
      <w:pPr>
        <w:pStyle w:val="AMNumberTabs"/>
        <w:keepNext/>
      </w:pPr>
      <w:r w:rsidRPr="00A56A02">
        <w:rPr>
          <w:rStyle w:val="HideTWBExt"/>
          <w:b w:val="0"/>
          <w:noProof w:val="0"/>
          <w:color w:val="auto"/>
        </w:rPr>
        <w:t>&lt;Amend&gt;</w:t>
      </w:r>
      <w:r w:rsidRPr="00A56A02">
        <w:t>Enmienda</w:t>
      </w:r>
      <w:r w:rsidRPr="00A56A02">
        <w:tab/>
      </w:r>
      <w:r w:rsidRPr="00A56A02">
        <w:tab/>
      </w:r>
      <w:r w:rsidRPr="00A56A02">
        <w:rPr>
          <w:rStyle w:val="HideTWBExt"/>
          <w:b w:val="0"/>
          <w:noProof w:val="0"/>
          <w:color w:val="auto"/>
        </w:rPr>
        <w:t>&lt;NumAm&gt;</w:t>
      </w:r>
      <w:r w:rsidRPr="00A56A02">
        <w:t>27</w:t>
      </w:r>
      <w:r w:rsidRPr="00A56A02">
        <w:rPr>
          <w:rStyle w:val="HideTWBExt"/>
          <w:b w:val="0"/>
          <w:noProof w:val="0"/>
          <w:color w:val="auto"/>
        </w:rPr>
        <w:t>&lt;/NumAm&gt;</w:t>
      </w:r>
    </w:p>
    <w:p w:rsidR="003D0417" w:rsidRPr="00A56A02" w:rsidRDefault="003D0417" w:rsidP="00CE4CD1">
      <w:pPr>
        <w:pStyle w:val="NormalBold12b"/>
        <w:keepNext/>
      </w:pPr>
      <w:r w:rsidRPr="00A56A02">
        <w:rPr>
          <w:rStyle w:val="HideTWBExt"/>
          <w:b w:val="0"/>
          <w:noProof w:val="0"/>
          <w:color w:val="auto"/>
        </w:rPr>
        <w:t>&lt;DocAmend&gt;</w:t>
      </w:r>
      <w:r w:rsidRPr="00A56A02">
        <w:t>Propuesta de Reglamento</w:t>
      </w:r>
      <w:r w:rsidRPr="00A56A02">
        <w:rPr>
          <w:rStyle w:val="HideTWBExt"/>
          <w:b w:val="0"/>
          <w:noProof w:val="0"/>
          <w:color w:val="auto"/>
        </w:rPr>
        <w:t>&lt;/DocAmend&gt;</w:t>
      </w:r>
    </w:p>
    <w:p w:rsidR="003D0417" w:rsidRPr="00A56A02" w:rsidRDefault="003D0417" w:rsidP="00CE4CD1">
      <w:pPr>
        <w:pStyle w:val="NormalBold"/>
      </w:pPr>
      <w:r w:rsidRPr="00A56A02">
        <w:rPr>
          <w:rStyle w:val="HideTWBExt"/>
          <w:b w:val="0"/>
          <w:noProof w:val="0"/>
          <w:color w:val="auto"/>
        </w:rPr>
        <w:t>&lt;Article&gt;</w:t>
      </w:r>
      <w:r w:rsidRPr="00A56A02">
        <w:t>Artículo 1 – párrafo 1 – punto 2 – inciso iii bis (nuevo)</w:t>
      </w:r>
      <w:r w:rsidRPr="00A56A02">
        <w:rPr>
          <w:rStyle w:val="HideTWBExt"/>
          <w:b w:val="0"/>
          <w:noProof w:val="0"/>
          <w:color w:val="auto"/>
        </w:rPr>
        <w:t>&lt;/Article&gt;</w:t>
      </w:r>
    </w:p>
    <w:p w:rsidR="003D0417" w:rsidRPr="00A56A02" w:rsidRDefault="003D0417" w:rsidP="00CE4CD1">
      <w:pPr>
        <w:keepNext/>
      </w:pPr>
      <w:r w:rsidRPr="00A56A02">
        <w:rPr>
          <w:rStyle w:val="HideTWBExt"/>
          <w:noProof w:val="0"/>
          <w:color w:val="auto"/>
        </w:rPr>
        <w:t>&lt;DocAmend2&gt;</w:t>
      </w:r>
      <w:r w:rsidRPr="00A56A02">
        <w:t>Reglamento (UE) 2016/399</w:t>
      </w:r>
      <w:r w:rsidRPr="00A56A02">
        <w:rPr>
          <w:rStyle w:val="HideTWBExt"/>
          <w:noProof w:val="0"/>
          <w:color w:val="auto"/>
        </w:rPr>
        <w:t>&lt;/DocAmend2&gt;</w:t>
      </w:r>
    </w:p>
    <w:p w:rsidR="003D0417" w:rsidRPr="00A56A02" w:rsidRDefault="003D0417" w:rsidP="00CE4CD1">
      <w:r w:rsidRPr="00A56A02">
        <w:rPr>
          <w:rStyle w:val="HideTWBExt"/>
          <w:noProof w:val="0"/>
          <w:color w:val="auto"/>
        </w:rPr>
        <w:t>&lt;Article2&gt;</w:t>
      </w:r>
      <w:r w:rsidRPr="00A56A02">
        <w:t>Artículo 27 – apartado 1 bis (nuevo)</w:t>
      </w:r>
      <w:r w:rsidRPr="00A56A02">
        <w:rPr>
          <w:rStyle w:val="HideTWBExt"/>
          <w:noProof w:val="0"/>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6A02" w:rsidRPr="00A56A02" w:rsidTr="006B7FC7">
        <w:trPr>
          <w:jc w:val="center"/>
        </w:trPr>
        <w:tc>
          <w:tcPr>
            <w:tcW w:w="9752" w:type="dxa"/>
            <w:gridSpan w:val="2"/>
          </w:tcPr>
          <w:p w:rsidR="003D0417" w:rsidRPr="00A56A02" w:rsidRDefault="003D0417" w:rsidP="006B7FC7">
            <w:pPr>
              <w:keepNext/>
            </w:pPr>
          </w:p>
        </w:tc>
      </w:tr>
      <w:tr w:rsidR="00A56A02" w:rsidRPr="00A56A02" w:rsidTr="006B7FC7">
        <w:trPr>
          <w:jc w:val="center"/>
        </w:trPr>
        <w:tc>
          <w:tcPr>
            <w:tcW w:w="4876" w:type="dxa"/>
          </w:tcPr>
          <w:p w:rsidR="003D0417" w:rsidRPr="00A56A02" w:rsidRDefault="003D0417" w:rsidP="006B7FC7">
            <w:pPr>
              <w:pStyle w:val="ColumnHeading"/>
              <w:keepNext/>
            </w:pPr>
            <w:r w:rsidRPr="00A56A02">
              <w:t>Texto de la Comisión</w:t>
            </w:r>
          </w:p>
        </w:tc>
        <w:tc>
          <w:tcPr>
            <w:tcW w:w="4876" w:type="dxa"/>
          </w:tcPr>
          <w:p w:rsidR="003D0417" w:rsidRPr="00A56A02" w:rsidRDefault="003D0417" w:rsidP="006B7FC7">
            <w:pPr>
              <w:pStyle w:val="ColumnHeading"/>
              <w:keepNext/>
            </w:pPr>
            <w:r w:rsidRPr="00A56A02">
              <w:t>Enmienda</w:t>
            </w:r>
          </w:p>
        </w:tc>
      </w:tr>
      <w:tr w:rsidR="00A56A02" w:rsidRPr="00A56A02" w:rsidTr="006B7FC7">
        <w:trPr>
          <w:jc w:val="center"/>
        </w:trPr>
        <w:tc>
          <w:tcPr>
            <w:tcW w:w="4876" w:type="dxa"/>
          </w:tcPr>
          <w:p w:rsidR="003D0417" w:rsidRPr="00A56A02" w:rsidRDefault="003D0417" w:rsidP="006B7FC7">
            <w:pPr>
              <w:pStyle w:val="Normal6"/>
            </w:pPr>
          </w:p>
        </w:tc>
        <w:tc>
          <w:tcPr>
            <w:tcW w:w="4876" w:type="dxa"/>
          </w:tcPr>
          <w:p w:rsidR="003D0417" w:rsidRPr="00A56A02" w:rsidRDefault="003D0417" w:rsidP="006B7FC7">
            <w:pPr>
              <w:pStyle w:val="Normal6"/>
              <w:rPr>
                <w:b/>
                <w:i/>
                <w:szCs w:val="24"/>
              </w:rPr>
            </w:pPr>
            <w:r w:rsidRPr="00A56A02">
              <w:rPr>
                <w:b/>
                <w:i/>
              </w:rPr>
              <w:t>iii bis)</w:t>
            </w:r>
            <w:r w:rsidRPr="00A56A02">
              <w:rPr>
                <w:b/>
                <w:i/>
              </w:rPr>
              <w:tab/>
              <w:t>Se añade el apartado 1 bis siguiente:</w:t>
            </w:r>
          </w:p>
        </w:tc>
      </w:tr>
      <w:tr w:rsidR="00A56A02" w:rsidRPr="00A56A02" w:rsidTr="006B7FC7">
        <w:trPr>
          <w:jc w:val="center"/>
        </w:trPr>
        <w:tc>
          <w:tcPr>
            <w:tcW w:w="4876" w:type="dxa"/>
          </w:tcPr>
          <w:p w:rsidR="003D0417" w:rsidRPr="00A56A02" w:rsidRDefault="003D0417" w:rsidP="006B7FC7">
            <w:pPr>
              <w:pStyle w:val="Normal6"/>
            </w:pPr>
          </w:p>
        </w:tc>
        <w:tc>
          <w:tcPr>
            <w:tcW w:w="4876" w:type="dxa"/>
          </w:tcPr>
          <w:p w:rsidR="003D0417" w:rsidRPr="00A56A02" w:rsidRDefault="003D0417" w:rsidP="006B7FC7">
            <w:pPr>
              <w:pStyle w:val="Normal6"/>
              <w:rPr>
                <w:szCs w:val="24"/>
              </w:rPr>
            </w:pPr>
            <w:r w:rsidRPr="00A56A02">
              <w:rPr>
                <w:b/>
                <w:i/>
              </w:rPr>
              <w:t>«1 bis.</w:t>
            </w:r>
            <w:r w:rsidRPr="00A56A02">
              <w:rPr>
                <w:b/>
                <w:i/>
              </w:rPr>
              <w:tab/>
              <w:t>Cuando la amenaza grave para el orden público o la seguridad interior en el Estado miembro interesado persista más allá de dos meses, dicho Estado miembro podrá prolongar los controles fronterizos en sus fronteras interiores, teniendo en cuenta los criterios enumerados en el artículo 26, por las mismas razones que las indicadas en el apartado -1 del presente artículo, y, teniendo en cuenta posibles nuevos datos, durante un periodo que corresponderá a la duración previsible de la amenaza grave y que no superará, en ningún caso, los cuatro meses. El Estado miembro de que se trate se lo notificará a la Comisión y a los demás Estados miembros en el plazo previsto en el apartado 1. Para ello, además de la información facilitada en virtud del apartado 1, el Estado miembro afectado presentará una evaluación de riesgos que deberá:</w:t>
            </w:r>
          </w:p>
        </w:tc>
      </w:tr>
      <w:tr w:rsidR="00A56A02" w:rsidRPr="00A56A02" w:rsidTr="006B7FC7">
        <w:trPr>
          <w:jc w:val="center"/>
        </w:trPr>
        <w:tc>
          <w:tcPr>
            <w:tcW w:w="4876" w:type="dxa"/>
          </w:tcPr>
          <w:p w:rsidR="003D0417" w:rsidRPr="00A56A02" w:rsidRDefault="003D0417" w:rsidP="006B7FC7">
            <w:pPr>
              <w:pStyle w:val="Normal6"/>
            </w:pPr>
          </w:p>
        </w:tc>
        <w:tc>
          <w:tcPr>
            <w:tcW w:w="4876" w:type="dxa"/>
          </w:tcPr>
          <w:p w:rsidR="003D0417" w:rsidRPr="00A56A02" w:rsidRDefault="003D0417" w:rsidP="006B7FC7">
            <w:pPr>
              <w:pStyle w:val="Normal6"/>
              <w:rPr>
                <w:b/>
                <w:i/>
              </w:rPr>
            </w:pPr>
            <w:r w:rsidRPr="00A56A02">
              <w:rPr>
                <w:b/>
                <w:i/>
              </w:rPr>
              <w:t>i)</w:t>
            </w:r>
            <w:r w:rsidRPr="00A56A02">
              <w:rPr>
                <w:b/>
                <w:i/>
              </w:rPr>
              <w:tab/>
              <w:t>evaluar durante cuánto tiempo se prevé que persista la amenaza detectada y qué sección de sus fronteras interiores se ve afectada;</w:t>
            </w:r>
          </w:p>
        </w:tc>
      </w:tr>
      <w:tr w:rsidR="00A56A02" w:rsidRPr="00A56A02" w:rsidTr="006B7FC7">
        <w:trPr>
          <w:jc w:val="center"/>
        </w:trPr>
        <w:tc>
          <w:tcPr>
            <w:tcW w:w="4876" w:type="dxa"/>
          </w:tcPr>
          <w:p w:rsidR="003D0417" w:rsidRPr="00A56A02" w:rsidRDefault="003D0417" w:rsidP="006B7FC7">
            <w:pPr>
              <w:pStyle w:val="Normal6"/>
            </w:pPr>
          </w:p>
        </w:tc>
        <w:tc>
          <w:tcPr>
            <w:tcW w:w="4876" w:type="dxa"/>
          </w:tcPr>
          <w:p w:rsidR="003D0417" w:rsidRPr="00A56A02" w:rsidRDefault="003D0417" w:rsidP="006B7FC7">
            <w:pPr>
              <w:pStyle w:val="Normal6"/>
              <w:rPr>
                <w:b/>
                <w:i/>
              </w:rPr>
            </w:pPr>
            <w:r w:rsidRPr="00A56A02">
              <w:rPr>
                <w:b/>
                <w:i/>
              </w:rPr>
              <w:t>ii)</w:t>
            </w:r>
            <w:r w:rsidRPr="00A56A02">
              <w:rPr>
                <w:b/>
                <w:i/>
              </w:rPr>
              <w:tab/>
              <w:t>describir las acciones o medidas alternativas ya aplicadas para hacer frente a la amenaza detectada;</w:t>
            </w:r>
          </w:p>
        </w:tc>
      </w:tr>
      <w:tr w:rsidR="00A56A02" w:rsidRPr="00A56A02" w:rsidTr="006B7FC7">
        <w:trPr>
          <w:jc w:val="center"/>
        </w:trPr>
        <w:tc>
          <w:tcPr>
            <w:tcW w:w="4876" w:type="dxa"/>
          </w:tcPr>
          <w:p w:rsidR="003D0417" w:rsidRPr="00A56A02" w:rsidRDefault="003D0417" w:rsidP="006B7FC7">
            <w:pPr>
              <w:pStyle w:val="Normal6"/>
            </w:pPr>
          </w:p>
        </w:tc>
        <w:tc>
          <w:tcPr>
            <w:tcW w:w="4876" w:type="dxa"/>
          </w:tcPr>
          <w:p w:rsidR="003D0417" w:rsidRPr="00A56A02" w:rsidRDefault="003D0417" w:rsidP="006B7FC7">
            <w:pPr>
              <w:pStyle w:val="Normal6"/>
              <w:rPr>
                <w:b/>
                <w:i/>
              </w:rPr>
            </w:pPr>
            <w:r w:rsidRPr="00A56A02">
              <w:rPr>
                <w:b/>
                <w:i/>
              </w:rPr>
              <w:t>iii)</w:t>
            </w:r>
            <w:r w:rsidRPr="00A56A02">
              <w:rPr>
                <w:b/>
                <w:i/>
              </w:rPr>
              <w:tab/>
              <w:t>explicar por qué dichas medidas alternativas no han bastado para responder a la amenaza;</w:t>
            </w:r>
          </w:p>
        </w:tc>
      </w:tr>
      <w:tr w:rsidR="00A56A02" w:rsidRPr="00A56A02" w:rsidTr="006B7FC7">
        <w:trPr>
          <w:jc w:val="center"/>
        </w:trPr>
        <w:tc>
          <w:tcPr>
            <w:tcW w:w="4876" w:type="dxa"/>
          </w:tcPr>
          <w:p w:rsidR="003D0417" w:rsidRPr="00A56A02" w:rsidRDefault="003D0417" w:rsidP="006B7FC7">
            <w:pPr>
              <w:pStyle w:val="Normal6"/>
            </w:pPr>
          </w:p>
        </w:tc>
        <w:tc>
          <w:tcPr>
            <w:tcW w:w="4876" w:type="dxa"/>
          </w:tcPr>
          <w:p w:rsidR="003D0417" w:rsidRPr="00A56A02" w:rsidRDefault="003D0417" w:rsidP="006B7FC7">
            <w:pPr>
              <w:pStyle w:val="Normal6"/>
              <w:rPr>
                <w:b/>
                <w:i/>
              </w:rPr>
            </w:pPr>
            <w:r w:rsidRPr="00A56A02">
              <w:rPr>
                <w:b/>
                <w:i/>
              </w:rPr>
              <w:t>iv)</w:t>
            </w:r>
            <w:r w:rsidRPr="00A56A02">
              <w:rPr>
                <w:b/>
                <w:i/>
              </w:rPr>
              <w:tab/>
              <w:t>demostrar que la prórroga de los controles fronterizos es una medida de último recurso; y</w:t>
            </w:r>
          </w:p>
        </w:tc>
      </w:tr>
      <w:tr w:rsidR="00A56A02" w:rsidRPr="00A56A02" w:rsidTr="006B7FC7">
        <w:trPr>
          <w:jc w:val="center"/>
        </w:trPr>
        <w:tc>
          <w:tcPr>
            <w:tcW w:w="4876" w:type="dxa"/>
          </w:tcPr>
          <w:p w:rsidR="003D0417" w:rsidRPr="00A56A02" w:rsidRDefault="003D0417" w:rsidP="006B7FC7">
            <w:pPr>
              <w:pStyle w:val="Normal6"/>
            </w:pPr>
          </w:p>
        </w:tc>
        <w:tc>
          <w:tcPr>
            <w:tcW w:w="4876" w:type="dxa"/>
          </w:tcPr>
          <w:p w:rsidR="003D0417" w:rsidRPr="00A56A02" w:rsidRDefault="003D0417" w:rsidP="006B7FC7">
            <w:pPr>
              <w:pStyle w:val="Normal6"/>
              <w:rPr>
                <w:b/>
                <w:i/>
              </w:rPr>
            </w:pPr>
            <w:r w:rsidRPr="00A56A02">
              <w:rPr>
                <w:b/>
                <w:i/>
              </w:rPr>
              <w:t>v)</w:t>
            </w:r>
            <w:r w:rsidRPr="00A56A02">
              <w:rPr>
                <w:b/>
                <w:i/>
              </w:rPr>
              <w:tab/>
              <w:t>explicar de qué manera el control de las fronteras contribuirá a afrontar mejor la amenaza detectada.</w:t>
            </w:r>
          </w:p>
        </w:tc>
      </w:tr>
      <w:tr w:rsidR="00A56A02" w:rsidRPr="00A56A02" w:rsidTr="006B7FC7">
        <w:trPr>
          <w:jc w:val="center"/>
        </w:trPr>
        <w:tc>
          <w:tcPr>
            <w:tcW w:w="4876" w:type="dxa"/>
          </w:tcPr>
          <w:p w:rsidR="003D0417" w:rsidRPr="00A56A02" w:rsidRDefault="003D0417" w:rsidP="006B7FC7">
            <w:pPr>
              <w:pStyle w:val="Normal6"/>
            </w:pPr>
          </w:p>
        </w:tc>
        <w:tc>
          <w:tcPr>
            <w:tcW w:w="4876" w:type="dxa"/>
          </w:tcPr>
          <w:p w:rsidR="003D0417" w:rsidRPr="00A56A02" w:rsidRDefault="003D0417" w:rsidP="006B7FC7">
            <w:pPr>
              <w:pStyle w:val="Normal6"/>
              <w:rPr>
                <w:szCs w:val="24"/>
              </w:rPr>
            </w:pPr>
            <w:r w:rsidRPr="00A56A02">
              <w:rPr>
                <w:b/>
                <w:i/>
              </w:rPr>
              <w:t xml:space="preserve">La evaluación de riesgos a que se refiere el párrafo primero incluirá asimismo un informe detallado de la cooperación que tuvo lugar entre el Estado miembro en cuestión y el Estado o Estados miembros directamente afectados por el restablecimiento de los controles fronterizos, incluidos aquellos Estados miembros con los que el Estado miembro de que se trate comparte fronteras interiores en las que se realizan los controles. </w:t>
            </w:r>
          </w:p>
        </w:tc>
      </w:tr>
      <w:tr w:rsidR="00A56A02" w:rsidRPr="00A56A02" w:rsidTr="006B7FC7">
        <w:trPr>
          <w:jc w:val="center"/>
        </w:trPr>
        <w:tc>
          <w:tcPr>
            <w:tcW w:w="4876" w:type="dxa"/>
          </w:tcPr>
          <w:p w:rsidR="003D0417" w:rsidRPr="00A56A02" w:rsidRDefault="003D0417" w:rsidP="006B7FC7">
            <w:pPr>
              <w:pStyle w:val="Normal6"/>
            </w:pPr>
          </w:p>
        </w:tc>
        <w:tc>
          <w:tcPr>
            <w:tcW w:w="4876" w:type="dxa"/>
          </w:tcPr>
          <w:p w:rsidR="003D0417" w:rsidRPr="00A56A02" w:rsidRDefault="003D0417" w:rsidP="006B7FC7">
            <w:pPr>
              <w:pStyle w:val="Normal6"/>
              <w:rPr>
                <w:szCs w:val="24"/>
              </w:rPr>
            </w:pPr>
            <w:r w:rsidRPr="00A56A02">
              <w:rPr>
                <w:b/>
                <w:i/>
              </w:rPr>
              <w:t>La Comisión compartirá la evaluación de riesgos con la Agencia o Europol y podrá solicitar, si procede, su parecer al respecto.».</w:t>
            </w:r>
          </w:p>
        </w:tc>
      </w:tr>
    </w:tbl>
    <w:p w:rsidR="003D0417" w:rsidRPr="00A56A02" w:rsidRDefault="003D0417" w:rsidP="00B8352C">
      <w:pPr>
        <w:pStyle w:val="Olang"/>
        <w:rPr>
          <w:noProof w:val="0"/>
          <w:szCs w:val="24"/>
        </w:rPr>
      </w:pPr>
      <w:r w:rsidRPr="00A56A02">
        <w:rPr>
          <w:noProof w:val="0"/>
          <w:szCs w:val="24"/>
        </w:rPr>
        <w:t xml:space="preserve">Or. </w:t>
      </w:r>
      <w:r w:rsidRPr="00A56A02">
        <w:rPr>
          <w:rStyle w:val="HideTWBExt"/>
          <w:noProof w:val="0"/>
          <w:color w:val="auto"/>
        </w:rPr>
        <w:t>&lt;Original&gt;</w:t>
      </w:r>
      <w:r w:rsidRPr="00A56A02">
        <w:rPr>
          <w:rStyle w:val="HideTWBInt"/>
          <w:noProof w:val="0"/>
          <w:color w:val="auto"/>
        </w:rPr>
        <w:t>{EN}</w:t>
      </w:r>
      <w:r w:rsidRPr="00A56A02">
        <w:rPr>
          <w:noProof w:val="0"/>
          <w:szCs w:val="24"/>
        </w:rPr>
        <w:t>en</w:t>
      </w:r>
      <w:r w:rsidRPr="00A56A02">
        <w:rPr>
          <w:rStyle w:val="HideTWBExt"/>
          <w:noProof w:val="0"/>
          <w:color w:val="auto"/>
        </w:rPr>
        <w:t>&lt;/Original&gt;</w:t>
      </w:r>
    </w:p>
    <w:p w:rsidR="003D0417" w:rsidRPr="00A56A02" w:rsidRDefault="003D0417" w:rsidP="00CE4CD1">
      <w:pPr>
        <w:pStyle w:val="CrossRef"/>
      </w:pPr>
      <w:r w:rsidRPr="00A56A02">
        <w:t>(http://eur-lex.europa.eu/legal-content/ES/TXT/?qid=1519392180316&amp;uri=CELEX:02016R0399-20170407)</w:t>
      </w:r>
    </w:p>
    <w:p w:rsidR="003D0417" w:rsidRPr="00A56A02" w:rsidRDefault="003D0417" w:rsidP="00CE4CD1">
      <w:r w:rsidRPr="00A56A02">
        <w:rPr>
          <w:rStyle w:val="HideTWBExt"/>
          <w:noProof w:val="0"/>
          <w:color w:val="auto"/>
        </w:rPr>
        <w:t>&lt;/Amend&gt;</w:t>
      </w:r>
    </w:p>
    <w:p w:rsidR="003D0417" w:rsidRPr="00A56A02" w:rsidRDefault="003D0417" w:rsidP="00CE4CD1">
      <w:pPr>
        <w:pStyle w:val="AMNumberTabs"/>
        <w:keepNext/>
      </w:pPr>
      <w:r w:rsidRPr="00A56A02">
        <w:rPr>
          <w:rStyle w:val="HideTWBExt"/>
          <w:b w:val="0"/>
          <w:noProof w:val="0"/>
          <w:color w:val="auto"/>
        </w:rPr>
        <w:t>&lt;Amend&gt;</w:t>
      </w:r>
      <w:r w:rsidRPr="00A56A02">
        <w:t>Enmienda</w:t>
      </w:r>
      <w:r w:rsidRPr="00A56A02">
        <w:tab/>
      </w:r>
      <w:r w:rsidRPr="00A56A02">
        <w:tab/>
      </w:r>
      <w:r w:rsidRPr="00A56A02">
        <w:rPr>
          <w:rStyle w:val="HideTWBExt"/>
          <w:b w:val="0"/>
          <w:noProof w:val="0"/>
          <w:color w:val="auto"/>
        </w:rPr>
        <w:t>&lt;NumAm&gt;</w:t>
      </w:r>
      <w:r w:rsidRPr="00A56A02">
        <w:t>28</w:t>
      </w:r>
      <w:r w:rsidRPr="00A56A02">
        <w:rPr>
          <w:rStyle w:val="HideTWBExt"/>
          <w:b w:val="0"/>
          <w:noProof w:val="0"/>
          <w:color w:val="auto"/>
        </w:rPr>
        <w:t>&lt;/NumAm&gt;</w:t>
      </w:r>
    </w:p>
    <w:p w:rsidR="003D0417" w:rsidRPr="00A56A02" w:rsidRDefault="003D0417" w:rsidP="00CE4CD1">
      <w:pPr>
        <w:pStyle w:val="NormalBold12b"/>
        <w:keepNext/>
      </w:pPr>
      <w:r w:rsidRPr="00A56A02">
        <w:rPr>
          <w:rStyle w:val="HideTWBExt"/>
          <w:b w:val="0"/>
          <w:noProof w:val="0"/>
          <w:color w:val="auto"/>
        </w:rPr>
        <w:t>&lt;DocAmend&gt;</w:t>
      </w:r>
      <w:r w:rsidRPr="00A56A02">
        <w:t>Propuesta de Reglamento</w:t>
      </w:r>
      <w:r w:rsidRPr="00A56A02">
        <w:rPr>
          <w:rStyle w:val="HideTWBExt"/>
          <w:b w:val="0"/>
          <w:noProof w:val="0"/>
          <w:color w:val="auto"/>
        </w:rPr>
        <w:t>&lt;/DocAmend&gt;</w:t>
      </w:r>
    </w:p>
    <w:p w:rsidR="003D0417" w:rsidRPr="00A56A02" w:rsidRDefault="003D0417" w:rsidP="00CE4CD1">
      <w:pPr>
        <w:pStyle w:val="NormalBold"/>
      </w:pPr>
      <w:r w:rsidRPr="00A56A02">
        <w:rPr>
          <w:rStyle w:val="HideTWBExt"/>
          <w:b w:val="0"/>
          <w:noProof w:val="0"/>
          <w:color w:val="auto"/>
        </w:rPr>
        <w:t>&lt;Article&gt;</w:t>
      </w:r>
      <w:r w:rsidRPr="00A56A02">
        <w:t>Artículo 1 – párrafo 1 – punto 2 – inciso iii ter (nuevo)</w:t>
      </w:r>
      <w:r w:rsidRPr="00A56A02">
        <w:rPr>
          <w:rStyle w:val="HideTWBExt"/>
          <w:b w:val="0"/>
          <w:noProof w:val="0"/>
          <w:color w:val="auto"/>
        </w:rPr>
        <w:t>&lt;/Article&gt;</w:t>
      </w:r>
    </w:p>
    <w:p w:rsidR="003D0417" w:rsidRPr="00A56A02" w:rsidRDefault="003D0417" w:rsidP="00CE4CD1">
      <w:pPr>
        <w:keepNext/>
      </w:pPr>
      <w:r w:rsidRPr="00A56A02">
        <w:rPr>
          <w:rStyle w:val="HideTWBExt"/>
          <w:noProof w:val="0"/>
          <w:color w:val="auto"/>
        </w:rPr>
        <w:t>&lt;DocAmend2&gt;</w:t>
      </w:r>
      <w:r w:rsidRPr="00A56A02">
        <w:t>Reglamento (UE) 2016/399</w:t>
      </w:r>
      <w:r w:rsidRPr="00A56A02">
        <w:rPr>
          <w:rStyle w:val="HideTWBExt"/>
          <w:noProof w:val="0"/>
          <w:color w:val="auto"/>
        </w:rPr>
        <w:t>&lt;/DocAmend2&gt;</w:t>
      </w:r>
    </w:p>
    <w:p w:rsidR="003D0417" w:rsidRPr="00A56A02" w:rsidRDefault="003D0417" w:rsidP="00CE4CD1">
      <w:r w:rsidRPr="00A56A02">
        <w:rPr>
          <w:rStyle w:val="HideTWBExt"/>
          <w:noProof w:val="0"/>
          <w:color w:val="auto"/>
        </w:rPr>
        <w:t>&lt;Article2&gt;</w:t>
      </w:r>
      <w:r w:rsidRPr="00A56A02">
        <w:t>Artículo 27 – apartado 2</w:t>
      </w:r>
      <w:r w:rsidRPr="00A56A02">
        <w:rPr>
          <w:rStyle w:val="HideTWBExt"/>
          <w:noProof w:val="0"/>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6A02" w:rsidRPr="00A56A02" w:rsidTr="006B7FC7">
        <w:trPr>
          <w:jc w:val="center"/>
        </w:trPr>
        <w:tc>
          <w:tcPr>
            <w:tcW w:w="9752" w:type="dxa"/>
            <w:gridSpan w:val="2"/>
          </w:tcPr>
          <w:p w:rsidR="003D0417" w:rsidRPr="00A56A02" w:rsidRDefault="003D0417" w:rsidP="006B7FC7">
            <w:pPr>
              <w:keepNext/>
            </w:pPr>
          </w:p>
        </w:tc>
      </w:tr>
      <w:tr w:rsidR="00A56A02" w:rsidRPr="00A56A02" w:rsidTr="006B7FC7">
        <w:trPr>
          <w:jc w:val="center"/>
        </w:trPr>
        <w:tc>
          <w:tcPr>
            <w:tcW w:w="4876" w:type="dxa"/>
          </w:tcPr>
          <w:p w:rsidR="003D0417" w:rsidRPr="00A56A02" w:rsidRDefault="003D0417" w:rsidP="006B7FC7">
            <w:pPr>
              <w:pStyle w:val="ColumnHeading"/>
              <w:keepNext/>
            </w:pPr>
            <w:r w:rsidRPr="00A56A02">
              <w:t>Texto en vigor</w:t>
            </w:r>
          </w:p>
        </w:tc>
        <w:tc>
          <w:tcPr>
            <w:tcW w:w="4876" w:type="dxa"/>
          </w:tcPr>
          <w:p w:rsidR="003D0417" w:rsidRPr="00A56A02" w:rsidRDefault="003D0417" w:rsidP="006B7FC7">
            <w:pPr>
              <w:pStyle w:val="ColumnHeading"/>
              <w:keepNext/>
            </w:pPr>
            <w:r w:rsidRPr="00A56A02">
              <w:t>Enmienda</w:t>
            </w:r>
          </w:p>
        </w:tc>
      </w:tr>
      <w:tr w:rsidR="00A56A02" w:rsidRPr="00A56A02" w:rsidTr="006B7FC7">
        <w:trPr>
          <w:jc w:val="center"/>
        </w:trPr>
        <w:tc>
          <w:tcPr>
            <w:tcW w:w="4876" w:type="dxa"/>
          </w:tcPr>
          <w:p w:rsidR="003D0417" w:rsidRPr="00A56A02" w:rsidRDefault="003D0417" w:rsidP="006B7FC7">
            <w:pPr>
              <w:pStyle w:val="Normal6"/>
            </w:pPr>
          </w:p>
        </w:tc>
        <w:tc>
          <w:tcPr>
            <w:tcW w:w="4876" w:type="dxa"/>
          </w:tcPr>
          <w:p w:rsidR="003D0417" w:rsidRPr="00A56A02" w:rsidRDefault="003D0417" w:rsidP="006B7FC7">
            <w:pPr>
              <w:pStyle w:val="Normal6"/>
              <w:rPr>
                <w:b/>
                <w:i/>
              </w:rPr>
            </w:pPr>
            <w:r w:rsidRPr="00A56A02">
              <w:rPr>
                <w:b/>
                <w:i/>
              </w:rPr>
              <w:t>iii ter)</w:t>
            </w:r>
            <w:r w:rsidRPr="00A56A02">
              <w:rPr>
                <w:b/>
                <w:i/>
              </w:rPr>
              <w:tab/>
              <w:t>El apartado 2 se sustituye por el texto siguiente:</w:t>
            </w:r>
          </w:p>
        </w:tc>
      </w:tr>
      <w:tr w:rsidR="00A56A02" w:rsidRPr="00A56A02" w:rsidTr="006B7FC7">
        <w:trPr>
          <w:jc w:val="center"/>
        </w:trPr>
        <w:tc>
          <w:tcPr>
            <w:tcW w:w="4876" w:type="dxa"/>
          </w:tcPr>
          <w:p w:rsidR="003D0417" w:rsidRPr="00A56A02" w:rsidRDefault="003D0417" w:rsidP="006B7FC7">
            <w:pPr>
              <w:pStyle w:val="Normal6"/>
            </w:pPr>
            <w:r w:rsidRPr="00A56A02">
              <w:t>2.</w:t>
            </w:r>
            <w:r w:rsidRPr="00A56A02">
              <w:tab/>
              <w:t xml:space="preserve">La información </w:t>
            </w:r>
            <w:r w:rsidRPr="00A56A02">
              <w:rPr>
                <w:b/>
                <w:i/>
              </w:rPr>
              <w:t>del apartado</w:t>
            </w:r>
            <w:r w:rsidRPr="00A56A02">
              <w:t xml:space="preserve"> 1 será transmitida al Parlamento Europeo y al Consejo al mismo tiempo que se notifica a los demás Estados miembros y a la Comisión en virtud de </w:t>
            </w:r>
            <w:r w:rsidRPr="00A56A02">
              <w:rPr>
                <w:b/>
                <w:i/>
              </w:rPr>
              <w:t>dicho apartado</w:t>
            </w:r>
            <w:r w:rsidRPr="00A56A02">
              <w:t>.</w:t>
            </w:r>
          </w:p>
        </w:tc>
        <w:tc>
          <w:tcPr>
            <w:tcW w:w="4876" w:type="dxa"/>
          </w:tcPr>
          <w:p w:rsidR="003D0417" w:rsidRPr="00A56A02" w:rsidRDefault="003D0417" w:rsidP="006B7FC7">
            <w:pPr>
              <w:pStyle w:val="Normal6"/>
              <w:rPr>
                <w:szCs w:val="24"/>
              </w:rPr>
            </w:pPr>
            <w:r w:rsidRPr="00A56A02">
              <w:rPr>
                <w:b/>
                <w:i/>
              </w:rPr>
              <w:t>«</w:t>
            </w:r>
            <w:r w:rsidRPr="00A56A02">
              <w:t>2.</w:t>
            </w:r>
            <w:r w:rsidRPr="00A56A02">
              <w:tab/>
              <w:t xml:space="preserve">La información </w:t>
            </w:r>
            <w:r w:rsidRPr="00A56A02">
              <w:rPr>
                <w:b/>
                <w:i/>
              </w:rPr>
              <w:t>de los apartados 1 y</w:t>
            </w:r>
            <w:r w:rsidRPr="00A56A02">
              <w:t xml:space="preserve"> 1</w:t>
            </w:r>
            <w:r w:rsidRPr="00A56A02">
              <w:rPr>
                <w:b/>
                <w:i/>
              </w:rPr>
              <w:t xml:space="preserve"> bis</w:t>
            </w:r>
            <w:r w:rsidRPr="00A56A02">
              <w:t xml:space="preserve"> será transmitida al Parlamento Europeo y al Consejo al mismo tiempo que se notifica a los demás Estados miembros y a la Comisión en virtud de </w:t>
            </w:r>
            <w:r w:rsidRPr="00A56A02">
              <w:rPr>
                <w:b/>
                <w:i/>
              </w:rPr>
              <w:t>dichos apartados.»</w:t>
            </w:r>
            <w:r w:rsidRPr="00A56A02">
              <w:t>.</w:t>
            </w:r>
          </w:p>
        </w:tc>
      </w:tr>
    </w:tbl>
    <w:p w:rsidR="003D0417" w:rsidRPr="00A56A02" w:rsidRDefault="003D0417" w:rsidP="00B8352C">
      <w:pPr>
        <w:pStyle w:val="Olang"/>
        <w:rPr>
          <w:noProof w:val="0"/>
          <w:szCs w:val="24"/>
        </w:rPr>
      </w:pPr>
      <w:r w:rsidRPr="00A56A02">
        <w:rPr>
          <w:noProof w:val="0"/>
          <w:szCs w:val="24"/>
        </w:rPr>
        <w:t xml:space="preserve">Or. </w:t>
      </w:r>
      <w:r w:rsidRPr="00A56A02">
        <w:rPr>
          <w:rStyle w:val="HideTWBExt"/>
          <w:noProof w:val="0"/>
          <w:color w:val="auto"/>
        </w:rPr>
        <w:t>&lt;Original&gt;</w:t>
      </w:r>
      <w:r w:rsidRPr="00A56A02">
        <w:rPr>
          <w:rStyle w:val="HideTWBInt"/>
          <w:noProof w:val="0"/>
          <w:color w:val="auto"/>
        </w:rPr>
        <w:t>{EN}</w:t>
      </w:r>
      <w:r w:rsidRPr="00A56A02">
        <w:rPr>
          <w:noProof w:val="0"/>
          <w:szCs w:val="24"/>
        </w:rPr>
        <w:t>en</w:t>
      </w:r>
      <w:r w:rsidRPr="00A56A02">
        <w:rPr>
          <w:rStyle w:val="HideTWBExt"/>
          <w:noProof w:val="0"/>
          <w:color w:val="auto"/>
        </w:rPr>
        <w:t>&lt;/Original&gt;</w:t>
      </w:r>
    </w:p>
    <w:p w:rsidR="003D0417" w:rsidRPr="00A56A02" w:rsidRDefault="003D0417" w:rsidP="00CE4CD1">
      <w:pPr>
        <w:pStyle w:val="CrossRef"/>
      </w:pPr>
      <w:r w:rsidRPr="00A56A02">
        <w:t>(http://eur-lex.europa.eu/legal-content/ES/TXT/?qid=1519392180316&amp;uri=CELEX:02016R0399-20170407)</w:t>
      </w:r>
    </w:p>
    <w:p w:rsidR="003D0417" w:rsidRPr="00A56A02" w:rsidRDefault="003D0417" w:rsidP="00CE4CD1">
      <w:r w:rsidRPr="00A56A02">
        <w:rPr>
          <w:rStyle w:val="HideTWBExt"/>
          <w:noProof w:val="0"/>
          <w:color w:val="auto"/>
        </w:rPr>
        <w:t>&lt;/Amend&gt;</w:t>
      </w:r>
    </w:p>
    <w:p w:rsidR="003D0417" w:rsidRPr="00A56A02" w:rsidRDefault="003D0417" w:rsidP="00CE4CD1"/>
    <w:p w:rsidR="003D0417" w:rsidRPr="00A56A02" w:rsidRDefault="003D0417" w:rsidP="00CE4CD1">
      <w:pPr>
        <w:pStyle w:val="AMNumberTabs"/>
        <w:keepNext/>
      </w:pPr>
      <w:r w:rsidRPr="00A56A02">
        <w:rPr>
          <w:rStyle w:val="HideTWBExt"/>
          <w:b w:val="0"/>
          <w:noProof w:val="0"/>
          <w:color w:val="auto"/>
        </w:rPr>
        <w:t>&lt;Amend&gt;</w:t>
      </w:r>
      <w:r w:rsidRPr="00A56A02">
        <w:t>Enmienda</w:t>
      </w:r>
      <w:r w:rsidRPr="00A56A02">
        <w:tab/>
      </w:r>
      <w:r w:rsidRPr="00A56A02">
        <w:tab/>
      </w:r>
      <w:r w:rsidRPr="00A56A02">
        <w:rPr>
          <w:rStyle w:val="HideTWBExt"/>
          <w:b w:val="0"/>
          <w:noProof w:val="0"/>
          <w:color w:val="auto"/>
        </w:rPr>
        <w:t>&lt;NumAm&gt;</w:t>
      </w:r>
      <w:r w:rsidRPr="00A56A02">
        <w:t>29</w:t>
      </w:r>
      <w:r w:rsidRPr="00A56A02">
        <w:rPr>
          <w:rStyle w:val="HideTWBExt"/>
          <w:b w:val="0"/>
          <w:noProof w:val="0"/>
          <w:color w:val="auto"/>
        </w:rPr>
        <w:t>&lt;/NumAm&gt;</w:t>
      </w:r>
    </w:p>
    <w:p w:rsidR="003D0417" w:rsidRPr="00A56A02" w:rsidRDefault="003D0417" w:rsidP="00CE4CD1">
      <w:pPr>
        <w:pStyle w:val="NormalBold12b"/>
        <w:keepNext/>
      </w:pPr>
      <w:r w:rsidRPr="00A56A02">
        <w:rPr>
          <w:rStyle w:val="HideTWBExt"/>
          <w:b w:val="0"/>
          <w:noProof w:val="0"/>
          <w:color w:val="auto"/>
        </w:rPr>
        <w:t>&lt;DocAmend&gt;</w:t>
      </w:r>
      <w:r w:rsidRPr="00A56A02">
        <w:t>Propuesta de Reglamento</w:t>
      </w:r>
      <w:r w:rsidRPr="00A56A02">
        <w:rPr>
          <w:rStyle w:val="HideTWBExt"/>
          <w:b w:val="0"/>
          <w:noProof w:val="0"/>
          <w:color w:val="auto"/>
        </w:rPr>
        <w:t>&lt;/DocAmend&gt;</w:t>
      </w:r>
    </w:p>
    <w:p w:rsidR="003D0417" w:rsidRPr="00A56A02" w:rsidRDefault="003D0417" w:rsidP="00CE4CD1">
      <w:pPr>
        <w:pStyle w:val="NormalBold"/>
      </w:pPr>
      <w:r w:rsidRPr="00A56A02">
        <w:rPr>
          <w:rStyle w:val="HideTWBExt"/>
          <w:b w:val="0"/>
          <w:noProof w:val="0"/>
          <w:color w:val="auto"/>
        </w:rPr>
        <w:t>&lt;Article&gt;</w:t>
      </w:r>
      <w:r w:rsidRPr="00A56A02">
        <w:t>Artículo 1 – párrafo 1 – punto 2 – inciso iii quater (nuevo)</w:t>
      </w:r>
      <w:r w:rsidRPr="00A56A02">
        <w:rPr>
          <w:rStyle w:val="HideTWBExt"/>
          <w:b w:val="0"/>
          <w:noProof w:val="0"/>
          <w:color w:val="auto"/>
        </w:rPr>
        <w:t>&lt;/Article&gt;</w:t>
      </w:r>
    </w:p>
    <w:p w:rsidR="003D0417" w:rsidRPr="00A56A02" w:rsidRDefault="003D0417" w:rsidP="00CE4CD1">
      <w:pPr>
        <w:keepNext/>
      </w:pPr>
      <w:r w:rsidRPr="00A56A02">
        <w:rPr>
          <w:rStyle w:val="HideTWBExt"/>
          <w:noProof w:val="0"/>
          <w:color w:val="auto"/>
        </w:rPr>
        <w:t>&lt;DocAmend2&gt;</w:t>
      </w:r>
      <w:r w:rsidRPr="00A56A02">
        <w:t>Reglamento (UE) 2016/399</w:t>
      </w:r>
      <w:r w:rsidRPr="00A56A02">
        <w:rPr>
          <w:rStyle w:val="HideTWBExt"/>
          <w:noProof w:val="0"/>
          <w:color w:val="auto"/>
        </w:rPr>
        <w:t>&lt;/DocAmend2&gt;</w:t>
      </w:r>
    </w:p>
    <w:p w:rsidR="003D0417" w:rsidRPr="00A56A02" w:rsidRDefault="003D0417" w:rsidP="00CE4CD1">
      <w:r w:rsidRPr="00A56A02">
        <w:rPr>
          <w:rStyle w:val="HideTWBExt"/>
          <w:noProof w:val="0"/>
          <w:color w:val="auto"/>
        </w:rPr>
        <w:t>&lt;Article2&gt;</w:t>
      </w:r>
      <w:r w:rsidRPr="00A56A02">
        <w:t>Artículo 27 – apartado 3</w:t>
      </w:r>
      <w:r w:rsidRPr="00A56A02">
        <w:rPr>
          <w:rStyle w:val="HideTWBExt"/>
          <w:noProof w:val="0"/>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56A02" w:rsidRPr="00A56A02" w:rsidTr="006B7FC7">
        <w:trPr>
          <w:jc w:val="center"/>
        </w:trPr>
        <w:tc>
          <w:tcPr>
            <w:tcW w:w="9752" w:type="dxa"/>
            <w:gridSpan w:val="2"/>
          </w:tcPr>
          <w:p w:rsidR="003D0417" w:rsidRPr="00A56A02" w:rsidRDefault="003D0417" w:rsidP="006B7FC7">
            <w:pPr>
              <w:keepNext/>
            </w:pPr>
          </w:p>
        </w:tc>
      </w:tr>
      <w:tr w:rsidR="00A56A02" w:rsidRPr="00A56A02" w:rsidTr="006B7FC7">
        <w:trPr>
          <w:jc w:val="center"/>
        </w:trPr>
        <w:tc>
          <w:tcPr>
            <w:tcW w:w="4876" w:type="dxa"/>
          </w:tcPr>
          <w:p w:rsidR="003D0417" w:rsidRPr="00A56A02" w:rsidRDefault="003D0417" w:rsidP="006B7FC7">
            <w:pPr>
              <w:pStyle w:val="ColumnHeading"/>
              <w:keepNext/>
            </w:pPr>
            <w:r w:rsidRPr="00A56A02">
              <w:t>Texto en vigor</w:t>
            </w:r>
          </w:p>
        </w:tc>
        <w:tc>
          <w:tcPr>
            <w:tcW w:w="4876" w:type="dxa"/>
          </w:tcPr>
          <w:p w:rsidR="003D0417" w:rsidRPr="00A56A02" w:rsidRDefault="003D0417" w:rsidP="006B7FC7">
            <w:pPr>
              <w:pStyle w:val="ColumnHeading"/>
              <w:keepNext/>
            </w:pPr>
            <w:r w:rsidRPr="00A56A02">
              <w:t>Enmienda</w:t>
            </w:r>
          </w:p>
        </w:tc>
      </w:tr>
      <w:tr w:rsidR="00A56A02" w:rsidRPr="00A56A02" w:rsidTr="006B7FC7">
        <w:trPr>
          <w:jc w:val="center"/>
        </w:trPr>
        <w:tc>
          <w:tcPr>
            <w:tcW w:w="4876" w:type="dxa"/>
          </w:tcPr>
          <w:p w:rsidR="003D0417" w:rsidRPr="00A56A02" w:rsidRDefault="003D0417" w:rsidP="006B7FC7">
            <w:pPr>
              <w:pStyle w:val="Normal6"/>
            </w:pPr>
          </w:p>
        </w:tc>
        <w:tc>
          <w:tcPr>
            <w:tcW w:w="4876" w:type="dxa"/>
          </w:tcPr>
          <w:p w:rsidR="003D0417" w:rsidRPr="00A56A02" w:rsidRDefault="003D0417" w:rsidP="006B7FC7">
            <w:pPr>
              <w:pStyle w:val="Normal6"/>
              <w:rPr>
                <w:szCs w:val="24"/>
              </w:rPr>
            </w:pPr>
            <w:r w:rsidRPr="00A56A02">
              <w:rPr>
                <w:b/>
                <w:i/>
              </w:rPr>
              <w:t>iii quater)</w:t>
            </w:r>
            <w:r w:rsidRPr="00A56A02">
              <w:rPr>
                <w:b/>
                <w:i/>
              </w:rPr>
              <w:tab/>
              <w:t>El apartado 3 se sustituye por el texto siguiente:</w:t>
            </w:r>
          </w:p>
        </w:tc>
      </w:tr>
      <w:tr w:rsidR="00A56A02" w:rsidRPr="00A56A02" w:rsidTr="006B7FC7">
        <w:trPr>
          <w:jc w:val="center"/>
        </w:trPr>
        <w:tc>
          <w:tcPr>
            <w:tcW w:w="4876" w:type="dxa"/>
          </w:tcPr>
          <w:p w:rsidR="003D0417" w:rsidRPr="00A56A02" w:rsidRDefault="003D0417" w:rsidP="006B7FC7">
            <w:pPr>
              <w:pStyle w:val="Normal6"/>
            </w:pPr>
            <w:r w:rsidRPr="00A56A02">
              <w:t xml:space="preserve">3. Cuando sea necesario y de conformidad con el Derecho nacional, los Estados miembros </w:t>
            </w:r>
            <w:r w:rsidRPr="00A56A02">
              <w:rPr>
                <w:b/>
                <w:i/>
              </w:rPr>
              <w:t>que lleven a cabo una notificación en cumplimiento del apartado 1</w:t>
            </w:r>
            <w:r w:rsidRPr="00A56A02">
              <w:t xml:space="preserve"> podrán </w:t>
            </w:r>
            <w:r w:rsidRPr="00A56A02">
              <w:rPr>
                <w:b/>
                <w:i/>
              </w:rPr>
              <w:t>decidir</w:t>
            </w:r>
            <w:r w:rsidRPr="00A56A02">
              <w:t xml:space="preserve"> clasificar parte de la información. El tratamiento de la información como clasificada no excluirá que la Comisión la ponga a disposición del Parlamento Europeo. La transmisión y tratamiento de la información y los documentos que se transmitan al Parlamento Europeo en virtud del presente artículo se ajustarán a las normas aplicables a la transmisión y la gestión de información clasificada entre el Parlamento Europeo y la Comisión.</w:t>
            </w:r>
          </w:p>
        </w:tc>
        <w:tc>
          <w:tcPr>
            <w:tcW w:w="4876" w:type="dxa"/>
          </w:tcPr>
          <w:p w:rsidR="003D0417" w:rsidRPr="00A56A02" w:rsidRDefault="003D0417" w:rsidP="006B7FC7">
            <w:pPr>
              <w:pStyle w:val="Normal6"/>
              <w:rPr>
                <w:szCs w:val="24"/>
              </w:rPr>
            </w:pPr>
            <w:r w:rsidRPr="00A56A02">
              <w:rPr>
                <w:b/>
                <w:i/>
              </w:rPr>
              <w:t>«</w:t>
            </w:r>
            <w:r w:rsidRPr="00A56A02">
              <w:t xml:space="preserve">3. Cuando sea necesario y de conformidad con el Derecho nacional, los Estados miembros podrán clasificar parte de la información </w:t>
            </w:r>
            <w:r w:rsidRPr="00A56A02">
              <w:rPr>
                <w:b/>
                <w:i/>
              </w:rPr>
              <w:t>a que se refieren los apartados 1 y 1 bis</w:t>
            </w:r>
            <w:r w:rsidRPr="00A56A02">
              <w:t>. El tratamiento de la información como clasificada no excluirá que la Comisión la ponga a disposición del Parlamento Europeo. La transmisión y tratamiento de la información y los documentos que se transmitan al Parlamento Europeo en virtud del presente artículo se ajustarán a las normas aplicables a la transmisión y la gestión de información clasificada entre el Parlamento Europeo y la Comisión.</w:t>
            </w:r>
            <w:r w:rsidRPr="00A56A02">
              <w:rPr>
                <w:b/>
                <w:i/>
              </w:rPr>
              <w:t>».</w:t>
            </w:r>
          </w:p>
        </w:tc>
      </w:tr>
    </w:tbl>
    <w:p w:rsidR="003D0417" w:rsidRPr="00A56A02" w:rsidRDefault="003D0417" w:rsidP="00B8352C">
      <w:pPr>
        <w:pStyle w:val="Olang"/>
        <w:rPr>
          <w:noProof w:val="0"/>
          <w:szCs w:val="24"/>
        </w:rPr>
      </w:pPr>
      <w:r w:rsidRPr="00A56A02">
        <w:rPr>
          <w:noProof w:val="0"/>
          <w:szCs w:val="24"/>
        </w:rPr>
        <w:t xml:space="preserve">Or. </w:t>
      </w:r>
      <w:r w:rsidRPr="00A56A02">
        <w:rPr>
          <w:rStyle w:val="HideTWBExt"/>
          <w:noProof w:val="0"/>
          <w:color w:val="auto"/>
        </w:rPr>
        <w:t>&lt;Original&gt;</w:t>
      </w:r>
      <w:r w:rsidRPr="00A56A02">
        <w:rPr>
          <w:rStyle w:val="HideTWBInt"/>
          <w:noProof w:val="0"/>
          <w:color w:val="auto"/>
        </w:rPr>
        <w:t>{EN}</w:t>
      </w:r>
      <w:r w:rsidRPr="00A56A02">
        <w:rPr>
          <w:noProof w:val="0"/>
          <w:szCs w:val="24"/>
        </w:rPr>
        <w:t>en</w:t>
      </w:r>
      <w:r w:rsidRPr="00A56A02">
        <w:rPr>
          <w:rStyle w:val="HideTWBExt"/>
          <w:noProof w:val="0"/>
          <w:color w:val="auto"/>
        </w:rPr>
        <w:t>&lt;/Original&gt;</w:t>
      </w:r>
    </w:p>
    <w:p w:rsidR="003D0417" w:rsidRPr="00A56A02" w:rsidRDefault="003D0417" w:rsidP="00CE4CD1">
      <w:pPr>
        <w:pStyle w:val="CrossRef"/>
      </w:pPr>
      <w:r w:rsidRPr="00A56A02">
        <w:t>(http://eur-lex.europa.eu/legal-content/ES/TXT/?qid=1519392180316&amp;uri=CELEX:02016R0399-20170407)</w:t>
      </w:r>
    </w:p>
    <w:p w:rsidR="003D0417" w:rsidRPr="00A56A02" w:rsidRDefault="003D0417" w:rsidP="00CE4CD1">
      <w:r w:rsidRPr="00A56A02">
        <w:rPr>
          <w:rStyle w:val="HideTWBExt"/>
          <w:noProof w:val="0"/>
          <w:color w:val="auto"/>
        </w:rPr>
        <w:t>&lt;/Amend&gt;</w:t>
      </w:r>
    </w:p>
    <w:p w:rsidR="003D0417" w:rsidRPr="00A56A02" w:rsidRDefault="003D0417" w:rsidP="00CE4CD1">
      <w:pPr>
        <w:pStyle w:val="AMNumberTabs"/>
        <w:keepNext/>
      </w:pPr>
      <w:r w:rsidRPr="00A56A02">
        <w:rPr>
          <w:rStyle w:val="HideTWBExt"/>
          <w:b w:val="0"/>
          <w:noProof w:val="0"/>
          <w:color w:val="auto"/>
        </w:rPr>
        <w:t>&lt;Amend&gt;</w:t>
      </w:r>
      <w:r w:rsidRPr="00A56A02">
        <w:t>Enmienda</w:t>
      </w:r>
      <w:r w:rsidRPr="00A56A02">
        <w:tab/>
      </w:r>
      <w:r w:rsidRPr="00A56A02">
        <w:tab/>
      </w:r>
      <w:r w:rsidRPr="00A56A02">
        <w:rPr>
          <w:rStyle w:val="HideTWBExt"/>
          <w:b w:val="0"/>
          <w:noProof w:val="0"/>
          <w:color w:val="auto"/>
        </w:rPr>
        <w:t>&lt;NumAm&gt;</w:t>
      </w:r>
      <w:r w:rsidRPr="00A56A02">
        <w:t>30</w:t>
      </w:r>
      <w:r w:rsidRPr="00A56A02">
        <w:rPr>
          <w:rStyle w:val="HideTWBExt"/>
          <w:b w:val="0"/>
          <w:noProof w:val="0"/>
          <w:color w:val="auto"/>
        </w:rPr>
        <w:t>&lt;/NumAm&gt;</w:t>
      </w:r>
    </w:p>
    <w:p w:rsidR="003D0417" w:rsidRPr="00A56A02" w:rsidRDefault="003D0417" w:rsidP="00CE4CD1">
      <w:pPr>
        <w:pStyle w:val="NormalBold12b"/>
        <w:keepNext/>
      </w:pPr>
      <w:r w:rsidRPr="00A56A02">
        <w:rPr>
          <w:rStyle w:val="HideTWBExt"/>
          <w:b w:val="0"/>
          <w:noProof w:val="0"/>
          <w:color w:val="auto"/>
        </w:rPr>
        <w:t>&lt;DocAmend&gt;</w:t>
      </w:r>
      <w:r w:rsidRPr="00A56A02">
        <w:t>Propuesta de Reglamento</w:t>
      </w:r>
      <w:r w:rsidRPr="00A56A02">
        <w:rPr>
          <w:rStyle w:val="HideTWBExt"/>
          <w:b w:val="0"/>
          <w:noProof w:val="0"/>
          <w:color w:val="auto"/>
        </w:rPr>
        <w:t>&lt;/DocAmend&gt;</w:t>
      </w:r>
    </w:p>
    <w:p w:rsidR="003D0417" w:rsidRPr="00A56A02" w:rsidRDefault="003D0417" w:rsidP="00CE4CD1">
      <w:pPr>
        <w:pStyle w:val="NormalBold"/>
      </w:pPr>
      <w:r w:rsidRPr="00A56A02">
        <w:rPr>
          <w:rStyle w:val="HideTWBExt"/>
          <w:b w:val="0"/>
          <w:noProof w:val="0"/>
          <w:color w:val="auto"/>
        </w:rPr>
        <w:t>&lt;Article&gt;</w:t>
      </w:r>
      <w:r w:rsidRPr="00A56A02">
        <w:t>Artículo 1 – párrafo 1 – punto 2 – inciso iv</w:t>
      </w:r>
      <w:r w:rsidRPr="00A56A02">
        <w:rPr>
          <w:rStyle w:val="HideTWBExt"/>
          <w:b w:val="0"/>
          <w:noProof w:val="0"/>
          <w:color w:val="auto"/>
        </w:rPr>
        <w:t>&lt;/Article&gt;</w:t>
      </w:r>
    </w:p>
    <w:p w:rsidR="003D0417" w:rsidRPr="00A56A02" w:rsidRDefault="003D0417" w:rsidP="00CE4CD1">
      <w:pPr>
        <w:keepNext/>
      </w:pPr>
      <w:r w:rsidRPr="00A56A02">
        <w:rPr>
          <w:rStyle w:val="HideTWBExt"/>
          <w:noProof w:val="0"/>
          <w:color w:val="auto"/>
        </w:rPr>
        <w:t>&lt;DocAmend2&gt;</w:t>
      </w:r>
      <w:r w:rsidRPr="00A56A02">
        <w:t>Reglamento (UE) 2016/399</w:t>
      </w:r>
      <w:r w:rsidRPr="00A56A02">
        <w:rPr>
          <w:rStyle w:val="HideTWBExt"/>
          <w:noProof w:val="0"/>
          <w:color w:val="auto"/>
        </w:rPr>
        <w:t>&lt;/DocAmend2&gt;</w:t>
      </w:r>
    </w:p>
    <w:p w:rsidR="003D0417" w:rsidRPr="00A56A02" w:rsidRDefault="003D0417" w:rsidP="00CE4CD1">
      <w:r w:rsidRPr="00A56A02">
        <w:rPr>
          <w:rStyle w:val="HideTWBExt"/>
          <w:noProof w:val="0"/>
          <w:color w:val="auto"/>
        </w:rPr>
        <w:t>&lt;Article2&gt;</w:t>
      </w:r>
      <w:r w:rsidRPr="00A56A02">
        <w:t>Artículo 27 – apartado 4 – párrafo 1</w:t>
      </w:r>
      <w:r w:rsidRPr="00A56A02">
        <w:rPr>
          <w:rStyle w:val="HideTWBExt"/>
          <w:noProof w:val="0"/>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56A02" w:rsidRPr="00A56A02" w:rsidTr="006B7FC7">
        <w:trPr>
          <w:jc w:val="center"/>
        </w:trPr>
        <w:tc>
          <w:tcPr>
            <w:tcW w:w="9752" w:type="dxa"/>
            <w:gridSpan w:val="2"/>
          </w:tcPr>
          <w:p w:rsidR="003D0417" w:rsidRPr="00A56A02" w:rsidRDefault="003D0417" w:rsidP="006B7FC7">
            <w:pPr>
              <w:keepNext/>
            </w:pPr>
          </w:p>
        </w:tc>
      </w:tr>
      <w:tr w:rsidR="00A56A02" w:rsidRPr="00A56A02" w:rsidTr="006B7FC7">
        <w:trPr>
          <w:jc w:val="center"/>
        </w:trPr>
        <w:tc>
          <w:tcPr>
            <w:tcW w:w="4876" w:type="dxa"/>
          </w:tcPr>
          <w:p w:rsidR="003D0417" w:rsidRPr="00A56A02" w:rsidRDefault="003D0417" w:rsidP="006B7FC7">
            <w:pPr>
              <w:pStyle w:val="ColumnHeading"/>
              <w:keepNext/>
            </w:pPr>
            <w:r w:rsidRPr="00A56A02">
              <w:t>Texto de la Comisión</w:t>
            </w:r>
          </w:p>
        </w:tc>
        <w:tc>
          <w:tcPr>
            <w:tcW w:w="4876" w:type="dxa"/>
          </w:tcPr>
          <w:p w:rsidR="003D0417" w:rsidRPr="00A56A02" w:rsidRDefault="003D0417" w:rsidP="006B7FC7">
            <w:pPr>
              <w:pStyle w:val="ColumnHeading"/>
              <w:keepNext/>
            </w:pPr>
            <w:r w:rsidRPr="00A56A02">
              <w:t>Enmienda</w:t>
            </w:r>
          </w:p>
        </w:tc>
      </w:tr>
      <w:tr w:rsidR="00A56A02" w:rsidRPr="00A56A02" w:rsidTr="006B7FC7">
        <w:trPr>
          <w:jc w:val="center"/>
        </w:trPr>
        <w:tc>
          <w:tcPr>
            <w:tcW w:w="4876" w:type="dxa"/>
          </w:tcPr>
          <w:p w:rsidR="003D0417" w:rsidRPr="00A56A02" w:rsidRDefault="003D0417" w:rsidP="006B7FC7">
            <w:pPr>
              <w:pStyle w:val="Normal6"/>
            </w:pPr>
            <w:r w:rsidRPr="00A56A02">
              <w:t xml:space="preserve">Tras la notificación por parte de un Estado miembro conforme </w:t>
            </w:r>
            <w:r w:rsidRPr="00A56A02">
              <w:rPr>
                <w:b/>
                <w:i/>
              </w:rPr>
              <w:t>al apartado</w:t>
            </w:r>
            <w:r w:rsidRPr="00A56A02">
              <w:t xml:space="preserve"> 1 y con miras a la consulta a que se refiere el apartado 5, la Comisión o cualquier otro Estado miembro podrán emitir un dictamen, sin perjuicio de lo establecido en el artículo 72 del TFUE.</w:t>
            </w:r>
          </w:p>
        </w:tc>
        <w:tc>
          <w:tcPr>
            <w:tcW w:w="4876" w:type="dxa"/>
          </w:tcPr>
          <w:p w:rsidR="003D0417" w:rsidRPr="00A56A02" w:rsidRDefault="003D0417" w:rsidP="006B7FC7">
            <w:pPr>
              <w:pStyle w:val="Normal6"/>
              <w:rPr>
                <w:szCs w:val="24"/>
              </w:rPr>
            </w:pPr>
            <w:r w:rsidRPr="00A56A02">
              <w:t xml:space="preserve">Tras la notificación por parte de un Estado miembro conforme </w:t>
            </w:r>
            <w:r w:rsidRPr="00A56A02">
              <w:rPr>
                <w:b/>
                <w:i/>
              </w:rPr>
              <w:t>a los apartados</w:t>
            </w:r>
            <w:r w:rsidRPr="00A56A02">
              <w:t xml:space="preserve"> 1</w:t>
            </w:r>
            <w:r w:rsidRPr="00A56A02">
              <w:rPr>
                <w:b/>
                <w:i/>
              </w:rPr>
              <w:t xml:space="preserve"> y 1 bis</w:t>
            </w:r>
            <w:r w:rsidRPr="00A56A02">
              <w:t xml:space="preserve"> y con miras a la consulta a que se refiere el apartado 5, la Comisión o cualquier otro Estado miembro podrán emitir un dictamen, sin perjuicio de lo establecido en el artículo 72 del TFUE.</w:t>
            </w:r>
          </w:p>
        </w:tc>
      </w:tr>
    </w:tbl>
    <w:p w:rsidR="003D0417" w:rsidRPr="00A56A02" w:rsidRDefault="003D0417" w:rsidP="00B8352C">
      <w:pPr>
        <w:pStyle w:val="Olang"/>
        <w:rPr>
          <w:noProof w:val="0"/>
          <w:szCs w:val="24"/>
        </w:rPr>
      </w:pPr>
      <w:r w:rsidRPr="00A56A02">
        <w:rPr>
          <w:noProof w:val="0"/>
          <w:szCs w:val="24"/>
        </w:rPr>
        <w:t xml:space="preserve">Or. </w:t>
      </w:r>
      <w:r w:rsidRPr="00A56A02">
        <w:rPr>
          <w:rStyle w:val="HideTWBExt"/>
          <w:noProof w:val="0"/>
          <w:color w:val="auto"/>
        </w:rPr>
        <w:t>&lt;Original&gt;</w:t>
      </w:r>
      <w:r w:rsidRPr="00A56A02">
        <w:rPr>
          <w:rStyle w:val="HideTWBInt"/>
          <w:noProof w:val="0"/>
          <w:color w:val="auto"/>
        </w:rPr>
        <w:t>{EN}</w:t>
      </w:r>
      <w:r w:rsidRPr="00A56A02">
        <w:rPr>
          <w:noProof w:val="0"/>
          <w:szCs w:val="24"/>
        </w:rPr>
        <w:t>en</w:t>
      </w:r>
      <w:r w:rsidRPr="00A56A02">
        <w:rPr>
          <w:rStyle w:val="HideTWBExt"/>
          <w:noProof w:val="0"/>
          <w:color w:val="auto"/>
        </w:rPr>
        <w:t>&lt;/Original&gt;</w:t>
      </w:r>
    </w:p>
    <w:p w:rsidR="003D0417" w:rsidRPr="00A56A02" w:rsidRDefault="003D0417" w:rsidP="00CE4CD1">
      <w:r w:rsidRPr="00A56A02">
        <w:rPr>
          <w:rStyle w:val="HideTWBExt"/>
          <w:noProof w:val="0"/>
          <w:color w:val="auto"/>
        </w:rPr>
        <w:t>&lt;/Amend&gt;</w:t>
      </w:r>
    </w:p>
    <w:p w:rsidR="003D0417" w:rsidRPr="00A56A02" w:rsidRDefault="003D0417" w:rsidP="00CE4CD1">
      <w:pPr>
        <w:pStyle w:val="AMNumberTabs"/>
        <w:keepNext/>
      </w:pPr>
      <w:r w:rsidRPr="00A56A02">
        <w:rPr>
          <w:rStyle w:val="HideTWBExt"/>
          <w:b w:val="0"/>
          <w:noProof w:val="0"/>
          <w:color w:val="auto"/>
        </w:rPr>
        <w:t>&lt;Amend&gt;</w:t>
      </w:r>
      <w:r w:rsidRPr="00A56A02">
        <w:t>Enmienda</w:t>
      </w:r>
      <w:r w:rsidRPr="00A56A02">
        <w:tab/>
      </w:r>
      <w:r w:rsidRPr="00A56A02">
        <w:tab/>
      </w:r>
      <w:r w:rsidRPr="00A56A02">
        <w:rPr>
          <w:rStyle w:val="HideTWBExt"/>
          <w:b w:val="0"/>
          <w:noProof w:val="0"/>
          <w:color w:val="auto"/>
        </w:rPr>
        <w:t>&lt;NumAm&gt;</w:t>
      </w:r>
      <w:r w:rsidRPr="00A56A02">
        <w:t>31</w:t>
      </w:r>
      <w:r w:rsidRPr="00A56A02">
        <w:rPr>
          <w:rStyle w:val="HideTWBExt"/>
          <w:b w:val="0"/>
          <w:noProof w:val="0"/>
          <w:color w:val="auto"/>
        </w:rPr>
        <w:t>&lt;/NumAm&gt;</w:t>
      </w:r>
    </w:p>
    <w:p w:rsidR="003D0417" w:rsidRPr="00A56A02" w:rsidRDefault="003D0417" w:rsidP="00CE4CD1">
      <w:pPr>
        <w:pStyle w:val="NormalBold12b"/>
        <w:keepNext/>
      </w:pPr>
      <w:r w:rsidRPr="00A56A02">
        <w:rPr>
          <w:rStyle w:val="HideTWBExt"/>
          <w:b w:val="0"/>
          <w:noProof w:val="0"/>
          <w:color w:val="auto"/>
        </w:rPr>
        <w:t>&lt;DocAmend&gt;</w:t>
      </w:r>
      <w:r w:rsidRPr="00A56A02">
        <w:t>Propuesta de Reglamento</w:t>
      </w:r>
      <w:r w:rsidRPr="00A56A02">
        <w:rPr>
          <w:rStyle w:val="HideTWBExt"/>
          <w:b w:val="0"/>
          <w:noProof w:val="0"/>
          <w:color w:val="auto"/>
        </w:rPr>
        <w:t>&lt;/DocAmend&gt;</w:t>
      </w:r>
    </w:p>
    <w:p w:rsidR="003D0417" w:rsidRPr="00A56A02" w:rsidRDefault="003D0417" w:rsidP="00CE4CD1">
      <w:pPr>
        <w:pStyle w:val="NormalBold"/>
      </w:pPr>
      <w:r w:rsidRPr="00A56A02">
        <w:rPr>
          <w:rStyle w:val="HideTWBExt"/>
          <w:b w:val="0"/>
          <w:noProof w:val="0"/>
          <w:color w:val="auto"/>
        </w:rPr>
        <w:t>&lt;Article&gt;</w:t>
      </w:r>
      <w:r w:rsidRPr="00A56A02">
        <w:t>Artículo 1 – párrafo 1 – punto 2 – inciso iv</w:t>
      </w:r>
      <w:r w:rsidRPr="00A56A02">
        <w:rPr>
          <w:rStyle w:val="HideTWBExt"/>
          <w:b w:val="0"/>
          <w:noProof w:val="0"/>
          <w:color w:val="auto"/>
        </w:rPr>
        <w:t>&lt;/Article&gt;</w:t>
      </w:r>
    </w:p>
    <w:p w:rsidR="003D0417" w:rsidRPr="00A56A02" w:rsidRDefault="003D0417" w:rsidP="00CE4CD1">
      <w:pPr>
        <w:keepNext/>
      </w:pPr>
      <w:r w:rsidRPr="00A56A02">
        <w:rPr>
          <w:rStyle w:val="HideTWBExt"/>
          <w:noProof w:val="0"/>
          <w:color w:val="auto"/>
        </w:rPr>
        <w:t>&lt;DocAmend2&gt;</w:t>
      </w:r>
      <w:r w:rsidRPr="00A56A02">
        <w:t>Reglamento (UE) 2016/399</w:t>
      </w:r>
      <w:r w:rsidRPr="00A56A02">
        <w:rPr>
          <w:rStyle w:val="HideTWBExt"/>
          <w:noProof w:val="0"/>
          <w:color w:val="auto"/>
        </w:rPr>
        <w:t>&lt;/DocAmend2&gt;</w:t>
      </w:r>
    </w:p>
    <w:p w:rsidR="003D0417" w:rsidRPr="00A56A02" w:rsidRDefault="003D0417" w:rsidP="00CE4CD1">
      <w:r w:rsidRPr="00A56A02">
        <w:rPr>
          <w:rStyle w:val="HideTWBExt"/>
          <w:noProof w:val="0"/>
          <w:color w:val="auto"/>
        </w:rPr>
        <w:t>&lt;Article2&gt;</w:t>
      </w:r>
      <w:r w:rsidRPr="00A56A02">
        <w:t>Artículo 27 – apartado 4 – párrafo 2</w:t>
      </w:r>
      <w:r w:rsidRPr="00A56A02">
        <w:rPr>
          <w:rStyle w:val="HideTWBExt"/>
          <w:noProof w:val="0"/>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56A02" w:rsidRPr="00A56A02" w:rsidTr="006B7FC7">
        <w:trPr>
          <w:jc w:val="center"/>
        </w:trPr>
        <w:tc>
          <w:tcPr>
            <w:tcW w:w="9752" w:type="dxa"/>
            <w:gridSpan w:val="2"/>
          </w:tcPr>
          <w:p w:rsidR="003D0417" w:rsidRPr="00A56A02" w:rsidRDefault="003D0417" w:rsidP="006B7FC7">
            <w:pPr>
              <w:keepNext/>
            </w:pPr>
          </w:p>
        </w:tc>
      </w:tr>
      <w:tr w:rsidR="00A56A02" w:rsidRPr="00A56A02" w:rsidTr="006B7FC7">
        <w:trPr>
          <w:jc w:val="center"/>
        </w:trPr>
        <w:tc>
          <w:tcPr>
            <w:tcW w:w="4876" w:type="dxa"/>
          </w:tcPr>
          <w:p w:rsidR="003D0417" w:rsidRPr="00A56A02" w:rsidRDefault="003D0417" w:rsidP="006B7FC7">
            <w:pPr>
              <w:pStyle w:val="ColumnHeading"/>
              <w:keepNext/>
            </w:pPr>
            <w:r w:rsidRPr="00A56A02">
              <w:t>Texto de la Comisión</w:t>
            </w:r>
          </w:p>
        </w:tc>
        <w:tc>
          <w:tcPr>
            <w:tcW w:w="4876" w:type="dxa"/>
          </w:tcPr>
          <w:p w:rsidR="003D0417" w:rsidRPr="00A56A02" w:rsidRDefault="003D0417" w:rsidP="006B7FC7">
            <w:pPr>
              <w:pStyle w:val="ColumnHeading"/>
              <w:keepNext/>
            </w:pPr>
            <w:r w:rsidRPr="00A56A02">
              <w:t>Enmienda</w:t>
            </w:r>
          </w:p>
        </w:tc>
      </w:tr>
      <w:tr w:rsidR="00A56A02" w:rsidRPr="00A56A02" w:rsidTr="006B7FC7">
        <w:trPr>
          <w:jc w:val="center"/>
        </w:trPr>
        <w:tc>
          <w:tcPr>
            <w:tcW w:w="4876" w:type="dxa"/>
          </w:tcPr>
          <w:p w:rsidR="003D0417" w:rsidRPr="00A56A02" w:rsidRDefault="003D0417" w:rsidP="006B7FC7">
            <w:pPr>
              <w:pStyle w:val="Normal6"/>
            </w:pPr>
            <w:r w:rsidRPr="00A56A02">
              <w:rPr>
                <w:b/>
                <w:i/>
              </w:rPr>
              <w:t>Cuando</w:t>
            </w:r>
            <w:r w:rsidRPr="00A56A02">
              <w:t xml:space="preserve"> la Comisión </w:t>
            </w:r>
            <w:r w:rsidRPr="00A56A02">
              <w:rPr>
                <w:b/>
                <w:i/>
              </w:rPr>
              <w:t>albergue</w:t>
            </w:r>
            <w:r w:rsidRPr="00A56A02">
              <w:t xml:space="preserve"> dudas respecto de la necesidad o la proporcionalidad del restablecimiento previsto de los controles fronterizos en las fronteras interiores, o </w:t>
            </w:r>
            <w:r w:rsidRPr="00A56A02">
              <w:rPr>
                <w:b/>
                <w:i/>
              </w:rPr>
              <w:t>cuando considere</w:t>
            </w:r>
            <w:r w:rsidRPr="00A56A02">
              <w:t xml:space="preserve"> conveniente efectuar una consulta sobre cualquier aspecto de la notificación, emitirá un dictamen a tal efecto.</w:t>
            </w:r>
          </w:p>
        </w:tc>
        <w:tc>
          <w:tcPr>
            <w:tcW w:w="4876" w:type="dxa"/>
          </w:tcPr>
          <w:p w:rsidR="003D0417" w:rsidRPr="00A56A02" w:rsidRDefault="003D0417" w:rsidP="006B7FC7">
            <w:pPr>
              <w:pStyle w:val="Normal6"/>
              <w:rPr>
                <w:szCs w:val="24"/>
              </w:rPr>
            </w:pPr>
            <w:r w:rsidRPr="00A56A02">
              <w:rPr>
                <w:b/>
                <w:i/>
              </w:rPr>
              <w:t>Si, basándose en la información contenida en la notificación o en cualquier información adicional que haya recibido,</w:t>
            </w:r>
            <w:r w:rsidRPr="00A56A02">
              <w:t xml:space="preserve"> la Comisión </w:t>
            </w:r>
            <w:r w:rsidRPr="00A56A02">
              <w:rPr>
                <w:b/>
                <w:i/>
              </w:rPr>
              <w:t>alberga</w:t>
            </w:r>
            <w:r w:rsidRPr="00A56A02">
              <w:t xml:space="preserve"> dudas respecto de la necesidad o la proporcionalidad del restablecimiento previsto de los controles fronterizos en las fronteras interiores, o </w:t>
            </w:r>
            <w:r w:rsidRPr="00A56A02">
              <w:rPr>
                <w:b/>
                <w:i/>
              </w:rPr>
              <w:t>si considera</w:t>
            </w:r>
            <w:r w:rsidRPr="00A56A02">
              <w:t xml:space="preserve"> conveniente efectuar una consulta sobre cualquier aspecto de la notificación,</w:t>
            </w:r>
            <w:r w:rsidRPr="00A56A02">
              <w:rPr>
                <w:b/>
                <w:i/>
              </w:rPr>
              <w:t xml:space="preserve"> la Comisión</w:t>
            </w:r>
            <w:r w:rsidRPr="00A56A02">
              <w:t xml:space="preserve"> emitirá un dictamen a tal efecto.</w:t>
            </w:r>
          </w:p>
        </w:tc>
      </w:tr>
    </w:tbl>
    <w:p w:rsidR="003D0417" w:rsidRPr="00A56A02" w:rsidRDefault="003D0417" w:rsidP="00B8352C">
      <w:pPr>
        <w:pStyle w:val="Olang"/>
        <w:rPr>
          <w:noProof w:val="0"/>
          <w:szCs w:val="24"/>
        </w:rPr>
      </w:pPr>
      <w:r w:rsidRPr="00A56A02">
        <w:rPr>
          <w:noProof w:val="0"/>
          <w:szCs w:val="24"/>
        </w:rPr>
        <w:t xml:space="preserve">Or. </w:t>
      </w:r>
      <w:r w:rsidRPr="00A56A02">
        <w:rPr>
          <w:rStyle w:val="HideTWBExt"/>
          <w:noProof w:val="0"/>
          <w:color w:val="auto"/>
        </w:rPr>
        <w:t>&lt;Original&gt;</w:t>
      </w:r>
      <w:r w:rsidRPr="00A56A02">
        <w:rPr>
          <w:rStyle w:val="HideTWBInt"/>
          <w:noProof w:val="0"/>
          <w:color w:val="auto"/>
        </w:rPr>
        <w:t>{EN}</w:t>
      </w:r>
      <w:r w:rsidRPr="00A56A02">
        <w:rPr>
          <w:noProof w:val="0"/>
          <w:szCs w:val="24"/>
        </w:rPr>
        <w:t>en</w:t>
      </w:r>
      <w:r w:rsidRPr="00A56A02">
        <w:rPr>
          <w:rStyle w:val="HideTWBExt"/>
          <w:noProof w:val="0"/>
          <w:color w:val="auto"/>
        </w:rPr>
        <w:t>&lt;/Original&gt;</w:t>
      </w:r>
    </w:p>
    <w:p w:rsidR="003D0417" w:rsidRPr="00A56A02" w:rsidRDefault="003D0417" w:rsidP="00CE4CD1">
      <w:r w:rsidRPr="00A56A02">
        <w:rPr>
          <w:rStyle w:val="HideTWBExt"/>
          <w:noProof w:val="0"/>
          <w:color w:val="auto"/>
        </w:rPr>
        <w:t>&lt;/Amend&gt;</w:t>
      </w:r>
    </w:p>
    <w:p w:rsidR="003D0417" w:rsidRPr="00A56A02" w:rsidRDefault="003D0417" w:rsidP="00CE4CD1">
      <w:pPr>
        <w:pStyle w:val="AMNumberTabs"/>
        <w:keepNext/>
      </w:pPr>
      <w:r w:rsidRPr="00A56A02">
        <w:rPr>
          <w:rStyle w:val="HideTWBExt"/>
          <w:b w:val="0"/>
          <w:noProof w:val="0"/>
          <w:color w:val="auto"/>
        </w:rPr>
        <w:t>&lt;Amend&gt;</w:t>
      </w:r>
      <w:r w:rsidRPr="00A56A02">
        <w:t>Enmienda</w:t>
      </w:r>
      <w:r w:rsidRPr="00A56A02">
        <w:tab/>
      </w:r>
      <w:r w:rsidRPr="00A56A02">
        <w:tab/>
      </w:r>
      <w:r w:rsidRPr="00A56A02">
        <w:rPr>
          <w:rStyle w:val="HideTWBExt"/>
          <w:b w:val="0"/>
          <w:noProof w:val="0"/>
          <w:color w:val="auto"/>
        </w:rPr>
        <w:t>&lt;NumAm&gt;</w:t>
      </w:r>
      <w:r w:rsidRPr="00A56A02">
        <w:t>32</w:t>
      </w:r>
      <w:r w:rsidRPr="00A56A02">
        <w:rPr>
          <w:rStyle w:val="HideTWBExt"/>
          <w:b w:val="0"/>
          <w:noProof w:val="0"/>
          <w:color w:val="auto"/>
        </w:rPr>
        <w:t>&lt;/NumAm&gt;</w:t>
      </w:r>
    </w:p>
    <w:p w:rsidR="003D0417" w:rsidRPr="00A56A02" w:rsidRDefault="003D0417" w:rsidP="00CE4CD1">
      <w:pPr>
        <w:pStyle w:val="NormalBold12b"/>
        <w:keepNext/>
      </w:pPr>
      <w:r w:rsidRPr="00A56A02">
        <w:rPr>
          <w:rStyle w:val="HideTWBExt"/>
          <w:b w:val="0"/>
          <w:noProof w:val="0"/>
          <w:color w:val="auto"/>
        </w:rPr>
        <w:t>&lt;DocAmend&gt;</w:t>
      </w:r>
      <w:r w:rsidRPr="00A56A02">
        <w:t>Propuesta de Reglamento</w:t>
      </w:r>
      <w:r w:rsidRPr="00A56A02">
        <w:rPr>
          <w:rStyle w:val="HideTWBExt"/>
          <w:b w:val="0"/>
          <w:noProof w:val="0"/>
          <w:color w:val="auto"/>
        </w:rPr>
        <w:t>&lt;/DocAmend&gt;</w:t>
      </w:r>
    </w:p>
    <w:p w:rsidR="003D0417" w:rsidRPr="00A56A02" w:rsidRDefault="003D0417" w:rsidP="00CE4CD1">
      <w:pPr>
        <w:pStyle w:val="NormalBold"/>
      </w:pPr>
      <w:r w:rsidRPr="00A56A02">
        <w:rPr>
          <w:rStyle w:val="HideTWBExt"/>
          <w:b w:val="0"/>
          <w:noProof w:val="0"/>
          <w:color w:val="auto"/>
        </w:rPr>
        <w:t>&lt;Article&gt;</w:t>
      </w:r>
      <w:r w:rsidRPr="00A56A02">
        <w:t>Artículo 1 – párrafo 1 – punto 2 – inciso iv</w:t>
      </w:r>
      <w:r w:rsidRPr="00A56A02">
        <w:rPr>
          <w:rStyle w:val="HideTWBExt"/>
          <w:b w:val="0"/>
          <w:noProof w:val="0"/>
          <w:color w:val="auto"/>
        </w:rPr>
        <w:t>&lt;/Article&gt;</w:t>
      </w:r>
    </w:p>
    <w:p w:rsidR="003D0417" w:rsidRPr="00A56A02" w:rsidRDefault="003D0417" w:rsidP="00CE4CD1">
      <w:pPr>
        <w:keepNext/>
      </w:pPr>
      <w:r w:rsidRPr="00A56A02">
        <w:rPr>
          <w:rStyle w:val="HideTWBExt"/>
          <w:noProof w:val="0"/>
          <w:color w:val="auto"/>
        </w:rPr>
        <w:t>&lt;DocAmend2&gt;</w:t>
      </w:r>
      <w:r w:rsidRPr="00A56A02">
        <w:t>Reglamento (UE) 2016/399</w:t>
      </w:r>
      <w:r w:rsidRPr="00A56A02">
        <w:rPr>
          <w:rStyle w:val="HideTWBExt"/>
          <w:noProof w:val="0"/>
          <w:color w:val="auto"/>
        </w:rPr>
        <w:t>&lt;/DocAmend2&gt;</w:t>
      </w:r>
    </w:p>
    <w:p w:rsidR="003D0417" w:rsidRPr="00A56A02" w:rsidRDefault="003D0417" w:rsidP="00CE4CD1">
      <w:r w:rsidRPr="00A56A02">
        <w:rPr>
          <w:rStyle w:val="HideTWBExt"/>
          <w:noProof w:val="0"/>
          <w:color w:val="auto"/>
        </w:rPr>
        <w:t>&lt;Article2&gt;</w:t>
      </w:r>
      <w:r w:rsidRPr="00A56A02">
        <w:t>Artículo 27 – apartado 4 – párrafo 3</w:t>
      </w:r>
      <w:r w:rsidRPr="00A56A02">
        <w:rPr>
          <w:rStyle w:val="HideTWBExt"/>
          <w:noProof w:val="0"/>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56A02" w:rsidRPr="00A56A02" w:rsidTr="006B7FC7">
        <w:trPr>
          <w:jc w:val="center"/>
        </w:trPr>
        <w:tc>
          <w:tcPr>
            <w:tcW w:w="9752" w:type="dxa"/>
            <w:gridSpan w:val="2"/>
          </w:tcPr>
          <w:p w:rsidR="003D0417" w:rsidRPr="00A56A02" w:rsidRDefault="003D0417" w:rsidP="006B7FC7">
            <w:pPr>
              <w:keepNext/>
            </w:pPr>
          </w:p>
        </w:tc>
      </w:tr>
      <w:tr w:rsidR="00A56A02" w:rsidRPr="00A56A02" w:rsidTr="006B7FC7">
        <w:trPr>
          <w:jc w:val="center"/>
        </w:trPr>
        <w:tc>
          <w:tcPr>
            <w:tcW w:w="4876" w:type="dxa"/>
          </w:tcPr>
          <w:p w:rsidR="003D0417" w:rsidRPr="00A56A02" w:rsidRDefault="003D0417" w:rsidP="006B7FC7">
            <w:pPr>
              <w:pStyle w:val="ColumnHeading"/>
              <w:keepNext/>
            </w:pPr>
            <w:r w:rsidRPr="00A56A02">
              <w:t>Texto de la Comisión</w:t>
            </w:r>
          </w:p>
        </w:tc>
        <w:tc>
          <w:tcPr>
            <w:tcW w:w="4876" w:type="dxa"/>
          </w:tcPr>
          <w:p w:rsidR="003D0417" w:rsidRPr="00A56A02" w:rsidRDefault="003D0417" w:rsidP="006B7FC7">
            <w:pPr>
              <w:pStyle w:val="ColumnHeading"/>
              <w:keepNext/>
            </w:pPr>
            <w:r w:rsidRPr="00A56A02">
              <w:t>Enmienda</w:t>
            </w:r>
          </w:p>
        </w:tc>
      </w:tr>
      <w:tr w:rsidR="00A56A02" w:rsidRPr="00A56A02" w:rsidTr="006B7FC7">
        <w:trPr>
          <w:jc w:val="center"/>
        </w:trPr>
        <w:tc>
          <w:tcPr>
            <w:tcW w:w="4876" w:type="dxa"/>
          </w:tcPr>
          <w:p w:rsidR="003D0417" w:rsidRPr="00A56A02" w:rsidRDefault="003D0417" w:rsidP="006B7FC7">
            <w:pPr>
              <w:pStyle w:val="Normal6"/>
            </w:pPr>
            <w:r w:rsidRPr="00A56A02">
              <w:rPr>
                <w:b/>
                <w:i/>
              </w:rPr>
              <w:t>En los casos en que los controles fronterizos en las fronteras interiores ya se hayan restablecido durante seis meses, la Comisión emitirá un dictamen.</w:t>
            </w:r>
          </w:p>
        </w:tc>
        <w:tc>
          <w:tcPr>
            <w:tcW w:w="4876" w:type="dxa"/>
          </w:tcPr>
          <w:p w:rsidR="003D0417" w:rsidRPr="00A56A02" w:rsidRDefault="003D0417" w:rsidP="006B7FC7">
            <w:pPr>
              <w:pStyle w:val="Normal6"/>
              <w:rPr>
                <w:szCs w:val="24"/>
              </w:rPr>
            </w:pPr>
            <w:r w:rsidRPr="00A56A02">
              <w:rPr>
                <w:b/>
                <w:i/>
              </w:rPr>
              <w:t>suprimido</w:t>
            </w:r>
          </w:p>
        </w:tc>
      </w:tr>
    </w:tbl>
    <w:p w:rsidR="003D0417" w:rsidRPr="00A56A02" w:rsidRDefault="003D0417" w:rsidP="00B8352C">
      <w:pPr>
        <w:pStyle w:val="Olang"/>
        <w:rPr>
          <w:noProof w:val="0"/>
          <w:szCs w:val="24"/>
        </w:rPr>
      </w:pPr>
      <w:r w:rsidRPr="00A56A02">
        <w:rPr>
          <w:noProof w:val="0"/>
          <w:szCs w:val="24"/>
        </w:rPr>
        <w:t xml:space="preserve">Or. </w:t>
      </w:r>
      <w:r w:rsidRPr="00A56A02">
        <w:rPr>
          <w:rStyle w:val="HideTWBExt"/>
          <w:noProof w:val="0"/>
          <w:color w:val="auto"/>
        </w:rPr>
        <w:t>&lt;Original&gt;</w:t>
      </w:r>
      <w:r w:rsidRPr="00A56A02">
        <w:rPr>
          <w:rStyle w:val="HideTWBInt"/>
          <w:noProof w:val="0"/>
          <w:color w:val="auto"/>
        </w:rPr>
        <w:t>{EN}</w:t>
      </w:r>
      <w:r w:rsidRPr="00A56A02">
        <w:rPr>
          <w:noProof w:val="0"/>
          <w:szCs w:val="24"/>
        </w:rPr>
        <w:t>en</w:t>
      </w:r>
      <w:r w:rsidRPr="00A56A02">
        <w:rPr>
          <w:rStyle w:val="HideTWBExt"/>
          <w:noProof w:val="0"/>
          <w:color w:val="auto"/>
        </w:rPr>
        <w:t>&lt;/Original&gt;</w:t>
      </w:r>
    </w:p>
    <w:p w:rsidR="003D0417" w:rsidRPr="00A56A02" w:rsidRDefault="003D0417" w:rsidP="00CE4CD1">
      <w:pPr>
        <w:pStyle w:val="JustificationTitle"/>
        <w:spacing w:after="240"/>
      </w:pPr>
      <w:r w:rsidRPr="00A56A02">
        <w:rPr>
          <w:rStyle w:val="HideTWBExt"/>
          <w:i w:val="0"/>
          <w:noProof w:val="0"/>
          <w:color w:val="auto"/>
        </w:rPr>
        <w:t>&lt;TitreJust&gt;</w:t>
      </w:r>
      <w:r w:rsidRPr="00A56A02">
        <w:t>Justificación</w:t>
      </w:r>
      <w:r w:rsidRPr="00A56A02">
        <w:rPr>
          <w:rStyle w:val="HideTWBExt"/>
          <w:i w:val="0"/>
          <w:noProof w:val="0"/>
          <w:color w:val="auto"/>
        </w:rPr>
        <w:t>&lt;/TitreJust&gt;</w:t>
      </w:r>
    </w:p>
    <w:p w:rsidR="003D0417" w:rsidRPr="00A56A02" w:rsidRDefault="003D0417" w:rsidP="00CE4CD1">
      <w:pPr>
        <w:pStyle w:val="Normal12Italic"/>
        <w:spacing w:before="0" w:after="240"/>
      </w:pPr>
      <w:r w:rsidRPr="00A56A02">
        <w:t>Como consecuencia de la reducción de la duración del procedimiento de controles fronterizos contemplado en el artículo 27, la prórroga más allá de seis meses requiere un procedimiento formal de autorización del Consejo, tal como se propone en el artículo 27 bis.</w:t>
      </w:r>
    </w:p>
    <w:p w:rsidR="003D0417" w:rsidRPr="00A56A02" w:rsidRDefault="003D0417" w:rsidP="00CE4CD1">
      <w:r w:rsidRPr="00A56A02">
        <w:rPr>
          <w:rStyle w:val="HideTWBExt"/>
          <w:noProof w:val="0"/>
          <w:color w:val="auto"/>
        </w:rPr>
        <w:t>&lt;/Amend&gt;</w:t>
      </w:r>
    </w:p>
    <w:p w:rsidR="003D0417" w:rsidRPr="00A56A02" w:rsidRDefault="003D0417" w:rsidP="00CE4CD1">
      <w:pPr>
        <w:pStyle w:val="AMNumberTabs"/>
        <w:keepNext/>
      </w:pPr>
      <w:r w:rsidRPr="00A56A02">
        <w:rPr>
          <w:rStyle w:val="HideTWBExt"/>
          <w:b w:val="0"/>
          <w:noProof w:val="0"/>
          <w:color w:val="auto"/>
        </w:rPr>
        <w:t>&lt;Amend&gt;</w:t>
      </w:r>
      <w:r w:rsidRPr="00A56A02">
        <w:t>Enmienda</w:t>
      </w:r>
      <w:r w:rsidRPr="00A56A02">
        <w:tab/>
      </w:r>
      <w:r w:rsidRPr="00A56A02">
        <w:tab/>
      </w:r>
      <w:r w:rsidRPr="00A56A02">
        <w:rPr>
          <w:rStyle w:val="HideTWBExt"/>
          <w:b w:val="0"/>
          <w:noProof w:val="0"/>
          <w:color w:val="auto"/>
        </w:rPr>
        <w:t>&lt;NumAm&gt;</w:t>
      </w:r>
      <w:r w:rsidRPr="00A56A02">
        <w:t>33</w:t>
      </w:r>
      <w:r w:rsidRPr="00A56A02">
        <w:rPr>
          <w:rStyle w:val="HideTWBExt"/>
          <w:b w:val="0"/>
          <w:noProof w:val="0"/>
          <w:color w:val="auto"/>
        </w:rPr>
        <w:t>&lt;/NumAm&gt;</w:t>
      </w:r>
    </w:p>
    <w:p w:rsidR="003D0417" w:rsidRPr="00A56A02" w:rsidRDefault="003D0417" w:rsidP="00CE4CD1">
      <w:pPr>
        <w:pStyle w:val="NormalBold12b"/>
        <w:keepNext/>
      </w:pPr>
      <w:r w:rsidRPr="00A56A02">
        <w:rPr>
          <w:rStyle w:val="HideTWBExt"/>
          <w:b w:val="0"/>
          <w:noProof w:val="0"/>
          <w:color w:val="auto"/>
        </w:rPr>
        <w:t>&lt;DocAmend&gt;</w:t>
      </w:r>
      <w:r w:rsidRPr="00A56A02">
        <w:t>Propuesta de Reglamento</w:t>
      </w:r>
      <w:r w:rsidRPr="00A56A02">
        <w:rPr>
          <w:rStyle w:val="HideTWBExt"/>
          <w:b w:val="0"/>
          <w:noProof w:val="0"/>
          <w:color w:val="auto"/>
        </w:rPr>
        <w:t>&lt;/DocAmend&gt;</w:t>
      </w:r>
    </w:p>
    <w:p w:rsidR="003D0417" w:rsidRPr="00A56A02" w:rsidRDefault="003D0417" w:rsidP="00CE4CD1">
      <w:pPr>
        <w:pStyle w:val="NormalBold"/>
      </w:pPr>
      <w:r w:rsidRPr="00A56A02">
        <w:rPr>
          <w:rStyle w:val="HideTWBExt"/>
          <w:b w:val="0"/>
          <w:noProof w:val="0"/>
          <w:color w:val="auto"/>
        </w:rPr>
        <w:t>&lt;Article&gt;</w:t>
      </w:r>
      <w:r w:rsidRPr="00A56A02">
        <w:t>Artículo 1 – párrafo 1 – punto 2 – inciso v</w:t>
      </w:r>
      <w:r w:rsidRPr="00A56A02">
        <w:rPr>
          <w:rStyle w:val="HideTWBExt"/>
          <w:b w:val="0"/>
          <w:noProof w:val="0"/>
          <w:color w:val="auto"/>
        </w:rPr>
        <w:t>&lt;/Article&gt;</w:t>
      </w:r>
    </w:p>
    <w:p w:rsidR="003D0417" w:rsidRPr="00A56A02" w:rsidRDefault="003D0417" w:rsidP="00CE4CD1">
      <w:pPr>
        <w:keepNext/>
      </w:pPr>
      <w:r w:rsidRPr="00A56A02">
        <w:rPr>
          <w:rStyle w:val="HideTWBExt"/>
          <w:noProof w:val="0"/>
          <w:color w:val="auto"/>
        </w:rPr>
        <w:t>&lt;DocAmend2&gt;</w:t>
      </w:r>
      <w:r w:rsidRPr="00A56A02">
        <w:t>Reglamento (UE) 2016/399</w:t>
      </w:r>
      <w:r w:rsidRPr="00A56A02">
        <w:rPr>
          <w:rStyle w:val="HideTWBExt"/>
          <w:noProof w:val="0"/>
          <w:color w:val="auto"/>
        </w:rPr>
        <w:t>&lt;/DocAmend2&gt;</w:t>
      </w:r>
    </w:p>
    <w:p w:rsidR="003D0417" w:rsidRPr="00A56A02" w:rsidRDefault="003D0417" w:rsidP="00CE4CD1">
      <w:r w:rsidRPr="00A56A02">
        <w:rPr>
          <w:rStyle w:val="HideTWBExt"/>
          <w:noProof w:val="0"/>
          <w:color w:val="auto"/>
        </w:rPr>
        <w:t>&lt;Article2&gt;</w:t>
      </w:r>
      <w:r w:rsidRPr="00A56A02">
        <w:t>Artículo 27 – apartado 5</w:t>
      </w:r>
      <w:r w:rsidRPr="00A56A02">
        <w:rPr>
          <w:rStyle w:val="HideTWBExt"/>
          <w:noProof w:val="0"/>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56A02" w:rsidRPr="00A56A02" w:rsidTr="006B7FC7">
        <w:trPr>
          <w:jc w:val="center"/>
        </w:trPr>
        <w:tc>
          <w:tcPr>
            <w:tcW w:w="9752" w:type="dxa"/>
            <w:gridSpan w:val="2"/>
          </w:tcPr>
          <w:p w:rsidR="003D0417" w:rsidRPr="00A56A02" w:rsidRDefault="003D0417" w:rsidP="006B7FC7">
            <w:pPr>
              <w:keepNext/>
            </w:pPr>
          </w:p>
        </w:tc>
      </w:tr>
      <w:tr w:rsidR="00A56A02" w:rsidRPr="00A56A02" w:rsidTr="006B7FC7">
        <w:trPr>
          <w:jc w:val="center"/>
        </w:trPr>
        <w:tc>
          <w:tcPr>
            <w:tcW w:w="4876" w:type="dxa"/>
          </w:tcPr>
          <w:p w:rsidR="003D0417" w:rsidRPr="00A56A02" w:rsidRDefault="003D0417" w:rsidP="006B7FC7">
            <w:pPr>
              <w:pStyle w:val="ColumnHeading"/>
              <w:keepNext/>
            </w:pPr>
            <w:r w:rsidRPr="00A56A02">
              <w:t>Texto de la Comisión</w:t>
            </w:r>
          </w:p>
        </w:tc>
        <w:tc>
          <w:tcPr>
            <w:tcW w:w="4876" w:type="dxa"/>
          </w:tcPr>
          <w:p w:rsidR="003D0417" w:rsidRPr="00A56A02" w:rsidRDefault="003D0417" w:rsidP="006B7FC7">
            <w:pPr>
              <w:pStyle w:val="ColumnHeading"/>
              <w:keepNext/>
            </w:pPr>
            <w:r w:rsidRPr="00A56A02">
              <w:t>Enmienda</w:t>
            </w:r>
          </w:p>
        </w:tc>
      </w:tr>
      <w:tr w:rsidR="00A56A02" w:rsidRPr="00A56A02" w:rsidTr="006B7FC7">
        <w:trPr>
          <w:jc w:val="center"/>
        </w:trPr>
        <w:tc>
          <w:tcPr>
            <w:tcW w:w="4876" w:type="dxa"/>
          </w:tcPr>
          <w:p w:rsidR="003D0417" w:rsidRPr="00A56A02" w:rsidRDefault="003D0417" w:rsidP="006B7FC7">
            <w:pPr>
              <w:pStyle w:val="Normal6"/>
            </w:pPr>
            <w:r w:rsidRPr="00A56A02">
              <w:t xml:space="preserve">«La información mencionada en </w:t>
            </w:r>
            <w:r w:rsidRPr="00A56A02">
              <w:rPr>
                <w:b/>
                <w:i/>
              </w:rPr>
              <w:t>el apartado</w:t>
            </w:r>
            <w:r w:rsidRPr="00A56A02">
              <w:t> 1 y cualquier dictamen de la Comisión o de los Estados miembros a que se refiere el apartado 4 serán objeto de una consulta</w:t>
            </w:r>
            <w:r w:rsidRPr="00A56A02">
              <w:rPr>
                <w:b/>
                <w:i/>
              </w:rPr>
              <w:t xml:space="preserve"> llevada a cabo por la Comisión</w:t>
            </w:r>
            <w:r w:rsidRPr="00A56A02">
              <w:t>.</w:t>
            </w:r>
            <w:r w:rsidRPr="00A56A02">
              <w:rPr>
                <w:b/>
                <w:i/>
              </w:rPr>
              <w:t xml:space="preserve"> Cuando proceda, </w:t>
            </w:r>
            <w:r w:rsidRPr="00A56A02">
              <w:t>la consulta incluirá reuniones conjuntas entre el Estado miembro que prevé restablecer los controles fronterizos en las fronteras interiores, los demás Estados miembros, en especial los directamente afectados por dichas medidas, y</w:t>
            </w:r>
            <w:r w:rsidRPr="00A56A02">
              <w:rPr>
                <w:b/>
                <w:i/>
              </w:rPr>
              <w:t xml:space="preserve"> las agencias pertinentes.</w:t>
            </w:r>
            <w:r w:rsidRPr="00A56A02">
              <w:t xml:space="preserve"> </w:t>
            </w:r>
            <w:r w:rsidRPr="00A56A02">
              <w:rPr>
                <w:b/>
                <w:i/>
              </w:rPr>
              <w:t>Se examinará</w:t>
            </w:r>
            <w:r w:rsidRPr="00A56A02">
              <w:t xml:space="preserve"> la proporcionalidad de las medidas </w:t>
            </w:r>
            <w:r w:rsidRPr="00A56A02">
              <w:rPr>
                <w:b/>
                <w:i/>
              </w:rPr>
              <w:t>previstas, la amenaza detectada para el orden público o la seguridad interior, así como las maneras de garantizar la cooperación mutua entre los Estados miembros. El Estado miembro que prevea restablecer o prorrogar los controles en las fronteras interiores deberá tener en cuenta en la mayor medida posible los resultados de tal consulta al realizar los controles fronterizos.».</w:t>
            </w:r>
          </w:p>
        </w:tc>
        <w:tc>
          <w:tcPr>
            <w:tcW w:w="4876" w:type="dxa"/>
          </w:tcPr>
          <w:p w:rsidR="003D0417" w:rsidRPr="00A56A02" w:rsidRDefault="003D0417" w:rsidP="006B7FC7">
            <w:pPr>
              <w:pStyle w:val="Normal6"/>
              <w:rPr>
                <w:szCs w:val="24"/>
              </w:rPr>
            </w:pPr>
            <w:r w:rsidRPr="00A56A02">
              <w:t xml:space="preserve">«La información mencionada en </w:t>
            </w:r>
            <w:r w:rsidRPr="00A56A02">
              <w:rPr>
                <w:b/>
                <w:i/>
              </w:rPr>
              <w:t>los apartados</w:t>
            </w:r>
            <w:r w:rsidRPr="00A56A02">
              <w:t> 1</w:t>
            </w:r>
            <w:r w:rsidRPr="00A56A02">
              <w:rPr>
                <w:b/>
                <w:i/>
              </w:rPr>
              <w:t xml:space="preserve"> y 1 bis</w:t>
            </w:r>
            <w:r w:rsidRPr="00A56A02">
              <w:t xml:space="preserve"> y cualquier dictamen de la Comisión o de los Estados miembros a que se refiere el apartado 4 serán objeto de una consulta. La consulta incluirá</w:t>
            </w:r>
            <w:r w:rsidRPr="00A56A02">
              <w:rPr>
                <w:b/>
                <w:i/>
              </w:rPr>
              <w:t>:</w:t>
            </w:r>
          </w:p>
        </w:tc>
      </w:tr>
      <w:tr w:rsidR="00A56A02" w:rsidRPr="00A56A02" w:rsidTr="006B7FC7">
        <w:trPr>
          <w:jc w:val="center"/>
        </w:trPr>
        <w:tc>
          <w:tcPr>
            <w:tcW w:w="4876" w:type="dxa"/>
          </w:tcPr>
          <w:p w:rsidR="003D0417" w:rsidRPr="00A56A02" w:rsidRDefault="003D0417" w:rsidP="006B7FC7">
            <w:pPr>
              <w:pStyle w:val="Normal6"/>
            </w:pPr>
          </w:p>
        </w:tc>
        <w:tc>
          <w:tcPr>
            <w:tcW w:w="4876" w:type="dxa"/>
          </w:tcPr>
          <w:p w:rsidR="003D0417" w:rsidRPr="00A56A02" w:rsidRDefault="003D0417" w:rsidP="006B7FC7">
            <w:pPr>
              <w:pStyle w:val="Normal6"/>
              <w:rPr>
                <w:b/>
                <w:i/>
              </w:rPr>
            </w:pPr>
            <w:r w:rsidRPr="00A56A02">
              <w:rPr>
                <w:b/>
                <w:i/>
              </w:rPr>
              <w:t>i)</w:t>
            </w:r>
            <w:r w:rsidRPr="00A56A02">
              <w:rPr>
                <w:b/>
                <w:i/>
              </w:rPr>
              <w:tab/>
            </w:r>
            <w:r w:rsidRPr="00A56A02">
              <w:t>reuniones conjuntas entre el Estado miembro que prevé restablecer los controles fronterizos en las fronteras interiores, los demás Estados miembros, en especial los directamente afectados por dichas medidas, y</w:t>
            </w:r>
            <w:r w:rsidRPr="00A56A02">
              <w:rPr>
                <w:b/>
                <w:i/>
              </w:rPr>
              <w:t xml:space="preserve"> la Comisión, que se celebrarán con objeto de organizar, si procede, una cooperación mutua entre los Estados miembros y examinar </w:t>
            </w:r>
            <w:r w:rsidRPr="00A56A02">
              <w:t xml:space="preserve">la proporcionalidad de las medidas </w:t>
            </w:r>
            <w:r w:rsidRPr="00A56A02">
              <w:rPr>
                <w:b/>
                <w:i/>
              </w:rPr>
              <w:t>en relación con las circunstancias que requieren el restablecimiento de los controles fronterizos y las amenazas para el orden público o la seguridad interior;</w:t>
            </w:r>
          </w:p>
        </w:tc>
      </w:tr>
      <w:tr w:rsidR="00A56A02" w:rsidRPr="00A56A02" w:rsidTr="006B7FC7">
        <w:trPr>
          <w:jc w:val="center"/>
        </w:trPr>
        <w:tc>
          <w:tcPr>
            <w:tcW w:w="4876" w:type="dxa"/>
          </w:tcPr>
          <w:p w:rsidR="003D0417" w:rsidRPr="00A56A02" w:rsidRDefault="003D0417" w:rsidP="006B7FC7">
            <w:pPr>
              <w:pStyle w:val="Normal6"/>
            </w:pPr>
          </w:p>
        </w:tc>
        <w:tc>
          <w:tcPr>
            <w:tcW w:w="4876" w:type="dxa"/>
          </w:tcPr>
          <w:p w:rsidR="003D0417" w:rsidRPr="00A56A02" w:rsidRDefault="003D0417" w:rsidP="006B7FC7">
            <w:pPr>
              <w:pStyle w:val="Normal6"/>
            </w:pPr>
            <w:r w:rsidRPr="00A56A02">
              <w:rPr>
                <w:b/>
                <w:i/>
              </w:rPr>
              <w:t>ii)</w:t>
            </w:r>
            <w:r w:rsidRPr="00A56A02">
              <w:tab/>
            </w:r>
            <w:r w:rsidRPr="00A56A02">
              <w:rPr>
                <w:b/>
                <w:i/>
              </w:rPr>
              <w:t>en su caso, visitas in situ sin previo aviso realizadas por la Comisión a las correspondientes fronteras interiores, con el apoyo, si procede, de expertos de los Estados miembros y de la Agencia, de Europol o de cualquier otro organismo, oficina o agencia pertinentes de la Unión, para evaluar la eficacia de los controles fronterizos en dichas fronteras interiores; los informes de dichas visitas sin previo aviso se transmitirán al Parlamento Europeo.</w:t>
            </w:r>
          </w:p>
        </w:tc>
      </w:tr>
    </w:tbl>
    <w:p w:rsidR="003D0417" w:rsidRPr="00A56A02" w:rsidRDefault="003D0417" w:rsidP="00B8352C">
      <w:pPr>
        <w:pStyle w:val="Olang"/>
        <w:rPr>
          <w:noProof w:val="0"/>
          <w:szCs w:val="24"/>
        </w:rPr>
      </w:pPr>
      <w:r w:rsidRPr="00A56A02">
        <w:rPr>
          <w:noProof w:val="0"/>
          <w:szCs w:val="24"/>
        </w:rPr>
        <w:t xml:space="preserve">Or. </w:t>
      </w:r>
      <w:r w:rsidRPr="00A56A02">
        <w:rPr>
          <w:rStyle w:val="HideTWBExt"/>
          <w:noProof w:val="0"/>
          <w:color w:val="auto"/>
        </w:rPr>
        <w:t>&lt;Original&gt;</w:t>
      </w:r>
      <w:r w:rsidRPr="00A56A02">
        <w:rPr>
          <w:rStyle w:val="HideTWBInt"/>
          <w:noProof w:val="0"/>
          <w:color w:val="auto"/>
        </w:rPr>
        <w:t>{EN}</w:t>
      </w:r>
      <w:r w:rsidRPr="00A56A02">
        <w:rPr>
          <w:noProof w:val="0"/>
          <w:szCs w:val="24"/>
        </w:rPr>
        <w:t>en</w:t>
      </w:r>
      <w:r w:rsidRPr="00A56A02">
        <w:rPr>
          <w:rStyle w:val="HideTWBExt"/>
          <w:noProof w:val="0"/>
          <w:color w:val="auto"/>
        </w:rPr>
        <w:t>&lt;/Original&gt;</w:t>
      </w:r>
    </w:p>
    <w:p w:rsidR="003D0417" w:rsidRPr="00A56A02" w:rsidRDefault="003D0417" w:rsidP="00CE4CD1">
      <w:r w:rsidRPr="00A56A02">
        <w:rPr>
          <w:rStyle w:val="HideTWBExt"/>
          <w:noProof w:val="0"/>
          <w:color w:val="auto"/>
        </w:rPr>
        <w:t>&lt;/Amend&gt;</w:t>
      </w:r>
    </w:p>
    <w:p w:rsidR="003D0417" w:rsidRPr="00A56A02" w:rsidRDefault="003D0417" w:rsidP="00CE4CD1">
      <w:pPr>
        <w:pStyle w:val="AMNumberTabs"/>
        <w:keepNext/>
      </w:pPr>
      <w:r w:rsidRPr="00A56A02">
        <w:rPr>
          <w:rStyle w:val="HideTWBExt"/>
          <w:b w:val="0"/>
          <w:noProof w:val="0"/>
          <w:color w:val="auto"/>
        </w:rPr>
        <w:t>&lt;Amend&gt;</w:t>
      </w:r>
      <w:r w:rsidRPr="00A56A02">
        <w:t>Enmienda</w:t>
      </w:r>
      <w:r w:rsidRPr="00A56A02">
        <w:tab/>
      </w:r>
      <w:r w:rsidRPr="00A56A02">
        <w:tab/>
      </w:r>
      <w:r w:rsidRPr="00A56A02">
        <w:rPr>
          <w:rStyle w:val="HideTWBExt"/>
          <w:b w:val="0"/>
          <w:noProof w:val="0"/>
          <w:color w:val="auto"/>
        </w:rPr>
        <w:t>&lt;NumAm&gt;</w:t>
      </w:r>
      <w:r w:rsidRPr="00A56A02">
        <w:t>34</w:t>
      </w:r>
      <w:r w:rsidRPr="00A56A02">
        <w:rPr>
          <w:rStyle w:val="HideTWBExt"/>
          <w:b w:val="0"/>
          <w:noProof w:val="0"/>
          <w:color w:val="auto"/>
        </w:rPr>
        <w:t>&lt;/NumAm&gt;</w:t>
      </w:r>
    </w:p>
    <w:p w:rsidR="003D0417" w:rsidRPr="00A56A02" w:rsidRDefault="003D0417" w:rsidP="00CE4CD1">
      <w:pPr>
        <w:pStyle w:val="NormalBold12b"/>
        <w:keepNext/>
      </w:pPr>
      <w:r w:rsidRPr="00A56A02">
        <w:rPr>
          <w:rStyle w:val="HideTWBExt"/>
          <w:b w:val="0"/>
          <w:noProof w:val="0"/>
          <w:color w:val="auto"/>
        </w:rPr>
        <w:t>&lt;DocAmend&gt;</w:t>
      </w:r>
      <w:r w:rsidRPr="00A56A02">
        <w:t>Propuesta de Reglamento</w:t>
      </w:r>
      <w:r w:rsidRPr="00A56A02">
        <w:rPr>
          <w:rStyle w:val="HideTWBExt"/>
          <w:b w:val="0"/>
          <w:noProof w:val="0"/>
          <w:color w:val="auto"/>
        </w:rPr>
        <w:t>&lt;/DocAmend&gt;</w:t>
      </w:r>
    </w:p>
    <w:p w:rsidR="003D0417" w:rsidRPr="00A56A02" w:rsidRDefault="003D0417" w:rsidP="00CE4CD1">
      <w:pPr>
        <w:pStyle w:val="NormalBold"/>
      </w:pPr>
      <w:r w:rsidRPr="00A56A02">
        <w:rPr>
          <w:rStyle w:val="HideTWBExt"/>
          <w:b w:val="0"/>
          <w:noProof w:val="0"/>
          <w:color w:val="auto"/>
        </w:rPr>
        <w:t>&lt;Article&gt;</w:t>
      </w:r>
      <w:r w:rsidRPr="00A56A02">
        <w:t>Artículo 1 – párrafo 1 – punto 2 – inciso v bis (nuevo)</w:t>
      </w:r>
      <w:r w:rsidRPr="00A56A02">
        <w:rPr>
          <w:rStyle w:val="HideTWBExt"/>
          <w:b w:val="0"/>
          <w:noProof w:val="0"/>
          <w:color w:val="auto"/>
        </w:rPr>
        <w:t>&lt;/Article&gt;</w:t>
      </w:r>
    </w:p>
    <w:p w:rsidR="003D0417" w:rsidRPr="00A56A02" w:rsidRDefault="003D0417" w:rsidP="00CE4CD1">
      <w:pPr>
        <w:keepNext/>
      </w:pPr>
      <w:r w:rsidRPr="00A56A02">
        <w:rPr>
          <w:rStyle w:val="HideTWBExt"/>
          <w:noProof w:val="0"/>
          <w:color w:val="auto"/>
        </w:rPr>
        <w:t>&lt;DocAmend2&gt;</w:t>
      </w:r>
      <w:r w:rsidRPr="00A56A02">
        <w:t>Reglamento (UE) 2016/399</w:t>
      </w:r>
      <w:r w:rsidRPr="00A56A02">
        <w:rPr>
          <w:rStyle w:val="HideTWBExt"/>
          <w:noProof w:val="0"/>
          <w:color w:val="auto"/>
        </w:rPr>
        <w:t>&lt;/DocAmend2&gt;</w:t>
      </w:r>
    </w:p>
    <w:p w:rsidR="003D0417" w:rsidRPr="00A56A02" w:rsidRDefault="003D0417" w:rsidP="00CE4CD1">
      <w:r w:rsidRPr="00A56A02">
        <w:rPr>
          <w:rStyle w:val="HideTWBExt"/>
          <w:noProof w:val="0"/>
          <w:color w:val="auto"/>
        </w:rPr>
        <w:t>&lt;Article2&gt;</w:t>
      </w:r>
      <w:r w:rsidRPr="00A56A02">
        <w:t>Artículo 27 – apartado 5 bis (nuevo)</w:t>
      </w:r>
      <w:r w:rsidRPr="00A56A02">
        <w:rPr>
          <w:rStyle w:val="HideTWBExt"/>
          <w:noProof w:val="0"/>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56A02" w:rsidRPr="00A56A02" w:rsidTr="006B7FC7">
        <w:trPr>
          <w:jc w:val="center"/>
        </w:trPr>
        <w:tc>
          <w:tcPr>
            <w:tcW w:w="9752" w:type="dxa"/>
            <w:gridSpan w:val="2"/>
          </w:tcPr>
          <w:p w:rsidR="003D0417" w:rsidRPr="00A56A02" w:rsidRDefault="003D0417" w:rsidP="006B7FC7">
            <w:pPr>
              <w:keepNext/>
            </w:pPr>
          </w:p>
        </w:tc>
      </w:tr>
      <w:tr w:rsidR="00A56A02" w:rsidRPr="00A56A02" w:rsidTr="006B7FC7">
        <w:trPr>
          <w:jc w:val="center"/>
        </w:trPr>
        <w:tc>
          <w:tcPr>
            <w:tcW w:w="4876" w:type="dxa"/>
            <w:hideMark/>
          </w:tcPr>
          <w:p w:rsidR="003D0417" w:rsidRPr="00A56A02" w:rsidRDefault="003D0417" w:rsidP="006B7FC7">
            <w:pPr>
              <w:pStyle w:val="ColumnHeading"/>
              <w:keepNext/>
            </w:pPr>
            <w:r w:rsidRPr="00A56A02">
              <w:t>Texto de la Comisión</w:t>
            </w:r>
          </w:p>
        </w:tc>
        <w:tc>
          <w:tcPr>
            <w:tcW w:w="4876" w:type="dxa"/>
            <w:hideMark/>
          </w:tcPr>
          <w:p w:rsidR="003D0417" w:rsidRPr="00A56A02" w:rsidRDefault="003D0417" w:rsidP="006B7FC7">
            <w:pPr>
              <w:pStyle w:val="ColumnHeading"/>
              <w:keepNext/>
            </w:pPr>
            <w:r w:rsidRPr="00A56A02">
              <w:t>Enmienda</w:t>
            </w:r>
          </w:p>
        </w:tc>
      </w:tr>
      <w:tr w:rsidR="00A56A02" w:rsidRPr="00A56A02" w:rsidTr="006B7FC7">
        <w:trPr>
          <w:jc w:val="center"/>
        </w:trPr>
        <w:tc>
          <w:tcPr>
            <w:tcW w:w="4876" w:type="dxa"/>
            <w:hideMark/>
          </w:tcPr>
          <w:p w:rsidR="003D0417" w:rsidRPr="00A56A02" w:rsidRDefault="003D0417" w:rsidP="006B7FC7">
            <w:pPr>
              <w:pStyle w:val="Normal6"/>
            </w:pPr>
          </w:p>
        </w:tc>
        <w:tc>
          <w:tcPr>
            <w:tcW w:w="4876" w:type="dxa"/>
            <w:hideMark/>
          </w:tcPr>
          <w:p w:rsidR="003D0417" w:rsidRPr="00A56A02" w:rsidRDefault="003D0417" w:rsidP="006B7FC7">
            <w:pPr>
              <w:pStyle w:val="Normal6"/>
              <w:rPr>
                <w:szCs w:val="24"/>
              </w:rPr>
            </w:pPr>
            <w:r w:rsidRPr="00A56A02">
              <w:rPr>
                <w:b/>
                <w:i/>
              </w:rPr>
              <w:t>v bis)</w:t>
            </w:r>
            <w:r w:rsidRPr="00A56A02">
              <w:rPr>
                <w:b/>
                <w:i/>
              </w:rPr>
              <w:tab/>
              <w:t>Se añade el apartado 5 bis siguiente:</w:t>
            </w:r>
          </w:p>
        </w:tc>
      </w:tr>
      <w:tr w:rsidR="00A56A02" w:rsidRPr="00A56A02" w:rsidTr="006B7FC7">
        <w:trPr>
          <w:jc w:val="center"/>
        </w:trPr>
        <w:tc>
          <w:tcPr>
            <w:tcW w:w="4876" w:type="dxa"/>
          </w:tcPr>
          <w:p w:rsidR="003D0417" w:rsidRPr="00A56A02" w:rsidRDefault="003D0417" w:rsidP="006B7FC7">
            <w:pPr>
              <w:pStyle w:val="Normal6"/>
            </w:pPr>
          </w:p>
        </w:tc>
        <w:tc>
          <w:tcPr>
            <w:tcW w:w="4876" w:type="dxa"/>
          </w:tcPr>
          <w:p w:rsidR="003D0417" w:rsidRPr="00A56A02" w:rsidRDefault="003D0417" w:rsidP="006B7FC7">
            <w:pPr>
              <w:pStyle w:val="Normal6"/>
              <w:rPr>
                <w:b/>
                <w:i/>
              </w:rPr>
            </w:pPr>
            <w:r w:rsidRPr="00A56A02">
              <w:rPr>
                <w:b/>
                <w:i/>
              </w:rPr>
              <w:t>5 bis.</w:t>
            </w:r>
            <w:r w:rsidRPr="00A56A02">
              <w:rPr>
                <w:b/>
                <w:i/>
              </w:rPr>
              <w:tab/>
              <w:t>«La consulta a que se refiere el apartado 5 tendrá lugar por lo menos diez días antes de la fecha prevista para el restablecimiento de los controles fronterizos.».</w:t>
            </w:r>
          </w:p>
        </w:tc>
      </w:tr>
    </w:tbl>
    <w:p w:rsidR="003D0417" w:rsidRPr="00A56A02" w:rsidRDefault="003D0417" w:rsidP="00B8352C">
      <w:pPr>
        <w:pStyle w:val="Olang"/>
        <w:rPr>
          <w:noProof w:val="0"/>
          <w:szCs w:val="24"/>
        </w:rPr>
      </w:pPr>
      <w:r w:rsidRPr="00A56A02">
        <w:rPr>
          <w:noProof w:val="0"/>
          <w:szCs w:val="24"/>
        </w:rPr>
        <w:t xml:space="preserve">Or. </w:t>
      </w:r>
      <w:r w:rsidRPr="00A56A02">
        <w:rPr>
          <w:rStyle w:val="HideTWBExt"/>
          <w:noProof w:val="0"/>
          <w:color w:val="auto"/>
        </w:rPr>
        <w:t>&lt;Original&gt;</w:t>
      </w:r>
      <w:r w:rsidRPr="00A56A02">
        <w:rPr>
          <w:rStyle w:val="HideTWBInt"/>
          <w:noProof w:val="0"/>
          <w:color w:val="auto"/>
        </w:rPr>
        <w:t>{EN}</w:t>
      </w:r>
      <w:r w:rsidRPr="00A56A02">
        <w:rPr>
          <w:noProof w:val="0"/>
          <w:szCs w:val="24"/>
        </w:rPr>
        <w:t>en</w:t>
      </w:r>
      <w:r w:rsidRPr="00A56A02">
        <w:rPr>
          <w:rStyle w:val="HideTWBExt"/>
          <w:noProof w:val="0"/>
          <w:color w:val="auto"/>
        </w:rPr>
        <w:t>&lt;/Original&gt;</w:t>
      </w:r>
    </w:p>
    <w:p w:rsidR="003D0417" w:rsidRPr="00A56A02" w:rsidRDefault="003D0417" w:rsidP="00CE4CD1">
      <w:pPr>
        <w:pStyle w:val="CrossRef"/>
      </w:pPr>
      <w:r w:rsidRPr="00A56A02">
        <w:t>(https://eur-lex.europa.eu/legal-content/ES/TXT/?qid=1522053548833&amp;uri=CELEX:02016R0399-20170407)</w:t>
      </w:r>
    </w:p>
    <w:p w:rsidR="003D0417" w:rsidRPr="00A56A02" w:rsidRDefault="003D0417" w:rsidP="00CE4CD1">
      <w:r w:rsidRPr="00A56A02">
        <w:rPr>
          <w:rStyle w:val="HideTWBExt"/>
          <w:noProof w:val="0"/>
          <w:color w:val="auto"/>
        </w:rPr>
        <w:t>&lt;/Amend&gt;</w:t>
      </w:r>
    </w:p>
    <w:p w:rsidR="003D0417" w:rsidRPr="00A56A02" w:rsidRDefault="003D0417" w:rsidP="00CE4CD1">
      <w:pPr>
        <w:pStyle w:val="AMNumberTabs"/>
        <w:keepNext/>
      </w:pPr>
      <w:r w:rsidRPr="00A56A02">
        <w:rPr>
          <w:rStyle w:val="HideTWBExt"/>
          <w:b w:val="0"/>
          <w:noProof w:val="0"/>
          <w:color w:val="auto"/>
        </w:rPr>
        <w:t>&lt;Amend&gt;</w:t>
      </w:r>
      <w:r w:rsidRPr="00A56A02">
        <w:t>Enmienda</w:t>
      </w:r>
      <w:r w:rsidRPr="00A56A02">
        <w:tab/>
      </w:r>
      <w:r w:rsidRPr="00A56A02">
        <w:tab/>
      </w:r>
      <w:r w:rsidRPr="00A56A02">
        <w:rPr>
          <w:rStyle w:val="HideTWBExt"/>
          <w:b w:val="0"/>
          <w:noProof w:val="0"/>
          <w:color w:val="auto"/>
        </w:rPr>
        <w:t>&lt;NumAm&gt;</w:t>
      </w:r>
      <w:r w:rsidRPr="00A56A02">
        <w:t>35</w:t>
      </w:r>
      <w:r w:rsidRPr="00A56A02">
        <w:rPr>
          <w:rStyle w:val="HideTWBExt"/>
          <w:b w:val="0"/>
          <w:noProof w:val="0"/>
          <w:color w:val="auto"/>
        </w:rPr>
        <w:t>&lt;/NumAm&gt;</w:t>
      </w:r>
    </w:p>
    <w:p w:rsidR="003D0417" w:rsidRPr="00A56A02" w:rsidRDefault="003D0417" w:rsidP="00CE4CD1">
      <w:pPr>
        <w:pStyle w:val="NormalBold12b"/>
        <w:keepNext/>
      </w:pPr>
      <w:r w:rsidRPr="00A56A02">
        <w:rPr>
          <w:rStyle w:val="HideTWBExt"/>
          <w:b w:val="0"/>
          <w:noProof w:val="0"/>
          <w:color w:val="auto"/>
        </w:rPr>
        <w:t>&lt;DocAmend&gt;</w:t>
      </w:r>
      <w:r w:rsidRPr="00A56A02">
        <w:t>Propuesta de Reglamento</w:t>
      </w:r>
      <w:r w:rsidRPr="00A56A02">
        <w:rPr>
          <w:rStyle w:val="HideTWBExt"/>
          <w:b w:val="0"/>
          <w:noProof w:val="0"/>
          <w:color w:val="auto"/>
        </w:rPr>
        <w:t>&lt;/DocAmend&gt;</w:t>
      </w:r>
    </w:p>
    <w:p w:rsidR="003D0417" w:rsidRPr="00A56A02" w:rsidRDefault="003D0417" w:rsidP="00CE4CD1">
      <w:pPr>
        <w:pStyle w:val="NormalBold"/>
      </w:pPr>
      <w:r w:rsidRPr="00A56A02">
        <w:rPr>
          <w:rStyle w:val="HideTWBExt"/>
          <w:b w:val="0"/>
          <w:noProof w:val="0"/>
          <w:color w:val="auto"/>
        </w:rPr>
        <w:t>&lt;Article&gt;</w:t>
      </w:r>
      <w:r w:rsidRPr="00A56A02">
        <w:t>Artículo 1 – párrafo 1 – punto 3</w:t>
      </w:r>
      <w:r w:rsidRPr="00A56A02">
        <w:rPr>
          <w:rStyle w:val="HideTWBExt"/>
          <w:b w:val="0"/>
          <w:noProof w:val="0"/>
          <w:color w:val="auto"/>
        </w:rPr>
        <w:t>&lt;/Article&gt;</w:t>
      </w:r>
    </w:p>
    <w:p w:rsidR="003D0417" w:rsidRPr="00A56A02" w:rsidRDefault="003D0417" w:rsidP="00CE4CD1">
      <w:pPr>
        <w:keepNext/>
      </w:pPr>
      <w:r w:rsidRPr="00A56A02">
        <w:rPr>
          <w:rStyle w:val="HideTWBExt"/>
          <w:noProof w:val="0"/>
          <w:color w:val="auto"/>
        </w:rPr>
        <w:t>&lt;DocAmend2&gt;</w:t>
      </w:r>
      <w:r w:rsidRPr="00A56A02">
        <w:t>Reglamento (UE) 2016/399</w:t>
      </w:r>
      <w:r w:rsidRPr="00A56A02">
        <w:rPr>
          <w:rStyle w:val="HideTWBExt"/>
          <w:noProof w:val="0"/>
          <w:color w:val="auto"/>
        </w:rPr>
        <w:t>&lt;/DocAmend2&gt;</w:t>
      </w:r>
    </w:p>
    <w:p w:rsidR="003D0417" w:rsidRPr="00A56A02" w:rsidRDefault="003D0417" w:rsidP="00CE4CD1">
      <w:r w:rsidRPr="00A56A02">
        <w:rPr>
          <w:rStyle w:val="HideTWBExt"/>
          <w:noProof w:val="0"/>
          <w:color w:val="auto"/>
        </w:rPr>
        <w:t>&lt;Article2&gt;</w:t>
      </w:r>
      <w:r w:rsidRPr="00A56A02">
        <w:t>Artículo 27 bis – título</w:t>
      </w:r>
      <w:r w:rsidRPr="00A56A02">
        <w:rPr>
          <w:rStyle w:val="HideTWBExt"/>
          <w:noProof w:val="0"/>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56A02" w:rsidRPr="00A56A02" w:rsidTr="006B7FC7">
        <w:trPr>
          <w:jc w:val="center"/>
        </w:trPr>
        <w:tc>
          <w:tcPr>
            <w:tcW w:w="9752" w:type="dxa"/>
            <w:gridSpan w:val="2"/>
          </w:tcPr>
          <w:p w:rsidR="003D0417" w:rsidRPr="00A56A02" w:rsidRDefault="003D0417" w:rsidP="006B7FC7">
            <w:pPr>
              <w:keepNext/>
            </w:pPr>
          </w:p>
        </w:tc>
      </w:tr>
      <w:tr w:rsidR="00A56A02" w:rsidRPr="00A56A02" w:rsidTr="006B7FC7">
        <w:trPr>
          <w:jc w:val="center"/>
        </w:trPr>
        <w:tc>
          <w:tcPr>
            <w:tcW w:w="4876" w:type="dxa"/>
            <w:hideMark/>
          </w:tcPr>
          <w:p w:rsidR="003D0417" w:rsidRPr="00A56A02" w:rsidRDefault="003D0417" w:rsidP="006B7FC7">
            <w:pPr>
              <w:pStyle w:val="ColumnHeading"/>
              <w:keepNext/>
            </w:pPr>
            <w:r w:rsidRPr="00A56A02">
              <w:t>Texto de la Comisión</w:t>
            </w:r>
          </w:p>
        </w:tc>
        <w:tc>
          <w:tcPr>
            <w:tcW w:w="4876" w:type="dxa"/>
            <w:hideMark/>
          </w:tcPr>
          <w:p w:rsidR="003D0417" w:rsidRPr="00A56A02" w:rsidRDefault="003D0417" w:rsidP="006B7FC7">
            <w:pPr>
              <w:pStyle w:val="ColumnHeading"/>
              <w:keepNext/>
            </w:pPr>
            <w:r w:rsidRPr="00A56A02">
              <w:t>Enmienda</w:t>
            </w:r>
          </w:p>
        </w:tc>
      </w:tr>
      <w:tr w:rsidR="00A56A02" w:rsidRPr="00A56A02" w:rsidTr="006B7FC7">
        <w:trPr>
          <w:jc w:val="center"/>
        </w:trPr>
        <w:tc>
          <w:tcPr>
            <w:tcW w:w="4876" w:type="dxa"/>
            <w:hideMark/>
          </w:tcPr>
          <w:p w:rsidR="003D0417" w:rsidRPr="00A56A02" w:rsidRDefault="003D0417" w:rsidP="006B7FC7">
            <w:pPr>
              <w:pStyle w:val="Normal6"/>
            </w:pPr>
            <w:r w:rsidRPr="00A56A02">
              <w:t xml:space="preserve">Procedimiento específico en caso de que la amenaza grave para el orden público o la seguridad interior exceda de </w:t>
            </w:r>
            <w:r w:rsidRPr="00A56A02">
              <w:rPr>
                <w:b/>
                <w:i/>
              </w:rPr>
              <w:t>un año</w:t>
            </w:r>
          </w:p>
        </w:tc>
        <w:tc>
          <w:tcPr>
            <w:tcW w:w="4876" w:type="dxa"/>
            <w:hideMark/>
          </w:tcPr>
          <w:p w:rsidR="003D0417" w:rsidRPr="00A56A02" w:rsidRDefault="003D0417" w:rsidP="006B7FC7">
            <w:pPr>
              <w:pStyle w:val="Normal6"/>
              <w:rPr>
                <w:szCs w:val="24"/>
              </w:rPr>
            </w:pPr>
            <w:r w:rsidRPr="00A56A02">
              <w:t xml:space="preserve">Procedimiento específico en caso de que la amenaza grave para el orden público o la seguridad interior exceda de </w:t>
            </w:r>
            <w:r w:rsidRPr="00A56A02">
              <w:rPr>
                <w:b/>
                <w:i/>
              </w:rPr>
              <w:t>seis meses</w:t>
            </w:r>
          </w:p>
        </w:tc>
      </w:tr>
    </w:tbl>
    <w:p w:rsidR="003D0417" w:rsidRPr="00A56A02" w:rsidRDefault="003D0417" w:rsidP="00B8352C">
      <w:pPr>
        <w:pStyle w:val="Olang"/>
        <w:rPr>
          <w:noProof w:val="0"/>
          <w:szCs w:val="24"/>
        </w:rPr>
      </w:pPr>
      <w:r w:rsidRPr="00A56A02">
        <w:rPr>
          <w:noProof w:val="0"/>
          <w:szCs w:val="24"/>
        </w:rPr>
        <w:t xml:space="preserve">Or. </w:t>
      </w:r>
      <w:r w:rsidRPr="00A56A02">
        <w:rPr>
          <w:rStyle w:val="HideTWBExt"/>
          <w:noProof w:val="0"/>
          <w:color w:val="auto"/>
        </w:rPr>
        <w:t>&lt;Original&gt;</w:t>
      </w:r>
      <w:r w:rsidRPr="00A56A02">
        <w:rPr>
          <w:rStyle w:val="HideTWBInt"/>
          <w:noProof w:val="0"/>
          <w:color w:val="auto"/>
        </w:rPr>
        <w:t>{EN}</w:t>
      </w:r>
      <w:r w:rsidRPr="00A56A02">
        <w:rPr>
          <w:noProof w:val="0"/>
          <w:szCs w:val="24"/>
        </w:rPr>
        <w:t>en</w:t>
      </w:r>
      <w:r w:rsidRPr="00A56A02">
        <w:rPr>
          <w:rStyle w:val="HideTWBExt"/>
          <w:noProof w:val="0"/>
          <w:color w:val="auto"/>
        </w:rPr>
        <w:t>&lt;/Original&gt;</w:t>
      </w:r>
    </w:p>
    <w:p w:rsidR="003D0417" w:rsidRPr="00A56A02" w:rsidRDefault="003D0417" w:rsidP="00CE4CD1">
      <w:pPr>
        <w:pStyle w:val="CrossRef"/>
      </w:pPr>
      <w:r w:rsidRPr="00A56A02">
        <w:t>(https://eur-lex.europa.eu/legal-content/ES/TXT/?qid=1522053548833&amp;uri=CELEX:02016R0399-20170407)</w:t>
      </w:r>
    </w:p>
    <w:p w:rsidR="003D0417" w:rsidRPr="00A56A02" w:rsidRDefault="003D0417" w:rsidP="00CE4CD1">
      <w:r w:rsidRPr="00A56A02">
        <w:rPr>
          <w:rStyle w:val="HideTWBExt"/>
          <w:noProof w:val="0"/>
          <w:color w:val="auto"/>
        </w:rPr>
        <w:t>&lt;/Amend&gt;</w:t>
      </w:r>
    </w:p>
    <w:p w:rsidR="003D0417" w:rsidRPr="00A56A02" w:rsidRDefault="003D0417" w:rsidP="00CE4CD1">
      <w:pPr>
        <w:pStyle w:val="AMNumberTabs"/>
        <w:keepNext/>
      </w:pPr>
      <w:r w:rsidRPr="00A56A02">
        <w:rPr>
          <w:rStyle w:val="HideTWBExt"/>
          <w:b w:val="0"/>
          <w:noProof w:val="0"/>
          <w:color w:val="auto"/>
        </w:rPr>
        <w:t>&lt;Amend&gt;</w:t>
      </w:r>
      <w:r w:rsidRPr="00A56A02">
        <w:t>Enmienda</w:t>
      </w:r>
      <w:r w:rsidRPr="00A56A02">
        <w:tab/>
      </w:r>
      <w:r w:rsidRPr="00A56A02">
        <w:tab/>
      </w:r>
      <w:r w:rsidRPr="00A56A02">
        <w:rPr>
          <w:rStyle w:val="HideTWBExt"/>
          <w:b w:val="0"/>
          <w:noProof w:val="0"/>
          <w:color w:val="auto"/>
        </w:rPr>
        <w:t>&lt;NumAm&gt;</w:t>
      </w:r>
      <w:r w:rsidRPr="00A56A02">
        <w:t>36</w:t>
      </w:r>
      <w:r w:rsidRPr="00A56A02">
        <w:rPr>
          <w:rStyle w:val="HideTWBExt"/>
          <w:b w:val="0"/>
          <w:noProof w:val="0"/>
          <w:color w:val="auto"/>
        </w:rPr>
        <w:t>&lt;/NumAm&gt;</w:t>
      </w:r>
    </w:p>
    <w:p w:rsidR="003D0417" w:rsidRPr="00A56A02" w:rsidRDefault="003D0417" w:rsidP="00CE4CD1">
      <w:pPr>
        <w:pStyle w:val="NormalBold12b"/>
        <w:keepNext/>
      </w:pPr>
      <w:r w:rsidRPr="00A56A02">
        <w:rPr>
          <w:rStyle w:val="HideTWBExt"/>
          <w:b w:val="0"/>
          <w:noProof w:val="0"/>
          <w:color w:val="auto"/>
        </w:rPr>
        <w:t>&lt;DocAmend&gt;</w:t>
      </w:r>
      <w:r w:rsidRPr="00A56A02">
        <w:t>Propuesta de Reglamento</w:t>
      </w:r>
      <w:r w:rsidRPr="00A56A02">
        <w:rPr>
          <w:rStyle w:val="HideTWBExt"/>
          <w:b w:val="0"/>
          <w:noProof w:val="0"/>
          <w:color w:val="auto"/>
        </w:rPr>
        <w:t>&lt;/DocAmend&gt;</w:t>
      </w:r>
    </w:p>
    <w:p w:rsidR="003D0417" w:rsidRPr="00A56A02" w:rsidRDefault="003D0417" w:rsidP="00CE4CD1">
      <w:pPr>
        <w:pStyle w:val="NormalBold"/>
      </w:pPr>
      <w:r w:rsidRPr="00A56A02">
        <w:rPr>
          <w:rStyle w:val="HideTWBExt"/>
          <w:b w:val="0"/>
          <w:noProof w:val="0"/>
          <w:color w:val="auto"/>
        </w:rPr>
        <w:t>&lt;Article&gt;</w:t>
      </w:r>
      <w:r w:rsidRPr="00A56A02">
        <w:t>Artículo 1 – párrafo 1 – punto 3</w:t>
      </w:r>
      <w:r w:rsidRPr="00A56A02">
        <w:rPr>
          <w:rStyle w:val="HideTWBExt"/>
          <w:b w:val="0"/>
          <w:noProof w:val="0"/>
          <w:color w:val="auto"/>
        </w:rPr>
        <w:t>&lt;/Article&gt;</w:t>
      </w:r>
    </w:p>
    <w:p w:rsidR="003D0417" w:rsidRPr="00A56A02" w:rsidRDefault="003D0417" w:rsidP="00CE4CD1">
      <w:pPr>
        <w:keepNext/>
      </w:pPr>
      <w:r w:rsidRPr="00A56A02">
        <w:rPr>
          <w:rStyle w:val="HideTWBExt"/>
          <w:noProof w:val="0"/>
          <w:color w:val="auto"/>
        </w:rPr>
        <w:t>&lt;DocAmend2&gt;</w:t>
      </w:r>
      <w:r w:rsidRPr="00A56A02">
        <w:t>Reglamento (UE) 2016/399</w:t>
      </w:r>
      <w:r w:rsidRPr="00A56A02">
        <w:rPr>
          <w:rStyle w:val="HideTWBExt"/>
          <w:noProof w:val="0"/>
          <w:color w:val="auto"/>
        </w:rPr>
        <w:t>&lt;/DocAmend2&gt;</w:t>
      </w:r>
    </w:p>
    <w:p w:rsidR="003D0417" w:rsidRPr="00A56A02" w:rsidRDefault="003D0417" w:rsidP="00CE4CD1">
      <w:r w:rsidRPr="00A56A02">
        <w:rPr>
          <w:rStyle w:val="HideTWBExt"/>
          <w:noProof w:val="0"/>
          <w:color w:val="auto"/>
        </w:rPr>
        <w:t>&lt;Article2&gt;</w:t>
      </w:r>
      <w:r w:rsidRPr="00A56A02">
        <w:t>Artículo 27 bis – apartado 1</w:t>
      </w:r>
      <w:r w:rsidRPr="00A56A02">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6A02" w:rsidRPr="00A56A02" w:rsidTr="006B7FC7">
        <w:trPr>
          <w:jc w:val="center"/>
        </w:trPr>
        <w:tc>
          <w:tcPr>
            <w:tcW w:w="9752" w:type="dxa"/>
            <w:gridSpan w:val="2"/>
          </w:tcPr>
          <w:p w:rsidR="003D0417" w:rsidRPr="00A56A02" w:rsidRDefault="003D0417" w:rsidP="006B7FC7">
            <w:pPr>
              <w:keepNext/>
            </w:pPr>
          </w:p>
        </w:tc>
      </w:tr>
      <w:tr w:rsidR="00A56A02" w:rsidRPr="00A56A02" w:rsidTr="006B7FC7">
        <w:trPr>
          <w:jc w:val="center"/>
        </w:trPr>
        <w:tc>
          <w:tcPr>
            <w:tcW w:w="4876" w:type="dxa"/>
            <w:hideMark/>
          </w:tcPr>
          <w:p w:rsidR="003D0417" w:rsidRPr="00A56A02" w:rsidRDefault="003D0417" w:rsidP="006B7FC7">
            <w:pPr>
              <w:pStyle w:val="ColumnHeading"/>
              <w:keepNext/>
            </w:pPr>
            <w:r w:rsidRPr="00A56A02">
              <w:t>Texto de la Comisión</w:t>
            </w:r>
          </w:p>
        </w:tc>
        <w:tc>
          <w:tcPr>
            <w:tcW w:w="4876" w:type="dxa"/>
            <w:hideMark/>
          </w:tcPr>
          <w:p w:rsidR="003D0417" w:rsidRPr="00A56A02" w:rsidRDefault="003D0417" w:rsidP="006B7FC7">
            <w:pPr>
              <w:pStyle w:val="ColumnHeading"/>
              <w:keepNext/>
            </w:pPr>
            <w:r w:rsidRPr="00A56A02">
              <w:t>Enmienda</w:t>
            </w:r>
          </w:p>
        </w:tc>
      </w:tr>
      <w:tr w:rsidR="00A56A02" w:rsidRPr="00A56A02" w:rsidTr="006B7FC7">
        <w:trPr>
          <w:jc w:val="center"/>
        </w:trPr>
        <w:tc>
          <w:tcPr>
            <w:tcW w:w="4876" w:type="dxa"/>
            <w:hideMark/>
          </w:tcPr>
          <w:p w:rsidR="003D0417" w:rsidRPr="00A56A02" w:rsidRDefault="003D0417" w:rsidP="006B7FC7">
            <w:pPr>
              <w:pStyle w:val="Normal6"/>
            </w:pPr>
            <w:r w:rsidRPr="00A56A02">
              <w:t>1.</w:t>
            </w:r>
            <w:r w:rsidRPr="00A56A02">
              <w:tab/>
              <w:t xml:space="preserve">En </w:t>
            </w:r>
            <w:r w:rsidRPr="00A56A02">
              <w:rPr>
                <w:b/>
                <w:i/>
              </w:rPr>
              <w:t>casos</w:t>
            </w:r>
            <w:r w:rsidRPr="00A56A02">
              <w:t xml:space="preserve"> excepcionales, cuando el Estado miembro se enfrente a la misma amenaza grave para el orden público o la seguridad interior más allá del periodo a que se refiere el artículo </w:t>
            </w:r>
            <w:r w:rsidRPr="00A56A02">
              <w:rPr>
                <w:b/>
                <w:i/>
              </w:rPr>
              <w:t>25</w:t>
            </w:r>
            <w:r w:rsidRPr="00A56A02">
              <w:t>, apartado </w:t>
            </w:r>
            <w:r w:rsidRPr="00A56A02">
              <w:rPr>
                <w:b/>
                <w:i/>
              </w:rPr>
              <w:t>4, primera frase</w:t>
            </w:r>
            <w:r w:rsidRPr="00A56A02">
              <w:t>, y cuando también se adopten medidas nacionales excepcionales proporcionadas en el territorio para hacer frente a esta amenaza, los controles fronterizos restablecidos temporalmente para responder a dicha amenaza podrán prorrogarse de conformidad con el presente artículo.</w:t>
            </w:r>
          </w:p>
        </w:tc>
        <w:tc>
          <w:tcPr>
            <w:tcW w:w="4876" w:type="dxa"/>
            <w:hideMark/>
          </w:tcPr>
          <w:p w:rsidR="003D0417" w:rsidRPr="00A56A02" w:rsidRDefault="003D0417" w:rsidP="006B7FC7">
            <w:pPr>
              <w:pStyle w:val="Normal6"/>
              <w:rPr>
                <w:szCs w:val="24"/>
              </w:rPr>
            </w:pPr>
            <w:r w:rsidRPr="00A56A02">
              <w:t>1.</w:t>
            </w:r>
            <w:r w:rsidRPr="00A56A02">
              <w:tab/>
              <w:t xml:space="preserve">En </w:t>
            </w:r>
            <w:r w:rsidRPr="00A56A02">
              <w:rPr>
                <w:b/>
                <w:i/>
              </w:rPr>
              <w:t>circunstancias</w:t>
            </w:r>
            <w:r w:rsidRPr="00A56A02">
              <w:t xml:space="preserve"> excepcionales, cuando el Estado miembro se enfrente a la misma amenaza grave para el orden público o la seguridad interior más allá del periodo a que se refiere el artículo </w:t>
            </w:r>
            <w:r w:rsidRPr="00A56A02">
              <w:rPr>
                <w:b/>
                <w:i/>
              </w:rPr>
              <w:t>27</w:t>
            </w:r>
            <w:r w:rsidRPr="00A56A02">
              <w:t>, apartado </w:t>
            </w:r>
            <w:r w:rsidRPr="00A56A02">
              <w:rPr>
                <w:b/>
                <w:i/>
              </w:rPr>
              <w:t>1 bis</w:t>
            </w:r>
            <w:r w:rsidRPr="00A56A02">
              <w:t>, y cuando también se adopten medidas nacionales excepcionales proporcionadas en el territorio para hacer frente a esta amenaza, los controles fronterizos restablecidos temporalmente para responder a dicha amenaza podrán prorrogarse de conformidad con el presente artículo.</w:t>
            </w:r>
          </w:p>
        </w:tc>
      </w:tr>
    </w:tbl>
    <w:p w:rsidR="003D0417" w:rsidRPr="00A56A02" w:rsidRDefault="003D0417" w:rsidP="00B8352C">
      <w:pPr>
        <w:pStyle w:val="Olang"/>
        <w:rPr>
          <w:noProof w:val="0"/>
          <w:szCs w:val="24"/>
        </w:rPr>
      </w:pPr>
      <w:r w:rsidRPr="00A56A02">
        <w:rPr>
          <w:noProof w:val="0"/>
          <w:szCs w:val="24"/>
        </w:rPr>
        <w:t xml:space="preserve">Or. </w:t>
      </w:r>
      <w:r w:rsidRPr="00A56A02">
        <w:rPr>
          <w:rStyle w:val="HideTWBExt"/>
          <w:noProof w:val="0"/>
          <w:color w:val="auto"/>
        </w:rPr>
        <w:t>&lt;Original&gt;</w:t>
      </w:r>
      <w:r w:rsidRPr="00A56A02">
        <w:rPr>
          <w:rStyle w:val="HideTWBInt"/>
          <w:noProof w:val="0"/>
          <w:color w:val="auto"/>
        </w:rPr>
        <w:t>{EN}</w:t>
      </w:r>
      <w:r w:rsidRPr="00A56A02">
        <w:rPr>
          <w:noProof w:val="0"/>
          <w:szCs w:val="24"/>
        </w:rPr>
        <w:t>en</w:t>
      </w:r>
      <w:r w:rsidRPr="00A56A02">
        <w:rPr>
          <w:rStyle w:val="HideTWBExt"/>
          <w:noProof w:val="0"/>
          <w:color w:val="auto"/>
        </w:rPr>
        <w:t>&lt;/Original&gt;</w:t>
      </w:r>
    </w:p>
    <w:p w:rsidR="003D0417" w:rsidRPr="00A56A02" w:rsidRDefault="003D0417" w:rsidP="00CE4CD1">
      <w:pPr>
        <w:pStyle w:val="JustificationTitle"/>
        <w:spacing w:after="240"/>
      </w:pPr>
      <w:r w:rsidRPr="00A56A02">
        <w:rPr>
          <w:rStyle w:val="HideTWBExt"/>
          <w:i w:val="0"/>
          <w:noProof w:val="0"/>
          <w:color w:val="auto"/>
        </w:rPr>
        <w:t>&lt;TitreJust&gt;</w:t>
      </w:r>
      <w:r w:rsidRPr="00A56A02">
        <w:t>Justificación</w:t>
      </w:r>
      <w:r w:rsidRPr="00A56A02">
        <w:rPr>
          <w:rStyle w:val="HideTWBExt"/>
          <w:i w:val="0"/>
          <w:noProof w:val="0"/>
          <w:color w:val="auto"/>
        </w:rPr>
        <w:t>&lt;/TitreJust&gt;</w:t>
      </w:r>
    </w:p>
    <w:p w:rsidR="003D0417" w:rsidRPr="00A56A02" w:rsidRDefault="003D0417" w:rsidP="00CE4CD1">
      <w:pPr>
        <w:pStyle w:val="Normal12Italic"/>
        <w:spacing w:before="0" w:after="240"/>
        <w:rPr>
          <w:szCs w:val="24"/>
        </w:rPr>
      </w:pPr>
      <w:r w:rsidRPr="00A56A02">
        <w:t>Modificaciones debidas a los cambios propuestos en otros artículos.</w:t>
      </w:r>
    </w:p>
    <w:p w:rsidR="003D0417" w:rsidRPr="00A56A02" w:rsidRDefault="003D0417" w:rsidP="00CE4CD1">
      <w:r w:rsidRPr="00A56A02">
        <w:rPr>
          <w:rStyle w:val="HideTWBExt"/>
          <w:noProof w:val="0"/>
          <w:color w:val="auto"/>
        </w:rPr>
        <w:t>&lt;/Amend&gt;</w:t>
      </w:r>
    </w:p>
    <w:p w:rsidR="003D0417" w:rsidRPr="00A56A02" w:rsidRDefault="003D0417" w:rsidP="00CE4CD1">
      <w:pPr>
        <w:pStyle w:val="AMNumberTabs"/>
        <w:keepNext/>
      </w:pPr>
      <w:r w:rsidRPr="00A56A02">
        <w:rPr>
          <w:rStyle w:val="HideTWBExt"/>
          <w:b w:val="0"/>
          <w:noProof w:val="0"/>
          <w:color w:val="auto"/>
        </w:rPr>
        <w:t>&lt;Amend&gt;</w:t>
      </w:r>
      <w:r w:rsidRPr="00A56A02">
        <w:t>Enmienda</w:t>
      </w:r>
      <w:r w:rsidRPr="00A56A02">
        <w:tab/>
      </w:r>
      <w:r w:rsidRPr="00A56A02">
        <w:tab/>
      </w:r>
      <w:r w:rsidRPr="00A56A02">
        <w:rPr>
          <w:rStyle w:val="HideTWBExt"/>
          <w:b w:val="0"/>
          <w:noProof w:val="0"/>
          <w:color w:val="auto"/>
        </w:rPr>
        <w:t>&lt;NumAm&gt;</w:t>
      </w:r>
      <w:r w:rsidRPr="00A56A02">
        <w:t>37</w:t>
      </w:r>
      <w:r w:rsidRPr="00A56A02">
        <w:rPr>
          <w:rStyle w:val="HideTWBExt"/>
          <w:b w:val="0"/>
          <w:noProof w:val="0"/>
          <w:color w:val="auto"/>
        </w:rPr>
        <w:t>&lt;/NumAm&gt;</w:t>
      </w:r>
    </w:p>
    <w:p w:rsidR="003D0417" w:rsidRPr="00A56A02" w:rsidRDefault="003D0417" w:rsidP="00CE4CD1">
      <w:pPr>
        <w:pStyle w:val="NormalBold12b"/>
        <w:keepNext/>
      </w:pPr>
      <w:r w:rsidRPr="00A56A02">
        <w:rPr>
          <w:rStyle w:val="HideTWBExt"/>
          <w:b w:val="0"/>
          <w:noProof w:val="0"/>
          <w:color w:val="auto"/>
        </w:rPr>
        <w:t>&lt;DocAmend&gt;</w:t>
      </w:r>
      <w:r w:rsidRPr="00A56A02">
        <w:t>Propuesta de Reglamento</w:t>
      </w:r>
      <w:r w:rsidRPr="00A56A02">
        <w:rPr>
          <w:rStyle w:val="HideTWBExt"/>
          <w:b w:val="0"/>
          <w:noProof w:val="0"/>
          <w:color w:val="auto"/>
        </w:rPr>
        <w:t>&lt;/DocAmend&gt;</w:t>
      </w:r>
    </w:p>
    <w:p w:rsidR="003D0417" w:rsidRPr="00A56A02" w:rsidRDefault="003D0417" w:rsidP="00CE4CD1">
      <w:pPr>
        <w:pStyle w:val="NormalBold"/>
      </w:pPr>
      <w:r w:rsidRPr="00A56A02">
        <w:rPr>
          <w:rStyle w:val="HideTWBExt"/>
          <w:b w:val="0"/>
          <w:noProof w:val="0"/>
          <w:color w:val="auto"/>
        </w:rPr>
        <w:t>&lt;Article&gt;</w:t>
      </w:r>
      <w:r w:rsidRPr="00A56A02">
        <w:t>Artículo 1 – párrafo 1 – punto 3</w:t>
      </w:r>
      <w:r w:rsidRPr="00A56A02">
        <w:rPr>
          <w:rStyle w:val="HideTWBExt"/>
          <w:b w:val="0"/>
          <w:noProof w:val="0"/>
          <w:color w:val="auto"/>
        </w:rPr>
        <w:t>&lt;/Article&gt;</w:t>
      </w:r>
    </w:p>
    <w:p w:rsidR="003D0417" w:rsidRPr="00A56A02" w:rsidRDefault="003D0417" w:rsidP="00CE4CD1">
      <w:pPr>
        <w:keepNext/>
      </w:pPr>
      <w:r w:rsidRPr="00A56A02">
        <w:rPr>
          <w:rStyle w:val="HideTWBExt"/>
          <w:noProof w:val="0"/>
          <w:color w:val="auto"/>
        </w:rPr>
        <w:t>&lt;DocAmend2&gt;</w:t>
      </w:r>
      <w:r w:rsidRPr="00A56A02">
        <w:t>Reglamento (UE) 2016/399</w:t>
      </w:r>
      <w:r w:rsidRPr="00A56A02">
        <w:rPr>
          <w:rStyle w:val="HideTWBExt"/>
          <w:noProof w:val="0"/>
          <w:color w:val="auto"/>
        </w:rPr>
        <w:t>&lt;/DocAmend2&gt;</w:t>
      </w:r>
    </w:p>
    <w:p w:rsidR="003D0417" w:rsidRPr="00A56A02" w:rsidRDefault="003D0417" w:rsidP="00CE4CD1">
      <w:r w:rsidRPr="00A56A02">
        <w:rPr>
          <w:rStyle w:val="HideTWBExt"/>
          <w:noProof w:val="0"/>
          <w:color w:val="auto"/>
        </w:rPr>
        <w:t>&lt;Article2&gt;</w:t>
      </w:r>
      <w:r w:rsidRPr="00A56A02">
        <w:t>Artículo 27 bis – apartado 2</w:t>
      </w:r>
      <w:r w:rsidRPr="00A56A02">
        <w:rPr>
          <w:rStyle w:val="HideTWBExt"/>
          <w:noProof w:val="0"/>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56A02" w:rsidRPr="00A56A02" w:rsidTr="006B7FC7">
        <w:trPr>
          <w:jc w:val="center"/>
        </w:trPr>
        <w:tc>
          <w:tcPr>
            <w:tcW w:w="9752" w:type="dxa"/>
            <w:gridSpan w:val="2"/>
          </w:tcPr>
          <w:p w:rsidR="003D0417" w:rsidRPr="00A56A02" w:rsidRDefault="003D0417" w:rsidP="006B7FC7">
            <w:pPr>
              <w:keepNext/>
            </w:pPr>
          </w:p>
        </w:tc>
      </w:tr>
      <w:tr w:rsidR="00A56A02" w:rsidRPr="00A56A02" w:rsidTr="006B7FC7">
        <w:trPr>
          <w:jc w:val="center"/>
        </w:trPr>
        <w:tc>
          <w:tcPr>
            <w:tcW w:w="4876" w:type="dxa"/>
          </w:tcPr>
          <w:p w:rsidR="003D0417" w:rsidRPr="00A56A02" w:rsidRDefault="003D0417" w:rsidP="006B7FC7">
            <w:pPr>
              <w:pStyle w:val="ColumnHeading"/>
              <w:keepNext/>
            </w:pPr>
            <w:r w:rsidRPr="00A56A02">
              <w:t>Texto de la Comisión</w:t>
            </w:r>
          </w:p>
        </w:tc>
        <w:tc>
          <w:tcPr>
            <w:tcW w:w="4876" w:type="dxa"/>
          </w:tcPr>
          <w:p w:rsidR="003D0417" w:rsidRPr="00A56A02" w:rsidRDefault="003D0417" w:rsidP="006B7FC7">
            <w:pPr>
              <w:pStyle w:val="ColumnHeading"/>
              <w:keepNext/>
            </w:pPr>
            <w:r w:rsidRPr="00A56A02">
              <w:t>Enmienda</w:t>
            </w:r>
          </w:p>
        </w:tc>
      </w:tr>
      <w:tr w:rsidR="00A56A02" w:rsidRPr="00A56A02" w:rsidTr="006B7FC7">
        <w:trPr>
          <w:jc w:val="center"/>
        </w:trPr>
        <w:tc>
          <w:tcPr>
            <w:tcW w:w="4876" w:type="dxa"/>
          </w:tcPr>
          <w:p w:rsidR="003D0417" w:rsidRPr="00A56A02" w:rsidRDefault="003D0417" w:rsidP="006B7FC7">
            <w:pPr>
              <w:pStyle w:val="Normal6"/>
            </w:pPr>
            <w:r w:rsidRPr="00A56A02">
              <w:t>2.</w:t>
            </w:r>
            <w:r w:rsidRPr="00A56A02">
              <w:tab/>
              <w:t>A más tardar seis semanas antes de que finalice el plazo a que se refiere el artículo </w:t>
            </w:r>
            <w:r w:rsidRPr="00A56A02">
              <w:rPr>
                <w:b/>
                <w:i/>
              </w:rPr>
              <w:t>25</w:t>
            </w:r>
            <w:r w:rsidRPr="00A56A02">
              <w:t>, apartado </w:t>
            </w:r>
            <w:r w:rsidRPr="00A56A02">
              <w:rPr>
                <w:b/>
                <w:i/>
              </w:rPr>
              <w:t>4, primera frase</w:t>
            </w:r>
            <w:r w:rsidRPr="00A56A02">
              <w:t xml:space="preserve">, el Estado miembro notificará a los demás Estados miembros y a la Comisión que solicita una prórroga adicional de acuerdo con el procedimiento específico establecido en el presente artículo. </w:t>
            </w:r>
            <w:r w:rsidRPr="00A56A02">
              <w:rPr>
                <w:b/>
                <w:i/>
              </w:rPr>
              <w:t>La</w:t>
            </w:r>
            <w:r w:rsidRPr="00A56A02">
              <w:t xml:space="preserve"> notificación incluirá la información exigida en </w:t>
            </w:r>
            <w:r w:rsidRPr="00A56A02">
              <w:rPr>
                <w:b/>
                <w:i/>
              </w:rPr>
              <w:t>el</w:t>
            </w:r>
            <w:r w:rsidRPr="00A56A02">
              <w:t xml:space="preserve"> artículo 27, </w:t>
            </w:r>
            <w:r w:rsidRPr="00A56A02">
              <w:rPr>
                <w:b/>
                <w:i/>
              </w:rPr>
              <w:t>apartado</w:t>
            </w:r>
            <w:r w:rsidRPr="00A56A02">
              <w:t xml:space="preserve"> 1</w:t>
            </w:r>
            <w:r w:rsidRPr="00A56A02">
              <w:rPr>
                <w:b/>
                <w:i/>
              </w:rPr>
              <w:t>, letras a) a e)</w:t>
            </w:r>
            <w:r w:rsidRPr="00A56A02">
              <w:t>. Será de aplicación el artículo</w:t>
            </w:r>
            <w:r w:rsidRPr="00A56A02">
              <w:rPr>
                <w:b/>
                <w:i/>
              </w:rPr>
              <w:t> </w:t>
            </w:r>
            <w:r w:rsidRPr="00A56A02">
              <w:t>27, apartados</w:t>
            </w:r>
            <w:r w:rsidRPr="00A56A02">
              <w:rPr>
                <w:b/>
                <w:i/>
              </w:rPr>
              <w:t> </w:t>
            </w:r>
            <w:r w:rsidRPr="00A56A02">
              <w:t>2 y 3.</w:t>
            </w:r>
          </w:p>
        </w:tc>
        <w:tc>
          <w:tcPr>
            <w:tcW w:w="4876" w:type="dxa"/>
          </w:tcPr>
          <w:p w:rsidR="003D0417" w:rsidRPr="00A56A02" w:rsidRDefault="003D0417" w:rsidP="006B7FC7">
            <w:pPr>
              <w:pStyle w:val="Normal6"/>
              <w:rPr>
                <w:szCs w:val="24"/>
              </w:rPr>
            </w:pPr>
            <w:r w:rsidRPr="00A56A02">
              <w:t>2.</w:t>
            </w:r>
            <w:r w:rsidRPr="00A56A02">
              <w:tab/>
              <w:t>A más tardar seis semanas antes de que finalice el plazo a que se refiere el artículo </w:t>
            </w:r>
            <w:r w:rsidRPr="00A56A02">
              <w:rPr>
                <w:b/>
                <w:i/>
              </w:rPr>
              <w:t>27</w:t>
            </w:r>
            <w:r w:rsidRPr="00A56A02">
              <w:t>, apartado </w:t>
            </w:r>
            <w:r w:rsidRPr="00A56A02">
              <w:rPr>
                <w:b/>
                <w:i/>
              </w:rPr>
              <w:t>1 bis</w:t>
            </w:r>
            <w:r w:rsidRPr="00A56A02">
              <w:t xml:space="preserve">, el Estado miembro notificará a los demás Estados miembros y a la Comisión que solicita una prórroga adicional de acuerdo con el procedimiento específico establecido en el presente artículo. </w:t>
            </w:r>
            <w:r w:rsidRPr="00A56A02">
              <w:rPr>
                <w:b/>
                <w:i/>
              </w:rPr>
              <w:t>Esta</w:t>
            </w:r>
            <w:r w:rsidRPr="00A56A02">
              <w:t xml:space="preserve"> notificación incluirá </w:t>
            </w:r>
            <w:r w:rsidRPr="00A56A02">
              <w:rPr>
                <w:b/>
                <w:i/>
              </w:rPr>
              <w:t xml:space="preserve">toda </w:t>
            </w:r>
            <w:r w:rsidRPr="00A56A02">
              <w:t xml:space="preserve">la información exigida en </w:t>
            </w:r>
            <w:r w:rsidRPr="00A56A02">
              <w:rPr>
                <w:b/>
                <w:i/>
              </w:rPr>
              <w:t>virtud del</w:t>
            </w:r>
            <w:r w:rsidRPr="00A56A02">
              <w:t xml:space="preserve"> artículo 27, </w:t>
            </w:r>
            <w:r w:rsidRPr="00A56A02">
              <w:rPr>
                <w:b/>
                <w:i/>
              </w:rPr>
              <w:t>apartados</w:t>
            </w:r>
            <w:r w:rsidRPr="00A56A02">
              <w:t xml:space="preserve"> 1</w:t>
            </w:r>
            <w:r w:rsidRPr="00A56A02">
              <w:rPr>
                <w:b/>
                <w:i/>
              </w:rPr>
              <w:t xml:space="preserve"> y 1 bis</w:t>
            </w:r>
            <w:r w:rsidRPr="00A56A02">
              <w:t>. Será de aplicación el artículo</w:t>
            </w:r>
            <w:r w:rsidRPr="00A56A02">
              <w:rPr>
                <w:b/>
                <w:i/>
              </w:rPr>
              <w:t xml:space="preserve"> </w:t>
            </w:r>
            <w:r w:rsidRPr="00A56A02">
              <w:t>27, apartados</w:t>
            </w:r>
            <w:r w:rsidRPr="00A56A02">
              <w:rPr>
                <w:b/>
                <w:i/>
              </w:rPr>
              <w:t xml:space="preserve"> </w:t>
            </w:r>
            <w:r w:rsidRPr="00A56A02">
              <w:t>2 y 3.</w:t>
            </w:r>
          </w:p>
        </w:tc>
      </w:tr>
    </w:tbl>
    <w:p w:rsidR="003D0417" w:rsidRPr="00A56A02" w:rsidRDefault="003D0417" w:rsidP="00B8352C">
      <w:pPr>
        <w:pStyle w:val="Olang"/>
        <w:rPr>
          <w:noProof w:val="0"/>
          <w:szCs w:val="24"/>
        </w:rPr>
      </w:pPr>
      <w:r w:rsidRPr="00A56A02">
        <w:rPr>
          <w:noProof w:val="0"/>
          <w:szCs w:val="24"/>
        </w:rPr>
        <w:t xml:space="preserve">Or. </w:t>
      </w:r>
      <w:r w:rsidRPr="00A56A02">
        <w:rPr>
          <w:rStyle w:val="HideTWBExt"/>
          <w:noProof w:val="0"/>
          <w:color w:val="auto"/>
        </w:rPr>
        <w:t>&lt;Original&gt;</w:t>
      </w:r>
      <w:r w:rsidRPr="00A56A02">
        <w:rPr>
          <w:rStyle w:val="HideTWBInt"/>
          <w:noProof w:val="0"/>
          <w:color w:val="auto"/>
        </w:rPr>
        <w:t>{EN}</w:t>
      </w:r>
      <w:r w:rsidRPr="00A56A02">
        <w:rPr>
          <w:noProof w:val="0"/>
          <w:szCs w:val="24"/>
        </w:rPr>
        <w:t>en</w:t>
      </w:r>
      <w:r w:rsidRPr="00A56A02">
        <w:rPr>
          <w:rStyle w:val="HideTWBExt"/>
          <w:noProof w:val="0"/>
          <w:color w:val="auto"/>
        </w:rPr>
        <w:t>&lt;/Original&gt;</w:t>
      </w:r>
    </w:p>
    <w:p w:rsidR="003D0417" w:rsidRPr="00A56A02" w:rsidRDefault="003D0417" w:rsidP="00CE4CD1">
      <w:pPr>
        <w:pStyle w:val="JustificationTitle"/>
        <w:spacing w:after="240"/>
      </w:pPr>
      <w:r w:rsidRPr="00A56A02">
        <w:rPr>
          <w:rStyle w:val="HideTWBExt"/>
          <w:i w:val="0"/>
          <w:noProof w:val="0"/>
          <w:color w:val="auto"/>
        </w:rPr>
        <w:t>&lt;TitreJust&gt;</w:t>
      </w:r>
      <w:r w:rsidRPr="00A56A02">
        <w:t>Justificación</w:t>
      </w:r>
      <w:r w:rsidRPr="00A56A02">
        <w:rPr>
          <w:rStyle w:val="HideTWBExt"/>
          <w:i w:val="0"/>
          <w:noProof w:val="0"/>
          <w:color w:val="auto"/>
        </w:rPr>
        <w:t>&lt;/TitreJust&gt;</w:t>
      </w:r>
    </w:p>
    <w:p w:rsidR="003D0417" w:rsidRPr="00A56A02" w:rsidRDefault="003D0417" w:rsidP="00CE4CD1">
      <w:pPr>
        <w:pStyle w:val="Normal12Italic"/>
        <w:spacing w:before="0" w:after="240"/>
        <w:rPr>
          <w:szCs w:val="24"/>
        </w:rPr>
      </w:pPr>
      <w:r w:rsidRPr="00A56A02">
        <w:t>Modificaciones debidas a los cambios propuestos en otros artículos.</w:t>
      </w:r>
    </w:p>
    <w:p w:rsidR="003D0417" w:rsidRPr="00A56A02" w:rsidRDefault="003D0417" w:rsidP="00CE4CD1">
      <w:r w:rsidRPr="00A56A02">
        <w:rPr>
          <w:rStyle w:val="HideTWBExt"/>
          <w:noProof w:val="0"/>
          <w:color w:val="auto"/>
        </w:rPr>
        <w:t>&lt;/Amend&gt;</w:t>
      </w:r>
    </w:p>
    <w:p w:rsidR="003D0417" w:rsidRPr="00A56A02" w:rsidRDefault="003D0417" w:rsidP="00CE4CD1">
      <w:pPr>
        <w:pStyle w:val="AMNumberTabs"/>
        <w:keepNext/>
      </w:pPr>
      <w:r w:rsidRPr="00A56A02">
        <w:rPr>
          <w:rStyle w:val="HideTWBExt"/>
          <w:b w:val="0"/>
          <w:noProof w:val="0"/>
          <w:color w:val="auto"/>
        </w:rPr>
        <w:t>&lt;Amend&gt;</w:t>
      </w:r>
      <w:r w:rsidRPr="00A56A02">
        <w:t>Enmienda</w:t>
      </w:r>
      <w:r w:rsidRPr="00A56A02">
        <w:tab/>
      </w:r>
      <w:r w:rsidRPr="00A56A02">
        <w:tab/>
      </w:r>
      <w:r w:rsidRPr="00A56A02">
        <w:rPr>
          <w:rStyle w:val="HideTWBExt"/>
          <w:b w:val="0"/>
          <w:noProof w:val="0"/>
          <w:color w:val="auto"/>
        </w:rPr>
        <w:t>&lt;NumAm&gt;</w:t>
      </w:r>
      <w:r w:rsidRPr="00A56A02">
        <w:t>38</w:t>
      </w:r>
      <w:r w:rsidRPr="00A56A02">
        <w:rPr>
          <w:rStyle w:val="HideTWBExt"/>
          <w:b w:val="0"/>
          <w:noProof w:val="0"/>
          <w:color w:val="auto"/>
        </w:rPr>
        <w:t>&lt;/NumAm&gt;</w:t>
      </w:r>
    </w:p>
    <w:p w:rsidR="003D0417" w:rsidRPr="00A56A02" w:rsidRDefault="003D0417" w:rsidP="00CE4CD1">
      <w:pPr>
        <w:pStyle w:val="NormalBold12b"/>
        <w:keepNext/>
      </w:pPr>
      <w:r w:rsidRPr="00A56A02">
        <w:rPr>
          <w:rStyle w:val="HideTWBExt"/>
          <w:b w:val="0"/>
          <w:noProof w:val="0"/>
          <w:color w:val="auto"/>
        </w:rPr>
        <w:t>&lt;DocAmend&gt;</w:t>
      </w:r>
      <w:r w:rsidRPr="00A56A02">
        <w:t>Propuesta de Reglamento</w:t>
      </w:r>
      <w:r w:rsidRPr="00A56A02">
        <w:rPr>
          <w:rStyle w:val="HideTWBExt"/>
          <w:b w:val="0"/>
          <w:noProof w:val="0"/>
          <w:color w:val="auto"/>
        </w:rPr>
        <w:t>&lt;/DocAmend&gt;</w:t>
      </w:r>
    </w:p>
    <w:p w:rsidR="003D0417" w:rsidRPr="00A56A02" w:rsidRDefault="003D0417" w:rsidP="00CE4CD1">
      <w:pPr>
        <w:pStyle w:val="NormalBold"/>
      </w:pPr>
      <w:r w:rsidRPr="00A56A02">
        <w:rPr>
          <w:rStyle w:val="HideTWBExt"/>
          <w:b w:val="0"/>
          <w:noProof w:val="0"/>
          <w:color w:val="auto"/>
        </w:rPr>
        <w:t>&lt;Article&gt;</w:t>
      </w:r>
      <w:r w:rsidRPr="00A56A02">
        <w:t>Artículo 1 – párrafo 1 – punto 3</w:t>
      </w:r>
      <w:r w:rsidRPr="00A56A02">
        <w:rPr>
          <w:rStyle w:val="HideTWBExt"/>
          <w:b w:val="0"/>
          <w:noProof w:val="0"/>
          <w:color w:val="auto"/>
        </w:rPr>
        <w:t>&lt;/Article&gt;</w:t>
      </w:r>
    </w:p>
    <w:p w:rsidR="003D0417" w:rsidRPr="00A56A02" w:rsidRDefault="003D0417" w:rsidP="00CE4CD1">
      <w:pPr>
        <w:keepNext/>
      </w:pPr>
      <w:r w:rsidRPr="00A56A02">
        <w:rPr>
          <w:rStyle w:val="HideTWBExt"/>
          <w:noProof w:val="0"/>
          <w:color w:val="auto"/>
        </w:rPr>
        <w:t>&lt;DocAmend2&gt;</w:t>
      </w:r>
      <w:r w:rsidRPr="00A56A02">
        <w:t>Reglamento (UE) 2016/399</w:t>
      </w:r>
      <w:r w:rsidRPr="00A56A02">
        <w:rPr>
          <w:rStyle w:val="HideTWBExt"/>
          <w:noProof w:val="0"/>
          <w:color w:val="auto"/>
        </w:rPr>
        <w:t>&lt;/DocAmend2&gt;</w:t>
      </w:r>
    </w:p>
    <w:p w:rsidR="003D0417" w:rsidRPr="00A56A02" w:rsidRDefault="003D0417" w:rsidP="00CE4CD1">
      <w:r w:rsidRPr="00A56A02">
        <w:rPr>
          <w:rStyle w:val="HideTWBExt"/>
          <w:noProof w:val="0"/>
          <w:color w:val="auto"/>
        </w:rPr>
        <w:t>&lt;Article2&gt;</w:t>
      </w:r>
      <w:r w:rsidRPr="00A56A02">
        <w:t>Artículo 27 bis – apartado 3</w:t>
      </w:r>
      <w:r w:rsidRPr="00A56A02">
        <w:rPr>
          <w:rStyle w:val="HideTWBExt"/>
          <w:noProof w:val="0"/>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56A02" w:rsidRPr="00A56A02" w:rsidTr="006B7FC7">
        <w:trPr>
          <w:jc w:val="center"/>
        </w:trPr>
        <w:tc>
          <w:tcPr>
            <w:tcW w:w="9752" w:type="dxa"/>
            <w:gridSpan w:val="2"/>
          </w:tcPr>
          <w:p w:rsidR="003D0417" w:rsidRPr="00A56A02" w:rsidRDefault="003D0417" w:rsidP="006B7FC7">
            <w:pPr>
              <w:keepNext/>
            </w:pPr>
          </w:p>
        </w:tc>
      </w:tr>
      <w:tr w:rsidR="00A56A02" w:rsidRPr="00A56A02" w:rsidTr="006B7FC7">
        <w:trPr>
          <w:jc w:val="center"/>
        </w:trPr>
        <w:tc>
          <w:tcPr>
            <w:tcW w:w="4876" w:type="dxa"/>
          </w:tcPr>
          <w:p w:rsidR="003D0417" w:rsidRPr="00A56A02" w:rsidRDefault="003D0417" w:rsidP="006B7FC7">
            <w:pPr>
              <w:pStyle w:val="ColumnHeading"/>
              <w:keepNext/>
            </w:pPr>
            <w:r w:rsidRPr="00A56A02">
              <w:t>Texto de la Comisión</w:t>
            </w:r>
          </w:p>
        </w:tc>
        <w:tc>
          <w:tcPr>
            <w:tcW w:w="4876" w:type="dxa"/>
          </w:tcPr>
          <w:p w:rsidR="003D0417" w:rsidRPr="00A56A02" w:rsidRDefault="003D0417" w:rsidP="006B7FC7">
            <w:pPr>
              <w:pStyle w:val="ColumnHeading"/>
              <w:keepNext/>
            </w:pPr>
            <w:r w:rsidRPr="00A56A02">
              <w:t>Enmienda</w:t>
            </w:r>
          </w:p>
        </w:tc>
      </w:tr>
      <w:tr w:rsidR="00A56A02" w:rsidRPr="00A56A02" w:rsidTr="006B7FC7">
        <w:trPr>
          <w:jc w:val="center"/>
        </w:trPr>
        <w:tc>
          <w:tcPr>
            <w:tcW w:w="4876" w:type="dxa"/>
          </w:tcPr>
          <w:p w:rsidR="003D0417" w:rsidRPr="00A56A02" w:rsidRDefault="003D0417" w:rsidP="006B7FC7">
            <w:pPr>
              <w:pStyle w:val="Normal6"/>
            </w:pPr>
            <w:r w:rsidRPr="00A56A02">
              <w:t>3.</w:t>
            </w:r>
            <w:r w:rsidRPr="00A56A02">
              <w:tab/>
              <w:t>La Comisión emitirá un dictamen.</w:t>
            </w:r>
          </w:p>
        </w:tc>
        <w:tc>
          <w:tcPr>
            <w:tcW w:w="4876" w:type="dxa"/>
          </w:tcPr>
          <w:p w:rsidR="003D0417" w:rsidRPr="00A56A02" w:rsidRDefault="003D0417" w:rsidP="006B7FC7">
            <w:pPr>
              <w:pStyle w:val="Normal6"/>
              <w:rPr>
                <w:szCs w:val="24"/>
              </w:rPr>
            </w:pPr>
            <w:r w:rsidRPr="00A56A02">
              <w:t>3.</w:t>
            </w:r>
            <w:r w:rsidRPr="00A56A02">
              <w:tab/>
              <w:t>La Comisión emitirá un dictamen</w:t>
            </w:r>
            <w:r w:rsidRPr="00A56A02">
              <w:rPr>
                <w:b/>
                <w:i/>
              </w:rPr>
              <w:t xml:space="preserve"> en el que indicará si la prórroga propuesta cumple los requisitos establecidos en los apartados 1 y 2, así como la necesidad y la proporcionalidad de dicha prórroga</w:t>
            </w:r>
            <w:r w:rsidRPr="00A56A02">
              <w:t>.</w:t>
            </w:r>
          </w:p>
        </w:tc>
      </w:tr>
    </w:tbl>
    <w:p w:rsidR="003D0417" w:rsidRPr="00A56A02" w:rsidRDefault="003D0417" w:rsidP="00B8352C">
      <w:pPr>
        <w:pStyle w:val="Olang"/>
        <w:rPr>
          <w:noProof w:val="0"/>
          <w:szCs w:val="24"/>
        </w:rPr>
      </w:pPr>
      <w:r w:rsidRPr="00A56A02">
        <w:rPr>
          <w:noProof w:val="0"/>
          <w:szCs w:val="24"/>
        </w:rPr>
        <w:t xml:space="preserve">Or. </w:t>
      </w:r>
      <w:r w:rsidRPr="00A56A02">
        <w:rPr>
          <w:rStyle w:val="HideTWBExt"/>
          <w:noProof w:val="0"/>
          <w:color w:val="auto"/>
        </w:rPr>
        <w:t>&lt;Original&gt;</w:t>
      </w:r>
      <w:r w:rsidRPr="00A56A02">
        <w:rPr>
          <w:rStyle w:val="HideTWBInt"/>
          <w:noProof w:val="0"/>
          <w:color w:val="auto"/>
        </w:rPr>
        <w:t>{EN}</w:t>
      </w:r>
      <w:r w:rsidRPr="00A56A02">
        <w:rPr>
          <w:noProof w:val="0"/>
          <w:szCs w:val="24"/>
        </w:rPr>
        <w:t>en</w:t>
      </w:r>
      <w:r w:rsidRPr="00A56A02">
        <w:rPr>
          <w:rStyle w:val="HideTWBExt"/>
          <w:noProof w:val="0"/>
          <w:color w:val="auto"/>
        </w:rPr>
        <w:t>&lt;/Original&gt;</w:t>
      </w:r>
    </w:p>
    <w:p w:rsidR="003D0417" w:rsidRPr="00A56A02" w:rsidRDefault="003D0417" w:rsidP="00CE4CD1">
      <w:r w:rsidRPr="00A56A02">
        <w:rPr>
          <w:rStyle w:val="HideTWBExt"/>
          <w:noProof w:val="0"/>
          <w:color w:val="auto"/>
        </w:rPr>
        <w:t>&lt;/Amend&gt;</w:t>
      </w:r>
    </w:p>
    <w:p w:rsidR="003D0417" w:rsidRPr="00A56A02" w:rsidRDefault="003D0417" w:rsidP="00CE4CD1">
      <w:pPr>
        <w:pStyle w:val="AMNumberTabs"/>
        <w:keepNext/>
      </w:pPr>
      <w:r w:rsidRPr="00A56A02">
        <w:rPr>
          <w:rStyle w:val="HideTWBExt"/>
          <w:b w:val="0"/>
          <w:noProof w:val="0"/>
          <w:color w:val="auto"/>
        </w:rPr>
        <w:t>&lt;Amend&gt;</w:t>
      </w:r>
      <w:r w:rsidRPr="00A56A02">
        <w:t>Enmienda</w:t>
      </w:r>
      <w:r w:rsidRPr="00A56A02">
        <w:tab/>
      </w:r>
      <w:r w:rsidRPr="00A56A02">
        <w:tab/>
      </w:r>
      <w:r w:rsidRPr="00A56A02">
        <w:rPr>
          <w:rStyle w:val="HideTWBExt"/>
          <w:b w:val="0"/>
          <w:noProof w:val="0"/>
          <w:color w:val="auto"/>
        </w:rPr>
        <w:t>&lt;NumAm&gt;</w:t>
      </w:r>
      <w:r w:rsidRPr="00A56A02">
        <w:t>39</w:t>
      </w:r>
      <w:r w:rsidRPr="00A56A02">
        <w:rPr>
          <w:rStyle w:val="HideTWBExt"/>
          <w:b w:val="0"/>
          <w:noProof w:val="0"/>
          <w:color w:val="auto"/>
        </w:rPr>
        <w:t>&lt;/NumAm&gt;</w:t>
      </w:r>
    </w:p>
    <w:p w:rsidR="003D0417" w:rsidRPr="00A56A02" w:rsidRDefault="003D0417" w:rsidP="00CE4CD1">
      <w:pPr>
        <w:pStyle w:val="NormalBold12b"/>
        <w:keepNext/>
      </w:pPr>
      <w:r w:rsidRPr="00A56A02">
        <w:rPr>
          <w:rStyle w:val="HideTWBExt"/>
          <w:b w:val="0"/>
          <w:noProof w:val="0"/>
          <w:color w:val="auto"/>
        </w:rPr>
        <w:t>&lt;DocAmend&gt;</w:t>
      </w:r>
      <w:r w:rsidRPr="00A56A02">
        <w:t>Propuesta de Reglamento</w:t>
      </w:r>
      <w:r w:rsidRPr="00A56A02">
        <w:rPr>
          <w:rStyle w:val="HideTWBExt"/>
          <w:b w:val="0"/>
          <w:noProof w:val="0"/>
          <w:color w:val="auto"/>
        </w:rPr>
        <w:t>&lt;/DocAmend&gt;</w:t>
      </w:r>
    </w:p>
    <w:p w:rsidR="003D0417" w:rsidRPr="00A56A02" w:rsidRDefault="003D0417" w:rsidP="00CE4CD1">
      <w:pPr>
        <w:pStyle w:val="NormalBold"/>
      </w:pPr>
      <w:r w:rsidRPr="00A56A02">
        <w:rPr>
          <w:rStyle w:val="HideTWBExt"/>
          <w:b w:val="0"/>
          <w:noProof w:val="0"/>
          <w:color w:val="auto"/>
        </w:rPr>
        <w:t>&lt;Article&gt;</w:t>
      </w:r>
      <w:r w:rsidRPr="00A56A02">
        <w:t>Artículo 1 – párrafo 1 – punto 3</w:t>
      </w:r>
      <w:r w:rsidRPr="00A56A02">
        <w:rPr>
          <w:rStyle w:val="HideTWBExt"/>
          <w:b w:val="0"/>
          <w:noProof w:val="0"/>
          <w:color w:val="auto"/>
        </w:rPr>
        <w:t>&lt;/Article&gt;</w:t>
      </w:r>
    </w:p>
    <w:p w:rsidR="003D0417" w:rsidRPr="00A56A02" w:rsidRDefault="003D0417" w:rsidP="00CE4CD1">
      <w:pPr>
        <w:keepNext/>
      </w:pPr>
      <w:r w:rsidRPr="00A56A02">
        <w:rPr>
          <w:rStyle w:val="HideTWBExt"/>
          <w:noProof w:val="0"/>
          <w:color w:val="auto"/>
        </w:rPr>
        <w:t>&lt;DocAmend2&gt;</w:t>
      </w:r>
      <w:r w:rsidRPr="00A56A02">
        <w:t>Reglamento (UE) 2016/399</w:t>
      </w:r>
      <w:r w:rsidRPr="00A56A02">
        <w:rPr>
          <w:rStyle w:val="HideTWBExt"/>
          <w:noProof w:val="0"/>
          <w:color w:val="auto"/>
        </w:rPr>
        <w:t>&lt;/DocAmend2&gt;</w:t>
      </w:r>
    </w:p>
    <w:p w:rsidR="003D0417" w:rsidRPr="00A56A02" w:rsidRDefault="003D0417" w:rsidP="00CE4CD1">
      <w:r w:rsidRPr="00A56A02">
        <w:rPr>
          <w:rStyle w:val="HideTWBExt"/>
          <w:noProof w:val="0"/>
          <w:color w:val="auto"/>
        </w:rPr>
        <w:t>&lt;Article2&gt;</w:t>
      </w:r>
      <w:r w:rsidRPr="00A56A02">
        <w:t>Artículo 27 bis – apartado 4</w:t>
      </w:r>
      <w:r w:rsidRPr="00A56A02">
        <w:rPr>
          <w:rStyle w:val="HideTWBExt"/>
          <w:noProof w:val="0"/>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56A02" w:rsidRPr="00A56A02" w:rsidTr="006B7FC7">
        <w:trPr>
          <w:jc w:val="center"/>
        </w:trPr>
        <w:tc>
          <w:tcPr>
            <w:tcW w:w="9752" w:type="dxa"/>
            <w:gridSpan w:val="2"/>
          </w:tcPr>
          <w:p w:rsidR="003D0417" w:rsidRPr="00A56A02" w:rsidRDefault="003D0417" w:rsidP="006B7FC7">
            <w:pPr>
              <w:keepNext/>
            </w:pPr>
          </w:p>
        </w:tc>
      </w:tr>
      <w:tr w:rsidR="00A56A02" w:rsidRPr="00A56A02" w:rsidTr="006B7FC7">
        <w:trPr>
          <w:jc w:val="center"/>
        </w:trPr>
        <w:tc>
          <w:tcPr>
            <w:tcW w:w="4876" w:type="dxa"/>
          </w:tcPr>
          <w:p w:rsidR="003D0417" w:rsidRPr="00A56A02" w:rsidRDefault="003D0417" w:rsidP="006B7FC7">
            <w:pPr>
              <w:pStyle w:val="ColumnHeading"/>
              <w:keepNext/>
            </w:pPr>
            <w:r w:rsidRPr="00A56A02">
              <w:t>Texto de la Comisión</w:t>
            </w:r>
          </w:p>
        </w:tc>
        <w:tc>
          <w:tcPr>
            <w:tcW w:w="4876" w:type="dxa"/>
          </w:tcPr>
          <w:p w:rsidR="003D0417" w:rsidRPr="00A56A02" w:rsidRDefault="003D0417" w:rsidP="006B7FC7">
            <w:pPr>
              <w:pStyle w:val="ColumnHeading"/>
              <w:keepNext/>
            </w:pPr>
            <w:r w:rsidRPr="00A56A02">
              <w:t>Enmienda</w:t>
            </w:r>
          </w:p>
        </w:tc>
      </w:tr>
      <w:tr w:rsidR="00A56A02" w:rsidRPr="00A56A02" w:rsidTr="006B7FC7">
        <w:trPr>
          <w:jc w:val="center"/>
        </w:trPr>
        <w:tc>
          <w:tcPr>
            <w:tcW w:w="4876" w:type="dxa"/>
          </w:tcPr>
          <w:p w:rsidR="003D0417" w:rsidRPr="00A56A02" w:rsidRDefault="003D0417" w:rsidP="006B7FC7">
            <w:pPr>
              <w:pStyle w:val="Normal6"/>
            </w:pPr>
            <w:r w:rsidRPr="00A56A02">
              <w:t>4.</w:t>
            </w:r>
            <w:r w:rsidRPr="00A56A02">
              <w:tab/>
              <w:t xml:space="preserve">El Consejo, </w:t>
            </w:r>
            <w:r w:rsidRPr="00A56A02">
              <w:rPr>
                <w:b/>
                <w:i/>
              </w:rPr>
              <w:t>teniendo debidamente</w:t>
            </w:r>
            <w:r w:rsidRPr="00A56A02">
              <w:t xml:space="preserve"> en cuenta el dictamen de la Comisión, podrá recomendar que el Estado miembro </w:t>
            </w:r>
            <w:r w:rsidRPr="00A56A02">
              <w:rPr>
                <w:b/>
                <w:i/>
              </w:rPr>
              <w:t>decida prorrogar</w:t>
            </w:r>
            <w:r w:rsidRPr="00A56A02">
              <w:t xml:space="preserve"> de nuevo los controles fronterizos en </w:t>
            </w:r>
            <w:r w:rsidRPr="00A56A02">
              <w:rPr>
                <w:b/>
                <w:i/>
              </w:rPr>
              <w:t>las</w:t>
            </w:r>
            <w:r w:rsidRPr="00A56A02">
              <w:t xml:space="preserve"> fronteras interiores por un periodo de hasta seis meses.</w:t>
            </w:r>
            <w:r w:rsidRPr="00A56A02">
              <w:rPr>
                <w:b/>
                <w:i/>
              </w:rPr>
              <w:t xml:space="preserve"> Ese periodo podrá prorrogarse en tres ocasiones como máximo, por nuevos periodos de hasta seis meses.</w:t>
            </w:r>
            <w:r w:rsidRPr="00A56A02">
              <w:t xml:space="preserve"> En su recomendación, el Consejo enumerará </w:t>
            </w:r>
            <w:r w:rsidRPr="00A56A02">
              <w:rPr>
                <w:b/>
                <w:i/>
              </w:rPr>
              <w:t xml:space="preserve">al menos </w:t>
            </w:r>
            <w:r w:rsidRPr="00A56A02">
              <w:t xml:space="preserve">la información contemplada en el artículo 27, </w:t>
            </w:r>
            <w:r w:rsidRPr="00A56A02">
              <w:rPr>
                <w:b/>
                <w:i/>
              </w:rPr>
              <w:t>apartado</w:t>
            </w:r>
            <w:r w:rsidRPr="00A56A02">
              <w:t xml:space="preserve"> 1</w:t>
            </w:r>
            <w:r w:rsidRPr="00A56A02">
              <w:rPr>
                <w:b/>
                <w:i/>
              </w:rPr>
              <w:t>, letras a) a e). En su caso, fijará</w:t>
            </w:r>
            <w:r w:rsidRPr="00A56A02">
              <w:t xml:space="preserve"> las condiciones para la cooperación entre los Estados miembros afectados.»</w:t>
            </w:r>
          </w:p>
        </w:tc>
        <w:tc>
          <w:tcPr>
            <w:tcW w:w="4876" w:type="dxa"/>
          </w:tcPr>
          <w:p w:rsidR="003D0417" w:rsidRPr="00A56A02" w:rsidRDefault="003D0417" w:rsidP="006B7FC7">
            <w:pPr>
              <w:pStyle w:val="Normal6"/>
              <w:rPr>
                <w:szCs w:val="24"/>
              </w:rPr>
            </w:pPr>
            <w:r w:rsidRPr="00A56A02">
              <w:t>4.</w:t>
            </w:r>
            <w:r w:rsidRPr="00A56A02">
              <w:tab/>
              <w:t xml:space="preserve">El Consejo, </w:t>
            </w:r>
            <w:r w:rsidRPr="00A56A02">
              <w:rPr>
                <w:b/>
                <w:i/>
              </w:rPr>
              <w:t>una vez que haya tenido</w:t>
            </w:r>
            <w:r w:rsidRPr="00A56A02">
              <w:t xml:space="preserve"> en cuenta el dictamen de la Comisión, podrá</w:t>
            </w:r>
            <w:r w:rsidRPr="00A56A02">
              <w:rPr>
                <w:b/>
                <w:i/>
              </w:rPr>
              <w:t>, como último recurso,</w:t>
            </w:r>
            <w:r w:rsidRPr="00A56A02">
              <w:t xml:space="preserve"> recomendar que el Estado miembro </w:t>
            </w:r>
            <w:r w:rsidRPr="00A56A02">
              <w:rPr>
                <w:b/>
                <w:i/>
              </w:rPr>
              <w:t>de que se trate prorrogue</w:t>
            </w:r>
            <w:r w:rsidRPr="00A56A02">
              <w:t xml:space="preserve"> de nuevo los controles fronterizos en </w:t>
            </w:r>
            <w:r w:rsidRPr="00A56A02">
              <w:rPr>
                <w:b/>
                <w:i/>
              </w:rPr>
              <w:t>sus</w:t>
            </w:r>
            <w:r w:rsidRPr="00A56A02">
              <w:t xml:space="preserve"> fronteras interiores por un periodo de hasta seis meses. En su recomendación, el Consejo enumerará la información contemplada en el artículo 27, </w:t>
            </w:r>
            <w:r w:rsidRPr="00A56A02">
              <w:rPr>
                <w:b/>
                <w:i/>
              </w:rPr>
              <w:t>apartados</w:t>
            </w:r>
            <w:r w:rsidRPr="00A56A02">
              <w:t xml:space="preserve"> 1</w:t>
            </w:r>
            <w:r w:rsidRPr="00A56A02">
              <w:rPr>
                <w:b/>
                <w:i/>
              </w:rPr>
              <w:t xml:space="preserve"> y 1 bis y establecerá</w:t>
            </w:r>
            <w:r w:rsidRPr="00A56A02">
              <w:t xml:space="preserve"> las condiciones para la cooperación entre los Estados miembros afectados.»</w:t>
            </w:r>
            <w:r w:rsidRPr="00A56A02">
              <w:rPr>
                <w:b/>
                <w:i/>
              </w:rPr>
              <w:t>.</w:t>
            </w:r>
          </w:p>
        </w:tc>
      </w:tr>
    </w:tbl>
    <w:p w:rsidR="003D0417" w:rsidRPr="00A56A02" w:rsidRDefault="003D0417" w:rsidP="00B8352C">
      <w:pPr>
        <w:pStyle w:val="Olang"/>
        <w:rPr>
          <w:noProof w:val="0"/>
          <w:szCs w:val="24"/>
        </w:rPr>
      </w:pPr>
      <w:r w:rsidRPr="00A56A02">
        <w:rPr>
          <w:noProof w:val="0"/>
          <w:szCs w:val="24"/>
        </w:rPr>
        <w:t xml:space="preserve">Or. </w:t>
      </w:r>
      <w:r w:rsidRPr="00A56A02">
        <w:rPr>
          <w:rStyle w:val="HideTWBExt"/>
          <w:noProof w:val="0"/>
          <w:color w:val="auto"/>
        </w:rPr>
        <w:t>&lt;Original&gt;</w:t>
      </w:r>
      <w:r w:rsidRPr="00A56A02">
        <w:rPr>
          <w:rStyle w:val="HideTWBInt"/>
          <w:noProof w:val="0"/>
          <w:color w:val="auto"/>
        </w:rPr>
        <w:t>{EN}</w:t>
      </w:r>
      <w:r w:rsidRPr="00A56A02">
        <w:rPr>
          <w:noProof w:val="0"/>
          <w:szCs w:val="24"/>
        </w:rPr>
        <w:t>en</w:t>
      </w:r>
      <w:r w:rsidRPr="00A56A02">
        <w:rPr>
          <w:rStyle w:val="HideTWBExt"/>
          <w:noProof w:val="0"/>
          <w:color w:val="auto"/>
        </w:rPr>
        <w:t>&lt;/Original&gt;</w:t>
      </w:r>
    </w:p>
    <w:p w:rsidR="003D0417" w:rsidRPr="00A56A02" w:rsidRDefault="003D0417" w:rsidP="00CE4CD1">
      <w:r w:rsidRPr="00A56A02">
        <w:rPr>
          <w:rStyle w:val="HideTWBExt"/>
          <w:noProof w:val="0"/>
          <w:color w:val="auto"/>
        </w:rPr>
        <w:t>&lt;/Amend&gt;</w:t>
      </w:r>
    </w:p>
    <w:p w:rsidR="003D0417" w:rsidRPr="00A56A02" w:rsidRDefault="003D0417" w:rsidP="00CE4CD1">
      <w:pPr>
        <w:pStyle w:val="AMNumberTabs"/>
        <w:keepNext/>
      </w:pPr>
      <w:r w:rsidRPr="00A56A02">
        <w:rPr>
          <w:rStyle w:val="HideTWBExt"/>
          <w:b w:val="0"/>
          <w:noProof w:val="0"/>
          <w:color w:val="auto"/>
        </w:rPr>
        <w:t>&lt;Amend&gt;</w:t>
      </w:r>
      <w:r w:rsidRPr="00A56A02">
        <w:t>Enmienda</w:t>
      </w:r>
      <w:r w:rsidRPr="00A56A02">
        <w:tab/>
      </w:r>
      <w:r w:rsidRPr="00A56A02">
        <w:tab/>
      </w:r>
      <w:r w:rsidRPr="00A56A02">
        <w:rPr>
          <w:rStyle w:val="HideTWBExt"/>
          <w:b w:val="0"/>
          <w:noProof w:val="0"/>
          <w:color w:val="auto"/>
        </w:rPr>
        <w:t>&lt;NumAm&gt;</w:t>
      </w:r>
      <w:r w:rsidRPr="00A56A02">
        <w:t>40</w:t>
      </w:r>
      <w:r w:rsidRPr="00A56A02">
        <w:rPr>
          <w:rStyle w:val="HideTWBExt"/>
          <w:b w:val="0"/>
          <w:noProof w:val="0"/>
          <w:color w:val="auto"/>
        </w:rPr>
        <w:t>&lt;/NumAm&gt;</w:t>
      </w:r>
    </w:p>
    <w:p w:rsidR="003D0417" w:rsidRPr="00A56A02" w:rsidRDefault="003D0417" w:rsidP="00CE4CD1">
      <w:pPr>
        <w:pStyle w:val="NormalBold12b"/>
        <w:keepNext/>
      </w:pPr>
      <w:r w:rsidRPr="00A56A02">
        <w:rPr>
          <w:rStyle w:val="HideTWBExt"/>
          <w:b w:val="0"/>
          <w:noProof w:val="0"/>
          <w:color w:val="auto"/>
        </w:rPr>
        <w:t>&lt;DocAmend&gt;</w:t>
      </w:r>
      <w:r w:rsidRPr="00A56A02">
        <w:t>Propuesta de Reglamento</w:t>
      </w:r>
      <w:r w:rsidRPr="00A56A02">
        <w:rPr>
          <w:rStyle w:val="HideTWBExt"/>
          <w:b w:val="0"/>
          <w:noProof w:val="0"/>
          <w:color w:val="auto"/>
        </w:rPr>
        <w:t>&lt;/DocAmend&gt;</w:t>
      </w:r>
    </w:p>
    <w:p w:rsidR="003D0417" w:rsidRPr="00A56A02" w:rsidRDefault="003D0417" w:rsidP="00CE4CD1">
      <w:pPr>
        <w:pStyle w:val="NormalBold"/>
      </w:pPr>
      <w:r w:rsidRPr="00A56A02">
        <w:rPr>
          <w:rStyle w:val="HideTWBExt"/>
          <w:b w:val="0"/>
          <w:noProof w:val="0"/>
          <w:color w:val="auto"/>
        </w:rPr>
        <w:t>&lt;Article&gt;</w:t>
      </w:r>
      <w:r w:rsidRPr="00A56A02">
        <w:t>Artículo 1 – párrafo 1 – punto 3 bis (nuevo)</w:t>
      </w:r>
      <w:r w:rsidRPr="00A56A02">
        <w:rPr>
          <w:rStyle w:val="HideTWBExt"/>
          <w:b w:val="0"/>
          <w:noProof w:val="0"/>
          <w:color w:val="auto"/>
        </w:rPr>
        <w:t>&lt;/Article&gt;</w:t>
      </w:r>
    </w:p>
    <w:p w:rsidR="003D0417" w:rsidRPr="00A56A02" w:rsidRDefault="003D0417" w:rsidP="00CE4CD1">
      <w:pPr>
        <w:keepNext/>
      </w:pPr>
      <w:r w:rsidRPr="00A56A02">
        <w:rPr>
          <w:rStyle w:val="HideTWBExt"/>
          <w:noProof w:val="0"/>
          <w:color w:val="auto"/>
        </w:rPr>
        <w:t>&lt;DocAmend2&gt;</w:t>
      </w:r>
      <w:r w:rsidRPr="00A56A02">
        <w:t>Reglamento (UE) 2016/399</w:t>
      </w:r>
      <w:r w:rsidRPr="00A56A02">
        <w:rPr>
          <w:rStyle w:val="HideTWBExt"/>
          <w:noProof w:val="0"/>
          <w:color w:val="auto"/>
        </w:rPr>
        <w:t>&lt;/DocAmend2&gt;</w:t>
      </w:r>
    </w:p>
    <w:p w:rsidR="003D0417" w:rsidRPr="00A56A02" w:rsidRDefault="003D0417" w:rsidP="00CE4CD1">
      <w:r w:rsidRPr="00A56A02">
        <w:rPr>
          <w:rStyle w:val="HideTWBExt"/>
          <w:noProof w:val="0"/>
          <w:color w:val="auto"/>
        </w:rPr>
        <w:t>&lt;Article2&gt;</w:t>
      </w:r>
      <w:r w:rsidRPr="00A56A02">
        <w:t>Artículo 28 – apartado 4</w:t>
      </w:r>
      <w:r w:rsidRPr="00A56A02">
        <w:rPr>
          <w:rStyle w:val="HideTWBExt"/>
          <w:noProof w:val="0"/>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56A02" w:rsidRPr="00A56A02" w:rsidTr="006B7FC7">
        <w:trPr>
          <w:jc w:val="center"/>
        </w:trPr>
        <w:tc>
          <w:tcPr>
            <w:tcW w:w="9752" w:type="dxa"/>
            <w:gridSpan w:val="2"/>
          </w:tcPr>
          <w:p w:rsidR="003D0417" w:rsidRPr="00A56A02" w:rsidRDefault="003D0417" w:rsidP="006B7FC7">
            <w:pPr>
              <w:keepNext/>
            </w:pPr>
          </w:p>
        </w:tc>
      </w:tr>
      <w:tr w:rsidR="00A56A02" w:rsidRPr="00A56A02" w:rsidTr="006B7FC7">
        <w:trPr>
          <w:jc w:val="center"/>
        </w:trPr>
        <w:tc>
          <w:tcPr>
            <w:tcW w:w="4876" w:type="dxa"/>
          </w:tcPr>
          <w:p w:rsidR="003D0417" w:rsidRPr="00A56A02" w:rsidRDefault="003D0417" w:rsidP="006B7FC7">
            <w:pPr>
              <w:pStyle w:val="ColumnHeading"/>
              <w:keepNext/>
            </w:pPr>
            <w:r w:rsidRPr="00A56A02">
              <w:t>Texto en vigor</w:t>
            </w:r>
          </w:p>
        </w:tc>
        <w:tc>
          <w:tcPr>
            <w:tcW w:w="4876" w:type="dxa"/>
          </w:tcPr>
          <w:p w:rsidR="003D0417" w:rsidRPr="00A56A02" w:rsidRDefault="003D0417" w:rsidP="006B7FC7">
            <w:pPr>
              <w:pStyle w:val="ColumnHeading"/>
              <w:keepNext/>
            </w:pPr>
            <w:r w:rsidRPr="00A56A02">
              <w:t>Enmienda</w:t>
            </w:r>
          </w:p>
        </w:tc>
      </w:tr>
      <w:tr w:rsidR="00A56A02" w:rsidRPr="00A56A02" w:rsidTr="006B7FC7">
        <w:trPr>
          <w:jc w:val="center"/>
        </w:trPr>
        <w:tc>
          <w:tcPr>
            <w:tcW w:w="4876" w:type="dxa"/>
          </w:tcPr>
          <w:p w:rsidR="003D0417" w:rsidRPr="00A56A02" w:rsidRDefault="003D0417" w:rsidP="006B7FC7">
            <w:pPr>
              <w:pStyle w:val="Normal6"/>
            </w:pPr>
          </w:p>
        </w:tc>
        <w:tc>
          <w:tcPr>
            <w:tcW w:w="4876" w:type="dxa"/>
          </w:tcPr>
          <w:p w:rsidR="003D0417" w:rsidRPr="00A56A02" w:rsidRDefault="003D0417" w:rsidP="006B7FC7">
            <w:pPr>
              <w:pStyle w:val="Normal6"/>
              <w:rPr>
                <w:szCs w:val="24"/>
              </w:rPr>
            </w:pPr>
            <w:r w:rsidRPr="00A56A02">
              <w:rPr>
                <w:b/>
                <w:i/>
              </w:rPr>
              <w:t>(3 bis)</w:t>
            </w:r>
            <w:r w:rsidRPr="00A56A02">
              <w:rPr>
                <w:b/>
                <w:i/>
              </w:rPr>
              <w:tab/>
              <w:t>En el artículo 28, el apartado 4 se sustituye por el texto siguiente:</w:t>
            </w:r>
          </w:p>
        </w:tc>
      </w:tr>
      <w:tr w:rsidR="00A56A02" w:rsidRPr="00A56A02" w:rsidTr="006B7FC7">
        <w:trPr>
          <w:jc w:val="center"/>
        </w:trPr>
        <w:tc>
          <w:tcPr>
            <w:tcW w:w="4876" w:type="dxa"/>
          </w:tcPr>
          <w:p w:rsidR="003D0417" w:rsidRPr="00A56A02" w:rsidRDefault="003D0417" w:rsidP="006B7FC7">
            <w:pPr>
              <w:pStyle w:val="Normal6"/>
            </w:pPr>
            <w:r w:rsidRPr="00A56A02">
              <w:t xml:space="preserve">4. </w:t>
            </w:r>
            <w:r w:rsidRPr="00A56A02">
              <w:rPr>
                <w:b/>
                <w:i/>
              </w:rPr>
              <w:t>Sin perjuicio de lo dispuesto en el artículo 25, apartado 4,</w:t>
            </w:r>
            <w:r w:rsidRPr="00A56A02">
              <w:t xml:space="preserve"> la duración total del restablecimiento de los controles fronterizos en las fronteras interiores, sobre la base del período inicial contemplado en el apartado 1 del presente artículo y de cualquier prórroga en virtud del apartado 3 del presente artículo, no podrá superar los dos meses.</w:t>
            </w:r>
          </w:p>
        </w:tc>
        <w:tc>
          <w:tcPr>
            <w:tcW w:w="4876" w:type="dxa"/>
          </w:tcPr>
          <w:p w:rsidR="003D0417" w:rsidRPr="00A56A02" w:rsidRDefault="003D0417" w:rsidP="006B7FC7">
            <w:pPr>
              <w:pStyle w:val="Normal6"/>
              <w:rPr>
                <w:szCs w:val="24"/>
              </w:rPr>
            </w:pPr>
            <w:r w:rsidRPr="00A56A02">
              <w:rPr>
                <w:b/>
                <w:i/>
              </w:rPr>
              <w:t>«</w:t>
            </w:r>
            <w:r w:rsidRPr="00A56A02">
              <w:t>4. La duración total del restablecimiento de los controles fronterizos en las fronteras interiores, sobre la base del período inicial contemplado en el apartado 1 del presente artículo y de cualquier prórroga en virtud del apartado 3 del presente artículo, no podrá superar los dos meses.</w:t>
            </w:r>
            <w:r w:rsidRPr="00A56A02">
              <w:rPr>
                <w:b/>
                <w:i/>
              </w:rPr>
              <w:t>».</w:t>
            </w:r>
          </w:p>
        </w:tc>
      </w:tr>
    </w:tbl>
    <w:p w:rsidR="003D0417" w:rsidRPr="00A56A02" w:rsidRDefault="003D0417" w:rsidP="00B8352C">
      <w:pPr>
        <w:pStyle w:val="Olang"/>
        <w:rPr>
          <w:noProof w:val="0"/>
          <w:szCs w:val="24"/>
        </w:rPr>
      </w:pPr>
      <w:r w:rsidRPr="00A56A02">
        <w:rPr>
          <w:noProof w:val="0"/>
          <w:szCs w:val="24"/>
        </w:rPr>
        <w:t xml:space="preserve">Or. </w:t>
      </w:r>
      <w:r w:rsidRPr="00A56A02">
        <w:rPr>
          <w:rStyle w:val="HideTWBExt"/>
          <w:noProof w:val="0"/>
          <w:color w:val="auto"/>
        </w:rPr>
        <w:t>&lt;Original&gt;</w:t>
      </w:r>
      <w:r w:rsidRPr="00A56A02">
        <w:rPr>
          <w:rStyle w:val="HideTWBInt"/>
          <w:noProof w:val="0"/>
          <w:color w:val="auto"/>
        </w:rPr>
        <w:t>{EN}</w:t>
      </w:r>
      <w:r w:rsidRPr="00A56A02">
        <w:rPr>
          <w:noProof w:val="0"/>
          <w:szCs w:val="24"/>
        </w:rPr>
        <w:t>en</w:t>
      </w:r>
      <w:r w:rsidRPr="00A56A02">
        <w:rPr>
          <w:rStyle w:val="HideTWBExt"/>
          <w:noProof w:val="0"/>
          <w:color w:val="auto"/>
        </w:rPr>
        <w:t>&lt;/Original&gt;</w:t>
      </w:r>
    </w:p>
    <w:p w:rsidR="003D0417" w:rsidRPr="00A56A02" w:rsidRDefault="003D0417" w:rsidP="00CE4CD1">
      <w:pPr>
        <w:pStyle w:val="CrossRef"/>
      </w:pPr>
      <w:r w:rsidRPr="00A56A02">
        <w:t>(https://eur-lex.europa.eu/legal-content/ES/TXT/?qid=1522053548833&amp;uri=CELEX:02016R0399-20170407)</w:t>
      </w:r>
    </w:p>
    <w:p w:rsidR="003D0417" w:rsidRPr="00A56A02" w:rsidRDefault="003D0417" w:rsidP="00CE4CD1">
      <w:pPr>
        <w:pStyle w:val="JustificationTitle"/>
        <w:spacing w:after="240"/>
      </w:pPr>
      <w:r w:rsidRPr="00A56A02">
        <w:rPr>
          <w:rStyle w:val="HideTWBExt"/>
          <w:i w:val="0"/>
          <w:noProof w:val="0"/>
          <w:color w:val="auto"/>
        </w:rPr>
        <w:t>&lt;TitreJust&gt;</w:t>
      </w:r>
      <w:r w:rsidRPr="00A56A02">
        <w:t>Justificación</w:t>
      </w:r>
      <w:r w:rsidRPr="00A56A02">
        <w:rPr>
          <w:rStyle w:val="HideTWBExt"/>
          <w:i w:val="0"/>
          <w:noProof w:val="0"/>
          <w:color w:val="auto"/>
        </w:rPr>
        <w:t>&lt;/TitreJust&gt;</w:t>
      </w:r>
    </w:p>
    <w:p w:rsidR="003D0417" w:rsidRPr="00A56A02" w:rsidRDefault="003D0417" w:rsidP="00CE4CD1">
      <w:pPr>
        <w:pStyle w:val="Normal12Italic"/>
        <w:spacing w:before="0" w:after="240"/>
      </w:pPr>
      <w:r w:rsidRPr="00A56A02">
        <w:t>Modificaciones debidas a los cambios propuestos en otros artículos.</w:t>
      </w:r>
    </w:p>
    <w:p w:rsidR="003D0417" w:rsidRPr="00A56A02" w:rsidRDefault="003D0417" w:rsidP="00CE4CD1">
      <w:r w:rsidRPr="00A56A02">
        <w:rPr>
          <w:rStyle w:val="HideTWBExt"/>
          <w:noProof w:val="0"/>
          <w:color w:val="auto"/>
        </w:rPr>
        <w:t>&lt;/Amend&gt;</w:t>
      </w:r>
    </w:p>
    <w:p w:rsidR="003D0417" w:rsidRPr="00A56A02" w:rsidRDefault="003D0417" w:rsidP="00CE4CD1">
      <w:pPr>
        <w:pStyle w:val="AMNumberTabs"/>
        <w:keepNext/>
      </w:pPr>
      <w:r w:rsidRPr="00A56A02">
        <w:rPr>
          <w:rStyle w:val="HideTWBExt"/>
          <w:b w:val="0"/>
          <w:noProof w:val="0"/>
          <w:color w:val="auto"/>
        </w:rPr>
        <w:t>&lt;Amend&gt;</w:t>
      </w:r>
      <w:r w:rsidRPr="00A56A02">
        <w:t>Enmienda</w:t>
      </w:r>
      <w:r w:rsidRPr="00A56A02">
        <w:tab/>
      </w:r>
      <w:r w:rsidRPr="00A56A02">
        <w:tab/>
      </w:r>
      <w:r w:rsidRPr="00A56A02">
        <w:rPr>
          <w:rStyle w:val="HideTWBExt"/>
          <w:b w:val="0"/>
          <w:noProof w:val="0"/>
          <w:color w:val="auto"/>
        </w:rPr>
        <w:t>&lt;NumAm&gt;</w:t>
      </w:r>
      <w:r w:rsidRPr="00A56A02">
        <w:t>41</w:t>
      </w:r>
      <w:r w:rsidRPr="00A56A02">
        <w:rPr>
          <w:rStyle w:val="HideTWBExt"/>
          <w:b w:val="0"/>
          <w:noProof w:val="0"/>
          <w:color w:val="auto"/>
        </w:rPr>
        <w:t>&lt;/NumAm&gt;</w:t>
      </w:r>
    </w:p>
    <w:p w:rsidR="003D0417" w:rsidRPr="00A56A02" w:rsidRDefault="003D0417" w:rsidP="00CE4CD1">
      <w:pPr>
        <w:pStyle w:val="NormalBold12b"/>
        <w:keepNext/>
      </w:pPr>
      <w:r w:rsidRPr="00A56A02">
        <w:rPr>
          <w:rStyle w:val="HideTWBExt"/>
          <w:b w:val="0"/>
          <w:noProof w:val="0"/>
          <w:color w:val="auto"/>
        </w:rPr>
        <w:t>&lt;DocAmend&gt;</w:t>
      </w:r>
      <w:r w:rsidRPr="00A56A02">
        <w:t>Propuesta de Reglamento</w:t>
      </w:r>
      <w:r w:rsidRPr="00A56A02">
        <w:rPr>
          <w:rStyle w:val="HideTWBExt"/>
          <w:b w:val="0"/>
          <w:noProof w:val="0"/>
          <w:color w:val="auto"/>
        </w:rPr>
        <w:t>&lt;/DocAmend&gt;</w:t>
      </w:r>
    </w:p>
    <w:p w:rsidR="003D0417" w:rsidRPr="00A56A02" w:rsidRDefault="003D0417" w:rsidP="00CE4CD1">
      <w:pPr>
        <w:pStyle w:val="NormalBold"/>
      </w:pPr>
      <w:r w:rsidRPr="00A56A02">
        <w:rPr>
          <w:rStyle w:val="HideTWBExt"/>
          <w:b w:val="0"/>
          <w:noProof w:val="0"/>
          <w:color w:val="auto"/>
        </w:rPr>
        <w:t>&lt;Article&gt;</w:t>
      </w:r>
      <w:r w:rsidRPr="00A56A02">
        <w:t>Artículo 1 – párrafo 1 – punto 3 ter (nuevo)</w:t>
      </w:r>
      <w:r w:rsidRPr="00A56A02">
        <w:rPr>
          <w:rStyle w:val="HideTWBExt"/>
          <w:b w:val="0"/>
          <w:noProof w:val="0"/>
          <w:color w:val="auto"/>
        </w:rPr>
        <w:t>&lt;/Article&gt;</w:t>
      </w:r>
    </w:p>
    <w:p w:rsidR="003D0417" w:rsidRPr="00A56A02" w:rsidRDefault="003D0417" w:rsidP="00CE4CD1">
      <w:pPr>
        <w:keepNext/>
      </w:pPr>
      <w:r w:rsidRPr="00A56A02">
        <w:rPr>
          <w:rStyle w:val="HideTWBExt"/>
          <w:noProof w:val="0"/>
          <w:color w:val="auto"/>
        </w:rPr>
        <w:t>&lt;DocAmend2&gt;</w:t>
      </w:r>
      <w:r w:rsidRPr="00A56A02">
        <w:t>Reglamento (UE) 2016/399</w:t>
      </w:r>
      <w:r w:rsidRPr="00A56A02">
        <w:rPr>
          <w:rStyle w:val="HideTWBExt"/>
          <w:noProof w:val="0"/>
          <w:color w:val="auto"/>
        </w:rPr>
        <w:t>&lt;/DocAmend2&gt;</w:t>
      </w:r>
    </w:p>
    <w:p w:rsidR="003D0417" w:rsidRPr="00A56A02" w:rsidRDefault="003D0417" w:rsidP="00CE4CD1">
      <w:r w:rsidRPr="00A56A02">
        <w:rPr>
          <w:rStyle w:val="HideTWBExt"/>
          <w:noProof w:val="0"/>
          <w:color w:val="auto"/>
        </w:rPr>
        <w:t>&lt;Article2&gt;</w:t>
      </w:r>
      <w:r w:rsidRPr="00A56A02">
        <w:t>Artículo 28 bis (nuevo)</w:t>
      </w:r>
      <w:r w:rsidRPr="00A56A02">
        <w:rPr>
          <w:rStyle w:val="HideTWBExt"/>
          <w:noProof w:val="0"/>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56A02" w:rsidRPr="00A56A02" w:rsidTr="006B7FC7">
        <w:trPr>
          <w:jc w:val="center"/>
        </w:trPr>
        <w:tc>
          <w:tcPr>
            <w:tcW w:w="9752" w:type="dxa"/>
            <w:gridSpan w:val="2"/>
          </w:tcPr>
          <w:p w:rsidR="003D0417" w:rsidRPr="00A56A02" w:rsidRDefault="003D0417" w:rsidP="006B7FC7">
            <w:pPr>
              <w:keepNext/>
            </w:pPr>
          </w:p>
        </w:tc>
      </w:tr>
      <w:tr w:rsidR="00A56A02" w:rsidRPr="00A56A02" w:rsidTr="006B7FC7">
        <w:trPr>
          <w:jc w:val="center"/>
        </w:trPr>
        <w:tc>
          <w:tcPr>
            <w:tcW w:w="4876" w:type="dxa"/>
            <w:hideMark/>
          </w:tcPr>
          <w:p w:rsidR="003D0417" w:rsidRPr="00A56A02" w:rsidRDefault="003D0417" w:rsidP="006B7FC7">
            <w:pPr>
              <w:pStyle w:val="ColumnHeading"/>
              <w:keepNext/>
            </w:pPr>
            <w:r w:rsidRPr="00A56A02">
              <w:t>Texto de la Comisión</w:t>
            </w:r>
          </w:p>
        </w:tc>
        <w:tc>
          <w:tcPr>
            <w:tcW w:w="4876" w:type="dxa"/>
            <w:hideMark/>
          </w:tcPr>
          <w:p w:rsidR="003D0417" w:rsidRPr="00A56A02" w:rsidRDefault="003D0417" w:rsidP="006B7FC7">
            <w:pPr>
              <w:pStyle w:val="ColumnHeading"/>
              <w:keepNext/>
            </w:pPr>
            <w:r w:rsidRPr="00A56A02">
              <w:t>Enmienda</w:t>
            </w:r>
          </w:p>
        </w:tc>
      </w:tr>
      <w:tr w:rsidR="00A56A02" w:rsidRPr="00A56A02" w:rsidTr="006B7FC7">
        <w:tblPrEx>
          <w:tblLook w:val="0000" w:firstRow="0" w:lastRow="0" w:firstColumn="0" w:lastColumn="0" w:noHBand="0" w:noVBand="0"/>
        </w:tblPrEx>
        <w:trPr>
          <w:jc w:val="center"/>
        </w:trPr>
        <w:tc>
          <w:tcPr>
            <w:tcW w:w="4876" w:type="dxa"/>
          </w:tcPr>
          <w:p w:rsidR="003D0417" w:rsidRPr="00A56A02" w:rsidRDefault="003D0417" w:rsidP="006B7FC7">
            <w:pPr>
              <w:pStyle w:val="Normal6"/>
            </w:pPr>
          </w:p>
        </w:tc>
        <w:tc>
          <w:tcPr>
            <w:tcW w:w="4876" w:type="dxa"/>
          </w:tcPr>
          <w:p w:rsidR="003D0417" w:rsidRPr="00A56A02" w:rsidRDefault="003D0417" w:rsidP="006B7FC7">
            <w:pPr>
              <w:pStyle w:val="Normal6"/>
              <w:rPr>
                <w:szCs w:val="24"/>
              </w:rPr>
            </w:pPr>
            <w:r w:rsidRPr="00A56A02">
              <w:rPr>
                <w:b/>
                <w:i/>
              </w:rPr>
              <w:t>(3 ter)</w:t>
            </w:r>
            <w:r w:rsidRPr="00A56A02">
              <w:rPr>
                <w:b/>
                <w:i/>
              </w:rPr>
              <w:tab/>
              <w:t>Se añade el artículo 28 bis siguiente:</w:t>
            </w:r>
          </w:p>
        </w:tc>
      </w:tr>
      <w:tr w:rsidR="00A56A02" w:rsidRPr="00A56A02" w:rsidTr="006B7FC7">
        <w:trPr>
          <w:jc w:val="center"/>
        </w:trPr>
        <w:tc>
          <w:tcPr>
            <w:tcW w:w="4876" w:type="dxa"/>
          </w:tcPr>
          <w:p w:rsidR="003D0417" w:rsidRPr="00A56A02" w:rsidRDefault="003D0417" w:rsidP="006B7FC7">
            <w:pPr>
              <w:pStyle w:val="Normal6"/>
            </w:pPr>
          </w:p>
        </w:tc>
        <w:tc>
          <w:tcPr>
            <w:tcW w:w="4876" w:type="dxa"/>
            <w:hideMark/>
          </w:tcPr>
          <w:p w:rsidR="003D0417" w:rsidRPr="00A56A02" w:rsidRDefault="003D0417" w:rsidP="006B7FC7">
            <w:pPr>
              <w:pStyle w:val="Normal6"/>
              <w:jc w:val="center"/>
              <w:rPr>
                <w:szCs w:val="24"/>
              </w:rPr>
            </w:pPr>
            <w:r w:rsidRPr="00A56A02">
              <w:rPr>
                <w:b/>
                <w:i/>
              </w:rPr>
              <w:t>«Artículo 28 bis</w:t>
            </w:r>
          </w:p>
        </w:tc>
      </w:tr>
      <w:tr w:rsidR="00A56A02" w:rsidRPr="00A56A02" w:rsidTr="006B7FC7">
        <w:trPr>
          <w:jc w:val="center"/>
        </w:trPr>
        <w:tc>
          <w:tcPr>
            <w:tcW w:w="4876" w:type="dxa"/>
          </w:tcPr>
          <w:p w:rsidR="003D0417" w:rsidRPr="00A56A02" w:rsidRDefault="003D0417" w:rsidP="006B7FC7">
            <w:pPr>
              <w:pStyle w:val="Normal6"/>
            </w:pPr>
          </w:p>
        </w:tc>
        <w:tc>
          <w:tcPr>
            <w:tcW w:w="4876" w:type="dxa"/>
          </w:tcPr>
          <w:p w:rsidR="003D0417" w:rsidRPr="00A56A02" w:rsidRDefault="003D0417" w:rsidP="006B7FC7">
            <w:pPr>
              <w:pStyle w:val="Normal6"/>
              <w:jc w:val="center"/>
              <w:rPr>
                <w:b/>
                <w:i/>
              </w:rPr>
            </w:pPr>
            <w:r w:rsidRPr="00A56A02">
              <w:rPr>
                <w:b/>
                <w:i/>
              </w:rPr>
              <w:t>Cálculo de la duración del periodo de restablecimiento o de prórroga de los controles fronterizos como consecuencia de una amenaza previsible para el orden público o la seguridad interior, en caso de que dicha amenaza grave para el orden público o la seguridad interior exceda de seis meses y en los casos que requieran una actuación inmediata</w:t>
            </w:r>
          </w:p>
        </w:tc>
      </w:tr>
      <w:tr w:rsidR="00A56A02" w:rsidRPr="00A56A02" w:rsidTr="006B7FC7">
        <w:trPr>
          <w:jc w:val="center"/>
        </w:trPr>
        <w:tc>
          <w:tcPr>
            <w:tcW w:w="4876" w:type="dxa"/>
          </w:tcPr>
          <w:p w:rsidR="003D0417" w:rsidRPr="00A56A02" w:rsidRDefault="003D0417" w:rsidP="006B7FC7">
            <w:pPr>
              <w:pStyle w:val="Normal6"/>
            </w:pPr>
          </w:p>
        </w:tc>
        <w:tc>
          <w:tcPr>
            <w:tcW w:w="4876" w:type="dxa"/>
            <w:hideMark/>
          </w:tcPr>
          <w:p w:rsidR="003D0417" w:rsidRPr="00A56A02" w:rsidRDefault="003D0417" w:rsidP="006B7FC7">
            <w:pPr>
              <w:pStyle w:val="Normal6"/>
              <w:rPr>
                <w:szCs w:val="24"/>
              </w:rPr>
            </w:pPr>
            <w:r w:rsidRPr="00A56A02">
              <w:rPr>
                <w:b/>
                <w:i/>
              </w:rPr>
              <w:t>Todo restablecimiento o prórroga de los controles fronterizos en las fronteras interiores anterior a [la fecha de entrada en vigor del presente Reglamento] se tendrá en cuenta a los efectos del cálculo de los períodos a que se refieren los artículos 27, 27 bis y 28.</w:t>
            </w:r>
          </w:p>
        </w:tc>
      </w:tr>
    </w:tbl>
    <w:p w:rsidR="003D0417" w:rsidRPr="00A56A02" w:rsidRDefault="003D0417" w:rsidP="00B8352C">
      <w:pPr>
        <w:pStyle w:val="Olang"/>
        <w:rPr>
          <w:noProof w:val="0"/>
          <w:szCs w:val="24"/>
        </w:rPr>
      </w:pPr>
      <w:r w:rsidRPr="00A56A02">
        <w:rPr>
          <w:noProof w:val="0"/>
          <w:szCs w:val="24"/>
        </w:rPr>
        <w:t xml:space="preserve">Or. </w:t>
      </w:r>
      <w:r w:rsidRPr="00A56A02">
        <w:rPr>
          <w:rStyle w:val="HideTWBExt"/>
          <w:noProof w:val="0"/>
          <w:color w:val="auto"/>
        </w:rPr>
        <w:t>&lt;Original&gt;</w:t>
      </w:r>
      <w:r w:rsidRPr="00A56A02">
        <w:rPr>
          <w:rStyle w:val="HideTWBInt"/>
          <w:noProof w:val="0"/>
          <w:color w:val="auto"/>
        </w:rPr>
        <w:t>{EN}</w:t>
      </w:r>
      <w:r w:rsidRPr="00A56A02">
        <w:rPr>
          <w:noProof w:val="0"/>
          <w:szCs w:val="24"/>
        </w:rPr>
        <w:t>en</w:t>
      </w:r>
      <w:r w:rsidRPr="00A56A02">
        <w:rPr>
          <w:rStyle w:val="HideTWBExt"/>
          <w:noProof w:val="0"/>
          <w:color w:val="auto"/>
        </w:rPr>
        <w:t>&lt;/Original&gt;</w:t>
      </w:r>
    </w:p>
    <w:p w:rsidR="003D0417" w:rsidRPr="00A56A02" w:rsidRDefault="003D0417" w:rsidP="00CE4CD1">
      <w:pPr>
        <w:pStyle w:val="JustificationTitle"/>
        <w:spacing w:after="240"/>
      </w:pPr>
      <w:r w:rsidRPr="00A56A02">
        <w:rPr>
          <w:rStyle w:val="HideTWBExt"/>
          <w:i w:val="0"/>
          <w:noProof w:val="0"/>
          <w:color w:val="auto"/>
        </w:rPr>
        <w:t>&lt;TitreJust&gt;</w:t>
      </w:r>
      <w:r w:rsidRPr="00A56A02">
        <w:t>Justificación</w:t>
      </w:r>
      <w:r w:rsidRPr="00A56A02">
        <w:rPr>
          <w:rStyle w:val="HideTWBExt"/>
          <w:i w:val="0"/>
          <w:noProof w:val="0"/>
          <w:color w:val="auto"/>
        </w:rPr>
        <w:t>&lt;/TitreJust&gt;</w:t>
      </w:r>
    </w:p>
    <w:p w:rsidR="003D0417" w:rsidRPr="00A56A02" w:rsidRDefault="003D0417" w:rsidP="00CE4CD1">
      <w:pPr>
        <w:pStyle w:val="Normal12Italic"/>
        <w:spacing w:before="0" w:after="240"/>
      </w:pPr>
      <w:r w:rsidRPr="00A56A02">
        <w:t>Los controles fronterizos existentes de forma ininterrumpida en las fronteras interiores restablecidos por diferentes Estados miembros desde septiembre de 2015 que hayan superado el periodo máximo permitido con arreglo a las actuales normas del Código de fronteras Schengen se tendrán en cuenta a la hora de calcular de nuevo los correspondientes periodos y se suspenderán si han dejado de cumplirse las condiciones aplicables.</w:t>
      </w:r>
    </w:p>
    <w:p w:rsidR="003D0417" w:rsidRPr="00A56A02" w:rsidRDefault="003D0417" w:rsidP="00CE4CD1">
      <w:r w:rsidRPr="00A56A02">
        <w:rPr>
          <w:rStyle w:val="HideTWBExt"/>
          <w:noProof w:val="0"/>
          <w:color w:val="auto"/>
        </w:rPr>
        <w:t>&lt;/Amend&gt;</w:t>
      </w:r>
    </w:p>
    <w:p w:rsidR="003D0417" w:rsidRPr="00A56A02" w:rsidRDefault="003D0417" w:rsidP="00CE4CD1">
      <w:pPr>
        <w:pStyle w:val="AMNumberTabs"/>
        <w:keepNext/>
      </w:pPr>
      <w:r w:rsidRPr="00A56A02">
        <w:rPr>
          <w:rStyle w:val="HideTWBExt"/>
          <w:b w:val="0"/>
          <w:noProof w:val="0"/>
          <w:color w:val="auto"/>
        </w:rPr>
        <w:t>&lt;Amend&gt;</w:t>
      </w:r>
      <w:r w:rsidRPr="00A56A02">
        <w:t>Enmienda</w:t>
      </w:r>
      <w:r w:rsidRPr="00A56A02">
        <w:tab/>
      </w:r>
      <w:r w:rsidRPr="00A56A02">
        <w:tab/>
      </w:r>
      <w:r w:rsidRPr="00A56A02">
        <w:rPr>
          <w:rStyle w:val="HideTWBExt"/>
          <w:b w:val="0"/>
          <w:noProof w:val="0"/>
          <w:color w:val="auto"/>
        </w:rPr>
        <w:t>&lt;NumAm&gt;</w:t>
      </w:r>
      <w:r w:rsidRPr="00A56A02">
        <w:t>42</w:t>
      </w:r>
      <w:r w:rsidRPr="00A56A02">
        <w:rPr>
          <w:rStyle w:val="HideTWBExt"/>
          <w:b w:val="0"/>
          <w:noProof w:val="0"/>
          <w:color w:val="auto"/>
        </w:rPr>
        <w:t>&lt;/NumAm&gt;</w:t>
      </w:r>
    </w:p>
    <w:p w:rsidR="003D0417" w:rsidRPr="00A56A02" w:rsidRDefault="003D0417" w:rsidP="00CE4CD1">
      <w:pPr>
        <w:pStyle w:val="NormalBold12b"/>
        <w:keepNext/>
      </w:pPr>
      <w:r w:rsidRPr="00A56A02">
        <w:rPr>
          <w:rStyle w:val="HideTWBExt"/>
          <w:b w:val="0"/>
          <w:noProof w:val="0"/>
          <w:color w:val="auto"/>
        </w:rPr>
        <w:t>&lt;DocAmend&gt;</w:t>
      </w:r>
      <w:r w:rsidRPr="00A56A02">
        <w:t>Propuesta de Reglamento</w:t>
      </w:r>
      <w:r w:rsidRPr="00A56A02">
        <w:rPr>
          <w:rStyle w:val="HideTWBExt"/>
          <w:b w:val="0"/>
          <w:noProof w:val="0"/>
          <w:color w:val="auto"/>
        </w:rPr>
        <w:t>&lt;/DocAmend&gt;</w:t>
      </w:r>
    </w:p>
    <w:p w:rsidR="003D0417" w:rsidRPr="00A56A02" w:rsidRDefault="003D0417" w:rsidP="00CE4CD1">
      <w:pPr>
        <w:pStyle w:val="NormalBold"/>
      </w:pPr>
      <w:r w:rsidRPr="00A56A02">
        <w:rPr>
          <w:rStyle w:val="HideTWBExt"/>
          <w:b w:val="0"/>
          <w:noProof w:val="0"/>
          <w:color w:val="auto"/>
        </w:rPr>
        <w:t>&lt;Article&gt;</w:t>
      </w:r>
      <w:r w:rsidRPr="00A56A02">
        <w:t>Artículo 1 – párrafo 1 – punto 3 quater (nuevo)</w:t>
      </w:r>
      <w:r w:rsidRPr="00A56A02">
        <w:rPr>
          <w:rStyle w:val="HideTWBExt"/>
          <w:b w:val="0"/>
          <w:noProof w:val="0"/>
          <w:color w:val="auto"/>
        </w:rPr>
        <w:t>&lt;/Article&gt;</w:t>
      </w:r>
    </w:p>
    <w:p w:rsidR="003D0417" w:rsidRPr="00A56A02" w:rsidRDefault="003D0417" w:rsidP="00CE4CD1">
      <w:pPr>
        <w:keepNext/>
      </w:pPr>
      <w:r w:rsidRPr="00A56A02">
        <w:rPr>
          <w:rStyle w:val="HideTWBExt"/>
          <w:noProof w:val="0"/>
          <w:color w:val="auto"/>
        </w:rPr>
        <w:t>&lt;DocAmend2&gt;</w:t>
      </w:r>
      <w:r w:rsidRPr="00A56A02">
        <w:t>Reglamento (UE) 2016/399</w:t>
      </w:r>
      <w:r w:rsidRPr="00A56A02">
        <w:rPr>
          <w:rStyle w:val="HideTWBExt"/>
          <w:noProof w:val="0"/>
          <w:color w:val="auto"/>
        </w:rPr>
        <w:t>&lt;/DocAmend2&gt;</w:t>
      </w:r>
    </w:p>
    <w:p w:rsidR="003D0417" w:rsidRPr="00A56A02" w:rsidRDefault="003D0417" w:rsidP="00CE4CD1">
      <w:r w:rsidRPr="00A56A02">
        <w:rPr>
          <w:rStyle w:val="HideTWBExt"/>
          <w:noProof w:val="0"/>
          <w:color w:val="auto"/>
        </w:rPr>
        <w:t>&lt;Article2&gt;</w:t>
      </w:r>
      <w:r w:rsidRPr="00A56A02">
        <w:t>Artículo 29 – apartado 5</w:t>
      </w:r>
      <w:r w:rsidRPr="00A56A02">
        <w:rPr>
          <w:rStyle w:val="HideTWBExt"/>
          <w:noProof w:val="0"/>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56A02" w:rsidRPr="00A56A02" w:rsidTr="006B7FC7">
        <w:trPr>
          <w:jc w:val="center"/>
        </w:trPr>
        <w:tc>
          <w:tcPr>
            <w:tcW w:w="9752" w:type="dxa"/>
            <w:gridSpan w:val="2"/>
          </w:tcPr>
          <w:p w:rsidR="003D0417" w:rsidRPr="00A56A02" w:rsidRDefault="003D0417" w:rsidP="006B7FC7">
            <w:pPr>
              <w:keepNext/>
            </w:pPr>
          </w:p>
        </w:tc>
      </w:tr>
      <w:tr w:rsidR="00A56A02" w:rsidRPr="00A56A02" w:rsidTr="006B7FC7">
        <w:trPr>
          <w:jc w:val="center"/>
        </w:trPr>
        <w:tc>
          <w:tcPr>
            <w:tcW w:w="4876" w:type="dxa"/>
            <w:hideMark/>
          </w:tcPr>
          <w:p w:rsidR="003D0417" w:rsidRPr="00A56A02" w:rsidRDefault="003D0417" w:rsidP="006B7FC7">
            <w:pPr>
              <w:pStyle w:val="ColumnHeading"/>
              <w:keepNext/>
            </w:pPr>
            <w:r w:rsidRPr="00A56A02">
              <w:t>Texto en vigor</w:t>
            </w:r>
          </w:p>
        </w:tc>
        <w:tc>
          <w:tcPr>
            <w:tcW w:w="4876" w:type="dxa"/>
            <w:hideMark/>
          </w:tcPr>
          <w:p w:rsidR="003D0417" w:rsidRPr="00A56A02" w:rsidRDefault="003D0417" w:rsidP="006B7FC7">
            <w:pPr>
              <w:pStyle w:val="ColumnHeading"/>
              <w:keepNext/>
            </w:pPr>
            <w:r w:rsidRPr="00A56A02">
              <w:t>Enmienda</w:t>
            </w:r>
          </w:p>
        </w:tc>
      </w:tr>
      <w:tr w:rsidR="00A56A02" w:rsidRPr="00A56A02" w:rsidTr="006B7FC7">
        <w:trPr>
          <w:jc w:val="center"/>
        </w:trPr>
        <w:tc>
          <w:tcPr>
            <w:tcW w:w="4876" w:type="dxa"/>
          </w:tcPr>
          <w:p w:rsidR="003D0417" w:rsidRPr="00A56A02" w:rsidRDefault="003D0417" w:rsidP="006B7FC7">
            <w:pPr>
              <w:pStyle w:val="Normal6"/>
            </w:pPr>
          </w:p>
        </w:tc>
        <w:tc>
          <w:tcPr>
            <w:tcW w:w="4876" w:type="dxa"/>
            <w:hideMark/>
          </w:tcPr>
          <w:p w:rsidR="003D0417" w:rsidRPr="00A56A02" w:rsidRDefault="003D0417" w:rsidP="006B7FC7">
            <w:pPr>
              <w:pStyle w:val="Normal6"/>
              <w:rPr>
                <w:szCs w:val="24"/>
              </w:rPr>
            </w:pPr>
            <w:r w:rsidRPr="00A56A02">
              <w:rPr>
                <w:b/>
                <w:i/>
              </w:rPr>
              <w:t>(3 quater)</w:t>
            </w:r>
            <w:r w:rsidRPr="00A56A02">
              <w:tab/>
            </w:r>
            <w:r w:rsidRPr="00A56A02">
              <w:rPr>
                <w:b/>
                <w:i/>
              </w:rPr>
              <w:t>En el artículo29, el apartado 5 se sustituye por el texto siguiente:</w:t>
            </w:r>
          </w:p>
        </w:tc>
      </w:tr>
      <w:tr w:rsidR="00A56A02" w:rsidRPr="00A56A02" w:rsidTr="006B7FC7">
        <w:trPr>
          <w:jc w:val="center"/>
        </w:trPr>
        <w:tc>
          <w:tcPr>
            <w:tcW w:w="4876" w:type="dxa"/>
            <w:hideMark/>
          </w:tcPr>
          <w:p w:rsidR="003D0417" w:rsidRPr="00A56A02" w:rsidRDefault="003D0417" w:rsidP="006B7FC7">
            <w:pPr>
              <w:pStyle w:val="Normal6"/>
            </w:pPr>
            <w:r w:rsidRPr="00A56A02">
              <w:t>5.</w:t>
            </w:r>
            <w:r w:rsidRPr="00A56A02">
              <w:tab/>
              <w:t xml:space="preserve">El presente artículo se entiende sin perjuicio de las medidas que puedan adoptar los Estados miembros en caso de amenaza grave para el orden público o la seguridad interior en virtud de los artículos </w:t>
            </w:r>
            <w:r w:rsidRPr="00A56A02">
              <w:rPr>
                <w:b/>
                <w:i/>
              </w:rPr>
              <w:t>25</w:t>
            </w:r>
            <w:r w:rsidRPr="00A56A02">
              <w:t>, 27 y 28.</w:t>
            </w:r>
          </w:p>
        </w:tc>
        <w:tc>
          <w:tcPr>
            <w:tcW w:w="4876" w:type="dxa"/>
            <w:hideMark/>
          </w:tcPr>
          <w:p w:rsidR="003D0417" w:rsidRPr="00A56A02" w:rsidRDefault="003D0417" w:rsidP="006B7FC7">
            <w:pPr>
              <w:pStyle w:val="Normal6"/>
              <w:rPr>
                <w:szCs w:val="24"/>
              </w:rPr>
            </w:pPr>
            <w:r w:rsidRPr="00A56A02">
              <w:rPr>
                <w:b/>
                <w:i/>
              </w:rPr>
              <w:t>«</w:t>
            </w:r>
            <w:r w:rsidRPr="00A56A02">
              <w:t>5.</w:t>
            </w:r>
            <w:r w:rsidRPr="00A56A02">
              <w:tab/>
              <w:t xml:space="preserve">El presente artículo se entiende sin perjuicio de las medidas que puedan adoptar los Estados miembros en caso de amenaza grave para el orden público o la seguridad interior en virtud de los artículos </w:t>
            </w:r>
            <w:r w:rsidRPr="00A56A02">
              <w:rPr>
                <w:b/>
                <w:i/>
              </w:rPr>
              <w:t>27</w:t>
            </w:r>
            <w:r w:rsidRPr="00A56A02">
              <w:t>, 27</w:t>
            </w:r>
            <w:r w:rsidRPr="00A56A02">
              <w:rPr>
                <w:b/>
                <w:i/>
              </w:rPr>
              <w:t> bis</w:t>
            </w:r>
            <w:r w:rsidRPr="00A56A02">
              <w:t xml:space="preserve"> y 28. </w:t>
            </w:r>
            <w:r w:rsidRPr="00A56A02">
              <w:rPr>
                <w:b/>
                <w:i/>
              </w:rPr>
              <w:t>La duración total del periodo de restablecimiento o prórroga de los controles fronterizos en las fronteras interiores con arreglo al presente artículo no podrá prolongarse en virtud de las medidas adoptadas de conformidad con los artículos 27, 27 bis o 28 ni combinarse con estas.».</w:t>
            </w:r>
          </w:p>
        </w:tc>
      </w:tr>
    </w:tbl>
    <w:p w:rsidR="003D0417" w:rsidRPr="00A56A02" w:rsidRDefault="003D0417" w:rsidP="00B8352C">
      <w:pPr>
        <w:pStyle w:val="Olang"/>
        <w:rPr>
          <w:noProof w:val="0"/>
          <w:szCs w:val="24"/>
        </w:rPr>
      </w:pPr>
      <w:r w:rsidRPr="00A56A02">
        <w:rPr>
          <w:noProof w:val="0"/>
          <w:szCs w:val="24"/>
        </w:rPr>
        <w:t xml:space="preserve">Or. </w:t>
      </w:r>
      <w:r w:rsidRPr="00A56A02">
        <w:rPr>
          <w:rStyle w:val="HideTWBExt"/>
          <w:noProof w:val="0"/>
          <w:color w:val="auto"/>
        </w:rPr>
        <w:t>&lt;Original&gt;</w:t>
      </w:r>
      <w:r w:rsidRPr="00A56A02">
        <w:rPr>
          <w:rStyle w:val="HideTWBInt"/>
          <w:noProof w:val="0"/>
          <w:color w:val="auto"/>
        </w:rPr>
        <w:t>{EN}</w:t>
      </w:r>
      <w:r w:rsidRPr="00A56A02">
        <w:rPr>
          <w:noProof w:val="0"/>
          <w:szCs w:val="24"/>
        </w:rPr>
        <w:t>en</w:t>
      </w:r>
      <w:r w:rsidRPr="00A56A02">
        <w:rPr>
          <w:rStyle w:val="HideTWBExt"/>
          <w:noProof w:val="0"/>
          <w:color w:val="auto"/>
        </w:rPr>
        <w:t>&lt;/Original&gt;</w:t>
      </w:r>
    </w:p>
    <w:p w:rsidR="003D0417" w:rsidRPr="00A56A02" w:rsidRDefault="003D0417" w:rsidP="00CE4CD1">
      <w:pPr>
        <w:pStyle w:val="CrossRef"/>
      </w:pPr>
      <w:r w:rsidRPr="00A56A02">
        <w:t>(https://eur-lex.europa.eu/legal-content/ES/TXT/?qid=1522053548833&amp;uri=CELEX:02016R0399-20170407)</w:t>
      </w:r>
    </w:p>
    <w:p w:rsidR="003D0417" w:rsidRPr="00A56A02" w:rsidRDefault="003D0417" w:rsidP="00CE4CD1">
      <w:pPr>
        <w:pStyle w:val="JustificationTitle"/>
        <w:spacing w:after="240"/>
      </w:pPr>
      <w:r w:rsidRPr="00A56A02">
        <w:rPr>
          <w:rStyle w:val="HideTWBExt"/>
          <w:i w:val="0"/>
          <w:noProof w:val="0"/>
          <w:color w:val="auto"/>
        </w:rPr>
        <w:t>&lt;TitreJust&gt;</w:t>
      </w:r>
      <w:r w:rsidRPr="00A56A02">
        <w:t>Justificación</w:t>
      </w:r>
      <w:r w:rsidRPr="00A56A02">
        <w:rPr>
          <w:rStyle w:val="HideTWBExt"/>
          <w:i w:val="0"/>
          <w:noProof w:val="0"/>
          <w:color w:val="auto"/>
        </w:rPr>
        <w:t>&lt;/TitreJust&gt;</w:t>
      </w:r>
    </w:p>
    <w:p w:rsidR="003D0417" w:rsidRPr="00A56A02" w:rsidRDefault="003D0417" w:rsidP="00CE4CD1">
      <w:pPr>
        <w:pStyle w:val="Normal12Italic"/>
        <w:spacing w:before="0" w:after="240"/>
      </w:pPr>
      <w:r w:rsidRPr="00A56A02">
        <w:t>El Reglamento no debería dar pie a más posibles malentendidos con respecto al hecho de que el procedimiento establecido en el artículo 29 se aplica en circunstancias muy específicas, que son claramente distintas a los motivos contemplados en los artículos 27, 27 bis y 28. Por consiguiente, no debería ser posible invocar los artículos 27, 27 bis y 28 para prolongar de manera arbitraria los controles fronterizos restablecidos en virtud del artículo 29 una vez agotadas todas las posibilidades previstas por este artículo.</w:t>
      </w:r>
    </w:p>
    <w:p w:rsidR="003D0417" w:rsidRPr="00A56A02" w:rsidRDefault="003D0417" w:rsidP="00CE4CD1">
      <w:r w:rsidRPr="00A56A02">
        <w:rPr>
          <w:rStyle w:val="HideTWBExt"/>
          <w:noProof w:val="0"/>
          <w:color w:val="auto"/>
        </w:rPr>
        <w:t>&lt;/Amend&gt;</w:t>
      </w:r>
    </w:p>
    <w:p w:rsidR="003D0417" w:rsidRPr="00A56A02" w:rsidRDefault="003D0417" w:rsidP="00CE4CD1">
      <w:r w:rsidRPr="00A56A02">
        <w:rPr>
          <w:rStyle w:val="HideTWBExt"/>
          <w:noProof w:val="0"/>
          <w:color w:val="auto"/>
        </w:rPr>
        <w:t>&lt;/RepeatBlock-Amend&gt;</w:t>
      </w:r>
    </w:p>
    <w:p w:rsidR="003D0417" w:rsidRPr="00A56A02" w:rsidRDefault="003D0417" w:rsidP="00CE4CD1">
      <w:pPr>
        <w:pStyle w:val="AMNumberTabs"/>
        <w:keepNext/>
      </w:pPr>
    </w:p>
    <w:p w:rsidR="003D0417" w:rsidRPr="00A56A02" w:rsidRDefault="003D0417" w:rsidP="00CE4CD1">
      <w:pPr>
        <w:pStyle w:val="PageHeading"/>
      </w:pPr>
      <w:r w:rsidRPr="00A56A02">
        <w:br w:type="page"/>
      </w:r>
      <w:bookmarkStart w:id="4" w:name="_Toc511392106"/>
      <w:bookmarkStart w:id="5" w:name="_Toc511748255"/>
      <w:bookmarkStart w:id="6" w:name="_Toc512349646"/>
      <w:r w:rsidRPr="00A56A02">
        <w:t>EXPOSICIÓN DE MOTIVOS</w:t>
      </w:r>
      <w:bookmarkEnd w:id="4"/>
      <w:bookmarkEnd w:id="5"/>
      <w:bookmarkEnd w:id="6"/>
    </w:p>
    <w:p w:rsidR="003D0417" w:rsidRPr="00A56A02" w:rsidRDefault="003D0417" w:rsidP="00CE4CD1">
      <w:pPr>
        <w:autoSpaceDE w:val="0"/>
        <w:autoSpaceDN w:val="0"/>
        <w:adjustRightInd w:val="0"/>
        <w:spacing w:after="240"/>
        <w:jc w:val="both"/>
      </w:pPr>
      <w:r w:rsidRPr="00A56A02">
        <w:t>El espacio Schengen es uno de los mayores logros de la integración europea. Se trata de un espacio en el que no solo las personas circulan libremente, sino también las mercancías y los servicios; además, ha aportado beneficios importantes a los ciudadanos y la economía de la Unión. Los ciudadanos europeos pueden desplazarse fácilmente por veintiséis países, ya sea por ocio, trabajo o estudios, así como para entablar relaciones culturales y sociales y compartir ideas. Con Schengen, el continente europeo, otrora dividido y asolado por la guerra, se ha unido de nuevo.</w:t>
      </w:r>
    </w:p>
    <w:p w:rsidR="003D0417" w:rsidRPr="00A56A02" w:rsidRDefault="003D0417" w:rsidP="00CE4CD1">
      <w:pPr>
        <w:autoSpaceDE w:val="0"/>
        <w:autoSpaceDN w:val="0"/>
        <w:adjustRightInd w:val="0"/>
        <w:spacing w:after="240"/>
        <w:jc w:val="both"/>
      </w:pPr>
      <w:r w:rsidRPr="00A56A02">
        <w:t>No obstante, el espacio de libre circulación nunca ha sido tan frágil como lo es ahora debido a los desafíos a los que la Unión ha tenido que hacer frente en los últimos años, aunque ninguno tan grande como para no ser superado por una familia de veintiocho miembros que lo afronte unida. Ante la enorme falta de confianza mutua, lamentablemente varios Estados miembros han restablecido los controles fronterizos en sus fronteras interiores en los últimos años, poniendo en peligro el futuro proceso de integración política de la Unión, así como nuestras economías.</w:t>
      </w:r>
    </w:p>
    <w:p w:rsidR="003D0417" w:rsidRPr="00A56A02" w:rsidRDefault="003D0417" w:rsidP="00CE4CD1">
      <w:pPr>
        <w:autoSpaceDE w:val="0"/>
        <w:autoSpaceDN w:val="0"/>
        <w:adjustRightInd w:val="0"/>
        <w:spacing w:after="240"/>
        <w:jc w:val="both"/>
      </w:pPr>
      <w:r w:rsidRPr="00A56A02">
        <w:t>La suspensión de Schengen y el restablecimiento de los controles fronterizos permanentes supondrían un importante perjuicio para las cuatro libertades fundamentales y tendrían graves consecuencias económicas. Según las estimaciones realizadas, si se renuncia a Schengen, el coste sería, en función de la región, el sector y las vías de comercio alternativas, de entre 5 000 millones y 18 000 millones de euros al año. Se trata simple y llanamente de un precio que ningún Estado miembro ni la Unión en su conjunto pueden permitirse. ¡Schengen debe preservarse a todas luces!</w:t>
      </w:r>
    </w:p>
    <w:p w:rsidR="003D0417" w:rsidRPr="00A56A02" w:rsidRDefault="003D0417" w:rsidP="00CE4CD1">
      <w:pPr>
        <w:autoSpaceDE w:val="0"/>
        <w:autoSpaceDN w:val="0"/>
        <w:adjustRightInd w:val="0"/>
        <w:spacing w:after="240"/>
        <w:jc w:val="both"/>
      </w:pPr>
      <w:r w:rsidRPr="00A56A02">
        <w:t>Pese a las esperanzas de la Comisión de que los controles fronterizos, restablecidos con carácter temporal en septiembre de 2015, acabaran por suspenderse, estos aún persisten en la actualidad. En busca de una solución a una situación imposible, la Comisión propuso, el 27 de septiembre de 2017, modificar el Código de fronteras Schengen en lo que respecta a los controles en las fronteras interiores. Con arreglo a las nuevas normas, los Estados miembros podrían restablecer los controles en las fronteras interiores en caso de amenaza grave para el orden público o la seguridad interior en un Estado miembro, con la posibilidad de prorrogarlos por un periodo de hasta cinco años.</w:t>
      </w:r>
    </w:p>
    <w:p w:rsidR="003D0417" w:rsidRPr="00A56A02" w:rsidRDefault="003D0417" w:rsidP="00CE4CD1">
      <w:pPr>
        <w:autoSpaceDE w:val="0"/>
        <w:autoSpaceDN w:val="0"/>
        <w:adjustRightInd w:val="0"/>
        <w:spacing w:after="240"/>
        <w:jc w:val="both"/>
      </w:pPr>
      <w:r w:rsidRPr="00A56A02">
        <w:t>Puesto que las normas actuales solo permiten a los Estados miembros restablecer los controles en las fronteras interiores por un período máximo de dos años, es evidente que la Comisión presentó esta propuesta para legalizar las prácticas existentes en los Estados miembros, que no cumplen las disposiciones actuales del Código de fronteras Schengen.</w:t>
      </w:r>
    </w:p>
    <w:p w:rsidR="003D0417" w:rsidRPr="00A56A02" w:rsidRDefault="003D0417" w:rsidP="00CE4CD1">
      <w:pPr>
        <w:autoSpaceDE w:val="0"/>
        <w:autoSpaceDN w:val="0"/>
        <w:adjustRightInd w:val="0"/>
        <w:spacing w:after="240"/>
        <w:jc w:val="both"/>
      </w:pPr>
      <w:r w:rsidRPr="00A56A02">
        <w:t xml:space="preserve">Aunque los colegisladores de la Unión acordaron que «la migración y el cruce de las fronteras exteriores por un gran número de nacionales de terceros países no deben considerarse por sí mismos una amenaza para el orden público o la seguridad interior», los actuales controles han sido ampliamente justificados aludiendo al riesgo de movimientos secundarios a raíz de los movimientos transfronterizos irregulares que se producen desde 2015, lo que resulta muy preocupante. </w:t>
      </w:r>
    </w:p>
    <w:p w:rsidR="003D0417" w:rsidRPr="00A56A02" w:rsidRDefault="003D0417" w:rsidP="00CE4CD1">
      <w:pPr>
        <w:autoSpaceDE w:val="0"/>
        <w:autoSpaceDN w:val="0"/>
        <w:adjustRightInd w:val="0"/>
        <w:spacing w:after="240"/>
        <w:jc w:val="both"/>
      </w:pPr>
      <w:r w:rsidRPr="00A56A02">
        <w:t xml:space="preserve">Sin duda, existen buenas razones para pensar que la migración irregular hacia la Unión –y las repercusiones en el espacio Schengen sin controles en las fronteras interiores– es el resultado del fracaso del Sistema Europeo Común de Asilo a la hora de tratar con los solicitantes de protección internacional y de la falta de reforma de dicho sistema. </w:t>
      </w:r>
    </w:p>
    <w:p w:rsidR="003D0417" w:rsidRPr="00A56A02" w:rsidRDefault="003D0417" w:rsidP="00CE4CD1">
      <w:pPr>
        <w:autoSpaceDE w:val="0"/>
        <w:autoSpaceDN w:val="0"/>
        <w:adjustRightInd w:val="0"/>
        <w:spacing w:after="240"/>
        <w:jc w:val="both"/>
      </w:pPr>
      <w:r w:rsidRPr="00A56A02">
        <w:t>En opinión de la ponente, la práctica actual de algunos Estados miembros de mantener los controles en sus fronteras interiores puede, en consecuencia, considerarse desproporcionada, injustificada e inadecuada y puede incluso suponer un abuso.</w:t>
      </w:r>
    </w:p>
    <w:p w:rsidR="003D0417" w:rsidRPr="00A56A02" w:rsidRDefault="003D0417" w:rsidP="00CE4CD1">
      <w:pPr>
        <w:autoSpaceDE w:val="0"/>
        <w:autoSpaceDN w:val="0"/>
        <w:adjustRightInd w:val="0"/>
        <w:spacing w:after="240"/>
        <w:jc w:val="both"/>
      </w:pPr>
      <w:r w:rsidRPr="00A56A02">
        <w:t>La ponente también lamenta que no se haya realizado ninguna evaluación de impacto en relación con las modificaciones propuestas. En el marco del proceso de mejora de la legislación, los actos legislativos deben ir precedidos de una evaluación de impacto y, habida cuenta de las dificultades encontradas en el mantenimiento de las normas actuales, dicha evaluación habría resultado de gran utilidad.</w:t>
      </w:r>
    </w:p>
    <w:p w:rsidR="003D0417" w:rsidRPr="00A56A02" w:rsidRDefault="003D0417" w:rsidP="00CE4CD1">
      <w:pPr>
        <w:autoSpaceDE w:val="0"/>
        <w:autoSpaceDN w:val="0"/>
        <w:adjustRightInd w:val="0"/>
        <w:spacing w:after="240"/>
        <w:jc w:val="both"/>
      </w:pPr>
      <w:r w:rsidRPr="00A56A02">
        <w:t>Por consiguiente, la ponente rechaza firmemente los intentos de la Comisión de legalizar la práctica ilegal actual de los Estados miembros por lo que respecta a los controles en las fronteras interiores. El principal objetivo de cualquier modificación del Código de fronteras Schengen, en lo relativo a las normas para el restablecimiento de los controles en las fronteras interiores, ha de ser clarificar el marco jurídico. Los cambios han de garantizar que el recurso a los controles en las fronteras interiores responda a las necesidades actuales, que sea proporcionado y limitado en el tiempo, garantizando al mismo tiempo a los Estados miembros la flexibilidad necesaria para responder a amenazas reales. Las nuevas normas no deben incentivar la introducción de controles en las fronteras interiores si no existe una necesidad clara y objetiva, ni por periodos más largos de lo necesario.</w:t>
      </w:r>
    </w:p>
    <w:p w:rsidR="003D0417" w:rsidRPr="00A56A02" w:rsidRDefault="003D0417" w:rsidP="00CE4CD1">
      <w:pPr>
        <w:autoSpaceDE w:val="0"/>
        <w:autoSpaceDN w:val="0"/>
        <w:adjustRightInd w:val="0"/>
        <w:spacing w:after="240"/>
        <w:jc w:val="both"/>
      </w:pPr>
      <w:r w:rsidRPr="00A56A02">
        <w:t>La ponente desea aclarar y simplificar las normas aplicables para asegurar una mayor transparencia y hacer más evidentes los posibles usos indebidos de tales normas. A este respecto, unas normas precisas permitirían a la Comisión ejercer sus competencias como guardiana de los Tratados, en particular cuando se trate de examinar posibles procedimientos de infracción contra los Estados miembros que no cumplan sus obligaciones.</w:t>
      </w:r>
    </w:p>
    <w:p w:rsidR="003D0417" w:rsidRPr="00A56A02" w:rsidRDefault="003D0417" w:rsidP="00CE4CD1">
      <w:pPr>
        <w:autoSpaceDE w:val="0"/>
        <w:autoSpaceDN w:val="0"/>
        <w:adjustRightInd w:val="0"/>
        <w:spacing w:after="240"/>
        <w:jc w:val="both"/>
        <w:rPr>
          <w:b/>
          <w:i/>
        </w:rPr>
      </w:pPr>
      <w:r w:rsidRPr="00A56A02">
        <w:rPr>
          <w:b/>
          <w:i/>
        </w:rPr>
        <w:t>Modificaciones propuestas</w:t>
      </w:r>
    </w:p>
    <w:p w:rsidR="003D0417" w:rsidRPr="00A56A02" w:rsidRDefault="003D0417" w:rsidP="00CE4CD1">
      <w:pPr>
        <w:autoSpaceDE w:val="0"/>
        <w:autoSpaceDN w:val="0"/>
        <w:adjustRightInd w:val="0"/>
        <w:spacing w:after="240"/>
        <w:jc w:val="both"/>
      </w:pPr>
      <w:r w:rsidRPr="00A56A02">
        <w:t>La estructura actual del capítulo II del Código de fronteras Schengen no permite una interpretación simple de las normas aplicables. La ponente propone que se revise la estructura actual para garantizar la coherencia, la claridad y una mejor aplicación de las normas en la práctica.</w:t>
      </w:r>
    </w:p>
    <w:p w:rsidR="003D0417" w:rsidRPr="00A56A02" w:rsidRDefault="003D0417" w:rsidP="00CE4CD1">
      <w:pPr>
        <w:autoSpaceDE w:val="0"/>
        <w:autoSpaceDN w:val="0"/>
        <w:adjustRightInd w:val="0"/>
        <w:spacing w:after="240"/>
        <w:jc w:val="both"/>
      </w:pPr>
      <w:r w:rsidRPr="00A56A02">
        <w:t>La estructura de los artículos debe seguir una cierta lógica que prevea una división del texto en partes completas y separadas, lo que no sucede en la actualidad. El contenido actual del artículo 25 ha de estar más en consonancia con el título «marco general» y debe establecer los principios horizontales más importantes que rigen el restablecimiento temporal de los controles en las fronteras interiores en caso de acontecimientos previsibles.</w:t>
      </w:r>
    </w:p>
    <w:p w:rsidR="003D0417" w:rsidRPr="00A56A02" w:rsidRDefault="003D0417" w:rsidP="00CE4CD1">
      <w:pPr>
        <w:autoSpaceDE w:val="0"/>
        <w:autoSpaceDN w:val="0"/>
        <w:adjustRightInd w:val="0"/>
        <w:spacing w:after="240"/>
        <w:jc w:val="both"/>
      </w:pPr>
      <w:r w:rsidRPr="00A56A02">
        <w:t>El contenido del artículo 26, que establece los criterios para la evaluación del restablecimiento temporal de los controles en las fronteras interiores, debería ampliarse convenientemente con el fin de garantizar que los Estados miembros tengan que demostrar que el restablecimiento de los controles fronterizos es en efecto una medida de último recurso.</w:t>
      </w:r>
    </w:p>
    <w:p w:rsidR="003D0417" w:rsidRPr="00A56A02" w:rsidRDefault="003D0417" w:rsidP="00CE4CD1">
      <w:pPr>
        <w:autoSpaceDE w:val="0"/>
        <w:autoSpaceDN w:val="0"/>
        <w:adjustRightInd w:val="0"/>
        <w:spacing w:after="240"/>
        <w:jc w:val="both"/>
      </w:pPr>
      <w:r w:rsidRPr="00A56A02">
        <w:t>Este artículo debe ir seguido de artículos que regulen los procedimientos para la introducción temporal de controles fronterizos en caso de acontecimientos previsibles, que incluirán normas y salvaguardias específicas para la introducción inicial de los controles y para su prórroga.</w:t>
      </w:r>
    </w:p>
    <w:p w:rsidR="003D0417" w:rsidRPr="00A56A02" w:rsidRDefault="003D0417" w:rsidP="00CE4CD1">
      <w:pPr>
        <w:autoSpaceDE w:val="0"/>
        <w:autoSpaceDN w:val="0"/>
        <w:adjustRightInd w:val="0"/>
        <w:spacing w:after="240"/>
        <w:jc w:val="both"/>
      </w:pPr>
      <w:r w:rsidRPr="00A56A02">
        <w:t>En este mismo orden de cosas, el artículo 27 debe establecer el procedimiento aplicable para el restablecimiento inicial de los controles fronterizos por un máximo de dos meses, con la posibilidad de prorrogarlos otros cuatro meses como máximo. El artículo 27 bis debe establecer el procedimiento y las salvaguardias adicionales para otras prórrogas de los controles fronterizos por un periodo máximo de seis meses. La ponente considera que la duración máxima de los controles fronterizos en caso de acontecimientos previsibles en virtud de ambos artículos no debe superar los doce meses.</w:t>
      </w:r>
    </w:p>
    <w:p w:rsidR="003D0417" w:rsidRPr="00A56A02" w:rsidRDefault="003D0417" w:rsidP="00CE4CD1">
      <w:pPr>
        <w:autoSpaceDE w:val="0"/>
        <w:autoSpaceDN w:val="0"/>
        <w:adjustRightInd w:val="0"/>
        <w:spacing w:after="240"/>
        <w:jc w:val="both"/>
      </w:pPr>
      <w:r w:rsidRPr="00A56A02">
        <w:t>En opinión de la ponente, ampliar dichos periodos para el restablecimiento de los controles en las fronteras interiores –tal como propone la Comisión– no incitaría a los Estados miembros a limitar las medidas previstas a lo estrictamente necesario y de manera proporcionada a la amenaza.</w:t>
      </w:r>
    </w:p>
    <w:p w:rsidR="003D0417" w:rsidRPr="00A56A02" w:rsidRDefault="003D0417" w:rsidP="00CE4CD1">
      <w:pPr>
        <w:autoSpaceDE w:val="0"/>
        <w:autoSpaceDN w:val="0"/>
        <w:adjustRightInd w:val="0"/>
        <w:spacing w:after="240"/>
        <w:jc w:val="both"/>
      </w:pPr>
      <w:r w:rsidRPr="00A56A02">
        <w:t xml:space="preserve">Además, la ponente propone la introducción de una escala progresiva de obligaciones con garantías procesales adicionales cada vez que se prolonguen los controles fronterizos. Los requisitos para la primera prórroga más allá de los dos meses iniciales –de manera similar a lo propuesto por la Comisión– deben incluir la obligación de que los Estados miembros proporcionen una evaluación detallada del riesgo, así como una mayor participación de los Estados miembros afectados por el posible restablecimiento de los controles en las fronteras interiores. </w:t>
      </w:r>
    </w:p>
    <w:p w:rsidR="003D0417" w:rsidRPr="00A56A02" w:rsidRDefault="003D0417" w:rsidP="00CE4CD1">
      <w:pPr>
        <w:autoSpaceDE w:val="0"/>
        <w:autoSpaceDN w:val="0"/>
        <w:adjustRightInd w:val="0"/>
        <w:spacing w:after="240"/>
        <w:jc w:val="both"/>
      </w:pPr>
      <w:r w:rsidRPr="00A56A02">
        <w:t>Por lo que respecta a la posterior prórroga de los controles fronterizos más allá de seis meses, esta no debería ser posible sin un procedimiento formal del Consejo que la autorice. La ponente opina que unos controles de larga duración en las fronteras interiores pueden tener graves repercusiones en el derecho a la libre circulación que establecen los Tratados y que, por consiguiente, la Unión tiene un interés superior en que se la haga partícipe de toda limitación de este derecho por parte de los diferentes Estados miembros. Además, la Comisión debe tener la posibilidad de efectuar controles sin previo aviso, con el fin de verificar la aplicación de las normas en la práctica, en particular en caso de prórroga de los controles por periodos más largos.</w:t>
      </w:r>
    </w:p>
    <w:p w:rsidR="003D0417" w:rsidRPr="00A56A02" w:rsidRDefault="003D0417" w:rsidP="00CE4CD1">
      <w:pPr>
        <w:autoSpaceDE w:val="0"/>
        <w:autoSpaceDN w:val="0"/>
        <w:adjustRightInd w:val="0"/>
        <w:spacing w:after="240"/>
        <w:jc w:val="both"/>
      </w:pPr>
      <w:r w:rsidRPr="00A56A02">
        <w:t>El Reglamento no debería dar pie a más posibles malentendidos con respecto al hecho de que el procedimiento establecido en el artículo 29 se aplica en circunstancias muy específicas, que son claramente distintas a los motivos contemplados en los artículos 25, 27 y 28. Por consiguiente, no debería ser posible invocar los artículos 25, 27 y 28 para prolongar de manera arbitraria los controles fronterizos restablecidos en virtud del artículo 29 una vez agotadas todas las posibilidades previstas por este artículo.</w:t>
      </w:r>
    </w:p>
    <w:p w:rsidR="003D0417" w:rsidRPr="00A56A02" w:rsidRDefault="003D0417" w:rsidP="00CE4CD1">
      <w:pPr>
        <w:autoSpaceDE w:val="0"/>
        <w:autoSpaceDN w:val="0"/>
        <w:adjustRightInd w:val="0"/>
        <w:spacing w:after="240"/>
        <w:jc w:val="both"/>
      </w:pPr>
      <w:r w:rsidRPr="00A56A02">
        <w:t>En aras de la transparencia y de la rendición de cuentas, la opinión pública debe saber lo que está pasando. A la vez que se respetan los requisitos de confidencialidad relacionados con el orden público o la seguridad interior, deberían ofrecerse más oportunidades para debatir abiertamente, a escala nacional o de la Unión, las implicaciones de los controles en las fronteras interiores dentro del espacio Schengen. Estas consideraciones están directamente vinculadas al análisis del papel que el Parlamento Europeo puede desempeñar en el proceso.</w:t>
      </w:r>
    </w:p>
    <w:p w:rsidR="003D0417" w:rsidRPr="00A56A02" w:rsidRDefault="003D0417" w:rsidP="00CE4CD1">
      <w:pPr>
        <w:autoSpaceDE w:val="0"/>
        <w:autoSpaceDN w:val="0"/>
        <w:adjustRightInd w:val="0"/>
        <w:spacing w:after="240"/>
        <w:jc w:val="both"/>
      </w:pPr>
      <w:r w:rsidRPr="00A56A02">
        <w:t>La ponente considera además que es altamente deseable mejorar la información al Parlamento Europeo y la participación de este, lo que se conseguiría también asegurándose de que el Parlamento reciba todos los documentos pertinentes para el control democrático de las decisiones que afecten al espacio sin controles en las fronteras interiores. Para lograr este objetivo, el Parlamento también podría recurrir a audiencias o a un diálogo estructurado con las instituciones de la Unión y los Estados miembros afectados.</w:t>
      </w:r>
    </w:p>
    <w:p w:rsidR="003D0417" w:rsidRPr="00A56A02" w:rsidRDefault="003D0417" w:rsidP="00CE4CD1">
      <w:pPr>
        <w:pStyle w:val="AMNumberTabs"/>
        <w:keepNext/>
      </w:pPr>
    </w:p>
    <w:p w:rsidR="003D0417" w:rsidRPr="00A56A02" w:rsidRDefault="003D0417" w:rsidP="00CE4CD1"/>
    <w:sectPr w:rsidR="003D0417" w:rsidRPr="00A56A02" w:rsidSect="00A56A0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4A2A" w:rsidRPr="00A56A02" w:rsidRDefault="00CE4A2A">
      <w:r w:rsidRPr="00A56A02">
        <w:separator/>
      </w:r>
    </w:p>
  </w:endnote>
  <w:endnote w:type="continuationSeparator" w:id="0">
    <w:p w:rsidR="00CE4A2A" w:rsidRPr="00A56A02" w:rsidRDefault="00CE4A2A">
      <w:r w:rsidRPr="00A56A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6A02" w:rsidRPr="00E81526" w:rsidRDefault="00A56A02" w:rsidP="00A56A02">
    <w:pPr>
      <w:pStyle w:val="Footer"/>
      <w:rPr>
        <w:lang w:val="fr-FR"/>
      </w:rPr>
    </w:pPr>
    <w:r w:rsidRPr="00E81526">
      <w:rPr>
        <w:lang w:val="fr-FR"/>
      </w:rPr>
      <w:t>PE</w:t>
    </w:r>
    <w:r w:rsidRPr="00E81526">
      <w:rPr>
        <w:rStyle w:val="HideTWBExt"/>
        <w:noProof w:val="0"/>
        <w:lang w:val="fr-FR"/>
      </w:rPr>
      <w:t>&lt;NoPE&gt;</w:t>
    </w:r>
    <w:r w:rsidRPr="00E81526">
      <w:rPr>
        <w:lang w:val="fr-FR"/>
      </w:rPr>
      <w:t>618.307</w:t>
    </w:r>
    <w:r w:rsidRPr="00E81526">
      <w:rPr>
        <w:rStyle w:val="HideTWBExt"/>
        <w:noProof w:val="0"/>
        <w:lang w:val="fr-FR"/>
      </w:rPr>
      <w:t>&lt;/NoPE&gt;&lt;Version&gt;</w:t>
    </w:r>
    <w:r w:rsidRPr="00E81526">
      <w:rPr>
        <w:lang w:val="fr-FR"/>
      </w:rPr>
      <w:t>v01-00</w:t>
    </w:r>
    <w:r w:rsidRPr="00E81526">
      <w:rPr>
        <w:rStyle w:val="HideTWBExt"/>
        <w:noProof w:val="0"/>
        <w:lang w:val="fr-FR"/>
      </w:rPr>
      <w:t>&lt;/Version&gt;</w:t>
    </w:r>
    <w:r w:rsidRPr="00E81526">
      <w:rPr>
        <w:lang w:val="fr-FR"/>
      </w:rPr>
      <w:tab/>
    </w:r>
    <w:r w:rsidRPr="00A56A02">
      <w:fldChar w:fldCharType="begin"/>
    </w:r>
    <w:r w:rsidRPr="00E81526">
      <w:rPr>
        <w:lang w:val="fr-FR"/>
      </w:rPr>
      <w:instrText xml:space="preserve"> PAGE  \* MERGEFORMAT </w:instrText>
    </w:r>
    <w:r w:rsidRPr="00A56A02">
      <w:fldChar w:fldCharType="separate"/>
    </w:r>
    <w:r w:rsidR="00E81526">
      <w:rPr>
        <w:noProof/>
        <w:lang w:val="fr-FR"/>
      </w:rPr>
      <w:t>2</w:t>
    </w:r>
    <w:r w:rsidRPr="00A56A02">
      <w:fldChar w:fldCharType="end"/>
    </w:r>
    <w:r w:rsidRPr="00E81526">
      <w:rPr>
        <w:lang w:val="fr-FR"/>
      </w:rPr>
      <w:t>/</w:t>
    </w:r>
    <w:r w:rsidR="00E81526">
      <w:fldChar w:fldCharType="begin"/>
    </w:r>
    <w:r w:rsidR="00E81526" w:rsidRPr="00E81526">
      <w:rPr>
        <w:lang w:val="fr-FR"/>
      </w:rPr>
      <w:instrText xml:space="preserve"> NUMPAGES  \* MERGEFORMAT </w:instrText>
    </w:r>
    <w:r w:rsidR="00E81526">
      <w:fldChar w:fldCharType="separate"/>
    </w:r>
    <w:r w:rsidR="00E81526">
      <w:rPr>
        <w:noProof/>
        <w:lang w:val="fr-FR"/>
      </w:rPr>
      <w:t>39</w:t>
    </w:r>
    <w:r w:rsidR="00E81526">
      <w:rPr>
        <w:noProof/>
      </w:rPr>
      <w:fldChar w:fldCharType="end"/>
    </w:r>
    <w:r w:rsidRPr="00E81526">
      <w:rPr>
        <w:lang w:val="fr-FR"/>
      </w:rPr>
      <w:tab/>
    </w:r>
    <w:r w:rsidRPr="00E81526">
      <w:rPr>
        <w:rStyle w:val="HideTWBExt"/>
        <w:noProof w:val="0"/>
        <w:lang w:val="fr-FR"/>
      </w:rPr>
      <w:t>&lt;PathFdR&gt;</w:t>
    </w:r>
    <w:r w:rsidRPr="00E81526">
      <w:rPr>
        <w:lang w:val="fr-FR"/>
      </w:rPr>
      <w:t>PR\1146936ES.docx</w:t>
    </w:r>
    <w:r w:rsidRPr="00E81526">
      <w:rPr>
        <w:rStyle w:val="HideTWBExt"/>
        <w:noProof w:val="0"/>
        <w:lang w:val="fr-FR"/>
      </w:rPr>
      <w:t>&lt;/PathFdR&gt;</w:t>
    </w:r>
  </w:p>
  <w:p w:rsidR="00FB52FE" w:rsidRPr="00A56A02" w:rsidRDefault="00A56A02" w:rsidP="00A56A02">
    <w:pPr>
      <w:pStyle w:val="Footer2"/>
    </w:pPr>
    <w:r w:rsidRPr="00A56A02">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6A02" w:rsidRPr="00A56A02" w:rsidRDefault="00A56A02" w:rsidP="00A56A02">
    <w:pPr>
      <w:pStyle w:val="Footer"/>
    </w:pPr>
    <w:r w:rsidRPr="00A56A02">
      <w:rPr>
        <w:rStyle w:val="HideTWBExt"/>
        <w:noProof w:val="0"/>
      </w:rPr>
      <w:t>&lt;PathFdR&gt;</w:t>
    </w:r>
    <w:r w:rsidRPr="00A56A02">
      <w:t>PR\1146936ES.docx</w:t>
    </w:r>
    <w:r w:rsidRPr="00A56A02">
      <w:rPr>
        <w:rStyle w:val="HideTWBExt"/>
        <w:noProof w:val="0"/>
      </w:rPr>
      <w:t>&lt;/PathFdR&gt;</w:t>
    </w:r>
    <w:r w:rsidRPr="00A56A02">
      <w:tab/>
    </w:r>
    <w:r w:rsidRPr="00A56A02">
      <w:fldChar w:fldCharType="begin"/>
    </w:r>
    <w:r w:rsidRPr="00A56A02">
      <w:instrText xml:space="preserve"> PAGE  \* MERGEFORMAT </w:instrText>
    </w:r>
    <w:r w:rsidRPr="00A56A02">
      <w:fldChar w:fldCharType="separate"/>
    </w:r>
    <w:r w:rsidR="00E81526">
      <w:rPr>
        <w:noProof/>
      </w:rPr>
      <w:t>39</w:t>
    </w:r>
    <w:r w:rsidRPr="00A56A02">
      <w:fldChar w:fldCharType="end"/>
    </w:r>
    <w:r w:rsidRPr="00A56A02">
      <w:t>/</w:t>
    </w:r>
    <w:r w:rsidR="00E81526">
      <w:fldChar w:fldCharType="begin"/>
    </w:r>
    <w:r w:rsidR="00E81526">
      <w:instrText xml:space="preserve"> NUMPAGES  \* MERGEFORMAT </w:instrText>
    </w:r>
    <w:r w:rsidR="00E81526">
      <w:fldChar w:fldCharType="separate"/>
    </w:r>
    <w:r w:rsidR="00E81526">
      <w:rPr>
        <w:noProof/>
      </w:rPr>
      <w:t>39</w:t>
    </w:r>
    <w:r w:rsidR="00E81526">
      <w:rPr>
        <w:noProof/>
      </w:rPr>
      <w:fldChar w:fldCharType="end"/>
    </w:r>
    <w:r w:rsidRPr="00A56A02">
      <w:tab/>
      <w:t>PE</w:t>
    </w:r>
    <w:r w:rsidRPr="00A56A02">
      <w:rPr>
        <w:rStyle w:val="HideTWBExt"/>
        <w:noProof w:val="0"/>
      </w:rPr>
      <w:t>&lt;NoPE&gt;</w:t>
    </w:r>
    <w:r w:rsidRPr="00A56A02">
      <w:t>618.307</w:t>
    </w:r>
    <w:r w:rsidRPr="00A56A02">
      <w:rPr>
        <w:rStyle w:val="HideTWBExt"/>
        <w:noProof w:val="0"/>
      </w:rPr>
      <w:t>&lt;/NoPE&gt;&lt;Version&gt;</w:t>
    </w:r>
    <w:r w:rsidRPr="00A56A02">
      <w:t>v01-00</w:t>
    </w:r>
    <w:r w:rsidRPr="00A56A02">
      <w:rPr>
        <w:rStyle w:val="HideTWBExt"/>
        <w:noProof w:val="0"/>
      </w:rPr>
      <w:t>&lt;/Version&gt;</w:t>
    </w:r>
  </w:p>
  <w:p w:rsidR="00FB52FE" w:rsidRPr="00A56A02" w:rsidRDefault="00A56A02" w:rsidP="00A56A02">
    <w:pPr>
      <w:pStyle w:val="Footer2"/>
    </w:pPr>
    <w:r w:rsidRPr="00A56A02">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6A02" w:rsidRPr="00A56A02" w:rsidRDefault="00A56A02" w:rsidP="00A56A02">
    <w:pPr>
      <w:pStyle w:val="Footer"/>
    </w:pPr>
    <w:r w:rsidRPr="00A56A02">
      <w:rPr>
        <w:rStyle w:val="HideTWBExt"/>
        <w:noProof w:val="0"/>
      </w:rPr>
      <w:t>&lt;PathFdR&gt;</w:t>
    </w:r>
    <w:r w:rsidRPr="00A56A02">
      <w:t>PR\1146936ES.docx</w:t>
    </w:r>
    <w:r w:rsidRPr="00A56A02">
      <w:rPr>
        <w:rStyle w:val="HideTWBExt"/>
        <w:noProof w:val="0"/>
      </w:rPr>
      <w:t>&lt;/PathFdR&gt;</w:t>
    </w:r>
    <w:r w:rsidRPr="00A56A02">
      <w:tab/>
    </w:r>
    <w:r w:rsidRPr="00A56A02">
      <w:tab/>
      <w:t>PE</w:t>
    </w:r>
    <w:r w:rsidRPr="00A56A02">
      <w:rPr>
        <w:rStyle w:val="HideTWBExt"/>
        <w:noProof w:val="0"/>
      </w:rPr>
      <w:t>&lt;NoPE&gt;</w:t>
    </w:r>
    <w:r w:rsidRPr="00A56A02">
      <w:t>618.307</w:t>
    </w:r>
    <w:r w:rsidRPr="00A56A02">
      <w:rPr>
        <w:rStyle w:val="HideTWBExt"/>
        <w:noProof w:val="0"/>
      </w:rPr>
      <w:t>&lt;/NoPE&gt;&lt;Version&gt;</w:t>
    </w:r>
    <w:r w:rsidRPr="00A56A02">
      <w:t>v01-00</w:t>
    </w:r>
    <w:r w:rsidRPr="00A56A02">
      <w:rPr>
        <w:rStyle w:val="HideTWBExt"/>
        <w:noProof w:val="0"/>
      </w:rPr>
      <w:t>&lt;/Version&gt;</w:t>
    </w:r>
  </w:p>
  <w:p w:rsidR="00FB52FE" w:rsidRPr="00A56A02" w:rsidRDefault="00A56A02" w:rsidP="00A56A02">
    <w:pPr>
      <w:pStyle w:val="Footer2"/>
      <w:tabs>
        <w:tab w:val="center" w:pos="4535"/>
      </w:tabs>
    </w:pPr>
    <w:r w:rsidRPr="00A56A02">
      <w:t>ES</w:t>
    </w:r>
    <w:r w:rsidRPr="00A56A02">
      <w:tab/>
    </w:r>
    <w:r w:rsidRPr="00A56A02">
      <w:rPr>
        <w:b w:val="0"/>
        <w:i/>
        <w:color w:val="C0C0C0"/>
        <w:sz w:val="22"/>
      </w:rPr>
      <w:t>Unida en la diversidad</w:t>
    </w:r>
    <w:r w:rsidRPr="00A56A02">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4A2A" w:rsidRPr="00A56A02" w:rsidRDefault="00CE4A2A">
      <w:r w:rsidRPr="00A56A02">
        <w:separator/>
      </w:r>
    </w:p>
  </w:footnote>
  <w:footnote w:type="continuationSeparator" w:id="0">
    <w:p w:rsidR="00CE4A2A" w:rsidRPr="00A56A02" w:rsidRDefault="00CE4A2A">
      <w:r w:rsidRPr="00A56A0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1526" w:rsidRDefault="00E815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1526" w:rsidRDefault="00E815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1526" w:rsidRDefault="00E815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JMNU" w:val="1"/>
    <w:docVar w:name="COMKEY" w:val="LIBE"/>
    <w:docVar w:name="DOCMNU" w:val=" 1"/>
    <w:docVar w:name="EPSTATMNU" w:val=" 5"/>
    <w:docVar w:name="INSTITUTIONSMNU" w:val=" 2"/>
    <w:docVar w:name="JURI1MNU" w:val=" 1"/>
    <w:docVar w:name="JURI2MNU" w:val=" 2"/>
    <w:docVar w:name="JURIMNU" w:val=" 2"/>
    <w:docVar w:name="LastEditedSection" w:val=" 1"/>
    <w:docVar w:name="OTHERSTATMNU" w:val=" 4"/>
    <w:docVar w:name="PARLIAMENTSMNU" w:val=" 1"/>
    <w:docVar w:name="PARLMNU" w:val=" 3"/>
    <w:docVar w:name="RepeatBlock-AmendES"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5\fbidi \froman\fcharset238\fprq2 Times New Roman CE;}{\f276\fbidi \froman\fcharset204\fprq2 Times New Roman Cyr;}_x000d__x000a_{\f278\fbidi \froman\fcharset161\fprq2 Times New Roman Greek;}{\f279\fbidi \froman\fcharset162\fprq2 Times New Roman Tur;}{\f280\fbidi \froman\fcharset177\fprq2 Times New Roman (Hebrew);}{\f281\fbidi \froman\fcharset178\fprq2 Times New Roman (Arabic);}_x000d__x000a_{\f282\fbidi \froman\fcharset186\fprq2 Times New Roman Baltic;}{\f283\fbidi \froman\fcharset163\fprq2 Times New Roman (Vietnamese);}{\f285\fbidi \fswiss\fcharset238\fprq2 Arial CE;}{\f286\fbidi \fswiss\fcharset204\fprq2 Arial Cyr;}_x000d__x000a_{\f288\fbidi \fswiss\fcharset161\fprq2 Arial Greek;}{\f289\fbidi \fswiss\fcharset162\fprq2 Arial Tur;}{\f290\fbidi \fswiss\fcharset177\fprq2 Arial (Hebrew);}{\f291\fbidi \fswiss\fcharset178\fprq2 Arial (Arabic);}_x000d__x000a_{\f292\fbidi \fswiss\fcharset186\fprq2 Arial Baltic;}{\f293\fbidi \fswiss\fcharset163\fprq2 Arial (Vietnamese);}{\f615\fbidi \froman\fcharset238\fprq2 Cambria Math CE;}{\f616\fbidi \froman\fcharset204\fprq2 Cambria Math Cyr;}_x000d__x000a_{\f618\fbidi \froman\fcharset161\fprq2 Cambria Math Greek;}{\f619\fbidi \froman\fcharset162\fprq2 Cambria Math Tur;}{\f622\fbidi \froman\fcharset186\fprq2 Cambria Math Baltic;}{\f62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011922 HideTWBExt;}{\*\cs16 \additive \v\cf15 \spriority0 \styrsid5011922 HideTWBInt;}{\s17\ql \li0\ri0\sa120\nowidctlpar\wrapdefault\aspalpha\aspnum\faauto\adjustright\rin0\lin0\itap0 _x000d__x000a_\rtlch\fcs1 \af0\afs20\alang1025 \ltrch\fcs0 \fs24\lang1034\langfe2057\cgrid\langnp1034\langfenp2057 \sbasedon0 \snext17 \slink18 \spriority0 \styrsid5011922 Normal6;}{\*\cs18 \additive \fs24\lang1034\langfe0\langnp1034 _x000d__x000a_\slink17 \slocked \spriority0 \styrsid5011922 Normal6 Char;}{\s19\ql \li0\ri0\nowidctlpar\wrapdefault\aspalpha\aspnum\faauto\adjustright\rin0\lin0\itap0 \rtlch\fcs1 \af0\afs20\alang1025 \ltrch\fcs0 _x000d__x000a_\b\fs24\lang1034\langfe2057\cgrid\langnp1034\langfenp2057 \sbasedon0 \snext19 \slink20 \spriority0 \styrsid5011922 NormalBold;}{\*\cs20 \additive \b\fs24\lang1034\langfe0\langnp1034 \slink19 \slocked \spriority0 \styrsid5011922 NormalBold Char;}{_x000d__x000a_\s21\ql \li0\ri0\sb240\nowidctlpar\wrapdefault\aspalpha\aspnum\faauto\adjustright\rin0\lin0\itap0 \rtlch\fcs1 \af0\afs20\alang1025 \ltrch\fcs0 \i\fs24\lang1034\langfe2057\cgrid\langnp1034\langfenp2057 \sbasedon0 \snext21 \spriority0 \styrsid5011922 _x000d__x000a_Normal12Italic;}{\s22\qc \li0\ri0\sb240\nowidctlpar\wrapdefault\aspalpha\aspnum\faauto\adjustright\rin0\lin0\itap0 \rtlch\fcs1 \af0\afs20\alang1025 \ltrch\fcs0 \i\fs24\lang1034\langfe2057\cgrid\langnp1034\langfenp2057 _x000d__x000a_\sbasedon0 \snext22 \spriority0 \styrsid5011922 CrossRef;}{\s23\qc \li0\ri0\sb240\keepn\nowidctlpar\wrapdefault\aspalpha\aspnum\faauto\adjustright\rin0\lin0\itap0 \rtlch\fcs1 \af0\afs20\alang1025 \ltrch\fcs0 _x000d__x000a_\i\fs24\lang1034\langfe2057\cgrid\langnp1034\langfenp2057 \sbasedon0 \snext0 \spriority0 \styrsid5011922 JustificationTitle;}{\s24\qr \li0\ri0\sb240\sa240\nowidctlpar\wrapdefault\aspalpha\aspnum\faauto\adjustright\rin0\lin0\itap0 \rtlch\fcs1 _x000d__x000a_\af0\afs20\alang1025 \ltrch\fcs0 \fs24\lang1024\langfe1024\cgrid\noproof\langnp1034\langfenp2057 \sbasedon0 \snext24 \spriority0 \styrsid5011922 Olang;}{\s25\qc \li0\ri0\sa240\nowidctlpar\wrapdefault\aspalpha\aspnum\faauto\adjustright\rin0\lin0\itap0 _x000d__x000a_\rtlch\fcs1 \af0\afs20\alang1025 \ltrch\fcs0 \i\fs24\lang1034\langfe2057\cgrid\langnp1034\langfenp2057 \sbasedon0 \snext25 \spriority0 \styrsid5011922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4\langfe2057\cgrid\langnp1034\langfenp2057 \sbasedon0 \snext26 \spriority0 \styrsid5011922 AMNumberTabs;}{\s27\ql \li0\ri0\sb240\nowidctlpar\wrapdefault\aspalpha\aspnum\faauto\adjustright\rin0\lin0\itap0 \rtlch\fcs1 _x000d__x000a_\af0\afs20\alang1025 \ltrch\fcs0 \b\fs24\lang1034\langfe2057\cgrid\langnp1034\langfenp2057 \sbasedon0 \snext27 \spriority0 \styrsid5011922 NormalBold12b;}}{\*\rsidtbl \rsid24658\rsid735077\rsid2892074\rsid4666813\rsid5011922\rsid6641733\rsid9636012_x000d__x000a_\rsid11215221\rsid12154954\rsid13190605\rsid14424199\rsid15204470\rsid15285974\rsid15950462\rsid16324206\rsid16662270}{\mmathPr\mmathFont34\mbrkBin0\mbrkBinSub0\msmallFrac0\mdispDef1\mlMargin0\mrMargin0\mdefJc1\mwrapIndent1440\mintLim0\mnaryLim1}{\info_x000d__x000a_{\author BLANCO Maria del Pilar}{\operator BLANCO Maria del Pilar}{\creatim\yr2018\mo4\dy16\hr11\min48}{\revtim\yr2018\mo4\dy16\hr11\min48}{\version1}{\edmins0}{\nofpages1}{\nofwords56}{\nofchars640}{\*\company European Parliament}{\nofcharsws643}_x000d__x000a_{\vern93}}{\*\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011922\utinl \fet0{\*\wgrffmtfilter 013f}\ilfomacatclnup0{\*\template C:\\Users\\pblanco\\AppData\\Local\\Temp\\Blank1.dot}{\*\ftnsep \ltrpar \pard\plain \ltrpar_x000d__x000a_\ql \li0\ri0\widctlpar\wrapdefault\aspalpha\aspnum\faauto\adjustright\rin0\lin0\itap0 \rtlch\fcs1 \af0\afs20\alang1025 \ltrch\fcs0 \fs24\lang2057\langfe2057\cgrid\langnp2057\langfenp2057 {\rtlch\fcs1 \af0 \ltrch\fcs0 \insrsid13190605 \chftnsep _x000d__x000a_\par }}{\*\ftnsepc \ltrpar \pard\plain \ltrpar\ql \li0\ri0\widctlpar\wrapdefault\aspalpha\aspnum\faauto\adjustright\rin0\lin0\itap0 \rtlch\fcs1 \af0\afs20\alang1025 \ltrch\fcs0 \fs24\lang2057\langfe2057\cgrid\langnp2057\langfenp2057 {\rtlch\fcs1 \af0 _x000d__x000a_\ltrch\fcs0 \insrsid13190605 \chftnsepc _x000d__x000a_\par }}{\*\aftnsep \ltrpar \pard\plain \ltrpar\ql \li0\ri0\widctlpar\wrapdefault\aspalpha\aspnum\faauto\adjustright\rin0\lin0\itap0 \rtlch\fcs1 \af0\afs20\alang1025 \ltrch\fcs0 \fs24\lang2057\langfe2057\cgrid\langnp2057\langfenp2057 {\rtlch\fcs1 \af0 _x000d__x000a_\ltrch\fcs0 \insrsid13190605 \chftnsep _x000d__x000a_\par }}{\*\aftnsepc \ltrpar \pard\plain \ltrpar\ql \li0\ri0\widctlpar\wrapdefault\aspalpha\aspnum\faauto\adjustright\rin0\lin0\itap0 \rtlch\fcs1 \af0\afs20\alang1025 \ltrch\fcs0 \fs24\lang2057\langfe2057\cgrid\langnp2057\langfenp2057 {\rtlch\fcs1 \af0 _x000d__x000a_\ltrch\fcs0 \insrsid1319060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5011922 \rtlch\fcs1 \af0\afs20\alang1025 \ltrch\fcs0 \b\fs24\lang1034\langfe2057\cgrid\langnp1034\langfenp2057 {\rtlch\fcs1 \af0 \ltrch\fcs0 \cs15\b0\v\f1\fs20\cf9\insrsid5011922\charrsid3229100 {\*\bkmkstart restart}&lt;Amend&gt;}{_x000d__x000a_\rtlch\fcs1 \af0 \ltrch\fcs0 \insrsid5011922\charrsid3229100 Enmienda\tab \tab }{\rtlch\fcs1 \af0 \ltrch\fcs0 \cs15\b0\v\f1\fs20\cf9\insrsid5011922\charrsid3229100 &lt;NumAm&gt;}{\rtlch\fcs1 \af0 \ltrch\fcs0 \insrsid5011922\charrsid3229100 #}{\rtlch\fcs1 \af0 _x000d__x000a_\ltrch\fcs0 \cs16\v\cf15\insrsid5011922\charrsid3229100 ENMIENDA@NRAM@}{\rtlch\fcs1 \af0 \ltrch\fcs0 \insrsid5011922\charrsid3229100 #}{\rtlch\fcs1 \af0 \ltrch\fcs0 \cs15\b0\v\f1\fs20\cf9\insrsid5011922\charrsid3229100 &lt;/NumAm&gt;}{\rtlch\fcs1 \af0 _x000d__x000a_\ltrch\fcs0 \insrsid5011922\charrsid3229100 _x000d__x000a_\par }\pard\plain \ltrpar\s27\ql \li0\ri0\sb240\keepn\nowidctlpar\wrapdefault\aspalpha\aspnum\faauto\adjustright\rin0\lin0\itap0\pararsid5011922 \rtlch\fcs1 \af0\afs20\alang1025 \ltrch\fcs0 \b\fs24\lang1034\langfe2057\cgrid\langnp1034\langfenp2057 {_x000d__x000a_\rtlch\fcs1 \af0 \ltrch\fcs0 \cs15\b0\v\f1\fs20\cf9\insrsid5011922\charrsid3229100 &lt;DocAmend&gt;}{\rtlch\fcs1 \af0 \ltrch\fcs0 \insrsid5011922\charrsid3229100 Propuesta de #}{\rtlch\fcs1 \af0 \ltrch\fcs0 \cs16\v\cf15\insrsid5011922\charrsid3229100 _x000d__x000a_MNU[DOC1][DOC2][DOC3]@DOCMSG@DOCMNU}{\rtlch\fcs1 \af0 \ltrch\fcs0 \insrsid5011922\charrsid3229100 ##}{\rtlch\fcs1 \af0 \ltrch\fcs0 \cs16\v\cf15\insrsid5011922\charrsid3229100 MNU[AMACTYES][NOTAPP]@CHOICE@AMACTMNU}{\rtlch\fcs1 \af0 \ltrch\fcs0 _x000d__x000a_\insrsid5011922\charrsid3229100 #}{\rtlch\fcs1 \af0 \ltrch\fcs0 \cs15\b0\v\f1\fs20\cf9\insrsid5011922\charrsid3229100 &lt;/DocAmend&gt;}{\rtlch\fcs1 \af0 \ltrch\fcs0 \insrsid5011922\charrsid3229100 _x000d__x000a_\par }\pard\plain \ltrpar\s19\ql \li0\ri0\keepn\nowidctlpar\wrapdefault\aspalpha\aspnum\faauto\adjustright\rin0\lin0\itap0\pararsid5011922 \rtlch\fcs1 \af0\afs20\alang1025 \ltrch\fcs0 \b\fs24\lang1034\langfe2057\cgrid\langnp1034\langfenp2057 {\rtlch\fcs1 \af0 _x000d__x000a_\ltrch\fcs0 \cs15\b0\v\f1\fs20\cf9\insrsid5011922\charrsid3229100 &lt;Article&gt;}{\rtlch\fcs1 \af0 \ltrch\fcs0 \insrsid5011922\charrsid3229100 #}{\rtlch\fcs1 \af0 \ltrch\fcs0 \cs16\v\cf15\insrsid5011922\charrsid3229100 _x000d__x000a_MNU[AMACTPARTYES][AMACTPARTNO]@CHOICE@AMACTMNU}{\rtlch\fcs1 \af0 \ltrch\fcs0 \insrsid5011922\charrsid3229100 #}{\rtlch\fcs1 \af0 \ltrch\fcs0 \cs15\b0\v\f1\fs20\cf9\insrsid5011922\charrsid3229100 &lt;/Article&gt;}{\rtlch\fcs1 \af0 \ltrch\fcs0 _x000d__x000a_\insrsid5011922\charrsid3229100 _x000d__x000a_\par }\pard\plain \ltrpar\ql \li0\ri0\keepn\widctlpar\wrapdefault\aspalpha\aspnum\faauto\adjustright\rin0\lin0\itap0\pararsid5011922 \rtlch\fcs1 \af0\afs20\alang1025 \ltrch\fcs0 \fs24\lang2057\langfe2057\cgrid\langnp2057\langfenp2057 {\rtlch\fcs1 \af0 _x000d__x000a_\ltrch\fcs0 \cs15\v\f1\fs20\cf9\lang1034\langfe2057\langnp1034\insrsid5011922\charrsid3229100 &lt;DocAmend2&gt;&lt;OptDel&gt;}{\rtlch\fcs1 \af0 \ltrch\fcs0 \lang1034\langfe2057\langnp1034\insrsid5011922\charrsid3229100 #}{\rtlch\fcs1 \af0 \ltrch\fcs0 _x000d__x000a_\cs16\v\cf15\lang1034\langfe2057\langnp1034\insrsid5011922\charrsid3229100 MNU[OPTNRACTYES][NOTAPP]@CHOICE@AMACTMNU}{\rtlch\fcs1 \af0 \ltrch\fcs0 \lang1034\langfe2057\langnp1034\insrsid5011922\charrsid3229100 #}{\rtlch\fcs1 \af0 \ltrch\fcs0 _x000d__x000a_\cs15\v\f1\fs20\cf9\lang1034\langfe2057\langnp1034\insrsid5011922\charrsid3229100 &lt;/OptDel&gt;&lt;/DocAmend2&gt;}{\rtlch\fcs1 \af0 \ltrch\fcs0 \lang1034\langfe2057\langnp1034\insrsid5011922\charrsid3229100 _x000d__x000a_\par }\pard \ltrpar\ql \li0\ri0\widctlpar\wrapdefault\aspalpha\aspnum\faauto\adjustright\rin0\lin0\itap0\pararsid5011922 {\rtlch\fcs1 \af0 \ltrch\fcs0 \cs15\v\f1\fs20\cf9\lang1034\langfe2057\langnp1034\insrsid5011922\charrsid3229100 &lt;Article2&gt;&lt;OptDel&gt;}{_x000d__x000a_\rtlch\fcs1 \af0 \ltrch\fcs0 \lang1034\langfe2057\langnp1034\insrsid5011922\charrsid3229100 #}{\rtlch\fcs1 \af0 \ltrch\fcs0 \cs16\v\cf15\lang1034\langfe2057\langnp1034\insrsid5011922\charrsid3229100 MNU[OPTACTPARTYES][NOTAPP]@CHOICE@AMACTMNU}{\rtlch\fcs1 _x000d__x000a_\af0 \ltrch\fcs0 \lang1034\langfe2057\langnp1034\insrsid5011922\charrsid3229100 #}{\rtlch\fcs1 \af0 \ltrch\fcs0 \cs15\v\f1\fs20\cf9\lang1034\langfe2057\langnp1034\insrsid5011922\charrsid3229100 &lt;/OptDel&gt;&lt;/Article2&gt;}{\rtlch\fcs1 \af0 \ltrch\fcs0 _x000d__x000a_\lang1034\langfe2057\langnp1034\insrsid5011922\charrsid3229100 _x000d__x000a_\par \ltrrow}\trowd \irow0\irowband0\ltrrow\ts11\trqc\trgaph340\trleft-340\trftsWidth3\trwWidth9752\trftsWidthB3\trftsWidthA3\trpaddl340\trpaddr340\trpaddfl3\trpaddfr3\tblrsid2517430\tblind0\tblindtype3 \clvertalt\clbrdrt\brdrtbl \clbrdrl\brdrtbl \clbrdrb_x000d__x000a_\brdrtbl \clbrdrr\brdrtbl \cltxlrtb\clftsWidth3\clwWidth9752\clshdrawnil \cellx9412\pard \ltrpar\ql \li0\ri0\keepn\widctlpar\intbl\wrapdefault\aspalpha\aspnum\faauto\adjustright\rin0\lin0\pararsid14315216 {\rtlch\fcs1 \af0 \ltrch\fcs0 _x000d__x000a_\lang1034\langfe2057\langnp1034\insrsid5011922\charrsid3229100 \cell }\pard \ltrpar\ql \li0\ri0\widctlpar\intbl\wrapdefault\aspalpha\aspnum\faauto\adjustright\rin0\lin0 {\rtlch\fcs1 \af0 \ltrch\fcs0 _x000d__x000a_\lang1034\langfe2057\langnp1034\insrsid5011922\charrsid3229100 \trowd \irow0\irowband0\ltrrow\ts11\trqc\trgaph340\trleft-340\trftsWidth3\trwWidth9752\trftsWidthB3\trftsWidthA3\trpaddl340\trpaddr340\trpaddfl3\trpaddfr3\tblrsid2517430\tblind0\tblindtype3 _x000d__x000a_\clvertalt\clbrdrt\brdrtbl \clbrdrl\brdrtbl \clbrdrb\brdrtbl \clbrdrr\brdrtbl \cltxlrtb\clftsWidth3\clwWidth9752\clshdrawnil \cellx9412\row \ltrrow}\trowd \irow1\irowband1\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1034\langfe2057\cgrid\langnp1034\langfenp2057 {\rtlch\fcs1 \af0 \ltrch\fcs0 _x000d__x000a_\insrsid5011922\charrsid3229100 #}{\rtlch\fcs1 \af0 \ltrch\fcs0 \cs16\v\cf15\insrsid5011922\charrsid3229100 MNU[OPTLEFTAMACT][LEFTPROP]@CHOICE@AMACTMNU}{\rtlch\fcs1 \af0 \ltrch\fcs0 \insrsid5011922\charrsid3229100 #\cell Enmienda\cell }\pard\plain \ltrpar_x000d__x000a_\ql \li0\ri0\widctlpar\intbl\wrapdefault\aspalpha\aspnum\faauto\adjustright\rin0\lin0 \rtlch\fcs1 \af0\afs20\alang1025 \ltrch\fcs0 \fs24\lang2057\langfe2057\cgrid\langnp2057\langfenp2057 {\rtlch\fcs1 \af0 \ltrch\fcs0 _x000d__x000a_\lang1034\langfe2057\langnp1034\insrsid5011922\charrsid3229100 \trowd \irow1\irowband1\ltrrow\ts11\trqc\trgaph340\trleft-340\trftsWidth3\trwWidth9752\trftsWidthB3\trftsWidthA3\trpaddl340\trpaddr340\trpaddfl3\trpaddfr3\tblrsid2517430\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ltrrow}\pard\plain \ltrpar\s17\ql \li0\ri0\sa120\nowidctlpar\intbl\wrapdefault\aspalpha\aspnum\faauto\adjustright\rin0\lin0\pararsid2517430 \rtlch\fcs1 \af0\afs20\alang1025 \ltrch\fcs0 _x000d__x000a_\fs24\lang1034\langfe2057\cgrid\langnp1034\langfenp2057 {\rtlch\fcs1 \af0 \ltrch\fcs0 \insrsid5011922\charrsid3229100 ##\cell ##}{\rtlch\fcs1 \af0\afs24 \ltrch\fcs0 \insrsid5011922\charrsid3229100 \cell }\pard\plain \ltrpar_x000d__x000a_\ql \li0\ri0\widctlpar\intbl\wrapdefault\aspalpha\aspnum\faauto\adjustright\rin0\lin0 \rtlch\fcs1 \af0\afs20\alang1025 \ltrch\fcs0 \fs24\lang2057\langfe2057\cgrid\langnp2057\langfenp2057 {\rtlch\fcs1 \af0 \ltrch\fcs0 _x000d__x000a_\lang1034\langfe2057\langnp1034\insrsid5011922\charrsid3229100 \trowd \irow2\irowband2\lastrow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5011922 \rtlch\fcs1 \af0\afs20\alang1025 \ltrch\fcs0 \fs24\lang1024\langfe1024\cgrid\noproof\langnp1034\langfenp2057 {\rtlch\fcs1 \af0 _x000d__x000a_\ltrch\fcs0 \noproof0\insrsid5011922\charrsid3229100 Or. }{\rtlch\fcs1 \af0 \ltrch\fcs0 \cs15\v\f1\fs20\cf9\noproof0\insrsid5011922\charrsid3229100 &lt;Original&gt;}{\rtlch\fcs1 \af0 \ltrch\fcs0 \noproof0\insrsid5011922\charrsid3229100 #}{\rtlch\fcs1 \af0 _x000d__x000a_\ltrch\fcs0 \cs16\v\cf15\noproof0\insrsid5011922\charrsid3229100 MNU[ORLANGONE][ORLANGMORE]@CHOICE@ORLANGMNU}{\rtlch\fcs1 \af0 \ltrch\fcs0 \noproof0\insrsid5011922\charrsid3229100 #}{\rtlch\fcs1 \af0 \ltrch\fcs0 _x000d__x000a_\cs15\v\f1\fs20\cf9\noproof0\insrsid5011922\charrsid3229100 &lt;/Original&gt;}{\rtlch\fcs1 \af0 \ltrch\fcs0 \noproof0\insrsid5011922\charrsid3229100 _x000d__x000a_\par }\pard\plain \ltrpar\s22\qc \li0\ri0\sb240\nowidctlpar\wrapdefault\aspalpha\aspnum\faauto\adjustright\rin0\lin0\itap0\pararsid5011922 \rtlch\fcs1 \af0\afs20\alang1025 \ltrch\fcs0 \i\fs24\lang1034\langfe2057\cgrid\langnp1034\langfenp2057 {\rtlch\fcs1 \af0 _x000d__x000a_\ltrch\fcs0 \cs15\i0\v\f1\fs20\cf9\insrsid5011922\charrsid3229100 &lt;OptDel&gt;}{\rtlch\fcs1 \af0 \ltrch\fcs0 \insrsid5011922\charrsid3229100 #}{\rtlch\fcs1 \af0 \ltrch\fcs0 \cs16\v\cf15\insrsid5011922\charrsid3229100 MNU[CROSSREFNO][CROSSREFYES]@CHOICE@}{_x000d__x000a_\rtlch\fcs1 \af0 \ltrch\fcs0 \insrsid5011922\charrsid3229100 #}{\rtlch\fcs1 \af0 \ltrch\fcs0 \cs15\i0\v\f1\fs20\cf9\insrsid5011922\charrsid3229100 &lt;/OptDel&gt;}{\rtlch\fcs1 \af0 \ltrch\fcs0 \insrsid5011922\charrsid3229100 _x000d__x000a_\par }\pard\plain \ltrpar\s23\qc \li0\ri0\sb240\keepn\nowidctlpar\wrapdefault\aspalpha\aspnum\faauto\adjustright\rin0\lin0\itap0\pararsid5011922 \rtlch\fcs1 \af0\afs20\alang1025 \ltrch\fcs0 \i\fs24\lang1034\langfe2057\cgrid\langnp1034\langfenp2057 {_x000d__x000a_\rtlch\fcs1 \af0 \ltrch\fcs0 \cs15\i0\v\f1\fs20\cf9\insrsid5011922\charrsid3229100 &lt;TitreJust&gt;}{\rtlch\fcs1 \af0 \ltrch\fcs0 \insrsid5011922\charrsid3229100 Justificaci\'f3n}{\rtlch\fcs1 \af0 \ltrch\fcs0 _x000d__x000a_\cs15\i0\v\f1\fs20\cf9\insrsid5011922\charrsid3229100 &lt;/TitreJust&gt;}{\rtlch\fcs1 \af0 \ltrch\fcs0 \insrsid5011922\charrsid3229100 _x000d__x000a_\par }\pard\plain \ltrpar\s21\ql \li0\ri0\sb240\nowidctlpar\wrapdefault\aspalpha\aspnum\faauto\adjustright\rin0\lin0\itap0\pararsid5011922 \rtlch\fcs1 \af0\afs20\alang1025 \ltrch\fcs0 \i\fs24\lang1034\langfe2057\cgrid\langnp1034\langfenp2057 {\rtlch\fcs1 \af0 _x000d__x000a_\ltrch\fcs0 \cs15\i0\v\f1\fs20\cf9\insrsid5011922\charrsid3229100 &lt;OptDelPrev&gt;}{\rtlch\fcs1 \af0 \ltrch\fcs0 \insrsid5011922\charrsid3229100 #}{\rtlch\fcs1 \af0 \ltrch\fcs0 \cs16\v\cf15\insrsid5011922\charrsid3229100 MNU[TEXTJUSTYES][TEXTJUSTNO]@CHOICE@}{_x000d__x000a_\rtlch\fcs1 \af0 \ltrch\fcs0 \insrsid5011922\charrsid3229100 #}{\rtlch\fcs1 \af0 \ltrch\fcs0 \cs15\i0\v\f1\fs20\cf9\insrsid5011922\charrsid3229100 &lt;/OptDelPrev&gt;}{\rtlch\fcs1 \af0 \ltrch\fcs0 \insrsid5011922\charrsid3229100 _x000d__x000a_\par }\pard\plain \ltrpar\ql \li0\ri0\widctlpar\wrapdefault\aspalpha\aspnum\faauto\adjustright\rin0\lin0\itap0\pararsid5011922 \rtlch\fcs1 \af0\afs20\alang1025 \ltrch\fcs0 \fs24\lang2057\langfe2057\cgrid\langnp2057\langfenp2057 {\rtlch\fcs1 \af0 \ltrch\fcs0 _x000d__x000a_\cs15\v\f1\fs20\cf9\lang1034\langfe2057\langnp1034\insrsid5011922\charrsid322910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2f_x000d__x000a_971968d5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58729 HideTWBExt;}{\s16\ql \li0\ri0\sa120\nowidctlpar\wrapdefault\aspalpha\aspnum\faauto\adjustright\rin0\lin0\itap0 \rtlch\fcs1 \af0\afs20\alang1025 \ltrch\fcs0 _x000d__x000a_\fs24\lang2057\langfe2057\cgrid\langnp2057\langfenp2057 \sbasedon0 \snext16 \slink17 \spriority0 \styrsid1058729 Normal6;}{\*\cs17 \additive \fs24\lang2057\langfe2057\langnp2057\langfenp2057 \slink16 \slocked \spriority0 \styrsid1058729 Normal6 Char;}{_x000d__x000a_\s18\ql \li0\ri0\nowidctlpar\wrapdefault\aspalpha\aspnum\faauto\adjustright\rin0\lin0\itap0 \rtlch\fcs1 \af0\afs20\alang1025 \ltrch\fcs0 \b\fs24\lang2057\langfe2057\cgrid\langnp2057\langfenp2057 \sbasedon0 \snext18 \slink19 \spriority0 \styrsid1058729 _x000d__x000a_NormalBold;}{\*\cs19 \additive \b\fs24\lang2057\langfe2057\langnp2057\langfenp2057 \slink18 \slocked \spriority0 \styrsid1058729 NormalBold Char;}{\s20\ql \li0\ri0\sb240\nowidctlpar\wrapdefault\aspalpha\aspnum\faauto\adjustright\rin0\lin0\itap0 _x000d__x000a_\rtlch\fcs1 \af0\afs20\alang1025 \ltrch\fcs0 \i\fs24\lang2057\langfe2057\cgrid\langnp2057\langfenp2057 \sbasedon0 \snext20 \spriority0 \styrsid1058729 Normal12Italic;}{_x000d__x000a_\s21\qc \li0\ri0\sb240\nowidctlpar\wrapdefault\aspalpha\aspnum\faauto\adjustright\rin0\lin0\itap0 \rtlch\fcs1 \af0\afs20\alang1025 \ltrch\fcs0 \i\fs24\lang2057\langfe2057\cgrid\langnp2057\langfenp2057 \sbasedon0 \snext21 \spriority0 \styrsid1058729 _x000d__x000a_CrossRef;}{\s22\qc \li0\ri0\sb240\keepn\nowidctlpar\wrapdefault\aspalpha\aspnum\faauto\adjustright\rin0\lin0\itap0 \rtlch\fcs1 \af0\afs20\alang1025 \ltrch\fcs0 \i\fs24\lang2057\langfe2057\cgrid\langnp2057\langfenp2057 _x000d__x000a_\sbasedon0 \snext0 \spriority0 \styrsid1058729 JustificationTitle;}{\s23\qr \li0\ri0\sb240\sa240\nowidctlpar\wrapdefault\aspalpha\aspnum\faauto\adjustright\rin0\lin0\itap0 \rtlch\fcs1 \af0\afs20\alang1025 \ltrch\fcs0 _x000d__x000a_\fs24\lang1024\langfe1024\cgrid\noproof\langnp2057\langfenp2057 \sbasedon0 \snext23 \spriority0 \styrsid1058729 Olang;}{\s24\qc \li0\ri0\sa240\nowidctlpar\wrapdefault\aspalpha\aspnum\faauto\adjustright\rin0\lin0\itap0 \rtlch\fcs1 \af0\afs20\alang1025 _x000d__x000a_\ltrch\fcs0 \i\fs24\lang2057\langfe2057\cgrid\langnp2057\langfenp2057 \sbasedon0 \snext24 \spriority0 \styrsid1058729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058729 AMNumberTabs;}{\s26\ql \li0\ri0\sb240\nowidctlpar\wrapdefault\aspalpha\aspnum\faauto\adjustright\rin0\lin0\itap0 \rtlch\fcs1 _x000d__x000a_\af0\afs20\alang1025 \ltrch\fcs0 \b\fs24\lang2057\langfe2057\cgrid\langnp2057\langfenp2057 \sbasedon0 \snext26 \spriority0 \styrsid1058729 NormalBold12b;}}{\*\rsidtbl \rsid24658\rsid735077\rsid1058729\rsid2892074\rsid4666813\rsid6641733\rsid9636012_x000d__x000a_\rsid11155033\rsid11215221\rsid12154954\rsid14424199\rsid15204470\rsid15285974\rsid15950462\rsid16324206\rsid16662270}{\mmathPr\mmathFont34\mbrkBin0\mbrkBinSub0\msmallFrac0\mdispDef1\mlMargin0\mrMargin0\mdefJc1\mwrapIndent1440\mintLim0\mnaryLim1}{\info_x000d__x000a_{\author FELIX Karina}{\operator FELIX Karina}{\creatim\yr2015\mo5\dy8\hr15\min37}{\revtim\yr2015\mo5\dy8\hr15\min37}{\version1}{\edmins0}{\nofpages1}{\nofwords61}{\nofchars340}{\*\company European Parliament}{\nofcharsws400}{\vern49165}}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58729\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155033 \chftnsep _x000d__x000a_\par }}{\*\ftnsepc \ltrpar \pard\plain \ltrpar\ql \li0\ri0\widctlpar\wrapdefault\aspalpha\aspnum\faauto\adjustright\rin0\lin0\itap0 \rtlch\fcs1 \af0\afs20\alang1025 \ltrch\fcs0 \fs24\lang2057\langfe2057\cgrid\langnp2057\langfenp2057 {\rtlch\fcs1 \af0 _x000d__x000a_\ltrch\fcs0 \insrsid11155033 \chftnsepc _x000d__x000a_\par }}{\*\aftnsep \ltrpar \pard\plain \ltrpar\ql \li0\ri0\widctlpar\wrapdefault\aspalpha\aspnum\faauto\adjustright\rin0\lin0\itap0 \rtlch\fcs1 \af0\afs20\alang1025 \ltrch\fcs0 \fs24\lang2057\langfe2057\cgrid\langnp2057\langfenp2057 {\rtlch\fcs1 \af0 _x000d__x000a_\ltrch\fcs0 \insrsid11155033 \chftnsep _x000d__x000a_\par }}{\*\aftnsepc \ltrpar \pard\plain \ltrpar\ql \li0\ri0\widctlpar\wrapdefault\aspalpha\aspnum\faauto\adjustright\rin0\lin0\itap0 \rtlch\fcs1 \af0\afs20\alang1025 \ltrch\fcs0 \fs24\lang2057\langfe2057\cgrid\langnp2057\langfenp2057 {\rtlch\fcs1 \af0 _x000d__x000a_\ltrch\fcs0 \insrsid1115503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2173828 \rtlch\fcs1 \af0\afs20\alang1025 \ltrch\fcs0 \b\fs24\lang2057\langfe2057\cgrid\langnp2057\langfenp2057 {\rtlch\fcs1 \af0 \ltrch\fcs0 \cs15\b0\v\f1\fs20\cf9\insrsid1058729\charrsid4593153 {\*\bkmkstart restart}&lt;Amend&gt;}{_x000d__x000a_\rtlch\fcs1 \af0 \ltrch\fcs0 \insrsid1058729\charrsid4593153 [ZAMENDMENT]\tab \tab }{\rtlch\fcs1 \af0 \ltrch\fcs0 \cs15\b0\v\f1\fs20\cf9\insrsid1058729\charrsid4593153 &lt;NumAm&gt;}{\rtlch\fcs1 \af0 \ltrch\fcs0 \insrsid1058729\charrsid4593153 [ZNRAM]}{_x000d__x000a_\rtlch\fcs1 \af0 \ltrch\fcs0 \cs15\b0\v\f1\fs20\cf9\insrsid1058729\charrsid4593153 &lt;/NumAm&gt;}{\rtlch\fcs1 \af0 \ltrch\fcs0 \insrsid1058729\charrsid4593153 _x000d__x000a_\par }\pard\plain \ltrpar\s26\ql \li0\ri0\sb240\keepn\nowidctlpar\wrapdefault\aspalpha\aspnum\faauto\adjustright\rin0\lin0\itap0\pararsid2173828 \rtlch\fcs1 \af0\afs20\alang1025 \ltrch\fcs0 \b\fs24\lang2057\langfe2057\cgrid\langnp2057\langfenp2057 {_x000d__x000a_\rtlch\fcs1 \af0 \ltrch\fcs0 \cs15\b0\v\f1\fs20\cf9\insrsid1058729\charrsid4593153 &lt;DocAmend&gt;}{\rtlch\fcs1 \af0 \ltrch\fcs0 \insrsid1058729\charrsid4593153 [ZPROPOSAL][ZAMACT]}{\rtlch\fcs1 \af0 \ltrch\fcs0 _x000d__x000a_\cs15\b0\v\f1\fs20\cf9\insrsid1058729\charrsid4593153 &lt;/DocAmend&gt;}{\rtlch\fcs1 \af0 \ltrch\fcs0 \insrsid1058729\charrsid4593153 _x000d__x000a_\par }\pard\plain \ltrpar\s18\ql \li0\ri0\keepn\nowidctlpar\wrapdefault\aspalpha\aspnum\faauto\adjustright\rin0\lin0\itap0\pararsid14315216 \rtlch\fcs1 \af0\afs20\alang1025 \ltrch\fcs0 \b\fs24\lang2057\langfe2057\cgrid\langnp2057\langfenp2057 {\rtlch\fcs1 _x000d__x000a_\af0 \ltrch\fcs0 \cs15\b0\v\f1\fs20\cf9\insrsid1058729\charrsid4593153 &lt;Article&gt;}{\rtlch\fcs1 \af0 \ltrch\fcs0 \insrsid1058729\charrsid4593153 [ZAMPART]}{\rtlch\fcs1 \af0 \ltrch\fcs0 \cs15\b0\v\f1\fs20\cf9\insrsid1058729\charrsid4593153 &lt;/Article&gt;}{_x000d__x000a_\rtlch\fcs1 \af0 \ltrch\fcs0 \insrsid1058729\charrsid4593153 _x000d__x000a_\par }\pard\plain \ltrpar\ql \li0\ri0\keepn\widctlpar\wrapdefault\aspalpha\aspnum\faauto\adjustright\rin0\lin0\itap0\pararsid1856914 \rtlch\fcs1 \af0\afs20\alang1025 \ltrch\fcs0 \fs24\lang2057\langfe2057\cgrid\langnp2057\langfenp2057 {\rtlch\fcs1 \af0 _x000d__x000a_\ltrch\fcs0 \cs15\v\f1\fs20\cf9\insrsid1058729\charrsid4593153 &lt;DocAmend2&gt;&lt;OptDel&gt;}{\rtlch\fcs1 \af0 \ltrch\fcs0 \insrsid1058729\charrsid4593153 [ZNRACT]}{\rtlch\fcs1 \af0 \ltrch\fcs0 \cs15\v\f1\fs20\cf9\insrsid1058729\charrsid4593153 _x000d__x000a_&lt;/OptDel&gt;&lt;/DocAmend2&gt;}{\rtlch\fcs1 \af0 \ltrch\fcs0 \insrsid1058729\charrsid4593153 _x000d__x000a_\par }\pard \ltrpar\ql \li0\ri0\widctlpar\wrapdefault\aspalpha\aspnum\faauto\adjustright\rin0\lin0\itap0\pararsid2517430 {\rtlch\fcs1 \af0 \ltrch\fcs0 \cs15\v\f1\fs20\cf9\insrsid1058729\charrsid4593153 &lt;Article2&gt;&lt;OptDel&gt;}{\rtlch\fcs1 \af0 \ltrch\fcs0 _x000d__x000a_\insrsid1058729\charrsid4593153 [ZACTPART]}{\rtlch\fcs1 \af0 \ltrch\fcs0 \cs15\v\f1\fs20\cf9\insrsid1058729\charrsid4593153 &lt;/OptDel&gt;&lt;/Article2&gt;}{\rtlch\fcs1 \af0 \ltrch\fcs0 \insrsid1058729\charrsid4593153 _x000d__x000a_\par \ltrrow}\trowd \ltrrow\ts11\trqc\trgaph340\trleft-340\trftsWidth3\trwWidth9752\trftsWidthB3\trftsWidthA3\trpaddl340\trpaddr340\trpaddfl3\trpaddfr3\tblrsid2517430\tblind0\tblindtype3 \clvertalt\clbrdrt\brdrtbl \clbrdrl\brdrtbl \clbrdrb\brdrtbl \clbrdrr_x000d__x000a_\brdrtbl \cltxlrtb\clftsWidth3\clwWidth9752\clshdrawnil \cellx9412\pard \ltrpar\ql \li0\ri0\keepn\widctlpar\intbl\wrapdefault\aspalpha\aspnum\faauto\adjustright\rin0\lin0\pararsid14315216 {\rtlch\fcs1 \af0 \ltrch\fcs0 \insrsid1058729\charrsid4593153 _x000d__x000a_\cell }\pard \ltrpar\ql \li0\ri0\widctlpar\intbl\wrapdefault\aspalpha\aspnum\faauto\adjustright\rin0\lin0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2517430\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4\qc \li0\ri0\sa240\keepn\nowidctlpar\intbl\wrapdefault\aspalpha\aspnum\faauto\adjustright\rin0\lin0\pararsid14315216 \rtlch\fcs1 \af0\afs20\alang1025 \ltrch\fcs0 \i\fs24\lang2057\langfe2057\cgrid\langnp2057\langfenp2057 {_x000d__x000a_\rtlch\fcs1 \af0 \ltrch\fcs0 \insrsid1058729\charrsid4593153 [ZLEFT]\cell [ZRIGHT]\cell }\pard\plain \ltrpar\ql \li0\ri0\widctlpar\intbl\wrapdefault\aspalpha\aspnum\faauto\adjustright\rin0\lin0 \rtlch\fcs1 \af0\afs20\alang1025 \ltrch\fcs0 _x000d__x000a_\fs24\lang2057\langfe2057\cgrid\langnp2057\langfenp2057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058729\charrsid4593153 [ZTEXTL]\cell [ZTEXTR]}{\rtlch\fcs1 \af0\afs24 \ltrch\fcs0 \insrsid1058729\charrsid4593153 \cell }\pard\plain \ltrpar\ql \li0\ri0\widctlpar\intbl\wrapdefault\aspalpha\aspnum\faauto\adjustright\rin0\lin0 \rtlch\fcs1 _x000d__x000a_\af0\afs20\alang1025 \ltrch\fcs0 \fs24\lang2057\langfe2057\cgrid\langnp2057\langfenp2057 {\rtlch\fcs1 \af0 \ltrch\fcs0 \insrsid1058729\charrsid4593153 \trowd \lastrow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2517430 \rtlch\fcs1 \af0\afs20\alang1025 \ltrch\fcs0 \fs24\lang1024\langfe1024\cgrid\noproof\langnp2057\langfenp2057 {\rtlch\fcs1 \af0 _x000d__x000a_\ltrch\fcs0 \noproof0\insrsid1058729\charrsid4593153 Or. }{\rtlch\fcs1 \af0 \ltrch\fcs0 \cs15\v\f1\fs20\cf9\noproof0\insrsid1058729\charrsid4593153 &lt;Original&gt;}{\rtlch\fcs1 \af0 \ltrch\fcs0 \noproof0\insrsid1058729\charrsid4593153 [ZORLANG]}{\rtlch\fcs1 _x000d__x000a_\af0 \ltrch\fcs0 \cs15\v\f1\fs20\cf9\noproof0\insrsid1058729\charrsid4593153 &lt;/Original&gt;}{\rtlch\fcs1 \af0 \ltrch\fcs0 \noproof0\insrsid1058729\charrsid4593153 _x000d__x000a_\par }\pard\plain \ltrpar\s21\qc \li0\ri0\sb240\nowidctlpar\wrapdefault\aspalpha\aspnum\faauto\adjustright\rin0\lin0\itap0\pararsid2517430 \rtlch\fcs1 \af0\afs20\alang1025 \ltrch\fcs0 \i\fs24\lang2057\langfe2057\cgrid\langnp2057\langfenp2057 {\rtlch\fcs1 \af0 _x000d__x000a_\ltrch\fcs0 \cs15\i0\v\f1\fs20\cf9\insrsid1058729\charrsid4593153 &lt;OptDel&gt;}{\rtlch\fcs1 \af0 \ltrch\fcs0 \insrsid1058729\charrsid4593153 [ZCROSSREF]}{\rtlch\fcs1 \af0 \ltrch\fcs0 \cs15\i0\v\f1\fs20\cf9\insrsid1058729\charrsid4593153 &lt;/OptDel&gt;}{_x000d__x000a_\rtlch\fcs1 \af0 \ltrch\fcs0 \insrsid1058729\charrsid4593153 _x000d__x000a_\par }\pard\plain \ltrpar\s22\qc \li0\ri0\sb240\keepn\nowidctlpar\wrapdefault\aspalpha\aspnum\faauto\adjustright\rin0\lin0\itap0\pararsid2517430 \rtlch\fcs1 \af0\afs20\alang1025 \ltrch\fcs0 \i\fs24\lang2057\langfe2057\cgrid\langnp2057\langfenp2057 {_x000d__x000a_\rtlch\fcs1 \af0 \ltrch\fcs0 \cs15\i0\v\f1\fs20\cf9\insrsid1058729\charrsid4593153 &lt;TitreJust&gt;}{\rtlch\fcs1 \af0 \ltrch\fcs0 \insrsid1058729\charrsid4593153 [ZJUSTIFICATION]}{\rtlch\fcs1 \af0 \ltrch\fcs0 _x000d__x000a_\cs15\i0\v\f1\fs20\cf9\insrsid1058729\charrsid4593153 &lt;/TitreJust&gt;}{\rtlch\fcs1 \af0 \ltrch\fcs0 \insrsid1058729\charrsid4593153 _x000d__x000a_\par }\pard\plain \ltrpar\s20\ql \li0\ri0\sb240\nowidctlpar\wrapdefault\aspalpha\aspnum\faauto\adjustright\rin0\lin0\itap0\pararsid2517430 \rtlch\fcs1 \af0\afs20\alang1025 \ltrch\fcs0 \i\fs24\lang2057\langfe2057\cgrid\langnp2057\langfenp2057 {\rtlch\fcs1 \af0 _x000d__x000a_\ltrch\fcs0 \cs15\i0\v\f1\fs20\cf9\insrsid1058729\charrsid4593153 &lt;OptDelPrev&gt;}{\rtlch\fcs1 \af0 \ltrch\fcs0 \insrsid1058729\charrsid4593153 [ZTEXTJUST]}{\rtlch\fcs1 \af0 \ltrch\fcs0 \cs15\i0\v\f1\fs20\cf9\insrsid1058729\charrsid4593153 &lt;/OptDelPrev&gt;}{_x000d__x000a_\rtlch\fcs1 \af0 \ltrch\fcs0 \insrsid1058729\charrsid4593153 _x000d__x000a_\par }\pard\plain \ltrpar\ql \li0\ri0\widctlpar\wrapdefault\aspalpha\aspnum\faauto\adjustright\rin0\lin0\itap0\pararsid16324206 \rtlch\fcs1 \af0\afs20\alang1025 \ltrch\fcs0 \fs24\lang2057\langfe2057\cgrid\langnp2057\langfenp2057 {\rtlch\fcs1 \af0 \ltrch\fcs0 _x000d__x000a_\cs15\v\f1\fs20\cf9\insrsid1058729\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a_x000d__x000a_db3294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146"/>
    <w:docVar w:name="TXTAUTHOR" w:val="Tanja Fajon"/>
    <w:docVar w:name="TXTLANGUE" w:val="ES"/>
    <w:docVar w:name="TXTLANGUEMIN" w:val="es"/>
    <w:docVar w:name="TXTNRC" w:val="0326/2017"/>
    <w:docVar w:name="TXTNRCOD" w:val="2017/0245"/>
    <w:docVar w:name="TXTNRCOM" w:val="(2017)0571"/>
    <w:docVar w:name="TXTNRPE" w:val="618.307"/>
    <w:docVar w:name="TXTPEorAP" w:val="PE"/>
    <w:docVar w:name="TXTROUTE" w:val="PR\1146936ES.docx"/>
    <w:docVar w:name="TXTTITLE" w:val=" que modifica el Reglamento (UE) 2016/399 en lo que respecta a las normas aplicables al restablecimiento temporal de controles fronterizos en las fronteras interiores "/>
    <w:docVar w:name="TXTVERSION" w:val="01-00"/>
    <w:docVar w:name="VISTMODPROPMNU" w:val=" 1"/>
  </w:docVars>
  <w:rsids>
    <w:rsidRoot w:val="00CE4A2A"/>
    <w:rsid w:val="00011AAB"/>
    <w:rsid w:val="00012351"/>
    <w:rsid w:val="00084E89"/>
    <w:rsid w:val="000F1096"/>
    <w:rsid w:val="00123DD5"/>
    <w:rsid w:val="00131CD6"/>
    <w:rsid w:val="00142215"/>
    <w:rsid w:val="001767E2"/>
    <w:rsid w:val="00187008"/>
    <w:rsid w:val="001A2023"/>
    <w:rsid w:val="001C5592"/>
    <w:rsid w:val="001C5B44"/>
    <w:rsid w:val="001C6FFC"/>
    <w:rsid w:val="00212B84"/>
    <w:rsid w:val="002346B0"/>
    <w:rsid w:val="002667C3"/>
    <w:rsid w:val="002669B6"/>
    <w:rsid w:val="00290BED"/>
    <w:rsid w:val="002E262C"/>
    <w:rsid w:val="002F40BB"/>
    <w:rsid w:val="002F4B02"/>
    <w:rsid w:val="00323EF8"/>
    <w:rsid w:val="00370AC3"/>
    <w:rsid w:val="003C2068"/>
    <w:rsid w:val="003C37CF"/>
    <w:rsid w:val="003D0417"/>
    <w:rsid w:val="003D6575"/>
    <w:rsid w:val="004040F1"/>
    <w:rsid w:val="004100B1"/>
    <w:rsid w:val="00461601"/>
    <w:rsid w:val="004C0915"/>
    <w:rsid w:val="004D424E"/>
    <w:rsid w:val="004E42C8"/>
    <w:rsid w:val="0051271F"/>
    <w:rsid w:val="00521F46"/>
    <w:rsid w:val="00551123"/>
    <w:rsid w:val="00570A6A"/>
    <w:rsid w:val="00586E50"/>
    <w:rsid w:val="005D1A99"/>
    <w:rsid w:val="005D7609"/>
    <w:rsid w:val="005D7EE8"/>
    <w:rsid w:val="006F7907"/>
    <w:rsid w:val="00743189"/>
    <w:rsid w:val="00780D4D"/>
    <w:rsid w:val="007932B3"/>
    <w:rsid w:val="00793EA9"/>
    <w:rsid w:val="007D6F68"/>
    <w:rsid w:val="008633CC"/>
    <w:rsid w:val="00865190"/>
    <w:rsid w:val="008719B9"/>
    <w:rsid w:val="00894ECE"/>
    <w:rsid w:val="00896BB4"/>
    <w:rsid w:val="008A7FB8"/>
    <w:rsid w:val="009022B8"/>
    <w:rsid w:val="00917CC4"/>
    <w:rsid w:val="00936988"/>
    <w:rsid w:val="009763DA"/>
    <w:rsid w:val="009B4B93"/>
    <w:rsid w:val="009F24BE"/>
    <w:rsid w:val="009F6C2F"/>
    <w:rsid w:val="00A22533"/>
    <w:rsid w:val="00A26F46"/>
    <w:rsid w:val="00A34FD3"/>
    <w:rsid w:val="00A36929"/>
    <w:rsid w:val="00A56A02"/>
    <w:rsid w:val="00AA35B0"/>
    <w:rsid w:val="00AD18C8"/>
    <w:rsid w:val="00AD7FA6"/>
    <w:rsid w:val="00AE4643"/>
    <w:rsid w:val="00AF0416"/>
    <w:rsid w:val="00B10CB4"/>
    <w:rsid w:val="00B23B72"/>
    <w:rsid w:val="00B42702"/>
    <w:rsid w:val="00B85407"/>
    <w:rsid w:val="00B95702"/>
    <w:rsid w:val="00BB0A8D"/>
    <w:rsid w:val="00BC6489"/>
    <w:rsid w:val="00BD480C"/>
    <w:rsid w:val="00BF4484"/>
    <w:rsid w:val="00C73602"/>
    <w:rsid w:val="00C85E59"/>
    <w:rsid w:val="00CE4A2A"/>
    <w:rsid w:val="00CE4CD1"/>
    <w:rsid w:val="00CF60C8"/>
    <w:rsid w:val="00D32924"/>
    <w:rsid w:val="00D503A3"/>
    <w:rsid w:val="00D904BD"/>
    <w:rsid w:val="00DA6ED0"/>
    <w:rsid w:val="00DC5011"/>
    <w:rsid w:val="00E171B6"/>
    <w:rsid w:val="00E81526"/>
    <w:rsid w:val="00EB1753"/>
    <w:rsid w:val="00EB6CFF"/>
    <w:rsid w:val="00EE3996"/>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A982371E-A28E-4857-8BA6-AB7275D8E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es-ES_tradnl"/>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
    <w:rsid w:val="00B23B72"/>
    <w:pPr>
      <w:tabs>
        <w:tab w:val="center" w:pos="4535"/>
        <w:tab w:val="right" w:pos="9071"/>
      </w:tabs>
      <w:spacing w:before="240" w:after="240"/>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pPr>
      <w:spacing w:after="240"/>
    </w:pPr>
  </w:style>
  <w:style w:type="paragraph" w:styleId="TOC1">
    <w:name w:val="toc 1"/>
    <w:basedOn w:val="Normal12"/>
    <w:next w:val="Normal12"/>
    <w:autoRedefine/>
    <w:uiPriority w:val="39"/>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2669B6"/>
    <w:rPr>
      <w:sz w:val="24"/>
      <w:lang w:val="es-ES" w:eastAsia="en-GB" w:bidi="ar-SA"/>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2669B6"/>
    <w:rPr>
      <w:b/>
      <w:sz w:val="24"/>
      <w:lang w:val="es-ES" w:eastAsia="en-GB" w:bidi="ar-SA"/>
    </w:rPr>
  </w:style>
  <w:style w:type="paragraph" w:customStyle="1" w:styleId="Normal12Bold">
    <w:name w:val="Normal12Bold"/>
    <w:basedOn w:val="Normal12"/>
    <w:rPr>
      <w:b/>
    </w:rPr>
  </w:style>
  <w:style w:type="paragraph" w:customStyle="1" w:styleId="Normal12Italic">
    <w:name w:val="Normal12Italic"/>
    <w:basedOn w:val="Normal"/>
    <w:pPr>
      <w:spacing w:before="240"/>
    </w:pPr>
    <w:rPr>
      <w:i/>
    </w:rPr>
  </w:style>
  <w:style w:type="paragraph" w:customStyle="1" w:styleId="Normal12Hanging">
    <w:name w:val="Normal12Hanging"/>
    <w:basedOn w:val="Normal12"/>
    <w:pPr>
      <w:ind w:left="567" w:hanging="567"/>
    </w:pPr>
  </w:style>
  <w:style w:type="paragraph" w:customStyle="1" w:styleId="EPName">
    <w:name w:val="EPName"/>
    <w:basedOn w:val="Normal"/>
    <w:rsid w:val="006F7907"/>
    <w:pPr>
      <w:spacing w:before="80" w:after="80"/>
    </w:pPr>
    <w:rPr>
      <w:rFonts w:ascii="Arial Narrow" w:hAnsi="Arial Narrow" w:cs="Arial"/>
      <w:b/>
      <w:color w:val="000000"/>
      <w:sz w:val="32"/>
      <w:szCs w:val="22"/>
    </w:rPr>
  </w:style>
  <w:style w:type="paragraph" w:customStyle="1" w:styleId="Normal24">
    <w:name w:val="Normal24"/>
    <w:basedOn w:val="Normal"/>
    <w:pPr>
      <w:spacing w:after="480"/>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CrossRef">
    <w:name w:val="CrossRef"/>
    <w:basedOn w:val="Normal"/>
    <w:rsid w:val="00DA6ED0"/>
    <w:pPr>
      <w:spacing w:before="240"/>
      <w:jc w:val="center"/>
    </w:pPr>
    <w:rPr>
      <w:i/>
    </w:rPr>
  </w:style>
  <w:style w:type="paragraph" w:customStyle="1" w:styleId="JustificationTitle">
    <w:name w:val="JustificationTitle"/>
    <w:basedOn w:val="Normal"/>
    <w:next w:val="Normal12"/>
    <w:pPr>
      <w:keepNext/>
      <w:spacing w:before="240"/>
      <w:jc w:val="center"/>
    </w:pPr>
    <w:rPr>
      <w:i/>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3C2068"/>
    <w:pPr>
      <w:tabs>
        <w:tab w:val="left" w:pos="567"/>
      </w:tabs>
    </w:pPr>
  </w:style>
  <w:style w:type="paragraph" w:customStyle="1" w:styleId="RefProc">
    <w:name w:val="RefProc"/>
    <w:basedOn w:val="Normal"/>
    <w:rsid w:val="003C37CF"/>
    <w:pPr>
      <w:spacing w:before="240" w:after="240"/>
      <w:jc w:val="right"/>
    </w:pPr>
    <w:rPr>
      <w:rFonts w:ascii="Arial" w:hAnsi="Arial"/>
      <w:b/>
      <w:caps/>
    </w:rPr>
  </w:style>
  <w:style w:type="paragraph" w:customStyle="1" w:styleId="StarsAndIs">
    <w:name w:val="StarsAndIs"/>
    <w:basedOn w:val="Normal"/>
    <w:pPr>
      <w:ind w:left="1418"/>
    </w:pPr>
    <w:rPr>
      <w:rFonts w:ascii="Arial" w:hAnsi="Arial"/>
      <w:b/>
      <w:sz w:val="48"/>
    </w:rPr>
  </w:style>
  <w:style w:type="paragraph" w:customStyle="1" w:styleId="Lgendesigne">
    <w:name w:val="Légende signe"/>
    <w:basedOn w:val="Normal"/>
    <w:rsid w:val="003D6575"/>
    <w:pPr>
      <w:tabs>
        <w:tab w:val="right" w:pos="454"/>
        <w:tab w:val="left" w:pos="737"/>
      </w:tabs>
      <w:ind w:left="737" w:hanging="737"/>
    </w:pPr>
    <w:rPr>
      <w:snapToGrid w:val="0"/>
      <w:sz w:val="18"/>
      <w:lang w:eastAsia="en-US"/>
    </w:rPr>
  </w:style>
  <w:style w:type="paragraph" w:customStyle="1" w:styleId="TypeDoc">
    <w:name w:val="TypeDoc"/>
    <w:basedOn w:val="Normal24"/>
    <w:pPr>
      <w:ind w:left="1418"/>
    </w:pPr>
    <w:rPr>
      <w:rFonts w:ascii="Arial" w:hAnsi="Arial"/>
      <w:b/>
      <w:sz w:val="48"/>
    </w:rPr>
  </w:style>
  <w:style w:type="paragraph" w:customStyle="1" w:styleId="ZDate">
    <w:name w:val="ZDate"/>
    <w:basedOn w:val="Normal"/>
    <w:pPr>
      <w:spacing w:after="1200"/>
    </w:pPr>
  </w:style>
  <w:style w:type="paragraph" w:styleId="Header">
    <w:name w:val="header"/>
    <w:basedOn w:val="Normal"/>
    <w:pPr>
      <w:tabs>
        <w:tab w:val="center" w:pos="4153"/>
        <w:tab w:val="right" w:pos="8306"/>
      </w:tabs>
    </w:pPr>
  </w:style>
  <w:style w:type="paragraph" w:customStyle="1" w:styleId="Olang">
    <w:name w:val="Olang"/>
    <w:basedOn w:val="Normal"/>
    <w:rsid w:val="002669B6"/>
    <w:pPr>
      <w:spacing w:before="240" w:after="240"/>
      <w:jc w:val="right"/>
    </w:pPr>
    <w:rPr>
      <w:noProof/>
    </w:rPr>
  </w:style>
  <w:style w:type="paragraph" w:customStyle="1" w:styleId="ColumnHeading">
    <w:name w:val="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ZCommittee">
    <w:name w:val="ZCommittee"/>
    <w:basedOn w:val="Normal"/>
    <w:next w:val="Normal"/>
    <w:rsid w:val="00461601"/>
    <w:pPr>
      <w:jc w:val="center"/>
    </w:pPr>
    <w:rPr>
      <w:rFonts w:ascii="Arial" w:hAnsi="Arial" w:cs="Arial"/>
      <w:i/>
      <w:sz w:val="22"/>
      <w:szCs w:val="22"/>
    </w:rPr>
  </w:style>
  <w:style w:type="paragraph" w:customStyle="1" w:styleId="LineTop">
    <w:name w:val="LineTop"/>
    <w:basedOn w:val="Normal"/>
    <w:next w:val="ZCommittee"/>
    <w:rsid w:val="00461601"/>
    <w:pPr>
      <w:pBdr>
        <w:top w:val="single" w:sz="4" w:space="1" w:color="auto"/>
      </w:pBdr>
      <w:jc w:val="center"/>
    </w:pPr>
    <w:rPr>
      <w:rFonts w:ascii="Arial" w:hAnsi="Arial"/>
      <w:sz w:val="16"/>
      <w:szCs w:val="16"/>
    </w:rPr>
  </w:style>
  <w:style w:type="paragraph" w:customStyle="1" w:styleId="LineBottom">
    <w:name w:val="LineBottom"/>
    <w:basedOn w:val="Normal"/>
    <w:next w:val="Normal"/>
    <w:rsid w:val="00461601"/>
    <w:pPr>
      <w:pBdr>
        <w:bottom w:val="single" w:sz="4" w:space="1" w:color="auto"/>
      </w:pBdr>
      <w:spacing w:after="840"/>
      <w:jc w:val="center"/>
    </w:pPr>
    <w:rPr>
      <w:rFonts w:ascii="Arial" w:hAnsi="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Lgendetitre">
    <w:name w:val="Légende titre"/>
    <w:basedOn w:val="Normal"/>
    <w:rsid w:val="003D6575"/>
    <w:pPr>
      <w:spacing w:before="240" w:after="240"/>
    </w:pPr>
    <w:rPr>
      <w:b/>
      <w:i/>
      <w:snapToGrid w:val="0"/>
      <w:lang w:eastAsia="en-US"/>
    </w:rPr>
  </w:style>
  <w:style w:type="paragraph" w:customStyle="1" w:styleId="Lgendestandard">
    <w:name w:val="Légende standard"/>
    <w:basedOn w:val="Lgendesigne"/>
    <w:rsid w:val="003D6575"/>
    <w:pPr>
      <w:ind w:left="0" w:firstLine="0"/>
    </w:pPr>
  </w:style>
  <w:style w:type="paragraph" w:styleId="FootnoteText">
    <w:name w:val="footnote text"/>
    <w:basedOn w:val="Normal"/>
    <w:link w:val="FootnoteTextChar"/>
    <w:unhideWhenUsed/>
    <w:rsid w:val="00CE4CD1"/>
    <w:rPr>
      <w:sz w:val="20"/>
    </w:rPr>
  </w:style>
  <w:style w:type="character" w:customStyle="1" w:styleId="FootnoteTextChar">
    <w:name w:val="Footnote Text Char"/>
    <w:basedOn w:val="DefaultParagraphFont"/>
    <w:link w:val="FootnoteText"/>
    <w:rsid w:val="00CE4CD1"/>
  </w:style>
  <w:style w:type="character" w:styleId="FootnoteReference">
    <w:name w:val="footnote reference"/>
    <w:unhideWhenUsed/>
    <w:rsid w:val="00CE4CD1"/>
    <w:rPr>
      <w:vertAlign w:val="superscript"/>
    </w:rPr>
  </w:style>
  <w:style w:type="paragraph" w:styleId="BalloonText">
    <w:name w:val="Balloon Text"/>
    <w:basedOn w:val="Normal"/>
    <w:link w:val="BalloonTextChar"/>
    <w:rsid w:val="00CE4CD1"/>
    <w:rPr>
      <w:rFonts w:ascii="Segoe UI" w:hAnsi="Segoe UI" w:cs="Segoe UI"/>
      <w:sz w:val="18"/>
      <w:szCs w:val="18"/>
    </w:rPr>
  </w:style>
  <w:style w:type="character" w:customStyle="1" w:styleId="BalloonTextChar">
    <w:name w:val="Balloon Text Char"/>
    <w:basedOn w:val="DefaultParagraphFont"/>
    <w:link w:val="BalloonText"/>
    <w:rsid w:val="00CE4CD1"/>
    <w:rPr>
      <w:rFonts w:ascii="Segoe UI" w:hAnsi="Segoe UI" w:cs="Segoe UI"/>
      <w:sz w:val="18"/>
      <w:szCs w:val="18"/>
    </w:rPr>
  </w:style>
  <w:style w:type="character" w:styleId="CommentReference">
    <w:name w:val="annotation reference"/>
    <w:basedOn w:val="DefaultParagraphFont"/>
    <w:rsid w:val="00CE4CD1"/>
    <w:rPr>
      <w:sz w:val="16"/>
      <w:szCs w:val="16"/>
    </w:rPr>
  </w:style>
  <w:style w:type="paragraph" w:styleId="CommentText">
    <w:name w:val="annotation text"/>
    <w:basedOn w:val="Normal"/>
    <w:link w:val="CommentTextChar"/>
    <w:rsid w:val="00CE4CD1"/>
    <w:rPr>
      <w:sz w:val="20"/>
    </w:rPr>
  </w:style>
  <w:style w:type="character" w:customStyle="1" w:styleId="CommentTextChar">
    <w:name w:val="Comment Text Char"/>
    <w:basedOn w:val="DefaultParagraphFont"/>
    <w:link w:val="CommentText"/>
    <w:rsid w:val="00CE4CD1"/>
  </w:style>
  <w:style w:type="paragraph" w:styleId="CommentSubject">
    <w:name w:val="annotation subject"/>
    <w:basedOn w:val="CommentText"/>
    <w:next w:val="CommentText"/>
    <w:link w:val="CommentSubjectChar"/>
    <w:rsid w:val="00CE4CD1"/>
    <w:rPr>
      <w:b/>
      <w:bCs/>
    </w:rPr>
  </w:style>
  <w:style w:type="character" w:customStyle="1" w:styleId="CommentSubjectChar">
    <w:name w:val="Comment Subject Char"/>
    <w:basedOn w:val="CommentTextChar"/>
    <w:link w:val="CommentSubject"/>
    <w:rsid w:val="00CE4CD1"/>
    <w:rPr>
      <w:b/>
      <w:bCs/>
    </w:rPr>
  </w:style>
  <w:style w:type="paragraph" w:styleId="Revision">
    <w:name w:val="Revision"/>
    <w:hidden/>
    <w:uiPriority w:val="99"/>
    <w:semiHidden/>
    <w:rsid w:val="00CE4CD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1239D2-16DB-4900-8A5A-4AE3B471D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10629</Words>
  <Characters>58252</Characters>
  <Application>Microsoft Office Word</Application>
  <DocSecurity>0</DocSecurity>
  <Lines>1941</Lines>
  <Paragraphs>695</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68186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BLANCO Maria del Pilar</dc:creator>
  <cp:keywords/>
  <dc:description/>
  <cp:lastModifiedBy>BLANCO Maria del Pilar</cp:lastModifiedBy>
  <cp:revision>2</cp:revision>
  <cp:lastPrinted>2004-11-04T09:41:00Z</cp:lastPrinted>
  <dcterms:created xsi:type="dcterms:W3CDTF">2018-04-24T14:12:00Z</dcterms:created>
  <dcterms:modified xsi:type="dcterms:W3CDTF">2018-04-24T14:12:00Z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9.3.0 Build [20180227]</vt:lpwstr>
  </property>
  <property fmtid="{D5CDD505-2E9C-101B-9397-08002B2CF9AE}" pid="3" name="LastEdited with">
    <vt:lpwstr>9.3.0 Build [20180227]</vt:lpwstr>
  </property>
  <property fmtid="{D5CDD505-2E9C-101B-9397-08002B2CF9AE}" pid="4" name="&lt;FdR&gt;">
    <vt:lpwstr>1146936</vt:lpwstr>
  </property>
  <property fmtid="{D5CDD505-2E9C-101B-9397-08002B2CF9AE}" pid="5" name="&lt;Type&gt;">
    <vt:lpwstr>PR</vt:lpwstr>
  </property>
  <property fmtid="{D5CDD505-2E9C-101B-9397-08002B2CF9AE}" pid="6" name="&lt;ModelCod&gt;">
    <vt:lpwstr>\\eiciLUXpr1\pdocep$\DocEP\DOCS\General\PR\PR_Leg\COD\COD_1st\PR_COD_1amCom.dot(30/06/2017 07:37:07)</vt:lpwstr>
  </property>
  <property fmtid="{D5CDD505-2E9C-101B-9397-08002B2CF9AE}" pid="7" name="&lt;ModelTra&gt;">
    <vt:lpwstr>\\eiciLUXpr1\pdocep$\DocEP\TRANSFIL\ES\PR_COD_1amCom.ES(07/11/2017 18:21:36)</vt:lpwstr>
  </property>
  <property fmtid="{D5CDD505-2E9C-101B-9397-08002B2CF9AE}" pid="8" name="&lt;Model&gt;">
    <vt:lpwstr>PR_COD_1amCom</vt:lpwstr>
  </property>
  <property fmtid="{D5CDD505-2E9C-101B-9397-08002B2CF9AE}" pid="9" name="FooterPath">
    <vt:lpwstr>PR\1146936ES.docx</vt:lpwstr>
  </property>
  <property fmtid="{D5CDD505-2E9C-101B-9397-08002B2CF9AE}" pid="10" name="PE number">
    <vt:lpwstr>618.307</vt:lpwstr>
  </property>
  <property fmtid="{D5CDD505-2E9C-101B-9397-08002B2CF9AE}" pid="11" name="SubscribeElise">
    <vt:lpwstr/>
  </property>
  <property fmtid="{D5CDD505-2E9C-101B-9397-08002B2CF9AE}" pid="12" name="SDLStudio">
    <vt:lpwstr/>
  </property>
  <property fmtid="{D5CDD505-2E9C-101B-9397-08002B2CF9AE}" pid="13" name="&lt;Extension&gt;">
    <vt:lpwstr>ES</vt:lpwstr>
  </property>
  <property fmtid="{D5CDD505-2E9C-101B-9397-08002B2CF9AE}" pid="14" name="Bookout">
    <vt:lpwstr>OK - 2018/04/24 16:11</vt:lpwstr>
  </property>
</Properties>
</file>