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E1B1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1971E7" w:rsidRDefault="00640B06" w:rsidP="00C85D0F">
            <w:pPr>
              <w:pStyle w:val="EPName"/>
            </w:pPr>
            <w:bookmarkStart w:id="0" w:name="_GoBack"/>
            <w:bookmarkEnd w:id="0"/>
            <w:r>
              <w:t>Evropský parlament</w:t>
            </w:r>
          </w:p>
          <w:p w:rsidR="00B13D6F" w:rsidRPr="000412AA" w:rsidRDefault="00640B06" w:rsidP="000412AA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1971E7" w:rsidRDefault="00640B06" w:rsidP="00C85D0F">
            <w:pPr>
              <w:pStyle w:val="EPLogo"/>
            </w:pPr>
            <w:r w:rsidRPr="001971E7">
              <w:rPr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120772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1971E7" w:rsidRDefault="00461601" w:rsidP="00461601">
      <w:pPr>
        <w:pStyle w:val="LineTop"/>
      </w:pPr>
    </w:p>
    <w:p w:rsidR="00461601" w:rsidRPr="001971E7" w:rsidRDefault="00640B06" w:rsidP="00461601">
      <w:pPr>
        <w:pStyle w:val="EPBody"/>
      </w:pPr>
      <w:r>
        <w:rPr>
          <w:rStyle w:val="HideTWBExt"/>
          <w:noProof w:val="0"/>
        </w:rPr>
        <w:t>&lt;</w:t>
      </w:r>
      <w:r>
        <w:rPr>
          <w:rStyle w:val="HideTWBExt"/>
          <w:i w:val="0"/>
          <w:noProof w:val="0"/>
        </w:rPr>
        <w:t>Commission</w:t>
      </w:r>
      <w:r>
        <w:rPr>
          <w:rStyle w:val="HideTWBExt"/>
          <w:noProof w:val="0"/>
        </w:rPr>
        <w:t>&gt;</w:t>
      </w:r>
      <w:r>
        <w:t>Výbor pro občanské svobody, spravedlnost a vnitřní věci</w:t>
      </w:r>
      <w:r>
        <w:rPr>
          <w:rStyle w:val="HideTWBExt"/>
          <w:noProof w:val="0"/>
        </w:rPr>
        <w:t>&lt;/</w:t>
      </w:r>
      <w:r>
        <w:rPr>
          <w:rStyle w:val="HideTWBExt"/>
          <w:i w:val="0"/>
          <w:noProof w:val="0"/>
        </w:rPr>
        <w:t>Commission</w:t>
      </w:r>
      <w:r>
        <w:rPr>
          <w:rStyle w:val="HideTWBExt"/>
          <w:noProof w:val="0"/>
        </w:rPr>
        <w:t>&gt;</w:t>
      </w:r>
    </w:p>
    <w:p w:rsidR="00461601" w:rsidRPr="001971E7" w:rsidRDefault="00461601" w:rsidP="00461601">
      <w:pPr>
        <w:pStyle w:val="LineBottom"/>
      </w:pPr>
    </w:p>
    <w:p w:rsidR="00793EA9" w:rsidRPr="001971E7" w:rsidRDefault="00640B06">
      <w:pPr>
        <w:pStyle w:val="CoverReference"/>
      </w:pPr>
      <w:r>
        <w:rPr>
          <w:rStyle w:val="HideTWBExt"/>
          <w:b w:val="0"/>
          <w:noProof w:val="0"/>
        </w:rPr>
        <w:t>&lt;RefProc&gt;</w:t>
      </w:r>
      <w:r>
        <w:t>2021/0046</w:t>
      </w:r>
      <w:r>
        <w:rPr>
          <w:rStyle w:val="HideTWBExt"/>
          <w:b w:val="0"/>
          <w:noProof w:val="0"/>
        </w:rPr>
        <w:t>&lt;/RefProc&gt;&lt;RefTypeProc&gt;</w:t>
      </w:r>
      <w:r>
        <w:t>(COD)</w:t>
      </w:r>
      <w:r>
        <w:rPr>
          <w:rStyle w:val="HideTWBExt"/>
          <w:b w:val="0"/>
          <w:noProof w:val="0"/>
        </w:rPr>
        <w:t>&lt;/RefTypeProc&gt;</w:t>
      </w:r>
    </w:p>
    <w:p w:rsidR="00793EA9" w:rsidRPr="001971E7" w:rsidRDefault="00640B06">
      <w:pPr>
        <w:pStyle w:val="CoverDate"/>
      </w:pPr>
      <w:r>
        <w:rPr>
          <w:rStyle w:val="HideTWBExt"/>
          <w:noProof w:val="0"/>
        </w:rPr>
        <w:t>&lt;Date&gt;</w:t>
      </w:r>
      <w:r>
        <w:t>16.11.2021</w:t>
      </w:r>
      <w:r>
        <w:rPr>
          <w:rStyle w:val="HideTWBExt"/>
          <w:noProof w:val="0"/>
        </w:rPr>
        <w:t>&lt;/Date&gt;</w:t>
      </w:r>
    </w:p>
    <w:p w:rsidR="00793EA9" w:rsidRPr="001971E7" w:rsidRDefault="00640B06">
      <w:pPr>
        <w:pStyle w:val="CoverDocType"/>
      </w:pPr>
      <w:r>
        <w:rPr>
          <w:rStyle w:val="HideTWBExt"/>
          <w:b w:val="0"/>
          <w:noProof w:val="0"/>
        </w:rPr>
        <w:t>&lt;RefProcLect&gt;</w:t>
      </w:r>
      <w:r>
        <w:t>***I</w:t>
      </w:r>
      <w:r>
        <w:rPr>
          <w:rStyle w:val="HideTWBExt"/>
          <w:b w:val="0"/>
          <w:noProof w:val="0"/>
        </w:rPr>
        <w:t>&lt;/RefProcLect&gt;</w:t>
      </w:r>
    </w:p>
    <w:p w:rsidR="00793EA9" w:rsidRPr="001971E7" w:rsidRDefault="00640B06">
      <w:pPr>
        <w:pStyle w:val="CoverDocType24a"/>
      </w:pPr>
      <w:r>
        <w:rPr>
          <w:rStyle w:val="HideTWBExt"/>
          <w:b w:val="0"/>
          <w:noProof w:val="0"/>
        </w:rPr>
        <w:t>&lt;TitreType&gt;</w:t>
      </w:r>
      <w:r>
        <w:t>NÁVRH ZPRÁVY</w:t>
      </w:r>
      <w:r>
        <w:rPr>
          <w:rStyle w:val="HideTWBExt"/>
          <w:b w:val="0"/>
          <w:noProof w:val="0"/>
        </w:rPr>
        <w:t>&lt;/TitreType&gt;</w:t>
      </w:r>
    </w:p>
    <w:p w:rsidR="00793EA9" w:rsidRPr="001971E7" w:rsidRDefault="00640B06">
      <w:pPr>
        <w:pStyle w:val="CoverNormal"/>
      </w:pPr>
      <w:r>
        <w:rPr>
          <w:rStyle w:val="HideTWBExt"/>
          <w:noProof w:val="0"/>
        </w:rPr>
        <w:t>&lt;Titre&gt;</w:t>
      </w:r>
      <w:r>
        <w:t>o návrhu nařízení Evropského parlamentu a Rady, kterým se mění nařízení (EU) 2019/816, kterým se zřizuje centralizovaný systém pro identifikaci členských států, jež mají informace o odsouzeních státních příslušníků třetích zemí a osob bez státní příslušnosti (ECRIS-TCN), na doplnění Evropského informačního systému rejstříků trestů, a nařízení (EU) 2019/818, kterým se zřizuje rámec pro interoperabilitu mezi informačními systémy EU v oblasti policejní a justiční spolupráce, azylu a migrace a kterým se mění nařízení (EU) 2018/1726, (EU) 2018/1862 a (EU) 2019/816, za účelem zavedení prověřování státních příslušníků třetích zemí na vnějších hranicích</w:t>
      </w:r>
      <w:r>
        <w:rPr>
          <w:rStyle w:val="HideTWBExt"/>
          <w:noProof w:val="0"/>
        </w:rPr>
        <w:t>&lt;/Titre&gt;</w:t>
      </w:r>
    </w:p>
    <w:p w:rsidR="00793EA9" w:rsidRPr="001971E7" w:rsidRDefault="00640B06">
      <w:pPr>
        <w:pStyle w:val="CoverNormal24a"/>
      </w:pPr>
      <w:r>
        <w:rPr>
          <w:rStyle w:val="HideTWBExt"/>
          <w:noProof w:val="0"/>
        </w:rPr>
        <w:t>&lt;DocRef&gt;</w:t>
      </w:r>
      <w:r>
        <w:t>(COM(2021)0096 – C9-0088/2021 – 2021/0046(COD))</w:t>
      </w:r>
      <w:r>
        <w:rPr>
          <w:rStyle w:val="HideTWBExt"/>
          <w:noProof w:val="0"/>
        </w:rPr>
        <w:t>&lt;/DocRef&gt;</w:t>
      </w:r>
    </w:p>
    <w:p w:rsidR="00793EA9" w:rsidRPr="001971E7" w:rsidRDefault="00640B06">
      <w:pPr>
        <w:pStyle w:val="CoverNormal24a"/>
      </w:pPr>
      <w:r>
        <w:rPr>
          <w:rStyle w:val="HideTWBExt"/>
          <w:noProof w:val="0"/>
        </w:rPr>
        <w:t>&lt;Commission&gt;</w:t>
      </w:r>
      <w:r>
        <w:t>Výbor pro občanské svobody, spravedlnost a vnitřní věci</w:t>
      </w:r>
      <w:r>
        <w:rPr>
          <w:rStyle w:val="HideTWBExt"/>
          <w:noProof w:val="0"/>
        </w:rPr>
        <w:t>&lt;/Commission&gt;</w:t>
      </w:r>
    </w:p>
    <w:p w:rsidR="00793EA9" w:rsidRPr="001971E7" w:rsidRDefault="00640B06">
      <w:pPr>
        <w:pStyle w:val="CoverNormal24a"/>
      </w:pPr>
      <w:r>
        <w:t xml:space="preserve">Zpravodajka: </w:t>
      </w:r>
      <w:r>
        <w:rPr>
          <w:rStyle w:val="HideTWBExt"/>
          <w:noProof w:val="0"/>
        </w:rPr>
        <w:t>&lt;Depute&gt;</w:t>
      </w:r>
      <w:r>
        <w:t>Birgit Sippel</w:t>
      </w:r>
      <w:r>
        <w:rPr>
          <w:rStyle w:val="HideTWBExt"/>
          <w:noProof w:val="0"/>
        </w:rPr>
        <w:t>&lt;/Depute&gt;</w:t>
      </w:r>
    </w:p>
    <w:p w:rsidR="001C5B44" w:rsidRPr="001971E7" w:rsidRDefault="001C5B44" w:rsidP="001C5B44">
      <w:pPr>
        <w:pStyle w:val="CoverNormal"/>
      </w:pPr>
    </w:p>
    <w:p w:rsidR="000412AA" w:rsidRPr="000412AA" w:rsidRDefault="00640B06" w:rsidP="00894923">
      <w:r>
        <w:br w:type="page"/>
      </w:r>
      <w:r>
        <w:lastRenderedPageBreak/>
        <w:fldChar w:fldCharType="begin"/>
      </w:r>
      <w:r w:rsidRPr="000412AA">
        <w:instrText xml:space="preserve"> TITLE  \* MERGEFORMAT </w:instrText>
      </w:r>
      <w:r>
        <w:fldChar w:fldCharType="separate"/>
      </w:r>
      <w:r w:rsidR="00F6686A">
        <w:t>PR_COD_1amCom</w:t>
      </w:r>
      <w:r>
        <w:rPr>
          <w:lang w:val="fr-FR"/>
        </w:rPr>
        <w:fldChar w:fldCharType="end"/>
      </w:r>
    </w:p>
    <w:p w:rsidR="000412AA" w:rsidRPr="000412AA" w:rsidRDefault="000412AA" w:rsidP="00894923"/>
    <w:p w:rsidR="000412AA" w:rsidRPr="000412AA" w:rsidRDefault="000412AA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E1B14">
        <w:tc>
          <w:tcPr>
            <w:tcW w:w="5811" w:type="dxa"/>
          </w:tcPr>
          <w:p w:rsidR="000412AA" w:rsidRDefault="00640B06" w:rsidP="00894923">
            <w:pPr>
              <w:pStyle w:val="Lgendetitre"/>
            </w:pPr>
            <w:r>
              <w:t>Vysvětlivky</w:t>
            </w:r>
          </w:p>
        </w:tc>
      </w:tr>
      <w:tr w:rsidR="000E1B14" w:rsidTr="00D60247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0412AA" w:rsidRPr="000412AA" w:rsidRDefault="00640B06" w:rsidP="00291397">
            <w:pPr>
              <w:pStyle w:val="Lgendesigne"/>
            </w:pPr>
            <w:r>
              <w:tab/>
              <w:t>*</w:t>
            </w:r>
            <w:r>
              <w:tab/>
              <w:t>Postup konzultace</w:t>
            </w:r>
          </w:p>
          <w:p w:rsidR="000412AA" w:rsidRPr="000412AA" w:rsidRDefault="00640B06" w:rsidP="00291397">
            <w:pPr>
              <w:pStyle w:val="Lgendesigne"/>
            </w:pPr>
            <w:r>
              <w:tab/>
              <w:t>***</w:t>
            </w:r>
            <w:r>
              <w:tab/>
              <w:t>Postup souhlasu</w:t>
            </w:r>
          </w:p>
          <w:p w:rsidR="000412AA" w:rsidRPr="000412AA" w:rsidRDefault="00640B06" w:rsidP="00291397">
            <w:pPr>
              <w:pStyle w:val="Lgendesigne"/>
            </w:pPr>
            <w:r>
              <w:tab/>
              <w:t>***I</w:t>
            </w:r>
            <w:r>
              <w:tab/>
              <w:t>Řádný legislativní postup (první čtení)</w:t>
            </w:r>
          </w:p>
          <w:p w:rsidR="000412AA" w:rsidRPr="000412AA" w:rsidRDefault="00640B06" w:rsidP="00291397">
            <w:pPr>
              <w:pStyle w:val="Lgendesigne"/>
            </w:pPr>
            <w:r>
              <w:tab/>
              <w:t>***II</w:t>
            </w:r>
            <w:r>
              <w:tab/>
              <w:t>Řádný legislativní postup (druhé čtení)</w:t>
            </w:r>
          </w:p>
          <w:p w:rsidR="000412AA" w:rsidRPr="000412AA" w:rsidRDefault="00640B06" w:rsidP="00291397">
            <w:pPr>
              <w:pStyle w:val="Lgendesigne"/>
            </w:pPr>
            <w:r>
              <w:tab/>
              <w:t>***III</w:t>
            </w:r>
            <w:r>
              <w:tab/>
              <w:t>Řádný legislativní postup (třetí čtení)</w:t>
            </w:r>
          </w:p>
          <w:p w:rsidR="000412AA" w:rsidRPr="000412AA" w:rsidRDefault="000412AA" w:rsidP="0069092A">
            <w:pPr>
              <w:pStyle w:val="Lgendestandard"/>
            </w:pPr>
          </w:p>
          <w:p w:rsidR="000412AA" w:rsidRPr="000412AA" w:rsidRDefault="00640B06" w:rsidP="0069092A">
            <w:pPr>
              <w:pStyle w:val="Lgendestandard"/>
            </w:pPr>
            <w:r>
              <w:t>(Druh postupu závisí na právním základu navrženém v návrhu aktu.)</w:t>
            </w:r>
          </w:p>
          <w:p w:rsidR="000412AA" w:rsidRPr="000412AA" w:rsidRDefault="000412AA" w:rsidP="008F1BC6">
            <w:pPr>
              <w:pStyle w:val="Lgendestandard"/>
            </w:pPr>
          </w:p>
        </w:tc>
      </w:tr>
    </w:tbl>
    <w:p w:rsidR="000412AA" w:rsidRPr="000412AA" w:rsidRDefault="000412AA" w:rsidP="00894923"/>
    <w:p w:rsidR="000412AA" w:rsidRPr="000412AA" w:rsidRDefault="000412AA" w:rsidP="00894923"/>
    <w:p w:rsidR="000412AA" w:rsidRPr="000412AA" w:rsidRDefault="000412AA" w:rsidP="00894923"/>
    <w:p w:rsidR="000412AA" w:rsidRPr="000412AA" w:rsidRDefault="000412AA" w:rsidP="00291397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0E1B14" w:rsidTr="00740116">
        <w:tc>
          <w:tcPr>
            <w:tcW w:w="5811" w:type="dxa"/>
          </w:tcPr>
          <w:p w:rsidR="000412AA" w:rsidRPr="000412AA" w:rsidRDefault="00640B06" w:rsidP="00740116">
            <w:pPr>
              <w:pStyle w:val="Lgendetitre"/>
            </w:pPr>
            <w:r>
              <w:t>Pozměňovací návrhy k návrhu aktu</w:t>
            </w:r>
          </w:p>
        </w:tc>
      </w:tr>
      <w:tr w:rsidR="000E1B14" w:rsidTr="00D60247">
        <w:trPr>
          <w:trHeight w:val="4213"/>
        </w:trPr>
        <w:tc>
          <w:tcPr>
            <w:tcW w:w="5811" w:type="dxa"/>
          </w:tcPr>
          <w:p w:rsidR="000412AA" w:rsidRPr="000412AA" w:rsidRDefault="00640B06" w:rsidP="00740116">
            <w:pPr>
              <w:pStyle w:val="Lgendestandard"/>
              <w:rPr>
                <w:szCs w:val="18"/>
              </w:rPr>
            </w:pPr>
            <w:r>
              <w:rPr>
                <w:b/>
              </w:rPr>
              <w:t>Pozměňovacích návrhy Parlamentu předložené ve dvou sloupcích</w:t>
            </w:r>
          </w:p>
          <w:p w:rsidR="000412AA" w:rsidRPr="000412AA" w:rsidRDefault="000412AA" w:rsidP="00740116">
            <w:pPr>
              <w:pStyle w:val="Lgendestandard"/>
              <w:rPr>
                <w:szCs w:val="18"/>
              </w:rPr>
            </w:pPr>
          </w:p>
          <w:p w:rsidR="000412AA" w:rsidRPr="003112AB" w:rsidRDefault="00640B06" w:rsidP="00740116">
            <w:pPr>
              <w:pStyle w:val="Lgendestandard"/>
              <w:rPr>
                <w:szCs w:val="18"/>
              </w:rPr>
            </w:pPr>
            <w:r>
              <w:t xml:space="preserve">Vypuštění textu je označeno </w:t>
            </w:r>
            <w:r>
              <w:rPr>
                <w:b/>
                <w:i/>
              </w:rPr>
              <w:t xml:space="preserve">tučnou kurzivou </w:t>
            </w:r>
            <w:r>
              <w:t xml:space="preserve">v levém sloupci. Nahrazení je označeno </w:t>
            </w:r>
            <w:r>
              <w:rPr>
                <w:b/>
                <w:i/>
              </w:rPr>
              <w:t>tučnou kurzivou</w:t>
            </w:r>
            <w:r>
              <w:t xml:space="preserve"> v obou sloupcích. Nový text je označen </w:t>
            </w:r>
            <w:r>
              <w:rPr>
                <w:b/>
                <w:i/>
              </w:rPr>
              <w:t>tučnou kurzivou</w:t>
            </w:r>
            <w:r>
              <w:t xml:space="preserve"> v pravém sloupci.</w:t>
            </w:r>
          </w:p>
          <w:p w:rsidR="000412AA" w:rsidRPr="003112AB" w:rsidRDefault="000412AA" w:rsidP="00740116">
            <w:pPr>
              <w:pStyle w:val="Lgendestandard"/>
            </w:pPr>
          </w:p>
          <w:p w:rsidR="000412AA" w:rsidRPr="003112AB" w:rsidRDefault="00640B06" w:rsidP="00740116">
            <w:pPr>
              <w:pStyle w:val="Lgendestandard"/>
            </w:pPr>
            <w:r>
              <w:t xml:space="preserve">První a druhý řádek záhlaví každého pozměňovacího návrhu označují příslušnou část projednávaného návrhu aktu. Pokud se pozměňovací návrh týká existujícího aktu, který má být návrhem aktu pozměněn, je v záhlaví mimo to na třetím řádku uveden existující akt a na čtvrtém řádku ustanovení existujícího aktu, kterého se pozměňovací návrh týká. </w:t>
            </w:r>
          </w:p>
          <w:p w:rsidR="000412AA" w:rsidRPr="003112AB" w:rsidRDefault="000412AA" w:rsidP="00740116">
            <w:pPr>
              <w:pStyle w:val="Lgendestandard"/>
            </w:pPr>
          </w:p>
          <w:p w:rsidR="000412AA" w:rsidRPr="003112AB" w:rsidRDefault="00640B06" w:rsidP="00740116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Pozměňovací návrhy Parlamentu v podobě konsolidovaného textu</w:t>
            </w:r>
          </w:p>
          <w:p w:rsidR="000412AA" w:rsidRPr="003112AB" w:rsidRDefault="000412AA" w:rsidP="00740116">
            <w:pPr>
              <w:pStyle w:val="Lgendestandard"/>
              <w:rPr>
                <w:szCs w:val="18"/>
              </w:rPr>
            </w:pPr>
          </w:p>
          <w:p w:rsidR="000412AA" w:rsidRPr="003112AB" w:rsidRDefault="00640B06" w:rsidP="00740116">
            <w:pPr>
              <w:pStyle w:val="Lgendestandard"/>
            </w:pPr>
            <w:r>
              <w:t xml:space="preserve">Nové části textu jsou označeny </w:t>
            </w:r>
            <w:r>
              <w:rPr>
                <w:b/>
                <w:i/>
              </w:rPr>
              <w:t>tučnou kurzivou</w:t>
            </w:r>
            <w:r>
              <w:t xml:space="preserve">. Vypuštěné části textu jsou označeny symbolem ▌nebo přeškrtnuty. Nahrazení se vyznačují tak, že nový text se označí </w:t>
            </w:r>
            <w:r>
              <w:rPr>
                <w:b/>
                <w:i/>
              </w:rPr>
              <w:t>tučnou kurzivou</w:t>
            </w:r>
            <w:r>
              <w:t xml:space="preserve"> a nahrazený text se vymaže nebo přeškrtne. Výjimečně se neoznačují změny výlučně technické povahy, které provedly příslušné útvary za účelem vypracování konečného znění.</w:t>
            </w:r>
          </w:p>
          <w:p w:rsidR="000412AA" w:rsidRPr="003112AB" w:rsidRDefault="000412AA" w:rsidP="00740116">
            <w:pPr>
              <w:pStyle w:val="Lgendestandard"/>
            </w:pPr>
          </w:p>
        </w:tc>
      </w:tr>
    </w:tbl>
    <w:p w:rsidR="000412AA" w:rsidRPr="003112AB" w:rsidRDefault="000412AA" w:rsidP="00291397"/>
    <w:p w:rsidR="000412AA" w:rsidRPr="000412AA" w:rsidRDefault="000412AA" w:rsidP="00291397"/>
    <w:p w:rsidR="00793EA9" w:rsidRPr="000412AA" w:rsidRDefault="00793EA9" w:rsidP="00012351">
      <w:pPr>
        <w:widowControl/>
        <w:tabs>
          <w:tab w:val="center" w:pos="4677"/>
        </w:tabs>
      </w:pPr>
    </w:p>
    <w:p w:rsidR="00793EA9" w:rsidRPr="001971E7" w:rsidRDefault="00640B06">
      <w:pPr>
        <w:pStyle w:val="TOCHeading"/>
      </w:pPr>
      <w:r>
        <w:br w:type="page"/>
      </w:r>
      <w:r>
        <w:lastRenderedPageBreak/>
        <w:t>OBSAH</w:t>
      </w:r>
    </w:p>
    <w:p w:rsidR="00793EA9" w:rsidRPr="001971E7" w:rsidRDefault="00640B06">
      <w:pPr>
        <w:pStyle w:val="TOCPage"/>
      </w:pPr>
      <w:r>
        <w:t>Strana</w:t>
      </w:r>
    </w:p>
    <w:p w:rsidR="00F6686A" w:rsidRDefault="00640B0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1971E7">
        <w:rPr>
          <w:b/>
        </w:rPr>
        <w:fldChar w:fldCharType="begin"/>
      </w:r>
      <w:r w:rsidRPr="001971E7">
        <w:rPr>
          <w:b/>
        </w:rPr>
        <w:instrText xml:space="preserve"> TOC \t "PageHeading</w:instrText>
      </w:r>
      <w:r w:rsidR="00F6686A">
        <w:rPr>
          <w:b/>
        </w:rPr>
        <w:instrText>;</w:instrText>
      </w:r>
      <w:r w:rsidRPr="001971E7">
        <w:rPr>
          <w:b/>
        </w:rPr>
        <w:instrText xml:space="preserve">1" </w:instrText>
      </w:r>
      <w:r w:rsidRPr="001971E7">
        <w:rPr>
          <w:b/>
        </w:rPr>
        <w:fldChar w:fldCharType="separate"/>
      </w:r>
      <w:r w:rsidR="00F6686A">
        <w:rPr>
          <w:noProof/>
        </w:rPr>
        <w:t>NÁVRH LEGISLATIVNÍHO USNESENÍ EVROPSKÉHO PARLAMENTU</w:t>
      </w:r>
      <w:r w:rsidR="00F6686A">
        <w:rPr>
          <w:noProof/>
        </w:rPr>
        <w:tab/>
      </w:r>
      <w:r w:rsidR="00F6686A">
        <w:rPr>
          <w:noProof/>
        </w:rPr>
        <w:fldChar w:fldCharType="begin"/>
      </w:r>
      <w:r w:rsidR="00F6686A">
        <w:rPr>
          <w:noProof/>
        </w:rPr>
        <w:instrText xml:space="preserve"> PAGEREF _Toc89067846 \h </w:instrText>
      </w:r>
      <w:r w:rsidR="00F6686A">
        <w:rPr>
          <w:noProof/>
        </w:rPr>
      </w:r>
      <w:r w:rsidR="00F6686A">
        <w:rPr>
          <w:noProof/>
        </w:rPr>
        <w:fldChar w:fldCharType="separate"/>
      </w:r>
      <w:r w:rsidR="00F6686A">
        <w:rPr>
          <w:noProof/>
        </w:rPr>
        <w:t>5</w:t>
      </w:r>
      <w:r w:rsidR="00F6686A">
        <w:rPr>
          <w:noProof/>
        </w:rPr>
        <w:fldChar w:fldCharType="end"/>
      </w:r>
    </w:p>
    <w:p w:rsidR="00F6686A" w:rsidRDefault="00F6686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_Toc89067847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346B0" w:rsidRPr="001971E7" w:rsidRDefault="00640B06" w:rsidP="00C23324">
      <w:r w:rsidRPr="001971E7">
        <w:rPr>
          <w:b/>
        </w:rPr>
        <w:fldChar w:fldCharType="end"/>
      </w:r>
    </w:p>
    <w:p w:rsidR="00793EA9" w:rsidRPr="001971E7" w:rsidRDefault="00640B06">
      <w:pPr>
        <w:pStyle w:val="PageHeading"/>
      </w:pPr>
      <w:r>
        <w:br w:type="page"/>
      </w:r>
      <w:r>
        <w:br w:type="page"/>
      </w:r>
      <w:bookmarkStart w:id="1" w:name="_Toc89067846"/>
      <w:r>
        <w:t>NÁVRH LEGISLATIVNÍHO USNESENÍ EVROPSKÉHO PARLAMENTU</w:t>
      </w:r>
      <w:bookmarkEnd w:id="1"/>
    </w:p>
    <w:p w:rsidR="00793EA9" w:rsidRPr="001971E7" w:rsidRDefault="00640B06">
      <w:pPr>
        <w:pStyle w:val="NormalBold"/>
      </w:pPr>
      <w:r>
        <w:t>o návrhu nařízení Evropského parlamentu a Rady kterým se mění nařízení (EU) 2019/816, kterým se zřizuje centralizovaný systém pro identifikaci členských států, jež mají informace o odsouzeních státních příslušníků třetích zemí a osob bez státní příslušnosti (ECRIS-TCN), na doplnění Evropského informačního systému rejstříků trestů, a nařízení (EU) 2019/818, kterým se zřizuje rámec pro interoperabilitu mezi informačními systémy EU v oblasti policejní a justiční spolupráce, azylu a migrace a kterým se mění nařízení (EU) 2018/1726, (EU) 2018/1862 a (EU) 2019/816, za účelem zavedení prověřování státních příslušníků třetích zemí na vnějších hranicích</w:t>
      </w:r>
    </w:p>
    <w:p w:rsidR="00793EA9" w:rsidRPr="001971E7" w:rsidRDefault="00640B06">
      <w:pPr>
        <w:pStyle w:val="NormalBold12a"/>
      </w:pPr>
      <w:r>
        <w:t>(COM(2021)0096 – C9-0088/2021 – 2021/0046(COD))</w:t>
      </w:r>
    </w:p>
    <w:p w:rsidR="00793EA9" w:rsidRPr="001971E7" w:rsidRDefault="00640B06" w:rsidP="00A910C9">
      <w:pPr>
        <w:pStyle w:val="NormalBold"/>
      </w:pPr>
      <w:r>
        <w:t>(Řádný legislativní postup: první čtení)</w:t>
      </w:r>
    </w:p>
    <w:p w:rsidR="00793EA9" w:rsidRPr="001971E7" w:rsidRDefault="00640B06" w:rsidP="00A910C9">
      <w:pPr>
        <w:pStyle w:val="EPComma"/>
      </w:pPr>
      <w:r>
        <w:rPr>
          <w:i/>
        </w:rPr>
        <w:t>Evropský parlament</w:t>
      </w:r>
      <w:r>
        <w:t>,</w:t>
      </w:r>
    </w:p>
    <w:p w:rsidR="00793EA9" w:rsidRPr="001971E7" w:rsidRDefault="00640B06">
      <w:pPr>
        <w:pStyle w:val="NormalHanging12a"/>
      </w:pPr>
      <w:r>
        <w:t>–</w:t>
      </w:r>
      <w:r>
        <w:tab/>
        <w:t>s ohledem na návrh Komise předložený Evropskému parlamentu a Radě (COM(2021)0096),</w:t>
      </w:r>
    </w:p>
    <w:p w:rsidR="000412AA" w:rsidRPr="00D77D00" w:rsidRDefault="00640B06" w:rsidP="000412AA">
      <w:pPr>
        <w:pStyle w:val="NormalHanging12a"/>
      </w:pPr>
      <w:r>
        <w:t>–</w:t>
      </w:r>
      <w:r>
        <w:tab/>
        <w:t>ohledem na čl. 294 odst. 2, čl. 16 odst. 2,  článek 74, čl. 78 odst. 2 písm. e), čl. 79 odst. 2 písm. c), čl. 82 odst. 1 pododstavec 2 písm. d), čl. 85 odst. 1, čl. 87 odst. 2 písm. a) a čl. 88 odst. 2 Smlouvy o fungování Evropské unie, v souladu s nimiž Komise předložila svůj návrh Parlamentu (C9-0088/2021),</w:t>
      </w:r>
    </w:p>
    <w:p w:rsidR="00A26F46" w:rsidRPr="001971E7" w:rsidRDefault="00640B06" w:rsidP="00A26F46">
      <w:pPr>
        <w:pStyle w:val="NormalHanging12a"/>
      </w:pPr>
      <w:r>
        <w:t>–</w:t>
      </w:r>
      <w:r>
        <w:tab/>
        <w:t>s ohledem na čl. 294 odst. 3 Smlouvy o fungování Evropské unie,</w:t>
      </w:r>
    </w:p>
    <w:p w:rsidR="00793EA9" w:rsidRPr="001971E7" w:rsidRDefault="00640B06">
      <w:pPr>
        <w:pStyle w:val="NormalHanging12a"/>
      </w:pPr>
      <w:r>
        <w:t>–</w:t>
      </w:r>
      <w:r>
        <w:tab/>
        <w:t>s ohledem na článek 59 jednacího řádu,</w:t>
      </w:r>
    </w:p>
    <w:p w:rsidR="006A2F5D" w:rsidRPr="001971E7" w:rsidRDefault="00640B06" w:rsidP="006A2F5D">
      <w:pPr>
        <w:pStyle w:val="NormalHanging12a"/>
      </w:pPr>
      <w:r>
        <w:t>–</w:t>
      </w:r>
      <w:r>
        <w:tab/>
        <w:t>s ohledem na zprávu Výboru pro občanské svobody, spravedlnost a vnitřní věci (A9-0000/2021),</w:t>
      </w:r>
    </w:p>
    <w:p w:rsidR="009F6C2F" w:rsidRPr="001971E7" w:rsidRDefault="00640B06" w:rsidP="009F6C2F">
      <w:pPr>
        <w:pStyle w:val="NormalHanging12a"/>
      </w:pPr>
      <w:r>
        <w:t>1.</w:t>
      </w:r>
      <w:r>
        <w:tab/>
        <w:t>přijímá níže uvedený postoj v prvním čtení;</w:t>
      </w:r>
    </w:p>
    <w:p w:rsidR="009F6C2F" w:rsidRPr="001971E7" w:rsidRDefault="00640B06" w:rsidP="009F6C2F">
      <w:pPr>
        <w:pStyle w:val="NormalHanging12a"/>
      </w:pPr>
      <w:r>
        <w:t>2.</w:t>
      </w:r>
      <w:r>
        <w:tab/>
        <w:t>vyzývá Komisi, aby věc znovu postoupila Parlamentu, jestliže svůj návrh nahradí jiným textem, podstatně jej změní nebo má v úmyslu jej podstatně změnit;</w:t>
      </w:r>
    </w:p>
    <w:p w:rsidR="009F6C2F" w:rsidRPr="001971E7" w:rsidRDefault="00640B06" w:rsidP="009F6C2F">
      <w:pPr>
        <w:pStyle w:val="NormalHanging12a"/>
      </w:pPr>
      <w:r>
        <w:t>3.</w:t>
      </w:r>
      <w:r>
        <w:tab/>
        <w:t>pověřuje svého předsedu, aby předal postoj Parlamentu Radě a Komisi, jakož i vnitrostátním parlamentům.</w:t>
      </w:r>
    </w:p>
    <w:p w:rsidR="00D30DE2" w:rsidRPr="001971E7" w:rsidRDefault="00D30DE2" w:rsidP="00D30DE2"/>
    <w:p w:rsidR="000412AA" w:rsidRPr="000412AA" w:rsidRDefault="00640B06" w:rsidP="000412AA">
      <w:pPr>
        <w:pStyle w:val="AMNumberTabs0"/>
        <w:keepNext/>
      </w:pPr>
      <w:r>
        <w:rPr>
          <w:rStyle w:val="HideTWBExt"/>
          <w:b w:val="0"/>
          <w:noProof w:val="0"/>
        </w:rPr>
        <w:t>&lt;RepeatBlock-Amend&gt;&lt;Amend&gt;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1</w:t>
      </w:r>
      <w:r>
        <w:rPr>
          <w:rStyle w:val="HideTWBExt"/>
          <w:b w:val="0"/>
          <w:noProof w:val="0"/>
        </w:rPr>
        <w:t>&lt;/NumAm&gt;</w:t>
      </w:r>
    </w:p>
    <w:p w:rsidR="000412AA" w:rsidRPr="00D77D00" w:rsidRDefault="00640B06" w:rsidP="000412AA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0412AA" w:rsidRPr="00D77D00" w:rsidRDefault="00640B06" w:rsidP="000412AA">
      <w:pPr>
        <w:pStyle w:val="NormalBold"/>
      </w:pPr>
      <w:r>
        <w:rPr>
          <w:rStyle w:val="HideTWBExt"/>
          <w:b w:val="0"/>
          <w:noProof w:val="0"/>
        </w:rPr>
        <w:t>&lt;Article&gt;</w:t>
      </w:r>
      <w:r>
        <w:t>Nadpis</w:t>
      </w:r>
      <w:r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1B14" w:rsidTr="00D93A87">
        <w:trPr>
          <w:jc w:val="center"/>
        </w:trPr>
        <w:tc>
          <w:tcPr>
            <w:tcW w:w="9752" w:type="dxa"/>
            <w:gridSpan w:val="2"/>
          </w:tcPr>
          <w:p w:rsidR="000412AA" w:rsidRPr="00D77D00" w:rsidRDefault="000412AA" w:rsidP="00D93A87">
            <w:pPr>
              <w:keepNext/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Pozměňovací návrh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t>Návrh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szCs w:val="24"/>
              </w:rPr>
            </w:pPr>
            <w:r>
              <w:t>Návrh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t>NAŘÍZENÍ EVROPSKÉHO PARLAMENTU A RADY,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szCs w:val="24"/>
              </w:rPr>
            </w:pPr>
            <w:r>
              <w:t>NAŘÍZENÍ EVROPSKÉHO PARLAMENTU A RADY,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t>kterým se mění nařízení (EU) 2019/</w:t>
            </w:r>
            <w:r>
              <w:rPr>
                <w:b/>
                <w:i/>
              </w:rPr>
              <w:t>816, kterým se zřizuje centralizovaný systém pro identifikaci členských států, jež mají informace o odsouzeních státních příslušníků třetích zemí a osob bez státní příslušnosti (ECRIS-TCN), na doplnění Evropského informačního systému rejstříků trestů, a nařízení (EU) 2019/</w:t>
            </w:r>
            <w:r>
              <w:t>818, kterým se zřizuje rámec pro interoperabilitu mezi informačními systémy EU v oblasti policejní a justiční spolupráce, azylu a migrace a kterým se mění nařízení (EU) 2018/1726, (EU) 2018/1862 a (EU) 2019/816, za účelem zavedení prověřování státních příslušníků třetích zemí na vnějších hranicích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szCs w:val="24"/>
              </w:rPr>
            </w:pPr>
            <w:r>
              <w:t>kterým se mění nařízení (EU) 2019/818, kterým se zřizuje rámec pro interoperabilitu mezi informačními systémy EU v oblasti policejní a justiční spolupráce, azylu a migrace a kterým se mění nařízení (EU) 2018/1726, (EU) 2018/1862 a (EU) 2019/816, za účelem zavedení prověřování státních příslušníků třetích zemí na vnějších hranicích</w:t>
            </w:r>
            <w:r>
              <w:rPr>
                <w:b/>
                <w:i/>
              </w:rPr>
              <w:t>.</w:t>
            </w:r>
          </w:p>
        </w:tc>
      </w:tr>
    </w:tbl>
    <w:p w:rsidR="000412AA" w:rsidRPr="00D77D00" w:rsidRDefault="00640B06" w:rsidP="000412AA">
      <w:pPr>
        <w:pStyle w:val="Olang"/>
        <w:rPr>
          <w:sz w:val="24"/>
          <w:szCs w:val="24"/>
        </w:rPr>
      </w:pPr>
      <w:r w:rsidRPr="00D77D00">
        <w:rPr>
          <w:sz w:val="24"/>
          <w:szCs w:val="24"/>
        </w:rPr>
        <w:t xml:space="preserve">Or. </w:t>
      </w:r>
      <w:r w:rsidRPr="00D77D00">
        <w:rPr>
          <w:rStyle w:val="HideTWBExt"/>
          <w:noProof w:val="0"/>
        </w:rPr>
        <w:t>&lt;Original&gt;</w:t>
      </w:r>
      <w:r w:rsidRPr="00D77D00">
        <w:rPr>
          <w:rStyle w:val="HideTWBInt"/>
          <w:sz w:val="24"/>
          <w:szCs w:val="24"/>
        </w:rPr>
        <w:t>{EN}</w:t>
      </w:r>
      <w:r w:rsidRPr="00D77D00">
        <w:rPr>
          <w:sz w:val="24"/>
          <w:szCs w:val="24"/>
        </w:rPr>
        <w:t>en</w:t>
      </w:r>
      <w:r w:rsidRPr="00D77D00">
        <w:rPr>
          <w:rStyle w:val="HideTWBExt"/>
          <w:noProof w:val="0"/>
        </w:rPr>
        <w:t>&lt;/Original&gt;</w:t>
      </w:r>
    </w:p>
    <w:p w:rsidR="000412AA" w:rsidRPr="00D77D00" w:rsidRDefault="00640B06" w:rsidP="000412AA">
      <w:r>
        <w:rPr>
          <w:rStyle w:val="HideTWBExt"/>
          <w:noProof w:val="0"/>
        </w:rPr>
        <w:t>&lt;/Amend&gt;</w:t>
      </w:r>
    </w:p>
    <w:p w:rsidR="000412AA" w:rsidRPr="000412AA" w:rsidRDefault="00640B06" w:rsidP="000412AA">
      <w:pPr>
        <w:pStyle w:val="AMNumberTabs0"/>
        <w:keepNext/>
      </w:pPr>
      <w:r w:rsidRPr="00ED665D"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 w:rsidRPr="00ED665D">
        <w:rPr>
          <w:rStyle w:val="HideTWBExt"/>
          <w:b w:val="0"/>
          <w:noProof w:val="0"/>
        </w:rPr>
        <w:t>&lt;NumAm&gt;</w:t>
      </w:r>
      <w:r>
        <w:t>2</w:t>
      </w:r>
      <w:r w:rsidRPr="00ED665D">
        <w:rPr>
          <w:rStyle w:val="HideTWBExt"/>
          <w:b w:val="0"/>
          <w:noProof w:val="0"/>
        </w:rPr>
        <w:t>&lt;/NumAm&gt;</w:t>
      </w:r>
    </w:p>
    <w:p w:rsidR="000412AA" w:rsidRPr="00D77D00" w:rsidRDefault="00640B06" w:rsidP="000412AA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0412AA" w:rsidRPr="00D77D00" w:rsidRDefault="00640B06" w:rsidP="000412AA">
      <w:pPr>
        <w:pStyle w:val="NormalBold"/>
      </w:pPr>
      <w:r>
        <w:rPr>
          <w:rStyle w:val="HideTWBExt"/>
          <w:b w:val="0"/>
          <w:noProof w:val="0"/>
        </w:rPr>
        <w:t>&lt;Article&gt;</w:t>
      </w:r>
      <w:r>
        <w:t>Bod odůvodnění 2</w:t>
      </w:r>
      <w:r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1B14" w:rsidTr="00D93A87">
        <w:trPr>
          <w:jc w:val="center"/>
        </w:trPr>
        <w:tc>
          <w:tcPr>
            <w:tcW w:w="9752" w:type="dxa"/>
            <w:gridSpan w:val="2"/>
          </w:tcPr>
          <w:p w:rsidR="000412AA" w:rsidRPr="00D77D00" w:rsidRDefault="000412AA" w:rsidP="00D93A87">
            <w:pPr>
              <w:keepNext/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Pozměňovací návrh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</w:rPr>
              <w:t>(2)</w:t>
            </w:r>
            <w:r>
              <w:rPr>
                <w:b/>
                <w:i/>
              </w:rPr>
              <w:tab/>
            </w:r>
            <w:r>
              <w:t>Nařízení (EU) …/… [nařízení o prověřování]</w:t>
            </w:r>
            <w:r>
              <w:rPr>
                <w:b/>
                <w:i/>
                <w:vertAlign w:val="superscript"/>
              </w:rPr>
              <w:t>17</w:t>
            </w:r>
            <w:r>
              <w:t xml:space="preserve"> stanoví, že ověřování prováděné pro bezpečnostní účely v souvislosti s prověřováním by mělo vycházet z porovnání se stejnými systémy jako u žadatelů o vízum nebo cestovní povolení v rámci Evropského systému pro cestovní informace a povolení.</w:t>
            </w:r>
            <w:r>
              <w:rPr>
                <w:b/>
                <w:i/>
              </w:rPr>
              <w:t xml:space="preserve"> </w:t>
            </w:r>
            <w:r>
              <w:t>Nařízení (EU) …/… [nařízení o prověřování]</w:t>
            </w:r>
            <w:r>
              <w:rPr>
                <w:b/>
                <w:i/>
                <w:vertAlign w:val="superscript"/>
              </w:rPr>
              <w:t>18</w:t>
            </w:r>
            <w:r>
              <w:t xml:space="preserve"> zejména stanoví, že osobní údaje prověřovaných osob by rovněž měly být kontrolovány na základě údajů Europolu, databází Interpolu – databáze odcizených a ztracených cestovních dokladů (SLTD) a databáze cestovních dokladů s údaji uvedenými v oběžnících (TDAWN), jakož i na základě Evropského informačního systému rejstříků trestů pro státní příslušníky třetích zemí (ECRIS-TCN) se zaměřením na osoby odsouzené v souvislosti s teroristickými trestnými činy a jinými formami závažných trestných činů.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szCs w:val="24"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17</w:t>
            </w:r>
            <w:r>
              <w:t xml:space="preserve"> Op. cit., poznámka pod čarou č. 15.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szCs w:val="24"/>
                <w:lang w:val="pl-PL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18</w:t>
            </w:r>
            <w:r>
              <w:t xml:space="preserve"> Op. cit., poznámka pod čarou č. 15.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szCs w:val="24"/>
                <w:lang w:val="pl-PL"/>
              </w:rPr>
            </w:pPr>
          </w:p>
        </w:tc>
      </w:tr>
    </w:tbl>
    <w:p w:rsidR="000412AA" w:rsidRPr="00D77D00" w:rsidRDefault="00640B06" w:rsidP="000412AA">
      <w:pPr>
        <w:pStyle w:val="Olang"/>
        <w:rPr>
          <w:sz w:val="24"/>
          <w:szCs w:val="24"/>
        </w:rPr>
      </w:pPr>
      <w:r w:rsidRPr="00D77D00">
        <w:rPr>
          <w:sz w:val="24"/>
          <w:szCs w:val="24"/>
        </w:rPr>
        <w:t xml:space="preserve">Or. </w:t>
      </w:r>
      <w:r w:rsidRPr="00D77D00">
        <w:rPr>
          <w:rStyle w:val="HideTWBExt"/>
          <w:noProof w:val="0"/>
        </w:rPr>
        <w:t>&lt;Original&gt;</w:t>
      </w:r>
      <w:r w:rsidRPr="00D77D00">
        <w:rPr>
          <w:rStyle w:val="HideTWBInt"/>
          <w:sz w:val="24"/>
          <w:szCs w:val="24"/>
        </w:rPr>
        <w:t>{EN}</w:t>
      </w:r>
      <w:r w:rsidRPr="00D77D00">
        <w:rPr>
          <w:sz w:val="24"/>
          <w:szCs w:val="24"/>
        </w:rPr>
        <w:t>en</w:t>
      </w:r>
      <w:r w:rsidRPr="00D77D00">
        <w:rPr>
          <w:rStyle w:val="HideTWBExt"/>
          <w:noProof w:val="0"/>
        </w:rPr>
        <w:t>&lt;/Original&gt;</w:t>
      </w:r>
    </w:p>
    <w:p w:rsidR="000412AA" w:rsidRPr="00D77D00" w:rsidRDefault="00640B06" w:rsidP="000412AA">
      <w:r>
        <w:rPr>
          <w:rStyle w:val="HideTWBExt"/>
          <w:noProof w:val="0"/>
        </w:rPr>
        <w:t>&lt;/Amend&gt;</w:t>
      </w:r>
    </w:p>
    <w:p w:rsidR="000412AA" w:rsidRPr="000412AA" w:rsidRDefault="00640B06" w:rsidP="000412AA">
      <w:pPr>
        <w:pStyle w:val="AMNumberTabs0"/>
        <w:keepNext/>
      </w:pPr>
      <w:r w:rsidRPr="00ED665D"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 w:rsidRPr="00ED665D">
        <w:rPr>
          <w:rStyle w:val="HideTWBExt"/>
          <w:b w:val="0"/>
          <w:noProof w:val="0"/>
        </w:rPr>
        <w:t>&lt;NumAm&gt;</w:t>
      </w:r>
      <w:r>
        <w:t>3</w:t>
      </w:r>
      <w:r w:rsidRPr="00ED665D">
        <w:rPr>
          <w:rStyle w:val="HideTWBExt"/>
          <w:b w:val="0"/>
          <w:noProof w:val="0"/>
        </w:rPr>
        <w:t>&lt;/NumAm&gt;</w:t>
      </w:r>
    </w:p>
    <w:p w:rsidR="000412AA" w:rsidRPr="00D77D00" w:rsidRDefault="00640B06" w:rsidP="000412AA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0412AA" w:rsidRPr="00D77D00" w:rsidRDefault="00640B06" w:rsidP="000412AA">
      <w:pPr>
        <w:pStyle w:val="NormalBold"/>
      </w:pPr>
      <w:r>
        <w:rPr>
          <w:rStyle w:val="HideTWBExt"/>
          <w:b w:val="0"/>
          <w:noProof w:val="0"/>
        </w:rPr>
        <w:t>&lt;Article&gt;</w:t>
      </w:r>
      <w:r>
        <w:t>Bod odůvodnění 3</w:t>
      </w:r>
      <w:r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1B14" w:rsidTr="00D93A87">
        <w:trPr>
          <w:jc w:val="center"/>
        </w:trPr>
        <w:tc>
          <w:tcPr>
            <w:tcW w:w="9752" w:type="dxa"/>
            <w:gridSpan w:val="2"/>
          </w:tcPr>
          <w:p w:rsidR="000412AA" w:rsidRPr="00D77D00" w:rsidRDefault="000412AA" w:rsidP="00D93A87">
            <w:pPr>
              <w:keepNext/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Pozměňovací návrh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</w:rPr>
              <w:t>(3)</w:t>
            </w:r>
            <w:r>
              <w:rPr>
                <w:b/>
                <w:i/>
              </w:rPr>
              <w:tab/>
            </w:r>
            <w:r>
              <w:t>Přístup k systému ECRIS-TCN je nezbytný pro orgány příslušné k provádění prověřování stanoveného v nařízení (EU) …/… [nařízení o prověřování]</w:t>
            </w:r>
            <w:r>
              <w:rPr>
                <w:vertAlign w:val="superscript"/>
              </w:rPr>
              <w:t>19</w:t>
            </w:r>
            <w:r>
              <w:t>, aby mohly stanovit, zda by dotyčná osoba mohla představovat hrozbu pro vnitřní bezpečnost nebo pro veřejný pořádek.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szCs w:val="24"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19</w:t>
            </w:r>
            <w:r>
              <w:t xml:space="preserve"> Op. cit., poznámka pod čarou č. 15.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szCs w:val="24"/>
                <w:lang w:val="pl-PL"/>
              </w:rPr>
            </w:pPr>
          </w:p>
        </w:tc>
      </w:tr>
    </w:tbl>
    <w:p w:rsidR="000412AA" w:rsidRPr="00D77D00" w:rsidRDefault="00640B06" w:rsidP="000412AA">
      <w:pPr>
        <w:pStyle w:val="Olang"/>
        <w:rPr>
          <w:sz w:val="24"/>
          <w:szCs w:val="24"/>
        </w:rPr>
      </w:pPr>
      <w:r w:rsidRPr="00D77D00">
        <w:rPr>
          <w:sz w:val="24"/>
          <w:szCs w:val="24"/>
        </w:rPr>
        <w:t xml:space="preserve">Or. </w:t>
      </w:r>
      <w:r w:rsidRPr="00D77D00">
        <w:rPr>
          <w:rStyle w:val="HideTWBExt"/>
          <w:noProof w:val="0"/>
        </w:rPr>
        <w:t>&lt;Original&gt;</w:t>
      </w:r>
      <w:r w:rsidRPr="00D77D00">
        <w:rPr>
          <w:rStyle w:val="HideTWBInt"/>
          <w:sz w:val="24"/>
          <w:szCs w:val="24"/>
        </w:rPr>
        <w:t>{EN}</w:t>
      </w:r>
      <w:r w:rsidRPr="00D77D00">
        <w:rPr>
          <w:sz w:val="24"/>
          <w:szCs w:val="24"/>
        </w:rPr>
        <w:t>en</w:t>
      </w:r>
      <w:r w:rsidRPr="00D77D00">
        <w:rPr>
          <w:rStyle w:val="HideTWBExt"/>
          <w:noProof w:val="0"/>
        </w:rPr>
        <w:t>&lt;/Original&gt;</w:t>
      </w:r>
    </w:p>
    <w:p w:rsidR="000412AA" w:rsidRPr="00D77D00" w:rsidRDefault="00640B06" w:rsidP="000412AA">
      <w:r>
        <w:rPr>
          <w:rStyle w:val="HideTWBExt"/>
          <w:noProof w:val="0"/>
        </w:rPr>
        <w:t>&lt;/Amend&gt;</w:t>
      </w:r>
    </w:p>
    <w:p w:rsidR="000412AA" w:rsidRPr="000412AA" w:rsidRDefault="00640B06" w:rsidP="000412AA">
      <w:pPr>
        <w:pStyle w:val="AMNumberTabs0"/>
        <w:keepNext/>
      </w:pPr>
      <w:r w:rsidRPr="00ED665D"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 w:rsidRPr="00ED665D">
        <w:rPr>
          <w:rStyle w:val="HideTWBExt"/>
          <w:b w:val="0"/>
          <w:noProof w:val="0"/>
        </w:rPr>
        <w:t>&lt;NumAm&gt;</w:t>
      </w:r>
      <w:r>
        <w:t>4</w:t>
      </w:r>
      <w:r w:rsidRPr="00ED665D">
        <w:rPr>
          <w:rStyle w:val="HideTWBExt"/>
          <w:b w:val="0"/>
          <w:noProof w:val="0"/>
        </w:rPr>
        <w:t>&lt;/NumAm&gt;</w:t>
      </w:r>
    </w:p>
    <w:p w:rsidR="000412AA" w:rsidRPr="00D77D00" w:rsidRDefault="00640B06" w:rsidP="000412AA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0412AA" w:rsidRPr="00D77D00" w:rsidRDefault="00640B06" w:rsidP="000412AA">
      <w:pPr>
        <w:pStyle w:val="NormalBold"/>
      </w:pPr>
      <w:r>
        <w:rPr>
          <w:rStyle w:val="HideTWBExt"/>
          <w:b w:val="0"/>
          <w:noProof w:val="0"/>
        </w:rPr>
        <w:t>&lt;Article&gt;</w:t>
      </w:r>
      <w:r>
        <w:t>Bod odůvodnění 4</w:t>
      </w:r>
      <w:r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1B14" w:rsidTr="00D93A87">
        <w:trPr>
          <w:jc w:val="center"/>
        </w:trPr>
        <w:tc>
          <w:tcPr>
            <w:tcW w:w="9752" w:type="dxa"/>
            <w:gridSpan w:val="2"/>
          </w:tcPr>
          <w:p w:rsidR="000412AA" w:rsidRPr="00D77D00" w:rsidRDefault="000412AA" w:rsidP="00D93A87">
            <w:pPr>
              <w:keepNext/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Pozměňovací návrh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</w:rPr>
              <w:t>(4)</w:t>
            </w:r>
            <w:r>
              <w:rPr>
                <w:b/>
                <w:i/>
              </w:rPr>
              <w:tab/>
            </w:r>
            <w:r>
              <w:t>Nařízením (EU) …/… [nařízení o prověřování]</w:t>
            </w:r>
            <w:r>
              <w:rPr>
                <w:vertAlign w:val="superscript"/>
              </w:rPr>
              <w:t>20</w:t>
            </w:r>
            <w:r>
              <w:t>, které rozvíjí schengenské acquis týkající se hranic, se mění nařízení (ES) č. 767/2008</w:t>
            </w:r>
            <w:r>
              <w:rPr>
                <w:b/>
                <w:i/>
                <w:vertAlign w:val="superscript"/>
              </w:rPr>
              <w:t>21</w:t>
            </w:r>
            <w:r>
              <w:t>, (EU) 2017/2226</w:t>
            </w:r>
            <w:r>
              <w:rPr>
                <w:b/>
                <w:i/>
                <w:vertAlign w:val="superscript"/>
              </w:rPr>
              <w:t>22</w:t>
            </w:r>
            <w:r>
              <w:t>, (EU) 2018/1240</w:t>
            </w:r>
            <w:r>
              <w:rPr>
                <w:b/>
                <w:i/>
                <w:vertAlign w:val="superscript"/>
              </w:rPr>
              <w:t>23</w:t>
            </w:r>
            <w:r>
              <w:t xml:space="preserve"> a (EU) 2019/817</w:t>
            </w:r>
            <w:r>
              <w:rPr>
                <w:vertAlign w:val="superscript"/>
              </w:rPr>
              <w:t>24</w:t>
            </w:r>
            <w:r>
              <w:t>, která rovněž rozvíjejí schengenské acquis týkající se hranic, s cílem udělit za účelem prověřování přístupová práva k údajům obsaženým ve Vízovém informačním systému (VIS), Systému vstupu/výstupu (EES) a Evropskému systému pro cestovní informace a povolení (ETIAS).</w:t>
            </w:r>
            <w:r>
              <w:rPr>
                <w:b/>
                <w:i/>
              </w:rPr>
              <w:t xml:space="preserve"> Z důvodů proměnlivé geometrie však součástí téhož nařízení nemohla být souběžná změna nařízení (EU) 2019/816 s cílem udělit za účelem prověřování přístupová práva k systému ECRIS-TCN, neboť uvedené nařízení, kterým se zřizuje ECRIS-TCN, schengenské acquis nerozvíjí. Nařízení (EU) 2019/816 by proto mělo být změněno samostatným právním nástrojem.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szCs w:val="24"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20</w:t>
            </w:r>
            <w:r>
              <w:t xml:space="preserve"> Op. cit., poznámka pod čarou č. 15.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szCs w:val="24"/>
                <w:lang w:val="pl-PL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21</w:t>
            </w:r>
            <w:r>
              <w:t xml:space="preserve"> Nařízení Evropského parlamentu a Rady (ES) č. 767/2008 ze dne 9. července 2008 o Vízovém informačním systému (VIS) a o výměně údajů o krátkodobých vízech mezi členskými státy (nařízení o VIS) (Úř. věst. L 218, 13.8.2008, s. 60).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szCs w:val="24"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22</w:t>
            </w:r>
            <w:r>
              <w:t xml:space="preserve"> Nařízení Evropského parlamentu a Rady (EU) 2017/2226 ze dne 30. listopadu 2017, kterým se zřizuje Systém vstupu/výstupu (EES) pro registraci údajů o vstupu a výstupu a údajů o odepření vstupu, pokud jde o státní příslušníky třetích zemí překračující vnější hranice členských států, kterým se stanoví podmínky přístupu do systému EES pro účely vymáhání práva (Úř. věst. L 327, 9.12.2017, s. 20).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szCs w:val="24"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23</w:t>
            </w:r>
            <w:r>
              <w:t xml:space="preserve"> Nařízení Evropského parlamentu a Rady (EU) 2018/1240 ze dne 12. září 2018, kterým se zřizuje Evropský systém pro cestovní informace a povolení (ETIAS) a kterým se mění nařízení (EU) č. 1077/2011, (EU) č. 515/2014, (EU) 2016/399, (EU) 2016/1624 a (EU) 2017/2226 (Úř. věst. L 236, 19.9.2018, s. 1).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szCs w:val="24"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24</w:t>
            </w:r>
            <w:r>
              <w:t xml:space="preserve"> Nařízení Evropského parlamentu a Rady (EU) 2019/817 ze dne 20. května 2019, kterým se zřizuje rámec pro interoperabilitu mezi informačními systémy EU v oblasti hranic a víz a mění nařízení Evropského parlamentu a Rady (ES) č. 767/2008, (EU) 2016/399, (EU) 2017/2226, (EU) 2018/1240, (EU) 2018/1726 a (EU) 2018/1861 a rozhodnutí Rady 2004/512/ES a 2008/633/SVV, Úř. věst. L 135, 22.5.2019, s. 27. Op. cit., poznámka pod čarou č. 15.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szCs w:val="24"/>
                <w:lang w:val="en-GB"/>
              </w:rPr>
            </w:pPr>
          </w:p>
        </w:tc>
      </w:tr>
    </w:tbl>
    <w:p w:rsidR="000412AA" w:rsidRPr="00D77D00" w:rsidRDefault="00640B06" w:rsidP="000412AA">
      <w:pPr>
        <w:pStyle w:val="Olang"/>
        <w:rPr>
          <w:sz w:val="24"/>
          <w:szCs w:val="24"/>
        </w:rPr>
      </w:pPr>
      <w:r w:rsidRPr="00D77D00">
        <w:rPr>
          <w:sz w:val="24"/>
          <w:szCs w:val="24"/>
        </w:rPr>
        <w:t xml:space="preserve">Or. </w:t>
      </w:r>
      <w:r w:rsidRPr="00D77D00">
        <w:rPr>
          <w:rStyle w:val="HideTWBExt"/>
          <w:noProof w:val="0"/>
        </w:rPr>
        <w:t>&lt;Original&gt;</w:t>
      </w:r>
      <w:r w:rsidRPr="00D77D00">
        <w:rPr>
          <w:rStyle w:val="HideTWBInt"/>
          <w:sz w:val="24"/>
          <w:szCs w:val="24"/>
        </w:rPr>
        <w:t>{EN}</w:t>
      </w:r>
      <w:r w:rsidRPr="00D77D00">
        <w:rPr>
          <w:sz w:val="24"/>
          <w:szCs w:val="24"/>
        </w:rPr>
        <w:t>en</w:t>
      </w:r>
      <w:r w:rsidRPr="00D77D00">
        <w:rPr>
          <w:rStyle w:val="HideTWBExt"/>
          <w:noProof w:val="0"/>
        </w:rPr>
        <w:t>&lt;/Original&gt;</w:t>
      </w:r>
    </w:p>
    <w:p w:rsidR="000412AA" w:rsidRPr="00D77D00" w:rsidRDefault="00640B06" w:rsidP="000412AA">
      <w:r>
        <w:rPr>
          <w:rStyle w:val="HideTWBExt"/>
          <w:noProof w:val="0"/>
        </w:rPr>
        <w:t>&lt;/Amend&gt;</w:t>
      </w:r>
    </w:p>
    <w:p w:rsidR="000412AA" w:rsidRPr="000412AA" w:rsidRDefault="00640B06" w:rsidP="000412AA">
      <w:pPr>
        <w:pStyle w:val="AMNumberTabs0"/>
        <w:keepNext/>
      </w:pPr>
      <w:r w:rsidRPr="00ED665D"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 w:rsidRPr="00ED665D">
        <w:rPr>
          <w:rStyle w:val="HideTWBExt"/>
          <w:b w:val="0"/>
          <w:noProof w:val="0"/>
        </w:rPr>
        <w:t>&lt;NumAm&gt;</w:t>
      </w:r>
      <w:r>
        <w:t>5</w:t>
      </w:r>
      <w:r w:rsidRPr="00ED665D">
        <w:rPr>
          <w:rStyle w:val="HideTWBExt"/>
          <w:b w:val="0"/>
          <w:noProof w:val="0"/>
        </w:rPr>
        <w:t>&lt;/NumAm&gt;</w:t>
      </w:r>
    </w:p>
    <w:p w:rsidR="000412AA" w:rsidRPr="00D77D00" w:rsidRDefault="00640B06" w:rsidP="000412AA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0412AA" w:rsidRPr="00D77D00" w:rsidRDefault="00640B06" w:rsidP="000412AA">
      <w:pPr>
        <w:pStyle w:val="NormalBold"/>
      </w:pPr>
      <w:r>
        <w:rPr>
          <w:rStyle w:val="HideTWBExt"/>
          <w:b w:val="0"/>
          <w:noProof w:val="0"/>
        </w:rPr>
        <w:t>&lt;Article&gt;</w:t>
      </w:r>
      <w:r>
        <w:t>Bod odůvodnění 5</w:t>
      </w:r>
      <w:r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1B14" w:rsidTr="00D93A87">
        <w:trPr>
          <w:jc w:val="center"/>
        </w:trPr>
        <w:tc>
          <w:tcPr>
            <w:tcW w:w="9752" w:type="dxa"/>
            <w:gridSpan w:val="2"/>
          </w:tcPr>
          <w:p w:rsidR="000412AA" w:rsidRPr="00D77D00" w:rsidRDefault="000412AA" w:rsidP="00D93A87">
            <w:pPr>
              <w:keepNext/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ColumnHeading"/>
              <w:keepNext/>
            </w:pPr>
            <w:r>
              <w:t>Pozměňovací návrh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</w:rPr>
              <w:t>(5)</w:t>
            </w:r>
            <w:r>
              <w:rPr>
                <w:b/>
                <w:i/>
              </w:rPr>
              <w:tab/>
            </w:r>
            <w:r>
              <w:t>Jelikož cíle tohoto nařízení, totiž umožnit přístup do systému ECRIS-TCN pro účely bezpečnostních kontrol stanovených nařízením (EU) …/… [nařízení o prověřování]</w:t>
            </w:r>
            <w:r>
              <w:rPr>
                <w:b/>
                <w:i/>
                <w:vertAlign w:val="superscript"/>
              </w:rPr>
              <w:t>25</w:t>
            </w:r>
            <w:r>
              <w:t xml:space="preserve"> , jež má za cíl posílení kontrol osob, které se chystají vstoupit do schengenského prostoru, a jejich nasměrování k příslušnému řízení, nemůže být dosaženo uspokojivě členskými státy, ale může jej být dosaženo pouze na úrovni Unie, může Unie přijmout opatření v souladu se zásadou subsidiarity stanovenou v článku 5 Smlouvy o Evropské unii.</w:t>
            </w:r>
            <w:r>
              <w:rPr>
                <w:b/>
                <w:i/>
              </w:rPr>
              <w:t xml:space="preserve"> V souladu se zásadou proporcionality stanovenou v uvedeném článku nepřekračuje toto nařízení rámec toho, co je nezbytné pro dosažení tohoto cíle.</w:t>
            </w:r>
          </w:p>
        </w:tc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szCs w:val="24"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</w:pPr>
            <w:r>
              <w:rPr>
                <w:b/>
                <w:i/>
                <w:vertAlign w:val="superscript"/>
              </w:rPr>
              <w:t>25</w:t>
            </w:r>
            <w:r>
              <w:t xml:space="preserve"> Op. cit., poznámka pod čarou č. 15.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szCs w:val="24"/>
                <w:lang w:val="pl-PL"/>
              </w:rPr>
            </w:pPr>
          </w:p>
        </w:tc>
      </w:tr>
    </w:tbl>
    <w:p w:rsidR="000412AA" w:rsidRPr="00D77D00" w:rsidRDefault="00640B06" w:rsidP="000412AA">
      <w:pPr>
        <w:pStyle w:val="Olang"/>
        <w:rPr>
          <w:sz w:val="24"/>
          <w:szCs w:val="24"/>
        </w:rPr>
      </w:pPr>
      <w:r w:rsidRPr="00D77D00">
        <w:rPr>
          <w:sz w:val="24"/>
          <w:szCs w:val="24"/>
        </w:rPr>
        <w:t xml:space="preserve">Or. </w:t>
      </w:r>
      <w:r w:rsidRPr="00D77D00">
        <w:rPr>
          <w:rStyle w:val="HideTWBExt"/>
          <w:noProof w:val="0"/>
        </w:rPr>
        <w:t>&lt;Original&gt;</w:t>
      </w:r>
      <w:r w:rsidRPr="00D77D00">
        <w:rPr>
          <w:rStyle w:val="HideTWBInt"/>
          <w:sz w:val="24"/>
          <w:szCs w:val="24"/>
        </w:rPr>
        <w:t>{EN}</w:t>
      </w:r>
      <w:r w:rsidRPr="00D77D00">
        <w:rPr>
          <w:sz w:val="24"/>
          <w:szCs w:val="24"/>
        </w:rPr>
        <w:t>en</w:t>
      </w:r>
      <w:r w:rsidRPr="00D77D00">
        <w:rPr>
          <w:rStyle w:val="HideTWBExt"/>
          <w:noProof w:val="0"/>
        </w:rPr>
        <w:t>&lt;/Original&gt;</w:t>
      </w:r>
    </w:p>
    <w:p w:rsidR="000412AA" w:rsidRPr="00D77D00" w:rsidRDefault="00640B06" w:rsidP="000412AA">
      <w:r>
        <w:rPr>
          <w:rStyle w:val="HideTWBExt"/>
          <w:noProof w:val="0"/>
        </w:rPr>
        <w:t>&lt;/Amend&gt;</w:t>
      </w:r>
    </w:p>
    <w:p w:rsidR="000412AA" w:rsidRPr="000412AA" w:rsidRDefault="00640B06" w:rsidP="000412AA">
      <w:pPr>
        <w:pStyle w:val="AMNumberTabs0"/>
        <w:keepNext/>
      </w:pPr>
      <w:r w:rsidRPr="00ED665D"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 w:rsidRPr="00ED665D">
        <w:rPr>
          <w:rStyle w:val="HideTWBExt"/>
          <w:b w:val="0"/>
          <w:noProof w:val="0"/>
        </w:rPr>
        <w:t>&lt;NumAm&gt;</w:t>
      </w:r>
      <w:r>
        <w:t>6</w:t>
      </w:r>
      <w:r w:rsidRPr="00ED665D">
        <w:rPr>
          <w:rStyle w:val="HideTWBExt"/>
          <w:b w:val="0"/>
          <w:noProof w:val="0"/>
        </w:rPr>
        <w:t>&lt;/NumAm&gt;</w:t>
      </w:r>
    </w:p>
    <w:p w:rsidR="000412AA" w:rsidRPr="00D77D00" w:rsidRDefault="00640B06" w:rsidP="000412AA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0412AA" w:rsidRPr="000412AA" w:rsidRDefault="00640B06" w:rsidP="000412AA">
      <w:pPr>
        <w:pStyle w:val="NormalBold"/>
      </w:pPr>
      <w:r w:rsidRPr="00ED665D">
        <w:rPr>
          <w:rStyle w:val="HideTWBExt"/>
          <w:b w:val="0"/>
          <w:noProof w:val="0"/>
        </w:rPr>
        <w:t>&lt;Article&gt;</w:t>
      </w:r>
      <w:r>
        <w:t>Článek 1</w:t>
      </w:r>
      <w:r w:rsidRPr="00ED665D">
        <w:rPr>
          <w:rStyle w:val="HideTWBExt"/>
          <w:b w:val="0"/>
          <w:noProof w:val="0"/>
        </w:rPr>
        <w:t>&lt;/Article&gt;</w:t>
      </w:r>
    </w:p>
    <w:p w:rsidR="000412AA" w:rsidRPr="000412AA" w:rsidRDefault="00640B06" w:rsidP="000412AA">
      <w:pPr>
        <w:keepNext/>
      </w:pPr>
      <w:r w:rsidRPr="00ED665D">
        <w:rPr>
          <w:rStyle w:val="HideTWBExt"/>
          <w:noProof w:val="0"/>
        </w:rPr>
        <w:t>&lt;DocAmend2&gt;</w:t>
      </w:r>
      <w:r>
        <w:t>Nařízení (EU) 2019/816</w:t>
      </w:r>
      <w:r w:rsidRPr="00ED665D">
        <w:rPr>
          <w:rStyle w:val="HideTWBExt"/>
          <w:noProof w:val="0"/>
        </w:rPr>
        <w:t>&lt;/DocAmend2&gt;</w:t>
      </w:r>
    </w:p>
    <w:p w:rsidR="000412AA" w:rsidRPr="000412AA" w:rsidRDefault="00640B06" w:rsidP="000412AA">
      <w:r w:rsidRPr="00ED665D">
        <w:rPr>
          <w:rStyle w:val="HideTWBExt"/>
          <w:noProof w:val="0"/>
        </w:rPr>
        <w:t>&lt;Article2&gt;</w:t>
      </w:r>
      <w:r>
        <w:t>Čl. 1 písm. e) – Čl. 2 – Čl. 3 odst. 6 – Čl. 5 – Čl. 7 – Čl. 7a (nový) – Čl. 24 odst. 1</w:t>
      </w:r>
      <w:r>
        <w:rPr>
          <w:rStyle w:val="HideTWBExt"/>
          <w:noProof w:val="0"/>
          <w:lang w:val="pt-P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1B14" w:rsidTr="00D93A87">
        <w:trPr>
          <w:jc w:val="center"/>
        </w:trPr>
        <w:tc>
          <w:tcPr>
            <w:tcW w:w="9752" w:type="dxa"/>
            <w:gridSpan w:val="2"/>
          </w:tcPr>
          <w:p w:rsidR="000412AA" w:rsidRPr="000412AA" w:rsidRDefault="000412AA" w:rsidP="00D93A87">
            <w:pPr>
              <w:keepNext/>
              <w:rPr>
                <w:lang w:val="pt-PT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0412AA" w:rsidRDefault="00640B06" w:rsidP="00D93A87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0412AA" w:rsidRPr="000412AA" w:rsidRDefault="00640B06" w:rsidP="00D93A87">
            <w:pPr>
              <w:pStyle w:val="ColumnHeading"/>
              <w:keepNext/>
            </w:pPr>
            <w:r>
              <w:t>Pozměňovací návrh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0412AA" w:rsidRDefault="00640B06" w:rsidP="00D93A87">
            <w:pPr>
              <w:pStyle w:val="Normal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Článek 1</w:t>
            </w:r>
          </w:p>
        </w:tc>
        <w:tc>
          <w:tcPr>
            <w:tcW w:w="4876" w:type="dxa"/>
          </w:tcPr>
          <w:p w:rsidR="000412AA" w:rsidRPr="000412AA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0412AA" w:rsidRDefault="00640B06" w:rsidP="00D93A87">
            <w:pPr>
              <w:pStyle w:val="Normal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Změny nařízení (EU) 2019/816</w:t>
            </w:r>
          </w:p>
        </w:tc>
        <w:tc>
          <w:tcPr>
            <w:tcW w:w="4876" w:type="dxa"/>
          </w:tcPr>
          <w:p w:rsidR="000412AA" w:rsidRPr="000412AA" w:rsidRDefault="000412AA" w:rsidP="00D93A87">
            <w:pPr>
              <w:pStyle w:val="Normal6"/>
              <w:rPr>
                <w:b/>
                <w:i/>
                <w:lang w:val="pt-PT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Nařízení (EU) 2019/816 se mění takto: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  <w:lang w:val="pt-PT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V článku 1 se doplňuje nové písmeno e), které zní: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  <w:lang w:val="pt-PT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 xml:space="preserve">„e) </w:t>
            </w:r>
            <w:r>
              <w:rPr>
                <w:b/>
                <w:i/>
              </w:rPr>
              <w:tab/>
              <w:t>stanovují podmínky, za nichž příslušné orgány používají ECRIS-TCN, aby mohly provést bezpečnostní kontrolu v souladu s nařízením (EU) …/…</w:t>
            </w:r>
            <w:r>
              <w:rPr>
                <w:b/>
                <w:i/>
                <w:vertAlign w:val="superscript"/>
              </w:rPr>
              <w:t>28</w:t>
            </w:r>
            <w:r>
              <w:rPr>
                <w:b/>
                <w:i/>
              </w:rPr>
              <w:t xml:space="preserve"> [nařízení o prověřování]*.“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_________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*</w:t>
            </w:r>
            <w:r>
              <w:rPr>
                <w:b/>
                <w:i/>
              </w:rPr>
              <w:tab/>
              <w:t>Nařízení (EU) …/… [nařízení, kterým se zavádí prověřování státních příslušníků třetích zemí na vnějších hranicích a mění nařízení (ES) č. 767/2008, (EU) 2017/2226, (EU) 2018/1240 a (EU) 2019/817] (Úř. věst. ...).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Článek 2 se nahrazuje tímto: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„Článek 2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Oblast působnosti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Toto nařízení se vztahuje na zpracovávání informací o totožnosti státních příslušníků třetích zemí, kteří byli odsouzeni v členských státech, za účelem zjištění členských států, v nichž byla taková odsouzení vydána[, a za účelem správy hranic]</w:t>
            </w:r>
            <w:r>
              <w:rPr>
                <w:b/>
                <w:i/>
                <w:vertAlign w:val="superscript"/>
              </w:rPr>
              <w:t>29</w:t>
            </w:r>
            <w:r>
              <w:rPr>
                <w:b/>
                <w:i/>
              </w:rPr>
              <w:t>. S výjimkou čl. 5 odst. 1 písm. b) bodu ii) se ustanovení tohoto nařízení, která se vztahují na státní příslušníky třetích zemí, vztahují rovněž na občany Unie, kteří jsou zároveň státními příslušníky třetí země a kteří byli odsouzeni v členských státech.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Toto nařízení též: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usnadňuje a podporuje správné zjištění totožnosti osob v souladu s tímto nařízením a s nařízením (EU) 2019/818;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podporuje cíle nařízení (EU) …/… [nařízení o prověřování], pokud jde o provádění bezpečnostních kontrol.“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V článku 3 se bod 6 nahrazuje tímto: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  <w:lang w:val="pl-PL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6) „příslušnými orgány“ ústřední orgány a Eurojust, Europol, Úřad evropského veřejného žalobce[, Ústřední jednotka ETIAS, zřízená v rámci Evropské agentury pro pohraniční a pobřežní stráž,]</w:t>
            </w:r>
            <w:r>
              <w:rPr>
                <w:b/>
                <w:i/>
                <w:vertAlign w:val="superscript"/>
              </w:rPr>
              <w:t>30</w:t>
            </w:r>
            <w:r>
              <w:rPr>
                <w:b/>
                <w:i/>
              </w:rPr>
              <w:t xml:space="preserve"> a orgány uvedené v čl. 6 odst. 7 prvním pododstavci nařízení (EU) …/… [nařízení o prověřování], jež jsou příslušné k přístupu do ECRIS-TCN a k vyhledávání v něm v souladu s tímto nařízením;“.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>Článek 5 se mění takto: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v odstavci 1 se doplňuje nové písmeno c), které zní: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„c)</w:t>
            </w:r>
            <w:r>
              <w:rPr>
                <w:b/>
                <w:i/>
              </w:rPr>
              <w:tab/>
              <w:t>označení uvádějící pro účely [nařízení (EU) 2018/1240 a článků 11 a 12 nařízení (EU) .../... [nařízení o prověřování], že dotčený státní příslušník třetí země byl odsouzen za teroristický trestný čin nebo jiný trestný čin uvedený v příloze nařízení (EU) 2018/1240, pokud za něj lze podle vnitrostátního práva uložit trest odnětí svobody s horní hranicí sazby v délce nejméně tři roky nebo ochranné opatření spojené s omezením svobody ve stejné délce, přičemž se v takových případech uvede kód odsuzujícího členského státu nebo členských států.“;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za odstavec 6 se doplňuje nový odstavec 7, který zní: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„7.</w:t>
            </w:r>
            <w:r>
              <w:rPr>
                <w:b/>
                <w:i/>
              </w:rPr>
              <w:tab/>
              <w:t>Jestliže je na základě bezpečnostní kontroly uvedené v článcích 11 a 12 nařízení (EU) …/… [nařízení o prověřování] zjištěn pozitivní nález, mají k označení a kódu (kódům) odsuzujícího členského státu (členských států) uvedeným v odst. 1 písm. c) tohoto článku přístup a mohou v nich vyhledávat pouze příslušné orgány uvedené v čl. 6 odst. 7 nařízení (EU) …/… [nařízení o prověřování] pro účely uvedeného nařízení.“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ab/>
              <w:t>V článku 7 se odstavec 7 nahrazuje tímto: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  <w:lang w:val="pl-PL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„7.   V případě pozitivního nálezu poskytne centrální systém příslušnému orgánu automaticky informace o členských státech, jež mají informace z rejstříku trestů o státním příslušníku třetí země, spolu se souvisejícími referenčními čísly uvedenými v čl. 5 odst. 1 a odpovídajícími informacemi o totožnosti. Tyto informace o totožnosti se použijí pouze za účelem ověření totožnosti dotyčného státního příslušníka třetí země. Výsledek vyhledávání v centrálním systému lze využít pouze pro účely: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podání žádosti podle článku 6 rámcového rozhodnutí 2009/315/SVV;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podání žádosti podle čl. 17 odst. 3 tohoto nařízení;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[správy hranic]</w:t>
            </w:r>
            <w:r>
              <w:rPr>
                <w:b/>
                <w:i/>
                <w:vertAlign w:val="superscript"/>
              </w:rPr>
              <w:t>31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0412AA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>posouzení, zda by státní příslušník třetí země podrobený kontrole při prověřování mohl představovat hrozbu pro veřejný pořádek nebo veřejnou bezpečnost v souladu s nařízením (EU) .../... [nařízení o prověřování].“</w:t>
            </w:r>
          </w:p>
        </w:tc>
        <w:tc>
          <w:tcPr>
            <w:tcW w:w="4876" w:type="dxa"/>
          </w:tcPr>
          <w:p w:rsidR="000412AA" w:rsidRPr="000412AA" w:rsidRDefault="000412AA" w:rsidP="00D93A87">
            <w:pPr>
              <w:pStyle w:val="Normal6"/>
              <w:rPr>
                <w:b/>
                <w:i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ab/>
              <w:t>Za článek 7 se vkládá nový článek 7a, který zní: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„Článek 7a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Používání ECRIS-TCN pro účely prověřování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Příslušné orgány uvedené v čl. 6 odst. 7 nařízení (EU) .../... [nařízení o prověřování] mají právo na přístup do databáze Evropského informačního systému rejstříků trestů pro státní příslušníky třetích zemí (ECRIS-TCN) a na vyhledávání v této databázi přes Evropský vyhledávací portál stanovený v článku 6 nařízení (EU) 2019/818 za účelem plnění úkolů, které jim byly svěřeny článkem 11 nařízení (EU) …/… [nařízení o prověřování].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Pro účely bezpečnostní kontroly uvedené v článku 11 nařízení (EU) .../... [nařízení o prověřování] mají příslušné orgány uvedené v prvním pododstavci přístup pouze k datovým záznamům v CIR, k nimž bylo přidáno označení v souladu s čl. 5 odst. 1 písm. c) tohoto nařízení.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Nahlížení do vnitrostátních rejstříků trestů na základě označených údajů ECRIS-TCN probíhá v souladu s vnitrostátními právními předpisy a za použití vnitrostátních komunikačních kanálů. Příslušné vnitrostátní orgány vydají orgánům příslušným k prověřování, jež jsou uvedeny v čl. 6 odst. 7 nařízení (EU) …/… [nařízení o prověřování] stanovisko do dvou dní, pokud se prověřování provádí na území členských států, nebo do čtyř dní, pokud se prověřování provádí na vnějších hranicích. Neobdržení stanoviska v těchto lhůtách znamená, že neexistují žádné bezpečnostní důvody, které by měly být zohledněny.“</w:t>
            </w:r>
          </w:p>
        </w:tc>
        <w:tc>
          <w:tcPr>
            <w:tcW w:w="4876" w:type="dxa"/>
          </w:tcPr>
          <w:p w:rsidR="000412AA" w:rsidRPr="00640B06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7.</w:t>
            </w:r>
            <w:r>
              <w:rPr>
                <w:b/>
                <w:i/>
              </w:rPr>
              <w:tab/>
              <w:t>V článku 24 se odstavec 1 nahrazuje tímto: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  <w:lang w:val="pl-PL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„1.   Údaje vložené do centrálního systému a CIR se zpracovávají pouze za účelem: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identifikace členských států, jež mají informace z rejstříku trestů o státních příslušnících třetích zemí;</w:t>
            </w:r>
          </w:p>
        </w:tc>
        <w:tc>
          <w:tcPr>
            <w:tcW w:w="4876" w:type="dxa"/>
          </w:tcPr>
          <w:p w:rsidR="000412AA" w:rsidRPr="00ED665D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[správy hranic]</w:t>
            </w:r>
            <w:r>
              <w:rPr>
                <w:b/>
                <w:i/>
                <w:vertAlign w:val="superscript"/>
              </w:rPr>
              <w:t>32</w:t>
            </w:r>
            <w:r>
              <w:rPr>
                <w:b/>
                <w:i/>
              </w:rPr>
              <w:t xml:space="preserve"> nebo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0412AA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prověřování podle článku 11 nařízení (EU) …/… [nařízení o prověřování].“</w:t>
            </w:r>
          </w:p>
        </w:tc>
        <w:tc>
          <w:tcPr>
            <w:tcW w:w="4876" w:type="dxa"/>
          </w:tcPr>
          <w:p w:rsidR="000412AA" w:rsidRPr="000412AA" w:rsidRDefault="000412AA" w:rsidP="00D93A87">
            <w:pPr>
              <w:pStyle w:val="Normal6"/>
              <w:rPr>
                <w:b/>
                <w:i/>
                <w:lang w:val="en-GB"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___________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28 Úř. věst. …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29 COM/2019/3 final.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30 Op. cit., poznámka pod čarou č. 29.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31 Op. cit., poznámka pod čarou č. 29.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  <w:tr w:rsidR="000E1B14" w:rsidTr="00D93A87">
        <w:trPr>
          <w:jc w:val="center"/>
        </w:trPr>
        <w:tc>
          <w:tcPr>
            <w:tcW w:w="4876" w:type="dxa"/>
          </w:tcPr>
          <w:p w:rsidR="000412AA" w:rsidRPr="00D77D00" w:rsidRDefault="00640B06" w:rsidP="00D93A8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32 Op. cit., poznámka pod čarou č. 29.</w:t>
            </w:r>
          </w:p>
        </w:tc>
        <w:tc>
          <w:tcPr>
            <w:tcW w:w="4876" w:type="dxa"/>
          </w:tcPr>
          <w:p w:rsidR="000412AA" w:rsidRPr="00D77D00" w:rsidRDefault="000412AA" w:rsidP="00D93A87">
            <w:pPr>
              <w:pStyle w:val="Normal6"/>
              <w:rPr>
                <w:b/>
                <w:i/>
              </w:rPr>
            </w:pPr>
          </w:p>
        </w:tc>
      </w:tr>
    </w:tbl>
    <w:p w:rsidR="000412AA" w:rsidRPr="00D77D00" w:rsidRDefault="00640B06" w:rsidP="000412AA">
      <w:pPr>
        <w:pStyle w:val="Olang"/>
        <w:rPr>
          <w:sz w:val="24"/>
          <w:szCs w:val="24"/>
        </w:rPr>
      </w:pPr>
      <w:r w:rsidRPr="00D77D00">
        <w:rPr>
          <w:sz w:val="24"/>
          <w:szCs w:val="24"/>
        </w:rPr>
        <w:t xml:space="preserve">Or. </w:t>
      </w:r>
      <w:r w:rsidRPr="00D77D00">
        <w:rPr>
          <w:rStyle w:val="HideTWBExt"/>
          <w:noProof w:val="0"/>
        </w:rPr>
        <w:t>&lt;Original&gt;</w:t>
      </w:r>
      <w:r w:rsidRPr="00D77D00">
        <w:rPr>
          <w:rStyle w:val="HideTWBInt"/>
          <w:sz w:val="24"/>
          <w:szCs w:val="24"/>
        </w:rPr>
        <w:t>{EN}</w:t>
      </w:r>
      <w:r w:rsidRPr="00D77D00">
        <w:rPr>
          <w:sz w:val="24"/>
          <w:szCs w:val="24"/>
        </w:rPr>
        <w:t>en</w:t>
      </w:r>
      <w:r w:rsidRPr="00D77D00">
        <w:rPr>
          <w:rStyle w:val="HideTWBExt"/>
          <w:noProof w:val="0"/>
        </w:rPr>
        <w:t>&lt;/Original&gt;</w:t>
      </w:r>
    </w:p>
    <w:p w:rsidR="000412AA" w:rsidRPr="00D77D00" w:rsidRDefault="00640B06" w:rsidP="000412AA">
      <w:pPr>
        <w:pStyle w:val="JustificationTitle"/>
        <w:rPr>
          <w:noProof w:val="0"/>
        </w:rPr>
      </w:pPr>
      <w:r w:rsidRPr="00ED665D">
        <w:rPr>
          <w:rStyle w:val="HideTWBExt"/>
          <w:i w:val="0"/>
          <w:noProof w:val="0"/>
        </w:rPr>
        <w:t>&lt;TitreJust&gt;</w:t>
      </w:r>
      <w:r>
        <w:rPr>
          <w:noProof w:val="0"/>
        </w:rPr>
        <w:t>Odůvodnění</w:t>
      </w:r>
      <w:r w:rsidRPr="00ED665D">
        <w:rPr>
          <w:rStyle w:val="HideTWBExt"/>
          <w:i w:val="0"/>
          <w:noProof w:val="0"/>
        </w:rPr>
        <w:t>&lt;/TitreJust&gt;</w:t>
      </w:r>
    </w:p>
    <w:p w:rsidR="000412AA" w:rsidRPr="00D77D00" w:rsidRDefault="00640B06" w:rsidP="000412AA">
      <w:pPr>
        <w:pStyle w:val="Normal12Italic"/>
        <w:rPr>
          <w:noProof w:val="0"/>
        </w:rPr>
      </w:pPr>
      <w:r>
        <w:rPr>
          <w:noProof w:val="0"/>
        </w:rPr>
        <w:t>Zpravodajka není přesvědčena, že by k účinnému provádění prověřování byla nutná  ustanovení udělující všeobecná přístupová práva příslušným orgánům</w:t>
      </w:r>
    </w:p>
    <w:p w:rsidR="000412AA" w:rsidRPr="00D77D00" w:rsidRDefault="00640B06" w:rsidP="000412AA">
      <w:r>
        <w:rPr>
          <w:rStyle w:val="HideTWBExt"/>
          <w:noProof w:val="0"/>
        </w:rPr>
        <w:t>&lt;/Amend&gt;</w:t>
      </w:r>
    </w:p>
    <w:p w:rsidR="000412AA" w:rsidRPr="00D77D00" w:rsidRDefault="00640B06" w:rsidP="000412AA">
      <w:r>
        <w:t xml:space="preserve"> </w:t>
      </w:r>
      <w:r>
        <w:rPr>
          <w:rStyle w:val="HideTWBExt"/>
          <w:noProof w:val="0"/>
        </w:rPr>
        <w:t>&lt;/RepeatBlock-Amend&gt;</w:t>
      </w:r>
    </w:p>
    <w:p w:rsidR="000412AA" w:rsidRPr="00D77D00" w:rsidRDefault="000412AA" w:rsidP="000412AA">
      <w:pPr>
        <w:sectPr w:rsidR="000412AA" w:rsidRPr="00D77D00" w:rsidSect="000412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412AA" w:rsidRPr="00D77D00" w:rsidRDefault="00640B06" w:rsidP="000412AA">
      <w:pPr>
        <w:pStyle w:val="PageHeading"/>
      </w:pPr>
      <w:bookmarkStart w:id="2" w:name="_Toc88208270"/>
      <w:bookmarkStart w:id="3" w:name="_Toc89067847"/>
      <w:r>
        <w:t>VYSVĚTLUJÍCÍ PROHLÁŠENÍ</w:t>
      </w:r>
      <w:bookmarkEnd w:id="2"/>
      <w:bookmarkEnd w:id="3"/>
    </w:p>
    <w:p w:rsidR="000412AA" w:rsidRPr="00D77D00" w:rsidRDefault="00640B06" w:rsidP="000412AA">
      <w:pPr>
        <w:pStyle w:val="NoSpacing"/>
        <w:spacing w:after="240"/>
        <w:rPr>
          <w:szCs w:val="24"/>
        </w:rPr>
      </w:pPr>
      <w:r>
        <w:t>Zpravodajka v tomto prohlášení představí hlavní důvody změn předložených v návrhu zprávy o návrhu nařízení Evropského parlamentu a Rady, kterým se mění nařízení (EU) 2019/816 (ECRIS-TCN) a nařízení (EU) 2019/818 o interoperabilitě policejní a justiční spolupráce, azylu a migrace a kterým se mění nařízení (EU) 2018/1726, (EU) 2018/1862 a (EU) 2019/816 za účelem zavedení prověřování státních příslušníků třetích zemí na vnějších hranicích 2021/0046 (COD), který přijala Komise v březnu 2021.</w:t>
      </w:r>
    </w:p>
    <w:p w:rsidR="000412AA" w:rsidRPr="00D77D00" w:rsidRDefault="00640B06" w:rsidP="000412AA">
      <w:pPr>
        <w:spacing w:after="240"/>
        <w:jc w:val="both"/>
        <w:rPr>
          <w:rFonts w:eastAsia="Calibri"/>
        </w:rPr>
      </w:pPr>
      <w:r>
        <w:t>Tímto nařízením usiluje Komise o provedení samostatné změny nařízení  2019/816, aby se poskytla přístupová práva s ohledem na navrhované nařízení o prověřování a změnilo se nařízení (EU) 2019/818,a to kvůli rozdílným právním základům a proměnlivé geometrii.</w:t>
      </w:r>
    </w:p>
    <w:p w:rsidR="000412AA" w:rsidRPr="00D77D00" w:rsidRDefault="00640B06" w:rsidP="000412AA">
      <w:pPr>
        <w:spacing w:after="240"/>
        <w:jc w:val="both"/>
      </w:pPr>
      <w:r>
        <w:t xml:space="preserve">Od jmenování zpravodajky dne 22. března 2021 proběhlo několik výměn názorů, včetně schůzí se stínovými zpravodaji, a schůzí s vnějšími zúčastněnými stranami. </w:t>
      </w:r>
    </w:p>
    <w:p w:rsidR="000412AA" w:rsidRPr="00D77D00" w:rsidRDefault="00640B06" w:rsidP="000412AA">
      <w:pPr>
        <w:autoSpaceDE w:val="0"/>
        <w:autoSpaceDN w:val="0"/>
        <w:adjustRightInd w:val="0"/>
        <w:spacing w:after="240"/>
        <w:jc w:val="both"/>
      </w:pPr>
      <w:r>
        <w:t xml:space="preserve">Zpravodajka sdílí obecný cíl Komise, kterým je umožnit, aby bylo během prověřování možné používat společné uložiště o totožnosti (CIR) a Evropský informační systém rejstříků trestů pro státní příslušníky třetích zemí (ECRIS-TCN).  Zpravodajka nicméně není přesvědčena o tom, že by pro účinné provádění prověřování byla nezbytná ustanovení týkající se udělení všeobecných přístupových práv příslušným orgánům. </w:t>
      </w:r>
    </w:p>
    <w:p w:rsidR="000412AA" w:rsidRPr="00D77D00" w:rsidRDefault="00640B06" w:rsidP="000412AA">
      <w:pPr>
        <w:spacing w:after="240"/>
        <w:jc w:val="both"/>
      </w:pPr>
      <w:r>
        <w:t xml:space="preserve">Vyjadřuje politování nad tím, že Komise neprovedla posouzení dopadu zaměřené na návrh týkající se prověřování a na tento související návrh.  Zpravodajka by ráda vyjádřila svůj vděk oddělení pro předběžné posuzování v rámci výzkumné služby Evropského parlamentu a příslušným smluvním partnerům za jejich práci na  alternativním posouzení horizontálního dopadu  na nový pakt o migraci a azylu. Dále by také ráda ocenila práci autorů studie tematické sekce Evropského parlamentu pro občanská práva a ústavní záležitosti. </w:t>
      </w:r>
    </w:p>
    <w:p w:rsidR="000412AA" w:rsidRPr="00D77D00" w:rsidRDefault="000412AA" w:rsidP="000412AA">
      <w:pPr>
        <w:spacing w:after="240"/>
        <w:jc w:val="both"/>
      </w:pPr>
    </w:p>
    <w:p w:rsidR="000412AA" w:rsidRPr="00D77D00" w:rsidRDefault="000412AA" w:rsidP="000412AA">
      <w:pPr>
        <w:jc w:val="both"/>
      </w:pPr>
    </w:p>
    <w:p w:rsidR="002669B6" w:rsidRPr="001971E7" w:rsidRDefault="002669B6" w:rsidP="000412AA"/>
    <w:sectPr w:rsidR="002669B6" w:rsidRPr="001971E7" w:rsidSect="000412AA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1AA" w:rsidRDefault="00640B06">
      <w:r>
        <w:separator/>
      </w:r>
    </w:p>
  </w:endnote>
  <w:endnote w:type="continuationSeparator" w:id="0">
    <w:p w:rsidR="004461AA" w:rsidRDefault="0064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AA" w:rsidRDefault="00640B06" w:rsidP="000412AA">
    <w:pPr>
      <w:pStyle w:val="EPFooter"/>
    </w:pPr>
    <w:r>
      <w:t>PE</w:t>
    </w:r>
    <w:r w:rsidRPr="000412AA">
      <w:rPr>
        <w:rStyle w:val="HideTWBExt"/>
      </w:rPr>
      <w:t>&lt;NoPE&gt;</w:t>
    </w:r>
    <w:r>
      <w:t>700.426</w:t>
    </w:r>
    <w:r w:rsidRPr="000412AA">
      <w:rPr>
        <w:rStyle w:val="HideTWBExt"/>
      </w:rPr>
      <w:t>&lt;/NoPE&gt;&lt;Version&gt;</w:t>
    </w:r>
    <w:r>
      <w:t>v01-00</w:t>
    </w:r>
    <w:r w:rsidRPr="000412AA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F6686A">
      <w:rPr>
        <w:noProof/>
      </w:rPr>
      <w:t>10</w:t>
    </w:r>
    <w:r>
      <w:fldChar w:fldCharType="end"/>
    </w:r>
    <w:r>
      <w:t>/</w:t>
    </w:r>
    <w:r w:rsidR="0048001F">
      <w:fldChar w:fldCharType="begin"/>
    </w:r>
    <w:r>
      <w:instrText xml:space="preserve"> NUMPAGES  \* MERGEFORMAT </w:instrText>
    </w:r>
    <w:r w:rsidR="0048001F">
      <w:fldChar w:fldCharType="separate"/>
    </w:r>
    <w:r w:rsidR="00F6686A">
      <w:rPr>
        <w:noProof/>
      </w:rPr>
      <w:t>15</w:t>
    </w:r>
    <w:r w:rsidR="0048001F">
      <w:rPr>
        <w:noProof/>
      </w:rPr>
      <w:fldChar w:fldCharType="end"/>
    </w:r>
    <w:r>
      <w:tab/>
    </w:r>
    <w:r w:rsidRPr="000412AA">
      <w:rPr>
        <w:rStyle w:val="HideTWBExt"/>
      </w:rPr>
      <w:t>&lt;PathFdR&gt;</w:t>
    </w:r>
    <w:r>
      <w:t>PR\1243214CS.docx</w:t>
    </w:r>
    <w:r w:rsidRPr="000412AA">
      <w:rPr>
        <w:rStyle w:val="HideTWBExt"/>
      </w:rPr>
      <w:t>&lt;/PathFdR&gt;</w:t>
    </w:r>
  </w:p>
  <w:p w:rsidR="000412AA" w:rsidRPr="00537246" w:rsidRDefault="00640B06" w:rsidP="000412AA">
    <w:pPr>
      <w:pStyle w:val="EPFooter2"/>
    </w:pPr>
    <w:r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AA" w:rsidRDefault="00640B06" w:rsidP="000412AA">
    <w:pPr>
      <w:pStyle w:val="EPFooter"/>
      <w:rPr>
        <w:lang w:val="fr-FR"/>
      </w:rPr>
    </w:pPr>
    <w:r w:rsidRPr="000412AA">
      <w:rPr>
        <w:rStyle w:val="HideTWBExt"/>
      </w:rPr>
      <w:t>&lt;PathFdR&gt;</w:t>
    </w:r>
    <w:r>
      <w:rPr>
        <w:lang w:val="fr-FR"/>
      </w:rPr>
      <w:t>PR\1243214CS.docx</w:t>
    </w:r>
    <w:r w:rsidRPr="000412AA">
      <w:rPr>
        <w:rStyle w:val="HideTWBExt"/>
      </w:rPr>
      <w:t>&lt;/PathFdR&gt;</w:t>
    </w:r>
    <w:r>
      <w:rPr>
        <w:lang w:val="fr-FR"/>
      </w:rPr>
      <w:tab/>
    </w:r>
    <w:r>
      <w:rPr>
        <w:lang w:val="fr-FR"/>
      </w:rPr>
      <w:fldChar w:fldCharType="begin"/>
    </w:r>
    <w:r>
      <w:rPr>
        <w:lang w:val="fr-FR"/>
      </w:rPr>
      <w:instrText xml:space="preserve"> PAGE  \* MERGEFORMAT </w:instrText>
    </w:r>
    <w:r>
      <w:rPr>
        <w:lang w:val="fr-FR"/>
      </w:rPr>
      <w:fldChar w:fldCharType="separate"/>
    </w:r>
    <w:r w:rsidR="00F6686A">
      <w:rPr>
        <w:noProof/>
        <w:lang w:val="fr-FR"/>
      </w:rPr>
      <w:t>9</w:t>
    </w:r>
    <w:r>
      <w:rPr>
        <w:lang w:val="fr-FR"/>
      </w:rPr>
      <w:fldChar w:fldCharType="end"/>
    </w:r>
    <w:r>
      <w:rPr>
        <w:lang w:val="fr-FR"/>
      </w:rPr>
      <w:t>/</w:t>
    </w:r>
    <w:r>
      <w:rPr>
        <w:lang w:val="fr-FR"/>
      </w:rPr>
      <w:fldChar w:fldCharType="begin"/>
    </w:r>
    <w:r>
      <w:rPr>
        <w:lang w:val="fr-FR"/>
      </w:rPr>
      <w:instrText xml:space="preserve"> NUMPAGES  \* MERGEFORMAT </w:instrText>
    </w:r>
    <w:r>
      <w:rPr>
        <w:lang w:val="fr-FR"/>
      </w:rPr>
      <w:fldChar w:fldCharType="separate"/>
    </w:r>
    <w:r w:rsidR="00F6686A">
      <w:rPr>
        <w:noProof/>
        <w:lang w:val="fr-FR"/>
      </w:rPr>
      <w:t>15</w:t>
    </w:r>
    <w:r>
      <w:rPr>
        <w:lang w:val="fr-FR"/>
      </w:rPr>
      <w:fldChar w:fldCharType="end"/>
    </w:r>
    <w:r>
      <w:rPr>
        <w:lang w:val="fr-FR"/>
      </w:rPr>
      <w:tab/>
      <w:t>PE</w:t>
    </w:r>
    <w:r w:rsidRPr="000412AA">
      <w:rPr>
        <w:rStyle w:val="HideTWBExt"/>
      </w:rPr>
      <w:t>&lt;NoPE&gt;</w:t>
    </w:r>
    <w:r>
      <w:rPr>
        <w:lang w:val="fr-FR"/>
      </w:rPr>
      <w:t>700.426</w:t>
    </w:r>
    <w:r w:rsidRPr="000412AA">
      <w:rPr>
        <w:rStyle w:val="HideTWBExt"/>
      </w:rPr>
      <w:t>&lt;/NoPE&gt;&lt;Version&gt;</w:t>
    </w:r>
    <w:r>
      <w:rPr>
        <w:lang w:val="fr-FR"/>
      </w:rPr>
      <w:t>v01-00</w:t>
    </w:r>
    <w:r w:rsidRPr="000412AA">
      <w:rPr>
        <w:rStyle w:val="HideTWBExt"/>
      </w:rPr>
      <w:t>&lt;/Version&gt;</w:t>
    </w:r>
  </w:p>
  <w:p w:rsidR="000412AA" w:rsidRPr="00102201" w:rsidRDefault="00640B06" w:rsidP="000412AA">
    <w:pPr>
      <w:pStyle w:val="EPFooter2"/>
      <w:rPr>
        <w:lang w:val="fr-FR"/>
      </w:rPr>
    </w:pPr>
    <w:r>
      <w:rPr>
        <w:lang w:val="fr-FR"/>
      </w:rPr>
      <w:tab/>
    </w:r>
    <w:r>
      <w:rPr>
        <w:lang w:val="fr-FR"/>
      </w:rPr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AA" w:rsidRDefault="00640B06" w:rsidP="000412AA">
    <w:pPr>
      <w:pStyle w:val="EPFooter"/>
    </w:pPr>
    <w:r w:rsidRPr="000412AA">
      <w:rPr>
        <w:rStyle w:val="HideTWBExt"/>
      </w:rPr>
      <w:t>&lt;PathFdR&gt;</w:t>
    </w:r>
    <w:r>
      <w:t>PR\1243214CS.docx</w:t>
    </w:r>
    <w:r w:rsidRPr="000412AA">
      <w:rPr>
        <w:rStyle w:val="HideTWBExt"/>
      </w:rPr>
      <w:t>&lt;/PathFdR&gt;</w:t>
    </w:r>
    <w:r>
      <w:tab/>
    </w:r>
    <w:r>
      <w:tab/>
      <w:t>PE</w:t>
    </w:r>
    <w:r w:rsidRPr="000412AA">
      <w:rPr>
        <w:rStyle w:val="HideTWBExt"/>
      </w:rPr>
      <w:t>&lt;NoPE&gt;</w:t>
    </w:r>
    <w:r>
      <w:t>700.426</w:t>
    </w:r>
    <w:r w:rsidRPr="000412AA">
      <w:rPr>
        <w:rStyle w:val="HideTWBExt"/>
      </w:rPr>
      <w:t>&lt;/NoPE&gt;&lt;Version&gt;</w:t>
    </w:r>
    <w:r>
      <w:t>v01-00</w:t>
    </w:r>
    <w:r w:rsidRPr="000412AA">
      <w:rPr>
        <w:rStyle w:val="HideTWBExt"/>
      </w:rPr>
      <w:t>&lt;/Version&gt;</w:t>
    </w:r>
  </w:p>
  <w:p w:rsidR="000412AA" w:rsidRPr="00537246" w:rsidRDefault="00640B06" w:rsidP="000412AA">
    <w:pPr>
      <w:pStyle w:val="EPFooter2"/>
    </w:pPr>
    <w:r>
      <w:t>CS</w:t>
    </w:r>
    <w:r>
      <w:tab/>
    </w:r>
    <w:r w:rsidRPr="000412AA">
      <w:rPr>
        <w:b w:val="0"/>
        <w:i/>
        <w:color w:val="C0C0C0"/>
        <w:sz w:val="22"/>
      </w:rPr>
      <w:t>Jednotná v rozmanitosti</w:t>
    </w:r>
    <w:r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1971E7" w:rsidRDefault="00640B06" w:rsidP="00F07062">
    <w:pPr>
      <w:pStyle w:val="EPFooter"/>
    </w:pPr>
    <w:r w:rsidRPr="001971E7">
      <w:rPr>
        <w:rStyle w:val="HideTWBExt"/>
        <w:noProof w:val="0"/>
      </w:rPr>
      <w:t>&lt;PathFdR&gt;</w:t>
    </w:r>
    <w:r w:rsidR="000412AA" w:rsidRPr="000412AA">
      <w:rPr>
        <w:color w:val="auto"/>
      </w:rPr>
      <w:t>PR\1243214CS.docx</w:t>
    </w:r>
    <w:r w:rsidRPr="001971E7">
      <w:rPr>
        <w:rStyle w:val="HideTWBExt"/>
        <w:noProof w:val="0"/>
      </w:rPr>
      <w:t>&lt;/PathFdR&gt;</w:t>
    </w:r>
    <w:r w:rsidRPr="001971E7">
      <w:tab/>
    </w:r>
    <w:r w:rsidRPr="001971E7">
      <w:tab/>
      <w:t>PE</w:t>
    </w:r>
    <w:r w:rsidRPr="001971E7">
      <w:rPr>
        <w:rStyle w:val="HideTWBExt"/>
        <w:noProof w:val="0"/>
      </w:rPr>
      <w:t>&lt;NoPE&gt;</w:t>
    </w:r>
    <w:r w:rsidR="000412AA" w:rsidRPr="000412AA">
      <w:rPr>
        <w:color w:val="auto"/>
      </w:rPr>
      <w:t>700.426</w:t>
    </w:r>
    <w:r w:rsidRPr="001971E7">
      <w:rPr>
        <w:rStyle w:val="HideTWBExt"/>
        <w:noProof w:val="0"/>
      </w:rPr>
      <w:t>&lt;/NoPE&gt;&lt;Version&gt;</w:t>
    </w:r>
    <w:r w:rsidR="001971E7" w:rsidRPr="001971E7">
      <w:t>v</w:t>
    </w:r>
    <w:r w:rsidR="000412AA" w:rsidRPr="000412AA">
      <w:rPr>
        <w:color w:val="auto"/>
      </w:rPr>
      <w:t>01-00</w:t>
    </w:r>
    <w:r w:rsidRPr="001971E7">
      <w:rPr>
        <w:rStyle w:val="HideTWBExt"/>
        <w:noProof w:val="0"/>
      </w:rPr>
      <w:t>&lt;/Version&gt;</w:t>
    </w:r>
  </w:p>
  <w:p w:rsidR="00FB52FE" w:rsidRPr="001971E7" w:rsidRDefault="0048001F" w:rsidP="00461601">
    <w:pPr>
      <w:pStyle w:val="EPFooter2"/>
      <w:tabs>
        <w:tab w:val="clear" w:pos="4535"/>
        <w:tab w:val="center" w:pos="4536"/>
      </w:tabs>
    </w:pPr>
    <w:r>
      <w:fldChar w:fldCharType="begin"/>
    </w:r>
    <w:r w:rsidR="00640B06">
      <w:instrText xml:space="preserve"> DOCPROPERTY "&lt;Extension&gt;" </w:instrText>
    </w:r>
    <w:r>
      <w:fldChar w:fldCharType="separate"/>
    </w:r>
    <w:r w:rsidR="00F6686A">
      <w:t>CS</w:t>
    </w:r>
    <w:r>
      <w:fldChar w:fldCharType="end"/>
    </w:r>
    <w:r w:rsidR="00640B06" w:rsidRPr="001971E7">
      <w:tab/>
    </w:r>
    <w:r w:rsidR="000412AA">
      <w:rPr>
        <w:b w:val="0"/>
        <w:i/>
        <w:color w:val="C0C0C0"/>
        <w:sz w:val="22"/>
        <w:szCs w:val="22"/>
      </w:rPr>
      <w:t>Jednotná v rozmanitosti</w:t>
    </w:r>
    <w:r w:rsidR="00640B06" w:rsidRPr="001971E7">
      <w:tab/>
    </w:r>
    <w:r>
      <w:fldChar w:fldCharType="begin"/>
    </w:r>
    <w:r w:rsidR="00640B06">
      <w:instrText xml:space="preserve"> DOCPROPERTY "&lt;Extension&gt;" </w:instrText>
    </w:r>
    <w:r>
      <w:fldChar w:fldCharType="separate"/>
    </w:r>
    <w:r w:rsidR="00F6686A">
      <w:t>CS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1AA" w:rsidRDefault="00640B06">
      <w:r>
        <w:separator/>
      </w:r>
    </w:p>
  </w:footnote>
  <w:footnote w:type="continuationSeparator" w:id="0">
    <w:p w:rsidR="004461AA" w:rsidRDefault="00640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AA" w:rsidRDefault="000412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AA" w:rsidRDefault="000412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AA" w:rsidRDefault="000412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LIBE"/>
    <w:docVar w:name="DOCMNU" w:val=" 1"/>
    <w:docVar w:name="EPSTATMNU" w:val=" 5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6\fbidi \froman\fcharset238\fprq2 Times New Roman CE;}{\f307\fbidi \froman\fcharset204\fprq2 Times New Roman Cyr;}_x000d__x000a_{\f309\fbidi \froman\fcharset161\fprq2 Times New Roman Greek;}{\f310\fbidi \froman\fcharset162\fprq2 Times New Roman Tur;}{\f311\fbidi \froman\fcharset177\fprq2 Times New Roman (Hebrew);}{\f312\fbidi \froman\fcharset178\fprq2 Times New Roman (Arabic);}_x000d__x000a_{\f313\fbidi \froman\fcharset186\fprq2 Times New Roman Baltic;}{\f314\fbidi \froman\fcharset163\fprq2 Times New Roman (Vietnamese);}{\f316\fbidi \fswiss\fcharset238\fprq2 Arial CE;}{\f317\fbidi \fswiss\fcharset204\fprq2 Arial Cyr;}_x000d__x000a_{\f319\fbidi \fswiss\fcharset161\fprq2 Arial Greek;}{\f320\fbidi \fswiss\fcharset162\fprq2 Arial Tur;}{\f321\fbidi \fswiss\fcharset177\fprq2 Arial (Hebrew);}{\f322\fbidi \fswiss\fcharset178\fprq2 Arial (Arabic);}_x000d__x000a_{\f323\fbidi \fswiss\fcharset186\fprq2 Arial Baltic;}{\f324\fbidi \fswiss\fcharset163\fprq2 Arial (Vietnamese);}{\f646\fbidi \froman\fcharset238\fprq2 Cambria Math CE;}{\f647\fbidi \froman\fcharset204\fprq2 Cambria Math Cyr;}_x000d__x000a_{\f649\fbidi \froman\fcharset161\fprq2 Cambria Math Greek;}{\f650\fbidi \froman\fcharset162\fprq2 Cambria Math Tur;}{\f653\fbidi \froman\fcharset186\fprq2 Cambria Math Baltic;}{\f65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75415 HideTWBExt;}{\*\cs18 \additive \v\f1\fs20\cf15 _x000d__x000a_\spriority0 \styrsid13375415 HideTWBInt;}{\s19\ql \li0\ri0\sa120\nowidctlpar\wrapdefault\aspalpha\aspnum\faauto\adjustright\rin0\lin0\itap0 \rtlch\fcs1 \af0\afs20\alang1025 \ltrch\fcs0 \fs24\lang1029\langfe2057\cgrid\langnp1029\langfenp2057 _x000d__x000a_\sbasedon0 \snext19 \spriority0 \styrsid13375415 Normal6a;}{\s20\ql \li0\ri0\nowidctlpar\wrapdefault\aspalpha\aspnum\faauto\adjustright\rin0\lin0\itap0 \rtlch\fcs1 \af0\afs20\alang1025 \ltrch\fcs0 \b\fs24\lang1029\langfe2057\cgrid\langnp1029\langfenp2057 _x000d__x000a_\sbasedon0 \snext20 \spriority0 \styrsid13375415 NormalBold;}{\s21\ql \li0\ri0\sa240\nowidctlpar\wrapdefault\aspalpha\aspnum\faauto\adjustright\rin0\lin0\itap0 \rtlch\fcs1 \af0\afs20\alang1025 \ltrch\fcs0 _x000d__x000a_\i\fs24\lang1029\langfe2057\cgrid\langnp1029\langfenp2057 \sbasedon0 \snext21 \spriority0 \styrsid13375415 AmJustText;}{\s22\qc \li0\ri0\sb240\sa240\nowidctlpar\wrapdefault\aspalpha\aspnum\faauto\adjustright\rin0\lin0\itap0 \rtlch\fcs1 _x000d__x000a_\af0\afs20\alang1025 \ltrch\fcs0 \i\fs24\lang1029\langfe2057\cgrid\langnp1029\langfenp2057 \sbasedon0 \snext22 \spriority0 \styrsid13375415 AmCrossRef;}{_x000d__x000a_\s23\qc \li0\ri0\sb240\sa240\keepn\nowidctlpar\wrapdefault\aspalpha\aspnum\faauto\adjustright\rin0\lin0\itap0 \rtlch\fcs1 \af0\afs20\alang1025 \ltrch\fcs0 \i\fs24\lang1029\langfe2057\cgrid\langnp1029\langfenp2057 _x000d__x000a_\sbasedon0 \snext21 \spriority0 \styrsid13375415 AmJustTitle;}{\s24\qr \li0\ri0\sb240\sa240\nowidctlpar\wrapdefault\aspalpha\aspnum\faauto\adjustright\rin0\lin0\itap0 \rtlch\fcs1 \af0\afs20\alang1025 \ltrch\fcs0 _x000d__x000a_\fs24\lang1029\langfe2057\cgrid\langnp1029\langfenp2057 \sbasedon0 \snext24 \spriority0 \styrsid13375415 AmOrLang;}{\s25\qc \li0\ri0\sa240\nowidctlpar\wrapdefault\aspalpha\aspnum\faauto\adjustright\rin0\lin0\itap0 \rtlch\fcs1 \af0\afs20\alang1025 _x000d__x000a_\ltrch\fcs0 \i\fs24\lang1029\langfe2057\cgrid\langnp1029\langfenp2057 \sbasedon0 \snext25 \spriority0 \styrsid133754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13375415 AmNumberTabs;}{\s27\ql \li0\ri0\sb240\nowidctlpar\wrapdefault\aspalpha\aspnum\faauto\adjustright\rin0\lin0\itap0 \rtlch\fcs1 _x000d__x000a_\af0\afs20\alang1025 \ltrch\fcs0 \b\fs24\lang1029\langfe2057\cgrid\langnp1029\langfenp2057 \sbasedon0 \snext27 \spriority0 \styrsid13375415 NormalBold12b;}}{\*\rsidtbl \rsid24658\rsid223860\rsid735077\rsid1718133\rsid2892074\rsid3565327\rsid4666813_x000d__x000a_\rsid6641733\rsid7823322\rsid9636012\rsid10377208\rsid11215221\rsid11549030\rsid12154954\rsid13375415\rsid13906881\rsid14382809\rsid14424199\rsid15204470\rsid15285974\rsid15950462\rsid16324206\rsid16662270}{\mmathPr\mmathFont34\mbrkBin0\mbrkBinSub0_x000d__x000a_\msmallFrac0\mdispDef1\mlMargin0\mrMargin0\mdefJc1\mwrapIndent1440\mintLim0\mnaryLim1}{\info{\author SODOMKOVA Renata}{\operator SODOMKOVA Renata}{\creatim\yr2021\mo11\dy22\hr11\min42}{\revtim\yr2021\mo11\dy22\hr11\min42}{\version1}{\edmins0}{\nofpages1}_x000d__x000a_{\nofwords96}{\nofchars608}{\nofcharsws699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33754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90688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068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068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0688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375415 \rtlch\fcs1 _x000d__x000a_\af0\afs20\alang1025 \ltrch\fcs0 \b\fs24\lang1029\langfe2057\cgrid\langnp1029\langfenp2057 {\rtlch\fcs1 \af0 \ltrch\fcs0 \cs17\b0\v\fs20\cf9\loch\af1\hich\af1\dbch\af31501\insrsid13375415\charrsid1667559 {\*\bkmkstart restart}_x000d__x000a_\hich\af1\dbch\af31501\loch\f1 &lt;Amend&gt;}{\rtlch\fcs1 \af306 \ltrch\fcs0 \f306\insrsid13375415\charrsid1667559 Pozm\'ec\'f2ovac\'ed n\'e1vrh}{\rtlch\fcs1 \af0 \ltrch\fcs0 \insrsid13375415\charrsid1667559 \tab \tab }{\rtlch\fcs1 \af0 \ltrch\fcs0 _x000d__x000a_\cs17\b0\v\fs20\cf9\loch\af1\hich\af1\dbch\af31501\insrsid13375415\charrsid1667559 \hich\af1\dbch\af31501\loch\f1 &lt;NumAm&gt;}{\rtlch\fcs1 \af0 \ltrch\fcs0 \insrsid13375415\charrsid1667559 #}{\rtlch\fcs1 \af1 \ltrch\fcs0 _x000d__x000a_\cs18\v\f1\fs20\cf15\insrsid13375415\charrsid1667559 ENMIENDA@NRAM@}{\rtlch\fcs1 \af0 \ltrch\fcs0 \insrsid13375415\charrsid1667559 #}{\rtlch\fcs1 \af0 \ltrch\fcs0 \cs17\b0\v\fs20\cf9\loch\af1\hich\af1\dbch\af31501\insrsid13375415\charrsid1667559 _x000d__x000a_\hich\af1\dbch\af31501\loch\f1 &lt;/NumAm&gt;}{\rtlch\fcs1 \af0 \ltrch\fcs0 \insrsid13375415\charrsid1667559 _x000d__x000a_\par }\pard\plain \ltrpar\s27\ql \li0\ri0\sb240\keepn\nowidctlpar\wrapdefault\aspalpha\aspnum\faauto\adjustright\rin0\lin0\itap0\pararsid13375415 \rtlch\fcs1 \af0\afs20\alang1025 \ltrch\fcs0 \b\fs24\lang1029\langfe2057\cgrid\langnp1029\langfenp2057 {_x000d__x000a_\rtlch\fcs1 \af0 \ltrch\fcs0 \cs17\b0\v\fs20\cf9\loch\af1\hich\af1\dbch\af31501\insrsid13375415\charrsid1667559 \hich\af1\dbch\af31501\loch\f1 &lt;DocAmend&gt;}{\rtlch\fcs1 \af0 \ltrch\fcs0 \insrsid13375415\charrsid1667559 N\'e1vrh #}{\rtlch\fcs1 \af1 _x000d__x000a_\ltrch\fcs0 \cs18\v\f1\fs20\cf15\insrsid13375415\charrsid1667559 MNU[DOC1][DOC2][DOC3]@DOCMSG@DOCMNU}{\rtlch\fcs1 \af0 \ltrch\fcs0 \insrsid13375415\charrsid1667559 ##}{\rtlch\fcs1 \af1 \ltrch\fcs0 \cs18\v\f1\fs20\cf15\insrsid13375415\charrsid1667559 _x000d__x000a_MNU[AMACTYES][NOTAPP]@CHOICE@AMACTMNU}{\rtlch\fcs1 \af0 \ltrch\fcs0 \insrsid13375415\charrsid1667559 #}{\rtlch\fcs1 \af0 \ltrch\fcs0 \cs17\b0\v\fs20\cf9\loch\af1\hich\af1\dbch\af31501\insrsid13375415\charrsid1667559 \hich\af1\dbch\af31501\loch\f1 _x000d__x000a_&lt;/DocAmend&gt;}{\rtlch\fcs1 \af0 \ltrch\fcs0 \insrsid13375415\charrsid1667559 _x000d__x000a_\par }\pard\plain \ltrpar\s20\ql \li0\ri0\keepn\nowidctlpar\wrapdefault\aspalpha\aspnum\faauto\adjustright\rin0\lin0\itap0\pararsid13375415 \rtlch\fcs1 \af0\afs20\alang1025 \ltrch\fcs0 \b\fs24\lang1029\langfe2057\cgrid\langnp1029\langfenp2057 {\rtlch\fcs1 _x000d__x000a_\af0 \ltrch\fcs0 \cs17\b0\v\fs20\cf9\loch\af1\hich\af1\dbch\af31501\insrsid13375415\charrsid1667559 \hich\af1\dbch\af31501\loch\f1 &lt;Article&gt;}{\rtlch\fcs1 \af0 \ltrch\fcs0 \insrsid13375415\charrsid1667559 #}{\rtlch\fcs1 \af1 \ltrch\fcs0 _x000d__x000a_\cs18\v\f1\fs20\cf15\insrsid13375415\charrsid1667559 MNU[AMACTPARTYES][AMACTPARTNO]@CHOICE@AMACTMNU}{\rtlch\fcs1 \af0 \ltrch\fcs0 \insrsid13375415\charrsid1667559 #}{\rtlch\fcs1 \af0 \ltrch\fcs0 _x000d__x000a_\cs17\b0\v\fs20\cf9\loch\af1\hich\af1\dbch\af31501\insrsid13375415\charrsid1667559 \hich\af1\dbch\af31501\loch\f1 &lt;/Article&gt;}{\rtlch\fcs1 \af0 \ltrch\fcs0 \insrsid13375415\charrsid1667559 _x000d__x000a_\par }\pard\plain \ltrpar\ql \li0\ri0\keepn\widctlpar\wrapdefault\aspalpha\aspnum\faauto\adjustright\rin0\lin0\itap0\pararsid13375415 \rtlch\fcs1 \af0\afs20\alang1025 \ltrch\fcs0 \fs24\lang2057\langfe2057\cgrid\langnp2057\langfenp2057 {\rtlch\fcs1 \af0 _x000d__x000a_\ltrch\fcs0 \cs17\v\fs20\cf9\lang1029\langfe2057\loch\af1\hich\af1\dbch\af31501\langnp1029\insrsid13375415\charrsid1667559 \hich\af1\dbch\af31501\loch\f1 &lt;DocAmend2&gt;&lt;OptDel&gt;}{\rtlch\fcs1 \af0 \ltrch\fcs0 _x000d__x000a_\lang1029\langfe2057\langnp1029\insrsid13375415\charrsid1667559 #}{\rtlch\fcs1 \af1 \ltrch\fcs0 \cs18\v\f1\fs20\cf15\lang1029\langfe2057\langnp1029\insrsid13375415\charrsid1667559 MNU[OPTNRACTYES][NOTAPP]@CHOICE@AMACTMNU}{\rtlch\fcs1 \af0 \ltrch\fcs0 _x000d__x000a_\lang1029\langfe2057\langnp1029\insrsid13375415\charrsid1667559 #}{\rtlch\fcs1 \af0 \ltrch\fcs0 \cs17\v\fs20\cf9\lang1029\langfe2057\loch\af1\hich\af1\dbch\af31501\langnp1029\insrsid13375415\charrsid1667559 \hich\af1\dbch\af31501\loch\f1 _x000d__x000a_&lt;/OptDel&gt;&lt;/DocAmend2&gt;}{\rtlch\fcs1 \af0 \ltrch\fcs0 \lang1029\langfe2057\langnp1029\insrsid13375415\charrsid1667559 _x000d__x000a_\par }\pard \ltrpar\ql \li0\ri0\widctlpar\wrapdefault\aspalpha\aspnum\faauto\adjustright\rin0\lin0\itap0\pararsid13375415 {\rtlch\fcs1 \af0 \ltrch\fcs0 _x000d__x000a_\cs17\v\fs20\cf9\lang1029\langfe2057\loch\af1\hich\af1\dbch\af31501\langnp1029\insrsid13375415\charrsid1667559 \hich\af1\dbch\af31501\loch\f1 &lt;Article2&gt;&lt;OptDel&gt;}{\rtlch\fcs1 \af0 \ltrch\fcs0 \lang1029\langfe2057\langnp1029\insrsid13375415\charrsid1667559 _x000d__x000a_#}{\rtlch\fcs1 \af1 \ltrch\fcs0 \cs18\v\f1\fs20\cf15\lang1029\langfe2057\langnp1029\insrsid13375415\charrsid1667559 MNU[OPTACTPARTYES][NOTAPP]@CHOICE@AMACTMNU}{\rtlch\fcs1 \af0 \ltrch\fcs0 \lang1029\langfe2057\langnp1029\insrsid13375415\charrsid1667559 #}_x000d__x000a_{\rtlch\fcs1 \af0 \ltrch\fcs0 \cs17\v\fs20\cf9\lang1029\langfe2057\loch\af1\hich\af1\dbch\af31501\langnp1029\insrsid13375415\charrsid1667559 \hich\af1\dbch\af31501\loch\f1 &lt;/OptDel&gt;&lt;/Article2&gt;}{\rtlch\fcs1 \af0 \ltrch\fcs0 _x000d__x000a_\lang1029\langfe2057\langnp1029\insrsid13375415\charrsid166755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29\langfe2057\langnp1029\insrsid13375415\charrsid166755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3375415\charrsid1667559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1029\langfe2057\cgrid\langnp1029\langfenp2057 {\rtlch\fcs1 \af0 \ltrch\fcs0 _x000d__x000a_\insrsid13375415\charrsid1667559 #}{\rtlch\fcs1 \af1 \ltrch\fcs0 \cs18\v\f1\fs20\cf15\insrsid13375415\charrsid1667559 MNU[OPTLEFTAMACT][LEFTPROP]@CHOICE@AMACTMNU}{\rtlch\fcs1 \af0 \ltrch\fcs0 \insrsid13375415\charrsid1667559 #\cell }{\rtlch\fcs1 \af306 _x000d__x000a_\ltrch\fcs0 \f306\insrsid13375415\charrsid1667559 Pozm\'ec\'f2ovac\'ed n\'e1vrh}{\rtlch\fcs1 \af0 \ltrch\fcs0 \insrsid13375415\charrsid1667559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13375415\charrsid1667559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2517430 \rtlch\fcs1 \af0\afs20\alang1025 \ltrch\fcs0 \fs24\lang1029\langfe2057\cgrid\langnp1029\langfenp2057 {\rtlch\fcs1 \af0 \ltrch\fcs0 _x000d__x000a_\insrsid13375415\charrsid1667559 ##\cell ##}{\rtlch\fcs1 \af0\afs24 \ltrch\fcs0 \insrsid13375415\charrsid1667559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13375415\charrsid1667559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3375415 \rtlch\fcs1 \af0\afs20\alang1025 \ltrch\fcs0 \fs24\lang1029\langfe2057\cgrid\langnp1029\langfenp2057 {\rtlch\fcs1 \af0 \ltrch\fcs0 _x000d__x000a_\insrsid13375415\charrsid1667559 Or. }{\rtlch\fcs1 \af0 \ltrch\fcs0 \cs17\v\fs20\cf9\loch\af1\hich\af1\dbch\af31501\insrsid13375415\charrsid1667559 \hich\af1\dbch\af31501\loch\f1 &lt;Original&gt;}{\rtlch\fcs1 \af0 \ltrch\fcs0 \insrsid13375415\charrsid1667559 #}_x000d__x000a_{\rtlch\fcs1 \af1 \ltrch\fcs0 \cs18\v\f1\fs20\cf15\insrsid13375415\charrsid1667559 MNU[ORLANGONE][ORLANGMORE]@CHOICE@ORLANGMNU}{\rtlch\fcs1 \af0 \ltrch\fcs0 \insrsid13375415\charrsid1667559 #}{\rtlch\fcs1 \af0 \ltrch\fcs0 _x000d__x000a_\cs17\v\fs20\cf9\loch\af1\hich\af1\dbch\af31501\insrsid13375415\charrsid1667559 \hich\af1\dbch\af31501\loch\f1 &lt;/Original&gt;}{\rtlch\fcs1 \af0 \ltrch\fcs0 \insrsid13375415\charrsid1667559 _x000d__x000a_\par }\pard\plain \ltrpar\s22\qc \li0\ri0\sb240\sa240\nowidctlpar\wrapdefault\aspalpha\aspnum\faauto\adjustright\rin0\lin0\itap0\pararsid13375415 \rtlch\fcs1 \af0\afs20\alang1025 \ltrch\fcs0 \i\fs24\lang1029\langfe2057\cgrid\langnp1029\langfenp2057 {_x000d__x000a_\rtlch\fcs1 \af0 \ltrch\fcs0 \cs17\i0\v\fs20\cf9\loch\af1\hich\af1\dbch\af31501\insrsid13375415\charrsid1667559 \hich\af1\dbch\af31501\loch\f1 &lt;OptDel&gt;}{\rtlch\fcs1 \af0 \ltrch\fcs0 \insrsid13375415\charrsid1667559 #}{\rtlch\fcs1 \af1 \ltrch\fcs0 _x000d__x000a_\cs18\v\f1\fs20\cf15\insrsid13375415\charrsid1667559 MNU[CROSSREFNO][CROSSREFYES]@CHOICE@}{\rtlch\fcs1 \af0 \ltrch\fcs0 \insrsid13375415\charrsid1667559 #}{\rtlch\fcs1 \af0 \ltrch\fcs0 _x000d__x000a_\cs17\i0\v\fs20\cf9\loch\af1\hich\af1\dbch\af31501\insrsid13375415\charrsid1667559 \hich\af1\dbch\af31501\loch\f1 &lt;/OptDel&gt;}{\rtlch\fcs1 \af0 \ltrch\fcs0 \insrsid13375415\charrsid1667559 _x000d__x000a_\par }\pard\plain \ltrpar\s23\qc \li0\ri0\sb240\sa240\keepn\nowidctlpar\wrapdefault\aspalpha\aspnum\faauto\adjustright\rin0\lin0\itap0\pararsid13375415 \rtlch\fcs1 \af0\afs20\alang1025 \ltrch\fcs0 \i\fs24\lang1029\langfe2057\cgrid\langnp1029\langfenp2057 {_x000d__x000a_\rtlch\fcs1 \af0 \ltrch\fcs0 \cs17\i0\v\fs20\cf9\loch\af1\hich\af1\dbch\af31501\insrsid13375415\charrsid1667559 \hich\af1\dbch\af31501\loch\f1 &lt;TitreJust&gt;}{\rtlch\fcs1 \af306 \ltrch\fcs0 \f306\insrsid13375415\charrsid1667559 Od\'f9vodn\'ecn\'ed}{_x000d__x000a_\rtlch\fcs1 \af0 \ltrch\fcs0 \cs17\i0\v\fs20\cf9\loch\af1\hich\af1\dbch\af31501\insrsid13375415\charrsid1667559 \hich\af1\dbch\af31501\loch\f1 &lt;/TitreJust&gt;}{\rtlch\fcs1 \af0 \ltrch\fcs0 \insrsid13375415\charrsid1667559 _x000d__x000a_\par }\pard\plain \ltrpar\s21\ql \li0\ri0\sa240\nowidctlpar\wrapdefault\aspalpha\aspnum\faauto\adjustright\rin0\lin0\itap0\pararsid13375415 \rtlch\fcs1 \af0\afs20\alang1025 \ltrch\fcs0 \i\fs24\lang1029\langfe2057\cgrid\langnp1029\langfenp2057 {\rtlch\fcs1 _x000d__x000a_\af0 \ltrch\fcs0 \cs17\i0\v\fs20\cf9\loch\af1\hich\af1\dbch\af31501\insrsid13375415\charrsid1667559 \hich\af1\dbch\af31501\loch\f1 &lt;OptDelPrev&gt;}{\rtlch\fcs1 \af0 \ltrch\fcs0 \insrsid13375415\charrsid1667559 #}{\rtlch\fcs1 \af1 \ltrch\fcs0 _x000d__x000a_\cs18\v\f1\fs20\cf15\insrsid13375415\charrsid1667559 MNU[TEXTJUSTYES][TEXTJUSTNO]@CHOICE@}{\rtlch\fcs1 \af0 \ltrch\fcs0 \insrsid13375415\charrsid1667559 #}{\rtlch\fcs1 \af0 \ltrch\fcs0 _x000d__x000a_\cs17\i0\v\fs20\cf9\loch\af1\hich\af1\dbch\af31501\insrsid13375415\charrsid1667559 \hich\af1\dbch\af31501\loch\f1 &lt;/OptDelPrev&gt;}{\rtlch\fcs1 \af0 \ltrch\fcs0 \insrsid13375415\charrsid1667559 _x000d__x000a_\par }\pard\plain \ltrpar\ql \li0\ri0\widctlpar\wrapdefault\aspalpha\aspnum\faauto\adjustright\rin0\lin0\itap0\pararsid13375415 \rtlch\fcs1 \af0\afs20\alang1025 \ltrch\fcs0 \fs24\lang2057\langfe2057\cgrid\langnp2057\langfenp2057 {\rtlch\fcs1 \af0 \ltrch\fcs0 _x000d__x000a_\cs17\v\fs20\cf9\lang1029\langfe2057\loch\af1\hich\af1\dbch\af31501\langnp1029\insrsid13375415\charrsid1667559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1_x000d__x000a_ea968ddf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43"/>
    <w:docVar w:name="TXTAUTHOR" w:val="Birgit Sippel"/>
    <w:docVar w:name="TXTLANGUE" w:val="CS"/>
    <w:docVar w:name="TXTLANGUEMIN" w:val="cs"/>
    <w:docVar w:name="TXTNRC" w:val="0088/2021"/>
    <w:docVar w:name="TXTNRCOD" w:val="2021/0046"/>
    <w:docVar w:name="TXTNRCOM" w:val="(2021)0096"/>
    <w:docVar w:name="TXTNRPE" w:val="700.426"/>
    <w:docVar w:name="TXTPEorAP" w:val="PE"/>
    <w:docVar w:name="TXTROUTE" w:val="PR\1243214CS.docx"/>
    <w:docVar w:name="TXTTITLE" w:val="kterým se mění nařízení (EU) 2019/816, kterým se zřizuje centralizovaný systém pro identifikaci členských států, jež mají informace o odsouzeních státních příslušníků třetích zemí a osob bez státní příslušnosti (ECRIS-TCN), na doplnění Evropského informačního systému rejstříků trestů, a nařízení (EU) 2019/818, kterým se zřizuje rámec pro interoperabilitu mezi informačními systémy EU v oblasti policejní a justiční spolupráce, azylu a migrace a kterým se mění nařízení (EU) 2018/1726, (EU) 2018/1862 a (EU) 2019/816, za účelem zavedení prověřování státních příslušníků třetích zemí na vnějších hranicích"/>
    <w:docVar w:name="TXTVERSION" w:val="01-00"/>
  </w:docVars>
  <w:rsids>
    <w:rsidRoot w:val="001971E7"/>
    <w:rsid w:val="00011AAB"/>
    <w:rsid w:val="00012351"/>
    <w:rsid w:val="000139E5"/>
    <w:rsid w:val="000412AA"/>
    <w:rsid w:val="000445B8"/>
    <w:rsid w:val="00084DD2"/>
    <w:rsid w:val="00084E89"/>
    <w:rsid w:val="000B7489"/>
    <w:rsid w:val="000E1B14"/>
    <w:rsid w:val="000F1096"/>
    <w:rsid w:val="00102201"/>
    <w:rsid w:val="00120948"/>
    <w:rsid w:val="00123DD5"/>
    <w:rsid w:val="001277AE"/>
    <w:rsid w:val="00142215"/>
    <w:rsid w:val="001767E2"/>
    <w:rsid w:val="00187008"/>
    <w:rsid w:val="001971E7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91397"/>
    <w:rsid w:val="002D13EE"/>
    <w:rsid w:val="002E33EE"/>
    <w:rsid w:val="002F40BB"/>
    <w:rsid w:val="002F4B02"/>
    <w:rsid w:val="003112AB"/>
    <w:rsid w:val="00323868"/>
    <w:rsid w:val="00323EF8"/>
    <w:rsid w:val="003316DD"/>
    <w:rsid w:val="00366A46"/>
    <w:rsid w:val="00370AC3"/>
    <w:rsid w:val="003824EE"/>
    <w:rsid w:val="003B4689"/>
    <w:rsid w:val="003C2068"/>
    <w:rsid w:val="003C37CF"/>
    <w:rsid w:val="003C4893"/>
    <w:rsid w:val="004100B1"/>
    <w:rsid w:val="00426E47"/>
    <w:rsid w:val="00432B3D"/>
    <w:rsid w:val="004461AA"/>
    <w:rsid w:val="00455743"/>
    <w:rsid w:val="00461601"/>
    <w:rsid w:val="0048001F"/>
    <w:rsid w:val="004C0915"/>
    <w:rsid w:val="004D424E"/>
    <w:rsid w:val="004E42C8"/>
    <w:rsid w:val="004E733D"/>
    <w:rsid w:val="004F3FA5"/>
    <w:rsid w:val="0051271F"/>
    <w:rsid w:val="00521F46"/>
    <w:rsid w:val="005372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0B06"/>
    <w:rsid w:val="00642325"/>
    <w:rsid w:val="0069092A"/>
    <w:rsid w:val="006A2F5D"/>
    <w:rsid w:val="006A64AD"/>
    <w:rsid w:val="006F7907"/>
    <w:rsid w:val="00740116"/>
    <w:rsid w:val="00743189"/>
    <w:rsid w:val="00743D33"/>
    <w:rsid w:val="007932B3"/>
    <w:rsid w:val="00793EA9"/>
    <w:rsid w:val="007A0D52"/>
    <w:rsid w:val="007D6F68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8F1BC6"/>
    <w:rsid w:val="009022B8"/>
    <w:rsid w:val="00914537"/>
    <w:rsid w:val="00917CC4"/>
    <w:rsid w:val="009763DA"/>
    <w:rsid w:val="009975B3"/>
    <w:rsid w:val="009A216D"/>
    <w:rsid w:val="009A2DF6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2492"/>
    <w:rsid w:val="00BD480C"/>
    <w:rsid w:val="00C20954"/>
    <w:rsid w:val="00C23324"/>
    <w:rsid w:val="00C42A41"/>
    <w:rsid w:val="00C47E74"/>
    <w:rsid w:val="00C57A72"/>
    <w:rsid w:val="00C73602"/>
    <w:rsid w:val="00C85D0F"/>
    <w:rsid w:val="00CE449B"/>
    <w:rsid w:val="00CF60C8"/>
    <w:rsid w:val="00D30DE2"/>
    <w:rsid w:val="00D32924"/>
    <w:rsid w:val="00D503A3"/>
    <w:rsid w:val="00D77D00"/>
    <w:rsid w:val="00D93A87"/>
    <w:rsid w:val="00DA6ED0"/>
    <w:rsid w:val="00DC5011"/>
    <w:rsid w:val="00E171B6"/>
    <w:rsid w:val="00E72695"/>
    <w:rsid w:val="00EB1753"/>
    <w:rsid w:val="00EB6CFF"/>
    <w:rsid w:val="00ED665D"/>
    <w:rsid w:val="00EE3996"/>
    <w:rsid w:val="00F07062"/>
    <w:rsid w:val="00F23CFC"/>
    <w:rsid w:val="00F433E2"/>
    <w:rsid w:val="00F46C37"/>
    <w:rsid w:val="00F6686A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A3F0B-371A-4B09-859A-030B1922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0412A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412A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412AA"/>
    <w:rPr>
      <w:sz w:val="18"/>
    </w:rPr>
  </w:style>
  <w:style w:type="paragraph" w:customStyle="1" w:styleId="Normal6">
    <w:name w:val="Normal6"/>
    <w:basedOn w:val="Normal"/>
    <w:link w:val="Normal6Char"/>
    <w:rsid w:val="000412AA"/>
    <w:pPr>
      <w:spacing w:after="120"/>
    </w:pPr>
  </w:style>
  <w:style w:type="paragraph" w:customStyle="1" w:styleId="Normal12Italic">
    <w:name w:val="Normal12Italic"/>
    <w:basedOn w:val="Normal"/>
    <w:rsid w:val="000412AA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0412AA"/>
    <w:rPr>
      <w:b/>
      <w:sz w:val="24"/>
      <w:lang w:val="cs-CZ"/>
    </w:rPr>
  </w:style>
  <w:style w:type="paragraph" w:customStyle="1" w:styleId="JustificationTitle">
    <w:name w:val="JustificationTitle"/>
    <w:basedOn w:val="Normal"/>
    <w:next w:val="Normal"/>
    <w:rsid w:val="000412AA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0412AA"/>
    <w:rPr>
      <w:sz w:val="24"/>
      <w:lang w:val="cs-CZ"/>
    </w:rPr>
  </w:style>
  <w:style w:type="paragraph" w:customStyle="1" w:styleId="ColumnHeading">
    <w:name w:val="ColumnHeading"/>
    <w:basedOn w:val="Normal"/>
    <w:rsid w:val="000412A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412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412AA"/>
    <w:pPr>
      <w:jc w:val="right"/>
    </w:pPr>
  </w:style>
  <w:style w:type="paragraph" w:styleId="NoSpacing">
    <w:name w:val="No Spacing"/>
    <w:basedOn w:val="Normal"/>
    <w:uiPriority w:val="1"/>
    <w:qFormat/>
    <w:rsid w:val="000412AA"/>
    <w:pPr>
      <w:widowControl/>
      <w:jc w:val="both"/>
    </w:pPr>
    <w:rPr>
      <w:rFonts w:eastAsiaTheme="minorHAnsi"/>
      <w:szCs w:val="32"/>
      <w:lang w:eastAsia="en-US"/>
    </w:rPr>
  </w:style>
  <w:style w:type="paragraph" w:styleId="Footer">
    <w:name w:val="footer"/>
    <w:basedOn w:val="Normal"/>
    <w:link w:val="FooterChar"/>
    <w:semiHidden/>
    <w:rsid w:val="000412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412A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44848-41BB-48F6-AB78-8D04E7F03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2600</Words>
  <Characters>15065</Characters>
  <Application>Microsoft Office Word</Application>
  <DocSecurity>0</DocSecurity>
  <Lines>555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SODOMKOVA Renata</dc:creator>
  <cp:lastModifiedBy>EINHORNOVA Marta</cp:lastModifiedBy>
  <cp:revision>2</cp:revision>
  <cp:lastPrinted>2004-11-04T09:41:00Z</cp:lastPrinted>
  <dcterms:created xsi:type="dcterms:W3CDTF">2021-11-29T07:43:00Z</dcterms:created>
  <dcterms:modified xsi:type="dcterms:W3CDTF">2021-11-29T07:43:00Z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1243214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18:27:09)</vt:lpwstr>
  </property>
  <property fmtid="{D5CDD505-2E9C-101B-9397-08002B2CF9AE}" pid="6" name="&lt;ModelTra&gt;">
    <vt:lpwstr>\\eiciBRUpr1\pdocep$\DocEP\TRANSFIL\CS\PR_COD_1amCom.CS(07/09/2020 18:06:11)</vt:lpwstr>
  </property>
  <property fmtid="{D5CDD505-2E9C-101B-9397-08002B2CF9AE}" pid="7" name="&lt;Type&gt;">
    <vt:lpwstr>PR</vt:lpwstr>
  </property>
  <property fmtid="{D5CDD505-2E9C-101B-9397-08002B2CF9AE}" pid="8" name="Bookout">
    <vt:lpwstr>OK - 2021/11/29 08:43</vt:lpwstr>
  </property>
  <property fmtid="{D5CDD505-2E9C-101B-9397-08002B2CF9AE}" pid="9" name="Created with">
    <vt:lpwstr>9.11.0 Build [20211103]</vt:lpwstr>
  </property>
  <property fmtid="{D5CDD505-2E9C-101B-9397-08002B2CF9AE}" pid="10" name="FooterPath">
    <vt:lpwstr>PR\1243214CS.docx</vt:lpwstr>
  </property>
  <property fmtid="{D5CDD505-2E9C-101B-9397-08002B2CF9AE}" pid="11" name="LastEdited with">
    <vt:lpwstr>9.11.0 Build [20211103]</vt:lpwstr>
  </property>
  <property fmtid="{D5CDD505-2E9C-101B-9397-08002B2CF9AE}" pid="12" name="PE number">
    <vt:lpwstr>700.426</vt:lpwstr>
  </property>
  <property fmtid="{D5CDD505-2E9C-101B-9397-08002B2CF9AE}" pid="13" name="SDLStudio">
    <vt:lpwstr/>
  </property>
</Properties>
</file>