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26FC0" w:rsidTr="00C85D0F">
        <w:trPr>
          <w:trHeight w:hRule="exact" w:val="1418"/>
        </w:trPr>
        <w:tc>
          <w:tcPr>
            <w:tcW w:w="6804" w:type="dxa"/>
            <w:shd w:val="clear" w:color="auto" w:fill="auto"/>
            <w:vAlign w:val="center"/>
          </w:tcPr>
          <w:p w:rsidR="00B13D6F" w:rsidRPr="001A65E1" w:rsidRDefault="00C92BC6" w:rsidP="00C85D0F">
            <w:pPr>
              <w:pStyle w:val="EPName"/>
            </w:pPr>
            <w:r>
              <w:t>Parlamentul European</w:t>
            </w:r>
          </w:p>
          <w:p w:rsidR="00B13D6F" w:rsidRPr="001A65E1" w:rsidRDefault="00C92BC6" w:rsidP="00DE34BE">
            <w:pPr>
              <w:pStyle w:val="EPTerm"/>
            </w:pPr>
            <w:r>
              <w:t>2019-2024</w:t>
            </w:r>
          </w:p>
        </w:tc>
        <w:tc>
          <w:tcPr>
            <w:tcW w:w="2268" w:type="dxa"/>
            <w:shd w:val="clear" w:color="auto" w:fill="auto"/>
          </w:tcPr>
          <w:p w:rsidR="00B13D6F" w:rsidRPr="001A65E1" w:rsidRDefault="00C92BC6" w:rsidP="00C85D0F">
            <w:pPr>
              <w:pStyle w:val="EPLogo"/>
            </w:pPr>
            <w:r w:rsidRPr="001A65E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809779"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1A65E1" w:rsidRDefault="00461601" w:rsidP="00461601">
      <w:pPr>
        <w:pStyle w:val="LineTop"/>
      </w:pPr>
    </w:p>
    <w:p w:rsidR="00461601" w:rsidRPr="001A65E1" w:rsidRDefault="00C92BC6" w:rsidP="00461601">
      <w:pPr>
        <w:pStyle w:val="EPBody"/>
      </w:pPr>
      <w:r>
        <w:rPr>
          <w:rStyle w:val="HideTWBExt"/>
        </w:rPr>
        <w:t>&lt;</w:t>
      </w:r>
      <w:r>
        <w:rPr>
          <w:rStyle w:val="HideTWBExt"/>
          <w:i w:val="0"/>
        </w:rPr>
        <w:t>Commission</w:t>
      </w:r>
      <w:r>
        <w:rPr>
          <w:rStyle w:val="HideTWBExt"/>
        </w:rPr>
        <w:t>&gt;</w:t>
      </w:r>
      <w:r>
        <w:rPr>
          <w:rStyle w:val="HideTWBInt"/>
          <w:color w:val="auto"/>
        </w:rPr>
        <w:t>{LIBE}</w:t>
      </w:r>
      <w:r>
        <w:t>Comisia pentru libertăți civile, justiție și afaceri interne</w:t>
      </w:r>
      <w:r>
        <w:rPr>
          <w:rStyle w:val="HideTWBExt"/>
        </w:rPr>
        <w:t>&lt;/</w:t>
      </w:r>
      <w:r>
        <w:rPr>
          <w:rStyle w:val="HideTWBExt"/>
          <w:i w:val="0"/>
        </w:rPr>
        <w:t>Commission</w:t>
      </w:r>
      <w:r>
        <w:rPr>
          <w:rStyle w:val="HideTWBExt"/>
        </w:rPr>
        <w:t>&gt;</w:t>
      </w:r>
    </w:p>
    <w:p w:rsidR="00461601" w:rsidRPr="001A65E1" w:rsidRDefault="00461601" w:rsidP="00461601">
      <w:pPr>
        <w:pStyle w:val="LineBottom"/>
      </w:pPr>
    </w:p>
    <w:p w:rsidR="00793EA9" w:rsidRPr="001A65E1" w:rsidRDefault="00C92BC6">
      <w:pPr>
        <w:pStyle w:val="CoverReference"/>
      </w:pPr>
      <w:r>
        <w:rPr>
          <w:rStyle w:val="HideTWBExt"/>
          <w:b w:val="0"/>
        </w:rPr>
        <w:t>&lt;RefProc&gt;</w:t>
      </w:r>
      <w:r>
        <w:t>2021/0046</w:t>
      </w:r>
      <w:r>
        <w:rPr>
          <w:rStyle w:val="HideTWBExt"/>
          <w:b w:val="0"/>
        </w:rPr>
        <w:t>&lt;/RefProc&gt;&lt;RefTypeProc&gt;</w:t>
      </w:r>
      <w:r>
        <w:t>(COD)</w:t>
      </w:r>
      <w:r>
        <w:rPr>
          <w:rStyle w:val="HideTWBExt"/>
          <w:b w:val="0"/>
        </w:rPr>
        <w:t>&lt;/RefTypeProc&gt;</w:t>
      </w:r>
    </w:p>
    <w:p w:rsidR="00793EA9" w:rsidRPr="001A65E1" w:rsidRDefault="00C92BC6">
      <w:pPr>
        <w:pStyle w:val="CoverDate"/>
      </w:pPr>
      <w:r>
        <w:rPr>
          <w:rStyle w:val="HideTWBExt"/>
        </w:rPr>
        <w:t>&lt;Date&gt;</w:t>
      </w:r>
      <w:r>
        <w:rPr>
          <w:rStyle w:val="HideTWBInt"/>
          <w:color w:val="auto"/>
        </w:rPr>
        <w:t>{16/11/2021}</w:t>
      </w:r>
      <w:r>
        <w:t>16.11.2021</w:t>
      </w:r>
      <w:r>
        <w:rPr>
          <w:rStyle w:val="HideTWBExt"/>
        </w:rPr>
        <w:t>&lt;/Date&gt;</w:t>
      </w:r>
    </w:p>
    <w:p w:rsidR="00793EA9" w:rsidRPr="001A65E1" w:rsidRDefault="00C92BC6">
      <w:pPr>
        <w:pStyle w:val="CoverDocType"/>
      </w:pPr>
      <w:r>
        <w:rPr>
          <w:rStyle w:val="HideTWBExt"/>
          <w:b w:val="0"/>
        </w:rPr>
        <w:t>&lt;RefProcLect&gt;</w:t>
      </w:r>
      <w:r>
        <w:t>***I</w:t>
      </w:r>
      <w:r>
        <w:rPr>
          <w:rStyle w:val="HideTWBExt"/>
          <w:b w:val="0"/>
        </w:rPr>
        <w:t>&lt;/RefProcLect&gt;</w:t>
      </w:r>
    </w:p>
    <w:p w:rsidR="00793EA9" w:rsidRPr="001A65E1" w:rsidRDefault="00C92BC6">
      <w:pPr>
        <w:pStyle w:val="CoverDocType24a"/>
      </w:pPr>
      <w:r>
        <w:rPr>
          <w:rStyle w:val="HideTWBExt"/>
          <w:b w:val="0"/>
        </w:rPr>
        <w:t>&lt;TitreType&gt;</w:t>
      </w:r>
      <w:r>
        <w:t>PROIECT DE RAPORT</w:t>
      </w:r>
      <w:r>
        <w:rPr>
          <w:rStyle w:val="HideTWBExt"/>
          <w:b w:val="0"/>
        </w:rPr>
        <w:t>&lt;/TitreType&gt;</w:t>
      </w:r>
    </w:p>
    <w:p w:rsidR="00793EA9" w:rsidRPr="001A65E1" w:rsidRDefault="00C92BC6">
      <w:pPr>
        <w:pStyle w:val="CoverNormal"/>
      </w:pPr>
      <w:r>
        <w:rPr>
          <w:rStyle w:val="HideTWBExt"/>
        </w:rPr>
        <w:t>&lt;Titre&gt;</w:t>
      </w:r>
      <w:r w:rsidR="008E4A53">
        <w:t xml:space="preserve">referitor la </w:t>
      </w:r>
      <w:r>
        <w:t>propunerea de regulament al Parlamentului European și al Consiliului de modificare a Regulamentului (UE) 2019/816 de stabilire a unui sistem centralizat pentru determinarea statelor mem</w:t>
      </w:r>
      <w:r>
        <w:t>bre care dețin informații privind condamnările resortisanților țărilor terțe și ale apatrizilor (ECRIS-TCN), destinat să completeze sistemul european de informații cu privire la cazierele judiciare și a Regulamentului (UE) 2019/818 privind instituirea unui</w:t>
      </w:r>
      <w:r>
        <w:t xml:space="preserve"> cadru pentru interoperabilitatea dintre sistemele de informații ale UE în domeniul cooperării polițienești și judiciare, al azilului și al migrației și de modificare a Regulamentelor (UE) 2018/1726, (UE) 2018/1862 și (UE) 2019/816, în scopul introducerii </w:t>
      </w:r>
      <w:r>
        <w:t>unei proceduri de screening pentru resortisanții țărilor terțe la frontierele externe</w:t>
      </w:r>
      <w:r>
        <w:rPr>
          <w:rStyle w:val="HideTWBExt"/>
        </w:rPr>
        <w:t>&lt;/Titre&gt;</w:t>
      </w:r>
    </w:p>
    <w:p w:rsidR="00793EA9" w:rsidRPr="001A65E1" w:rsidRDefault="00C92BC6">
      <w:pPr>
        <w:pStyle w:val="CoverNormal24a"/>
      </w:pPr>
      <w:r>
        <w:rPr>
          <w:rStyle w:val="HideTWBExt"/>
        </w:rPr>
        <w:t>&lt;DocRef&gt;</w:t>
      </w:r>
      <w:r>
        <w:t>(COM(2021)0096 – C9-0088/2021 – 2021/0046(COD))</w:t>
      </w:r>
      <w:r>
        <w:rPr>
          <w:rStyle w:val="HideTWBExt"/>
        </w:rPr>
        <w:t>&lt;/DocRef&gt;</w:t>
      </w:r>
    </w:p>
    <w:p w:rsidR="00793EA9" w:rsidRPr="001A65E1" w:rsidRDefault="00C92BC6">
      <w:pPr>
        <w:pStyle w:val="CoverNormal24a"/>
      </w:pPr>
      <w:r>
        <w:rPr>
          <w:rStyle w:val="HideTWBExt"/>
        </w:rPr>
        <w:t>&lt;Commission&gt;</w:t>
      </w:r>
      <w:r>
        <w:rPr>
          <w:rStyle w:val="HideTWBInt"/>
          <w:color w:val="auto"/>
        </w:rPr>
        <w:t>{LIBE}</w:t>
      </w:r>
      <w:r>
        <w:t>Comisia pentru libertăți civile, justiție și afaceri interne</w:t>
      </w:r>
      <w:r>
        <w:rPr>
          <w:rStyle w:val="HideTWBExt"/>
        </w:rPr>
        <w:t>&lt;/Commission&gt;</w:t>
      </w:r>
    </w:p>
    <w:p w:rsidR="00793EA9" w:rsidRPr="001A65E1" w:rsidRDefault="00C92BC6">
      <w:pPr>
        <w:pStyle w:val="CoverNormal24a"/>
      </w:pPr>
      <w:r>
        <w:t xml:space="preserve">Raportoare: </w:t>
      </w:r>
      <w:r>
        <w:rPr>
          <w:rStyle w:val="HideTWBExt"/>
        </w:rPr>
        <w:t>&lt;Depute&gt;</w:t>
      </w:r>
      <w:r>
        <w:t>Birgit Sippel</w:t>
      </w:r>
      <w:r>
        <w:rPr>
          <w:rStyle w:val="HideTWBExt"/>
        </w:rPr>
        <w:t>&lt;/Depute&gt;</w:t>
      </w:r>
    </w:p>
    <w:p w:rsidR="001C5B44" w:rsidRPr="001A65E1" w:rsidRDefault="001C5B44" w:rsidP="001C5B44">
      <w:pPr>
        <w:pStyle w:val="CoverNormal"/>
      </w:pPr>
    </w:p>
    <w:p w:rsidR="00DE34BE" w:rsidRPr="001A65E1" w:rsidRDefault="00C92BC6" w:rsidP="00894923">
      <w:r>
        <w:br w:type="page"/>
      </w:r>
      <w:r w:rsidR="008D2E3C">
        <w:lastRenderedPageBreak/>
        <w:fldChar w:fldCharType="begin"/>
      </w:r>
      <w:r>
        <w:instrText xml:space="preserve"> TITLE  \* MERGEFORMAT </w:instrText>
      </w:r>
      <w:r w:rsidR="008D2E3C">
        <w:fldChar w:fldCharType="separate"/>
      </w:r>
      <w:r>
        <w:t>PR_COD_1amCom</w:t>
      </w:r>
      <w:r w:rsidR="008D2E3C">
        <w:fldChar w:fldCharType="end"/>
      </w:r>
    </w:p>
    <w:p w:rsidR="00DE34BE" w:rsidRPr="001A65E1" w:rsidRDefault="00DE34BE" w:rsidP="00894923"/>
    <w:p w:rsidR="008D2E3C" w:rsidRPr="00775070" w:rsidRDefault="008D2E3C" w:rsidP="008D2E3C">
      <w:pPr>
        <w:tabs>
          <w:tab w:val="center" w:pos="4677"/>
        </w:tabs>
        <w:rPr>
          <w:szCs w:val="24"/>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26FC0" w:rsidTr="00724C16">
        <w:tc>
          <w:tcPr>
            <w:tcW w:w="5811" w:type="dxa"/>
            <w:tcBorders>
              <w:top w:val="single" w:sz="4" w:space="0" w:color="auto"/>
            </w:tcBorders>
          </w:tcPr>
          <w:p w:rsidR="008D2E3C" w:rsidRPr="00775070" w:rsidRDefault="00C92BC6" w:rsidP="00724C16">
            <w:pPr>
              <w:pStyle w:val="Lgendetitre"/>
              <w:rPr>
                <w:szCs w:val="24"/>
              </w:rPr>
            </w:pPr>
            <w:r>
              <w:t>Legenda simbolurilor utilizate</w:t>
            </w:r>
          </w:p>
        </w:tc>
      </w:tr>
      <w:tr w:rsidR="00226FC0" w:rsidTr="00724C16">
        <w:trPr>
          <w:cantSplit/>
          <w:trHeight w:val="1949"/>
        </w:trPr>
        <w:tc>
          <w:tcPr>
            <w:tcW w:w="5811" w:type="dxa"/>
            <w:tcBorders>
              <w:bottom w:val="single" w:sz="4" w:space="0" w:color="auto"/>
            </w:tcBorders>
          </w:tcPr>
          <w:p w:rsidR="008D2E3C" w:rsidRPr="00775070" w:rsidRDefault="00C92BC6" w:rsidP="00724C16">
            <w:pPr>
              <w:pStyle w:val="Lgendesigne"/>
              <w:rPr>
                <w:szCs w:val="24"/>
              </w:rPr>
            </w:pPr>
            <w:r>
              <w:tab/>
              <w:t>*</w:t>
            </w:r>
            <w:r>
              <w:tab/>
              <w:t>Procedura de consultare</w:t>
            </w:r>
            <w:r>
              <w:tab/>
            </w:r>
          </w:p>
          <w:p w:rsidR="008D2E3C" w:rsidRPr="00775070" w:rsidRDefault="00C92BC6" w:rsidP="00724C16">
            <w:pPr>
              <w:pStyle w:val="Lgendesigne"/>
              <w:rPr>
                <w:szCs w:val="24"/>
              </w:rPr>
            </w:pPr>
            <w:r>
              <w:tab/>
              <w:t>***</w:t>
            </w:r>
            <w:r>
              <w:tab/>
              <w:t>Procedura de aprobare</w:t>
            </w:r>
          </w:p>
          <w:p w:rsidR="008D2E3C" w:rsidRPr="00775070" w:rsidRDefault="00C92BC6" w:rsidP="00724C16">
            <w:pPr>
              <w:pStyle w:val="Lgendesigne"/>
              <w:rPr>
                <w:szCs w:val="24"/>
              </w:rPr>
            </w:pPr>
            <w:r>
              <w:tab/>
              <w:t>***I</w:t>
            </w:r>
            <w:r>
              <w:tab/>
              <w:t>Procedura legislativă ordinară (prima lectură)</w:t>
            </w:r>
          </w:p>
          <w:p w:rsidR="008D2E3C" w:rsidRPr="00775070" w:rsidRDefault="00C92BC6" w:rsidP="00724C16">
            <w:pPr>
              <w:pStyle w:val="Lgendesigne"/>
              <w:rPr>
                <w:szCs w:val="24"/>
              </w:rPr>
            </w:pPr>
            <w:r>
              <w:tab/>
              <w:t>***II</w:t>
            </w:r>
            <w:r>
              <w:tab/>
              <w:t xml:space="preserve">Procedura legislativă </w:t>
            </w:r>
            <w:r>
              <w:t>ordinară (a doua lectură)</w:t>
            </w:r>
          </w:p>
          <w:p w:rsidR="008D2E3C" w:rsidRPr="00775070" w:rsidRDefault="00C92BC6" w:rsidP="00724C16">
            <w:pPr>
              <w:pStyle w:val="Lgendesigne"/>
              <w:rPr>
                <w:szCs w:val="24"/>
              </w:rPr>
            </w:pPr>
            <w:r>
              <w:tab/>
              <w:t>***III</w:t>
            </w:r>
            <w:r>
              <w:tab/>
              <w:t>Procedura legislativă ordinară (a treia lectură)</w:t>
            </w:r>
            <w:r>
              <w:br/>
            </w:r>
          </w:p>
          <w:p w:rsidR="008D2E3C" w:rsidRPr="00775070" w:rsidRDefault="00C92BC6" w:rsidP="00724C16">
            <w:pPr>
              <w:pStyle w:val="Lgendestandard"/>
              <w:rPr>
                <w:szCs w:val="24"/>
              </w:rPr>
            </w:pPr>
            <w:r>
              <w:t>(Procedura indicată se bazează pe temeiul juridic propus în proiectul de act.)</w:t>
            </w:r>
          </w:p>
          <w:p w:rsidR="008D2E3C" w:rsidRPr="00775070" w:rsidRDefault="008D2E3C" w:rsidP="00724C16">
            <w:pPr>
              <w:pStyle w:val="Lgendestandard"/>
              <w:rPr>
                <w:szCs w:val="24"/>
              </w:rPr>
            </w:pPr>
          </w:p>
        </w:tc>
      </w:tr>
    </w:tbl>
    <w:p w:rsidR="008D2E3C" w:rsidRPr="00775070" w:rsidRDefault="008D2E3C" w:rsidP="008D2E3C">
      <w:pPr>
        <w:rPr>
          <w:szCs w:val="24"/>
        </w:rPr>
      </w:pPr>
    </w:p>
    <w:p w:rsidR="008D2E3C" w:rsidRPr="00775070" w:rsidRDefault="008D2E3C" w:rsidP="008D2E3C">
      <w:pPr>
        <w:rPr>
          <w:szCs w:val="24"/>
        </w:rPr>
      </w:pPr>
    </w:p>
    <w:p w:rsidR="008D2E3C" w:rsidRPr="00775070" w:rsidRDefault="008D2E3C" w:rsidP="008D2E3C">
      <w:pPr>
        <w:rPr>
          <w:szCs w:val="24"/>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26FC0" w:rsidTr="00724C16">
        <w:tc>
          <w:tcPr>
            <w:tcW w:w="5811" w:type="dxa"/>
            <w:tcBorders>
              <w:top w:val="single" w:sz="4" w:space="0" w:color="auto"/>
            </w:tcBorders>
          </w:tcPr>
          <w:p w:rsidR="008D2E3C" w:rsidRPr="00775070" w:rsidRDefault="00C92BC6" w:rsidP="00724C16">
            <w:pPr>
              <w:pStyle w:val="Lgendetitre"/>
              <w:rPr>
                <w:szCs w:val="24"/>
              </w:rPr>
            </w:pPr>
            <w:r>
              <w:t>Amendamente la un proiect de act</w:t>
            </w:r>
          </w:p>
        </w:tc>
      </w:tr>
      <w:tr w:rsidR="00226FC0" w:rsidTr="00724C16">
        <w:tc>
          <w:tcPr>
            <w:tcW w:w="5811" w:type="dxa"/>
            <w:tcBorders>
              <w:bottom w:val="single" w:sz="4" w:space="0" w:color="auto"/>
            </w:tcBorders>
          </w:tcPr>
          <w:p w:rsidR="008D2E3C" w:rsidRPr="00775070" w:rsidRDefault="008D2E3C" w:rsidP="00724C16">
            <w:pPr>
              <w:pStyle w:val="Lgendestandard"/>
              <w:rPr>
                <w:szCs w:val="24"/>
              </w:rPr>
            </w:pPr>
          </w:p>
          <w:p w:rsidR="008D2E3C" w:rsidRPr="00775070" w:rsidRDefault="00C92BC6" w:rsidP="00724C16">
            <w:pPr>
              <w:pStyle w:val="Lgendestandard"/>
              <w:rPr>
                <w:szCs w:val="24"/>
              </w:rPr>
            </w:pPr>
            <w:r>
              <w:rPr>
                <w:b/>
              </w:rPr>
              <w:t xml:space="preserve">Amendamentele Parlamentului prezentate pe două </w:t>
            </w:r>
            <w:r>
              <w:rPr>
                <w:b/>
              </w:rPr>
              <w:t>coloane</w:t>
            </w:r>
          </w:p>
          <w:p w:rsidR="008D2E3C" w:rsidRPr="00775070" w:rsidRDefault="008D2E3C" w:rsidP="00724C16">
            <w:pPr>
              <w:pStyle w:val="Lgendestandard"/>
              <w:rPr>
                <w:szCs w:val="24"/>
              </w:rPr>
            </w:pPr>
          </w:p>
          <w:p w:rsidR="008D2E3C" w:rsidRPr="00775070" w:rsidRDefault="00C92BC6" w:rsidP="00724C16">
            <w:pPr>
              <w:pStyle w:val="Lgendestandard"/>
              <w:rPr>
                <w:szCs w:val="24"/>
              </w:rPr>
            </w:pPr>
            <w:r>
              <w:t xml:space="preserve">Textul eliminat este evidențiat prin caractere </w:t>
            </w:r>
            <w:r>
              <w:rPr>
                <w:b/>
                <w:i/>
              </w:rPr>
              <w:t>cursive aldine</w:t>
            </w:r>
            <w:r>
              <w:t xml:space="preserve"> în coloana din stânga. Textul înlocuit este evidențiat prin caractere </w:t>
            </w:r>
            <w:r>
              <w:rPr>
                <w:b/>
                <w:i/>
              </w:rPr>
              <w:t>cursive aldine</w:t>
            </w:r>
            <w:r>
              <w:t xml:space="preserve"> în ambele coloane. Textul nou este evidențiat prin caractere </w:t>
            </w:r>
            <w:r>
              <w:rPr>
                <w:b/>
                <w:i/>
              </w:rPr>
              <w:t>cursive aldine</w:t>
            </w:r>
            <w:r>
              <w:t xml:space="preserve"> în coloana din dreapta.</w:t>
            </w:r>
          </w:p>
          <w:p w:rsidR="008D2E3C" w:rsidRPr="00775070" w:rsidRDefault="008D2E3C" w:rsidP="00724C16">
            <w:pPr>
              <w:pStyle w:val="Lgendestandard"/>
              <w:rPr>
                <w:szCs w:val="24"/>
              </w:rPr>
            </w:pPr>
          </w:p>
          <w:p w:rsidR="008D2E3C" w:rsidRPr="00775070" w:rsidRDefault="00C92BC6" w:rsidP="00724C16">
            <w:pPr>
              <w:pStyle w:val="Lgendestandard"/>
              <w:rPr>
                <w:szCs w:val="24"/>
              </w:rPr>
            </w:pPr>
            <w:r>
              <w:t>În primul și în al doilea rând din antetul fiecărui amendament se identifică fragmentul vizat din proiectul de act supus examinării. În cazul în care un amendament vizează un act existent care urmează să fie modificat prin proiectul de act, antetul conțin</w:t>
            </w:r>
            <w:r>
              <w:t xml:space="preserve">e două rânduri suplimentare în care se indică actul existent și, respectiv, dispoziția din acesta vizată de modificare. </w:t>
            </w:r>
          </w:p>
          <w:p w:rsidR="008D2E3C" w:rsidRPr="00775070" w:rsidRDefault="008D2E3C" w:rsidP="00724C16">
            <w:pPr>
              <w:pStyle w:val="Lgendestandard"/>
              <w:rPr>
                <w:szCs w:val="24"/>
              </w:rPr>
            </w:pPr>
          </w:p>
          <w:p w:rsidR="008D2E3C" w:rsidRPr="00775070" w:rsidRDefault="00C92BC6" w:rsidP="00724C16">
            <w:pPr>
              <w:pStyle w:val="Lgendestandard"/>
              <w:rPr>
                <w:b/>
                <w:szCs w:val="24"/>
              </w:rPr>
            </w:pPr>
            <w:r>
              <w:rPr>
                <w:b/>
              </w:rPr>
              <w:t>Amendamentele Parlamentului prezentate sub formă de text consolidat</w:t>
            </w:r>
          </w:p>
          <w:p w:rsidR="008D2E3C" w:rsidRPr="00775070" w:rsidRDefault="008D2E3C" w:rsidP="00724C16">
            <w:pPr>
              <w:pStyle w:val="Lgendestandard"/>
              <w:rPr>
                <w:szCs w:val="24"/>
              </w:rPr>
            </w:pPr>
          </w:p>
          <w:p w:rsidR="008D2E3C" w:rsidRPr="00775070" w:rsidRDefault="00C92BC6" w:rsidP="00724C16">
            <w:pPr>
              <w:pStyle w:val="Lgendestandard"/>
              <w:rPr>
                <w:szCs w:val="24"/>
              </w:rPr>
            </w:pPr>
            <w:r>
              <w:t xml:space="preserve">Părțile de text noi sunt evidențiate prin caractere </w:t>
            </w:r>
            <w:r>
              <w:rPr>
                <w:b/>
                <w:i/>
              </w:rPr>
              <w:t>cursive aldin</w:t>
            </w:r>
            <w:r>
              <w:rPr>
                <w:b/>
                <w:i/>
              </w:rPr>
              <w:t>e</w:t>
            </w:r>
            <w:r>
              <w:t xml:space="preserve">. Părțile de text eliminate sunt indicate prin simbolul ▌ sau sunt tăiate. Înlocuirile sunt semnalate prin evidențierea cu caractere </w:t>
            </w:r>
            <w:r>
              <w:rPr>
                <w:b/>
                <w:i/>
              </w:rPr>
              <w:t>cursive aldine</w:t>
            </w:r>
            <w:r>
              <w:t xml:space="preserve"> a textului nou și prin eliminarea sau tăierea textului înlocuit. </w:t>
            </w:r>
          </w:p>
          <w:p w:rsidR="008D2E3C" w:rsidRPr="00775070" w:rsidRDefault="00C92BC6" w:rsidP="00724C16">
            <w:pPr>
              <w:pStyle w:val="Lgendestandard"/>
              <w:rPr>
                <w:szCs w:val="24"/>
              </w:rPr>
            </w:pPr>
            <w:r>
              <w:t>Fac excepție de la regulă și nu se eviden</w:t>
            </w:r>
            <w:r>
              <w:t>țiază modificările de natură strict tehnică efectuate de serviciile competente în vederea elaborării textului final.</w:t>
            </w:r>
          </w:p>
          <w:p w:rsidR="008D2E3C" w:rsidRPr="00775070" w:rsidRDefault="008D2E3C" w:rsidP="00724C16">
            <w:pPr>
              <w:pStyle w:val="Lgendestandard"/>
              <w:rPr>
                <w:szCs w:val="24"/>
              </w:rPr>
            </w:pPr>
          </w:p>
        </w:tc>
      </w:tr>
    </w:tbl>
    <w:p w:rsidR="008D2E3C" w:rsidRPr="00775070" w:rsidRDefault="008D2E3C" w:rsidP="008D2E3C">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szCs w:val="24"/>
        </w:rPr>
      </w:pPr>
    </w:p>
    <w:p w:rsidR="00793EA9" w:rsidRPr="001A65E1" w:rsidRDefault="00793EA9" w:rsidP="00012351">
      <w:pPr>
        <w:widowControl/>
        <w:tabs>
          <w:tab w:val="center" w:pos="4677"/>
        </w:tabs>
      </w:pPr>
    </w:p>
    <w:p w:rsidR="00793EA9" w:rsidRPr="001A65E1" w:rsidRDefault="00C92BC6">
      <w:pPr>
        <w:pStyle w:val="TOCHeading"/>
      </w:pPr>
      <w:r>
        <w:br w:type="page"/>
      </w:r>
      <w:r>
        <w:lastRenderedPageBreak/>
        <w:t>CUPRINS</w:t>
      </w:r>
    </w:p>
    <w:p w:rsidR="00793EA9" w:rsidRPr="001A65E1" w:rsidRDefault="00C92BC6">
      <w:pPr>
        <w:pStyle w:val="TOCPage"/>
      </w:pPr>
      <w:r>
        <w:t>Pagina</w:t>
      </w:r>
    </w:p>
    <w:bookmarkStart w:id="0" w:name="_GoBack"/>
    <w:p w:rsidR="00C92BC6" w:rsidRDefault="00C92BC6">
      <w:pPr>
        <w:pStyle w:val="TOC1"/>
        <w:tabs>
          <w:tab w:val="right" w:leader="dot" w:pos="9060"/>
        </w:tabs>
        <w:rPr>
          <w:rFonts w:asciiTheme="minorHAnsi" w:eastAsiaTheme="minorEastAsia" w:hAnsiTheme="minorHAnsi" w:cstheme="minorBidi"/>
          <w:noProof/>
          <w:sz w:val="22"/>
          <w:szCs w:val="22"/>
          <w:lang w:val="en-GB"/>
        </w:rPr>
      </w:pPr>
      <w:r w:rsidRPr="001A65E1">
        <w:rPr>
          <w:b/>
        </w:rPr>
        <w:fldChar w:fldCharType="begin"/>
      </w:r>
      <w:r w:rsidRPr="001A65E1">
        <w:rPr>
          <w:b/>
        </w:rPr>
        <w:instrText xml:space="preserve"> TOC \t "PageHeading</w:instrText>
      </w:r>
      <w:r w:rsidR="008579B2" w:rsidRPr="001A65E1">
        <w:rPr>
          <w:b/>
        </w:rPr>
        <w:instrText>;</w:instrText>
      </w:r>
      <w:r w:rsidRPr="001A65E1">
        <w:rPr>
          <w:b/>
        </w:rPr>
        <w:instrText xml:space="preserve">1" </w:instrText>
      </w:r>
      <w:r w:rsidRPr="001A65E1">
        <w:rPr>
          <w:b/>
        </w:rPr>
        <w:fldChar w:fldCharType="separate"/>
      </w:r>
      <w:r>
        <w:rPr>
          <w:noProof/>
        </w:rPr>
        <w:t>PROIECT DE REZOLUȚIE LEGISLATIVĂ A PARLAMENTULUI EUROPEAN</w:t>
      </w:r>
      <w:r>
        <w:rPr>
          <w:noProof/>
        </w:rPr>
        <w:tab/>
      </w:r>
      <w:r>
        <w:rPr>
          <w:noProof/>
        </w:rPr>
        <w:fldChar w:fldCharType="begin"/>
      </w:r>
      <w:r>
        <w:rPr>
          <w:noProof/>
        </w:rPr>
        <w:instrText xml:space="preserve"> PAGEREF _Toc89088718 \h </w:instrText>
      </w:r>
      <w:r>
        <w:rPr>
          <w:noProof/>
        </w:rPr>
      </w:r>
      <w:r>
        <w:rPr>
          <w:noProof/>
        </w:rPr>
        <w:fldChar w:fldCharType="separate"/>
      </w:r>
      <w:r>
        <w:rPr>
          <w:noProof/>
        </w:rPr>
        <w:t>5</w:t>
      </w:r>
      <w:r>
        <w:rPr>
          <w:noProof/>
        </w:rPr>
        <w:fldChar w:fldCharType="end"/>
      </w:r>
    </w:p>
    <w:p w:rsidR="00C92BC6" w:rsidRDefault="00C92BC6">
      <w:pPr>
        <w:pStyle w:val="TOC1"/>
        <w:tabs>
          <w:tab w:val="right" w:leader="dot" w:pos="9060"/>
        </w:tabs>
        <w:rPr>
          <w:rFonts w:asciiTheme="minorHAnsi" w:eastAsiaTheme="minorEastAsia" w:hAnsiTheme="minorHAnsi" w:cstheme="minorBidi"/>
          <w:noProof/>
          <w:sz w:val="22"/>
          <w:szCs w:val="22"/>
          <w:lang w:val="en-GB"/>
        </w:rPr>
      </w:pPr>
      <w:r>
        <w:rPr>
          <w:noProof/>
        </w:rPr>
        <w:t>EXPUNERE DE MOTIVE</w:t>
      </w:r>
      <w:r>
        <w:rPr>
          <w:noProof/>
        </w:rPr>
        <w:tab/>
      </w:r>
      <w:r>
        <w:rPr>
          <w:noProof/>
        </w:rPr>
        <w:fldChar w:fldCharType="begin"/>
      </w:r>
      <w:r>
        <w:rPr>
          <w:noProof/>
        </w:rPr>
        <w:instrText xml:space="preserve"> PAGEREF _Toc89088719 \h </w:instrText>
      </w:r>
      <w:r>
        <w:rPr>
          <w:noProof/>
        </w:rPr>
      </w:r>
      <w:r>
        <w:rPr>
          <w:noProof/>
        </w:rPr>
        <w:fldChar w:fldCharType="separate"/>
      </w:r>
      <w:r>
        <w:rPr>
          <w:noProof/>
        </w:rPr>
        <w:t>16</w:t>
      </w:r>
      <w:r>
        <w:rPr>
          <w:noProof/>
        </w:rPr>
        <w:fldChar w:fldCharType="end"/>
      </w:r>
    </w:p>
    <w:p w:rsidR="002346B0" w:rsidRPr="001A65E1" w:rsidRDefault="00C92BC6" w:rsidP="00C23324">
      <w:r w:rsidRPr="001A65E1">
        <w:rPr>
          <w:b/>
        </w:rPr>
        <w:fldChar w:fldCharType="end"/>
      </w:r>
      <w:bookmarkEnd w:id="0"/>
    </w:p>
    <w:p w:rsidR="00793EA9" w:rsidRPr="001A65E1" w:rsidRDefault="00C92BC6">
      <w:pPr>
        <w:pStyle w:val="PageHeading"/>
      </w:pPr>
      <w:r>
        <w:br w:type="page"/>
      </w:r>
      <w:r>
        <w:lastRenderedPageBreak/>
        <w:br w:type="page"/>
      </w:r>
      <w:bookmarkStart w:id="1" w:name="_Toc89088718"/>
      <w:r>
        <w:lastRenderedPageBreak/>
        <w:t>PROIECT DE REZOLUȚIE LEGISLATIVĂ A PARLAMENTULUI EUROPEAN</w:t>
      </w:r>
      <w:bookmarkEnd w:id="1"/>
    </w:p>
    <w:p w:rsidR="00793EA9" w:rsidRPr="001A65E1" w:rsidRDefault="00C92BC6">
      <w:pPr>
        <w:pStyle w:val="NormalBold"/>
      </w:pPr>
      <w:r>
        <w:t>referitoare la propunerea de regulament al Parlamentului European și al Consiliului de modificare a Regulamentului (UE) 2019/816</w:t>
      </w:r>
      <w:r>
        <w:t xml:space="preserve"> de stabilire a unui sistem centralizat pentru determinarea statelor membre care dețin informații privind condamnările resortisanților țărilor terțe și ale apatrizilor (ECRIS-TCN), destinat să completeze sistemul european de informații cu privire la cazier</w:t>
      </w:r>
      <w:r>
        <w:t xml:space="preserve">ele judiciare și a Regulamentului (UE) 2019/818 privind instituirea unui cadru pentru interoperabilitatea dintre sistemele de informații ale UE în domeniul cooperării polițienești și judiciare, al azilului și al migrației și de modificare a Regulamentelor </w:t>
      </w:r>
      <w:r>
        <w:t>(UE) 2018/1726, (UE) 2018/1862 și (UE) 2019/816, în scopul introducerii unei proceduri de screening pentru resortisanții țărilor terțe la frontierele externe</w:t>
      </w:r>
    </w:p>
    <w:p w:rsidR="00793EA9" w:rsidRPr="001A65E1" w:rsidRDefault="00C92BC6">
      <w:pPr>
        <w:pStyle w:val="NormalBold12a"/>
      </w:pPr>
      <w:r>
        <w:t>(COM(2021)0096 – C9-0088/2021 – 2021/0046(COD))</w:t>
      </w:r>
    </w:p>
    <w:p w:rsidR="00793EA9" w:rsidRPr="001A65E1" w:rsidRDefault="00C92BC6" w:rsidP="00A910C9">
      <w:pPr>
        <w:pStyle w:val="NormalBold"/>
      </w:pPr>
      <w:r>
        <w:t>(Procedura legislativă ordinară: prima lectură)</w:t>
      </w:r>
    </w:p>
    <w:p w:rsidR="00793EA9" w:rsidRPr="001A65E1" w:rsidRDefault="00C92BC6" w:rsidP="00A910C9">
      <w:pPr>
        <w:pStyle w:val="EPComma"/>
      </w:pPr>
      <w:r>
        <w:rPr>
          <w:i/>
          <w:iCs/>
        </w:rPr>
        <w:t>Pa</w:t>
      </w:r>
      <w:r>
        <w:rPr>
          <w:i/>
          <w:iCs/>
        </w:rPr>
        <w:t>rlamentul European</w:t>
      </w:r>
      <w:r>
        <w:t>,</w:t>
      </w:r>
    </w:p>
    <w:p w:rsidR="00793EA9" w:rsidRPr="001A65E1" w:rsidRDefault="00C92BC6">
      <w:pPr>
        <w:pStyle w:val="NormalHanging12a"/>
      </w:pPr>
      <w:r>
        <w:t>–</w:t>
      </w:r>
      <w:r>
        <w:tab/>
        <w:t>având în vedere propunerea Comisiei prezentată Parlamentului European și Consiliului (COM(2021)0096),</w:t>
      </w:r>
    </w:p>
    <w:p w:rsidR="00793EA9" w:rsidRPr="001A65E1" w:rsidRDefault="00C92BC6">
      <w:pPr>
        <w:pStyle w:val="NormalHanging12a"/>
      </w:pPr>
      <w:r>
        <w:t>–</w:t>
      </w:r>
      <w:r>
        <w:tab/>
        <w:t>având în vedere articolul 294 alineatul (2), articolul 16 alineatul (2), articolul 74, articolul 78 alineatul (2) litera (e), arti</w:t>
      </w:r>
      <w:r>
        <w:t>colul 79 alineatul (2) litera (c), articolul 82 alineatul (1) al doilea paragraf litera (d), articolul 85 alineatul (1), articolul 87 alineatul (2) litera (a) și articolul 88 alineatul (2) din Tratatul privind funcționarea Uniunii Europene, în temeiul căro</w:t>
      </w:r>
      <w:r>
        <w:t>ra propunerea a fost prezentată de către Comisie Parlamentului (C9-0088/2021),</w:t>
      </w:r>
    </w:p>
    <w:p w:rsidR="00A26F46" w:rsidRPr="001A65E1" w:rsidRDefault="00C92BC6" w:rsidP="00A26F46">
      <w:pPr>
        <w:pStyle w:val="NormalHanging12a"/>
      </w:pPr>
      <w:r>
        <w:t>–</w:t>
      </w:r>
      <w:r>
        <w:tab/>
        <w:t>având în vedere articolul 294 alineatul (3) din Tratatul privind funcționarea Uniunii Europene,</w:t>
      </w:r>
    </w:p>
    <w:p w:rsidR="00793EA9" w:rsidRPr="001A65E1" w:rsidRDefault="00C92BC6">
      <w:pPr>
        <w:pStyle w:val="NormalHanging12a"/>
      </w:pPr>
      <w:r>
        <w:t>–</w:t>
      </w:r>
      <w:r>
        <w:tab/>
        <w:t>având în vedere articolul 59 din Regulamentul său de procedură,</w:t>
      </w:r>
    </w:p>
    <w:p w:rsidR="006A2F5D" w:rsidRPr="001A65E1" w:rsidRDefault="00C92BC6" w:rsidP="006A2F5D">
      <w:pPr>
        <w:pStyle w:val="NormalHanging12a"/>
      </w:pPr>
      <w:r>
        <w:t>–</w:t>
      </w:r>
      <w:r>
        <w:tab/>
        <w:t>având în ve</w:t>
      </w:r>
      <w:r>
        <w:t>dere raportul Comisiei pentru libertăți civile, justiție și afaceri interne (A9-0000/2021),</w:t>
      </w:r>
    </w:p>
    <w:p w:rsidR="009F6C2F" w:rsidRPr="001A65E1" w:rsidRDefault="00C92BC6" w:rsidP="009F6C2F">
      <w:pPr>
        <w:pStyle w:val="NormalHanging12a"/>
      </w:pPr>
      <w:r>
        <w:t>1.</w:t>
      </w:r>
      <w:r>
        <w:tab/>
        <w:t>adoptă poziția sa în primă lectură prezentată în continuare;</w:t>
      </w:r>
    </w:p>
    <w:p w:rsidR="009F6C2F" w:rsidRPr="001A65E1" w:rsidRDefault="00C92BC6" w:rsidP="009F6C2F">
      <w:pPr>
        <w:pStyle w:val="NormalHanging12a"/>
      </w:pPr>
      <w:r>
        <w:t>2.</w:t>
      </w:r>
      <w:r>
        <w:tab/>
        <w:t>solicită Comisiei să îl sesizeze din nou în cazul în care își înlocuiește, își modifică în mod su</w:t>
      </w:r>
      <w:r>
        <w:t>bstanțial sau intenționează să-și modifice în mod substanțial propunerea;</w:t>
      </w:r>
    </w:p>
    <w:p w:rsidR="009F6C2F" w:rsidRPr="001A65E1" w:rsidRDefault="00C92BC6" w:rsidP="009F6C2F">
      <w:pPr>
        <w:pStyle w:val="NormalHanging12a"/>
      </w:pPr>
      <w:r>
        <w:t>3.</w:t>
      </w:r>
      <w:r>
        <w:tab/>
        <w:t>îi încredințează Președintelui sarcina de a transmite Consiliului și Comisiei, precum și parlamentelor naționale poziția Parlamentului.</w:t>
      </w:r>
    </w:p>
    <w:p w:rsidR="00D30DE2" w:rsidRPr="001A65E1" w:rsidRDefault="00D30DE2" w:rsidP="00D30DE2"/>
    <w:p w:rsidR="00B35A32" w:rsidRPr="001A65E1" w:rsidRDefault="00C92BC6" w:rsidP="00B35A32">
      <w:pPr>
        <w:pStyle w:val="AMNumberTabs0"/>
        <w:keepNext/>
      </w:pPr>
      <w:r>
        <w:rPr>
          <w:rStyle w:val="HideTWBExt"/>
          <w:b w:val="0"/>
        </w:rPr>
        <w:lastRenderedPageBreak/>
        <w:t>&lt;RepeatBlock-Amend&gt;&lt;Amend&gt;</w:t>
      </w:r>
      <w:r>
        <w:t>Amendamentul</w:t>
      </w:r>
      <w:r>
        <w:tab/>
      </w:r>
      <w:r>
        <w:tab/>
      </w:r>
      <w:r>
        <w:rPr>
          <w:rStyle w:val="HideTWBExt"/>
          <w:b w:val="0"/>
        </w:rPr>
        <w:t>&lt;N</w:t>
      </w:r>
      <w:r>
        <w:rPr>
          <w:rStyle w:val="HideTWBExt"/>
          <w:b w:val="0"/>
        </w:rPr>
        <w:t>umAm&gt;</w:t>
      </w:r>
      <w:r>
        <w:t>1</w:t>
      </w:r>
      <w:r>
        <w:rPr>
          <w:rStyle w:val="HideTWBExt"/>
          <w:b w:val="0"/>
        </w:rPr>
        <w:t>&lt;/NumAm&gt;</w:t>
      </w:r>
    </w:p>
    <w:p w:rsidR="00B35A32" w:rsidRPr="001A65E1" w:rsidRDefault="00C92BC6" w:rsidP="00B35A32">
      <w:pPr>
        <w:pStyle w:val="NormalBold12b"/>
        <w:keepNext/>
      </w:pPr>
      <w:r>
        <w:rPr>
          <w:rStyle w:val="HideTWBExt"/>
          <w:b w:val="0"/>
        </w:rPr>
        <w:t>&lt;DocAmend&gt;</w:t>
      </w:r>
      <w:r>
        <w:t>Propunere de regulament</w:t>
      </w:r>
      <w:r>
        <w:rPr>
          <w:rStyle w:val="HideTWBExt"/>
          <w:b w:val="0"/>
        </w:rPr>
        <w:t>&lt;/DocAmend&gt;</w:t>
      </w:r>
    </w:p>
    <w:p w:rsidR="00B35A32" w:rsidRPr="001A65E1" w:rsidRDefault="00C92BC6" w:rsidP="00B35A32">
      <w:pPr>
        <w:pStyle w:val="NormalBold"/>
      </w:pPr>
      <w:r>
        <w:rPr>
          <w:rStyle w:val="HideTWBExt"/>
          <w:b w:val="0"/>
        </w:rPr>
        <w:t>&lt;Article&gt;</w:t>
      </w:r>
      <w:r>
        <w:t>Titlu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6FC0" w:rsidTr="003F4404">
        <w:trPr>
          <w:jc w:val="center"/>
        </w:trPr>
        <w:tc>
          <w:tcPr>
            <w:tcW w:w="9752" w:type="dxa"/>
            <w:gridSpan w:val="2"/>
          </w:tcPr>
          <w:p w:rsidR="00B35A32" w:rsidRPr="001A65E1" w:rsidRDefault="00B35A32" w:rsidP="003F4404">
            <w:pPr>
              <w:keepNext/>
            </w:pPr>
          </w:p>
        </w:tc>
      </w:tr>
      <w:tr w:rsidR="00226FC0" w:rsidTr="003F4404">
        <w:trPr>
          <w:jc w:val="center"/>
        </w:trPr>
        <w:tc>
          <w:tcPr>
            <w:tcW w:w="4876" w:type="dxa"/>
          </w:tcPr>
          <w:p w:rsidR="00B35A32" w:rsidRPr="001A65E1" w:rsidRDefault="00C92BC6" w:rsidP="003F4404">
            <w:pPr>
              <w:pStyle w:val="ColumnHeading"/>
              <w:keepNext/>
            </w:pPr>
            <w:r>
              <w:t>Textul propus de Comisie</w:t>
            </w:r>
          </w:p>
        </w:tc>
        <w:tc>
          <w:tcPr>
            <w:tcW w:w="4876" w:type="dxa"/>
          </w:tcPr>
          <w:p w:rsidR="00B35A32" w:rsidRPr="001A65E1" w:rsidRDefault="00C92BC6" w:rsidP="003F4404">
            <w:pPr>
              <w:pStyle w:val="ColumnHeading"/>
              <w:keepNext/>
            </w:pPr>
            <w:r>
              <w:t>Amendamentul</w:t>
            </w:r>
          </w:p>
        </w:tc>
      </w:tr>
      <w:tr w:rsidR="00226FC0" w:rsidTr="003F4404">
        <w:trPr>
          <w:jc w:val="center"/>
        </w:trPr>
        <w:tc>
          <w:tcPr>
            <w:tcW w:w="4876" w:type="dxa"/>
          </w:tcPr>
          <w:p w:rsidR="00B35A32" w:rsidRPr="001A65E1" w:rsidRDefault="00C92BC6" w:rsidP="003F4404">
            <w:pPr>
              <w:pStyle w:val="Normal6"/>
            </w:pPr>
            <w:r>
              <w:t>Propunere de</w:t>
            </w:r>
          </w:p>
        </w:tc>
        <w:tc>
          <w:tcPr>
            <w:tcW w:w="4876" w:type="dxa"/>
          </w:tcPr>
          <w:p w:rsidR="00B35A32" w:rsidRPr="001A65E1" w:rsidRDefault="00C92BC6" w:rsidP="003F4404">
            <w:pPr>
              <w:pStyle w:val="Normal6"/>
              <w:rPr>
                <w:szCs w:val="24"/>
              </w:rPr>
            </w:pPr>
            <w:r>
              <w:t>Propunere de</w:t>
            </w:r>
          </w:p>
        </w:tc>
      </w:tr>
      <w:tr w:rsidR="00226FC0" w:rsidTr="003F4404">
        <w:trPr>
          <w:jc w:val="center"/>
        </w:trPr>
        <w:tc>
          <w:tcPr>
            <w:tcW w:w="4876" w:type="dxa"/>
          </w:tcPr>
          <w:p w:rsidR="00B35A32" w:rsidRPr="001A65E1" w:rsidRDefault="00C92BC6" w:rsidP="003F4404">
            <w:pPr>
              <w:pStyle w:val="Normal6"/>
            </w:pPr>
            <w:r>
              <w:t>REGULAMENT AL PARLAMENTULUI EUROPEAN ȘI AL CONSILIULUI</w:t>
            </w:r>
          </w:p>
        </w:tc>
        <w:tc>
          <w:tcPr>
            <w:tcW w:w="4876" w:type="dxa"/>
          </w:tcPr>
          <w:p w:rsidR="00B35A32" w:rsidRPr="001A65E1" w:rsidRDefault="00C92BC6" w:rsidP="003F4404">
            <w:pPr>
              <w:pStyle w:val="Normal6"/>
              <w:rPr>
                <w:szCs w:val="24"/>
              </w:rPr>
            </w:pPr>
            <w:r>
              <w:t xml:space="preserve">REGULAMENT AL PARLAMENTULUI EUROPEAN ȘI AL </w:t>
            </w:r>
            <w:r>
              <w:t>CONSILIULUI</w:t>
            </w:r>
          </w:p>
        </w:tc>
      </w:tr>
      <w:tr w:rsidR="00226FC0" w:rsidTr="003F4404">
        <w:trPr>
          <w:jc w:val="center"/>
        </w:trPr>
        <w:tc>
          <w:tcPr>
            <w:tcW w:w="4876" w:type="dxa"/>
          </w:tcPr>
          <w:p w:rsidR="00B35A32" w:rsidRPr="001A65E1" w:rsidRDefault="00C92BC6" w:rsidP="003F4404">
            <w:pPr>
              <w:pStyle w:val="Normal6"/>
            </w:pPr>
            <w:r>
              <w:t xml:space="preserve">de modificare a </w:t>
            </w:r>
            <w:r>
              <w:rPr>
                <w:b/>
                <w:bCs/>
                <w:i/>
                <w:iCs/>
              </w:rPr>
              <w:t>Regulamentului (UE) 2019/816 de stabilire a unui sistem centralizat pentru determinarea statelor membre care dețin informații privind condamnările resortisanților țărilor terțe și ale apatrizilor (ECRIS-TCN), destinat să comple</w:t>
            </w:r>
            <w:r>
              <w:rPr>
                <w:b/>
                <w:bCs/>
                <w:i/>
                <w:iCs/>
              </w:rPr>
              <w:t>teze sistemul european de informații cu privire la cazierele judiciare și a</w:t>
            </w:r>
            <w:r>
              <w:t xml:space="preserve"> Regulamentului (UE) 2019/818 privind instituirea unui cadru pentru interoperabilitatea dintre sistemele de informații ale UE în domeniul cooperării polițienești și judiciare, al az</w:t>
            </w:r>
            <w:r>
              <w:t>ilului și al migrației și de modificare a Regulamentelor (UE) 2018/1726, (UE) 2018/1862 și (UE) 2019/816, în scopul introducerii unei proceduri de screening pentru resortisanții țărilor terțe la frontierele externe</w:t>
            </w:r>
          </w:p>
        </w:tc>
        <w:tc>
          <w:tcPr>
            <w:tcW w:w="4876" w:type="dxa"/>
          </w:tcPr>
          <w:p w:rsidR="00B35A32" w:rsidRPr="001A65E1" w:rsidRDefault="00C92BC6" w:rsidP="003F4404">
            <w:pPr>
              <w:pStyle w:val="Normal6"/>
              <w:rPr>
                <w:szCs w:val="24"/>
              </w:rPr>
            </w:pPr>
            <w:r>
              <w:t>de modificare a Regulamentului (UE) 2019/</w:t>
            </w:r>
            <w:r>
              <w:t>818 privind instituirea unui cadru pentru interoperabilitatea dintre sistemele de informații ale UE în domeniul cooperării polițienești și judiciare, al azilului și al migrației și de modificare a Regulamentelor (UE) 2018/1726, (UE) 2018/1862 și (UE) 2019/</w:t>
            </w:r>
            <w:r>
              <w:t>816, în scopul introducerii unei proceduri de screening pentru resortisanții țărilor terțe la frontierele externe</w:t>
            </w:r>
          </w:p>
        </w:tc>
      </w:tr>
    </w:tbl>
    <w:p w:rsidR="00B35A32" w:rsidRPr="001A65E1" w:rsidRDefault="00C92BC6" w:rsidP="00B35A32">
      <w:pPr>
        <w:pStyle w:val="Olang"/>
        <w:rPr>
          <w:sz w:val="24"/>
          <w:szCs w:val="24"/>
        </w:rPr>
      </w:pPr>
      <w:r w:rsidRPr="001A65E1">
        <w:rPr>
          <w:sz w:val="24"/>
          <w:szCs w:val="24"/>
        </w:rPr>
        <w:t xml:space="preserve">Or. </w:t>
      </w:r>
      <w:r w:rsidRPr="001A65E1">
        <w:rPr>
          <w:rStyle w:val="HideTWBExt"/>
          <w:noProof w:val="0"/>
        </w:rPr>
        <w:t>&lt;Original&gt;</w:t>
      </w:r>
      <w:r w:rsidRPr="001A65E1">
        <w:rPr>
          <w:rStyle w:val="HideTWBInt"/>
          <w:sz w:val="24"/>
          <w:szCs w:val="24"/>
        </w:rPr>
        <w:t>{EN}</w:t>
      </w:r>
      <w:r w:rsidRPr="001A65E1">
        <w:rPr>
          <w:sz w:val="24"/>
          <w:szCs w:val="24"/>
        </w:rPr>
        <w:t>en</w:t>
      </w:r>
      <w:r w:rsidRPr="001A65E1">
        <w:rPr>
          <w:rStyle w:val="HideTWBExt"/>
          <w:noProof w:val="0"/>
        </w:rPr>
        <w:t>&lt;/Original&gt;</w:t>
      </w:r>
    </w:p>
    <w:p w:rsidR="00B35A32" w:rsidRPr="001A65E1" w:rsidRDefault="00C92BC6" w:rsidP="00B35A32">
      <w:r>
        <w:rPr>
          <w:rStyle w:val="HideTWBExt"/>
        </w:rPr>
        <w:t>&lt;/Amend&gt;</w:t>
      </w:r>
    </w:p>
    <w:p w:rsidR="00B35A32" w:rsidRPr="001A65E1" w:rsidRDefault="00C92BC6" w:rsidP="00B35A32">
      <w:pPr>
        <w:pStyle w:val="AMNumberTabs0"/>
        <w:keepNext/>
      </w:pPr>
      <w:r>
        <w:rPr>
          <w:rStyle w:val="HideTWBExt"/>
          <w:b w:val="0"/>
        </w:rPr>
        <w:t>&lt;Amend&gt;</w:t>
      </w:r>
      <w:r>
        <w:t>Amendamentul</w:t>
      </w:r>
      <w:r>
        <w:tab/>
      </w:r>
      <w:r>
        <w:tab/>
      </w:r>
      <w:r>
        <w:rPr>
          <w:rStyle w:val="HideTWBExt"/>
          <w:b w:val="0"/>
        </w:rPr>
        <w:t>&lt;NumAm&gt;</w:t>
      </w:r>
      <w:r>
        <w:t>2</w:t>
      </w:r>
      <w:r>
        <w:rPr>
          <w:rStyle w:val="HideTWBExt"/>
          <w:b w:val="0"/>
        </w:rPr>
        <w:t>&lt;/NumAm&gt;</w:t>
      </w:r>
    </w:p>
    <w:p w:rsidR="00B35A32" w:rsidRPr="001A65E1" w:rsidRDefault="00C92BC6" w:rsidP="00B35A32">
      <w:pPr>
        <w:pStyle w:val="NormalBold12b"/>
        <w:keepNext/>
      </w:pPr>
      <w:r>
        <w:rPr>
          <w:rStyle w:val="HideTWBExt"/>
          <w:b w:val="0"/>
        </w:rPr>
        <w:t>&lt;DocAmend&gt;</w:t>
      </w:r>
      <w:r>
        <w:t>Propunere de regulament</w:t>
      </w:r>
      <w:r>
        <w:rPr>
          <w:rStyle w:val="HideTWBExt"/>
          <w:b w:val="0"/>
        </w:rPr>
        <w:t>&lt;/DocAmend&gt;</w:t>
      </w:r>
    </w:p>
    <w:p w:rsidR="00B35A32" w:rsidRPr="001A65E1" w:rsidRDefault="00C92BC6" w:rsidP="00B35A32">
      <w:pPr>
        <w:pStyle w:val="NormalBold"/>
      </w:pPr>
      <w:r>
        <w:rPr>
          <w:rStyle w:val="HideTWBExt"/>
          <w:b w:val="0"/>
        </w:rPr>
        <w:t>&lt;Article&gt;</w:t>
      </w:r>
      <w:r>
        <w:t>Considerentul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6FC0" w:rsidTr="003F4404">
        <w:trPr>
          <w:jc w:val="center"/>
        </w:trPr>
        <w:tc>
          <w:tcPr>
            <w:tcW w:w="9752" w:type="dxa"/>
            <w:gridSpan w:val="2"/>
          </w:tcPr>
          <w:p w:rsidR="00B35A32" w:rsidRPr="001A65E1" w:rsidRDefault="00B35A32" w:rsidP="003F4404">
            <w:pPr>
              <w:keepNext/>
            </w:pPr>
          </w:p>
        </w:tc>
      </w:tr>
      <w:tr w:rsidR="00226FC0" w:rsidTr="003F4404">
        <w:trPr>
          <w:jc w:val="center"/>
        </w:trPr>
        <w:tc>
          <w:tcPr>
            <w:tcW w:w="4876" w:type="dxa"/>
          </w:tcPr>
          <w:p w:rsidR="00B35A32" w:rsidRPr="001A65E1" w:rsidRDefault="00C92BC6" w:rsidP="003F4404">
            <w:pPr>
              <w:pStyle w:val="ColumnHeading"/>
              <w:keepNext/>
            </w:pPr>
            <w:r>
              <w:t>Textul propus de Comisie</w:t>
            </w:r>
          </w:p>
        </w:tc>
        <w:tc>
          <w:tcPr>
            <w:tcW w:w="4876" w:type="dxa"/>
          </w:tcPr>
          <w:p w:rsidR="00B35A32" w:rsidRPr="001A65E1" w:rsidRDefault="00C92BC6" w:rsidP="003F4404">
            <w:pPr>
              <w:pStyle w:val="ColumnHeading"/>
              <w:keepNext/>
            </w:pPr>
            <w:r>
              <w:t>Amendamentul</w:t>
            </w:r>
          </w:p>
        </w:tc>
      </w:tr>
      <w:tr w:rsidR="00226FC0" w:rsidTr="003F4404">
        <w:trPr>
          <w:jc w:val="center"/>
        </w:trPr>
        <w:tc>
          <w:tcPr>
            <w:tcW w:w="4876" w:type="dxa"/>
          </w:tcPr>
          <w:p w:rsidR="00B35A32" w:rsidRPr="001A65E1" w:rsidRDefault="00C92BC6" w:rsidP="003F4404">
            <w:pPr>
              <w:pStyle w:val="Normal6"/>
            </w:pPr>
            <w:r>
              <w:rPr>
                <w:b/>
                <w:i/>
              </w:rPr>
              <w:t>(2)</w:t>
            </w:r>
            <w:r>
              <w:rPr>
                <w:b/>
                <w:i/>
              </w:rPr>
              <w:tab/>
            </w:r>
            <w:r>
              <w:rPr>
                <w:b/>
                <w:bCs/>
                <w:i/>
                <w:iCs/>
              </w:rPr>
              <w:t>Regulamentul (UE) .../... [Regulamentul privind procedura de screening]</w:t>
            </w:r>
            <w:r>
              <w:rPr>
                <w:b/>
                <w:bCs/>
                <w:i/>
                <w:iCs/>
                <w:vertAlign w:val="superscript"/>
              </w:rPr>
              <w:t>17</w:t>
            </w:r>
            <w:r>
              <w:rPr>
                <w:b/>
                <w:bCs/>
                <w:i/>
                <w:iCs/>
              </w:rPr>
              <w:t xml:space="preserve"> prevede că verificările efectuate în scopuri de securitate în cadrul procedurii de screening ar trebui să fie e</w:t>
            </w:r>
            <w:r>
              <w:rPr>
                <w:b/>
                <w:bCs/>
                <w:i/>
                <w:iCs/>
              </w:rPr>
              <w:t xml:space="preserve">fectuate în aceleași sisteme ca și în cazul solicitanților de viză sau de autorizații de călătorie în cadrul Sistemului european de informații și de </w:t>
            </w:r>
            <w:r>
              <w:rPr>
                <w:b/>
                <w:bCs/>
                <w:i/>
                <w:iCs/>
              </w:rPr>
              <w:lastRenderedPageBreak/>
              <w:t>autorizare privind călătoriile.</w:t>
            </w:r>
            <w:r>
              <w:rPr>
                <w:b/>
                <w:i/>
              </w:rPr>
              <w:t xml:space="preserve"> </w:t>
            </w:r>
            <w:r>
              <w:rPr>
                <w:b/>
                <w:bCs/>
                <w:i/>
                <w:iCs/>
              </w:rPr>
              <w:t>În special, Regulamentul (UE) .../... [Regulamentul privind procedura de sc</w:t>
            </w:r>
            <w:r>
              <w:rPr>
                <w:b/>
                <w:bCs/>
                <w:i/>
                <w:iCs/>
              </w:rPr>
              <w:t>reening]</w:t>
            </w:r>
            <w:r>
              <w:rPr>
                <w:b/>
                <w:bCs/>
                <w:i/>
                <w:iCs/>
                <w:vertAlign w:val="superscript"/>
              </w:rPr>
              <w:t>18</w:t>
            </w:r>
            <w:r>
              <w:rPr>
                <w:b/>
                <w:bCs/>
                <w:i/>
                <w:iCs/>
              </w:rPr>
              <w:t xml:space="preserve"> prevede că datele cu caracter personal ale persoanelor supuse procedurii de screening ar trebui să fie verificate prin consultarea datelor Europol, a bazei de date privind documentele de călătorie furate și pierdute (SLTD) și a bazei de date pri</w:t>
            </w:r>
            <w:r>
              <w:rPr>
                <w:b/>
                <w:bCs/>
                <w:i/>
                <w:iCs/>
              </w:rPr>
              <w:t>vind documentele de călătorie asociate unor notificări (TDAWN), ambele ale Interpol, precum și a Sistemului european de informații cu privire la cazierele judiciare pentru resortisanții țărilor terțe (ECRIS-TCN) în ceea ce privește persoanele condamnate pe</w:t>
            </w:r>
            <w:r>
              <w:rPr>
                <w:b/>
                <w:bCs/>
                <w:i/>
                <w:iCs/>
              </w:rPr>
              <w:t>ntru infracțiuni de terorism și alte forme de infracțiuni grave.</w:t>
            </w:r>
          </w:p>
        </w:tc>
        <w:tc>
          <w:tcPr>
            <w:tcW w:w="4876" w:type="dxa"/>
          </w:tcPr>
          <w:p w:rsidR="00B35A32" w:rsidRPr="001A65E1" w:rsidRDefault="00C92BC6" w:rsidP="003F4404">
            <w:pPr>
              <w:pStyle w:val="Normal6"/>
              <w:rPr>
                <w:szCs w:val="24"/>
              </w:rPr>
            </w:pPr>
            <w:r>
              <w:rPr>
                <w:b/>
                <w:i/>
              </w:rPr>
              <w:lastRenderedPageBreak/>
              <w:t>eliminat</w:t>
            </w:r>
          </w:p>
        </w:tc>
      </w:tr>
      <w:tr w:rsidR="00226FC0" w:rsidTr="003F4404">
        <w:trPr>
          <w:jc w:val="center"/>
        </w:trPr>
        <w:tc>
          <w:tcPr>
            <w:tcW w:w="4876" w:type="dxa"/>
          </w:tcPr>
          <w:p w:rsidR="00B35A32" w:rsidRPr="001A65E1" w:rsidRDefault="00C92BC6" w:rsidP="003F4404">
            <w:pPr>
              <w:pStyle w:val="Normal6"/>
            </w:pPr>
            <w:r>
              <w:rPr>
                <w:b/>
                <w:i/>
              </w:rPr>
              <w:t>__________________</w:t>
            </w:r>
          </w:p>
        </w:tc>
        <w:tc>
          <w:tcPr>
            <w:tcW w:w="4876" w:type="dxa"/>
          </w:tcPr>
          <w:p w:rsidR="00B35A32" w:rsidRPr="001A65E1" w:rsidRDefault="00B35A32" w:rsidP="003F4404">
            <w:pPr>
              <w:pStyle w:val="Normal6"/>
              <w:rPr>
                <w:szCs w:val="24"/>
              </w:rPr>
            </w:pPr>
          </w:p>
        </w:tc>
      </w:tr>
      <w:tr w:rsidR="00226FC0" w:rsidTr="003F4404">
        <w:trPr>
          <w:jc w:val="center"/>
        </w:trPr>
        <w:tc>
          <w:tcPr>
            <w:tcW w:w="4876" w:type="dxa"/>
          </w:tcPr>
          <w:p w:rsidR="00B35A32" w:rsidRPr="001A65E1" w:rsidRDefault="00C92BC6" w:rsidP="003F4404">
            <w:pPr>
              <w:pStyle w:val="Normal6"/>
            </w:pPr>
            <w:r>
              <w:rPr>
                <w:b/>
                <w:i/>
                <w:vertAlign w:val="superscript"/>
              </w:rPr>
              <w:t>17</w:t>
            </w:r>
            <w:r>
              <w:t xml:space="preserve"> </w:t>
            </w:r>
            <w:r>
              <w:rPr>
                <w:b/>
                <w:i/>
              </w:rPr>
              <w:t>Op. cit. 15.</w:t>
            </w:r>
          </w:p>
        </w:tc>
        <w:tc>
          <w:tcPr>
            <w:tcW w:w="4876" w:type="dxa"/>
          </w:tcPr>
          <w:p w:rsidR="00B35A32" w:rsidRPr="001A65E1" w:rsidRDefault="00B35A32" w:rsidP="003F4404">
            <w:pPr>
              <w:pStyle w:val="Normal6"/>
              <w:rPr>
                <w:szCs w:val="24"/>
              </w:rPr>
            </w:pPr>
          </w:p>
        </w:tc>
      </w:tr>
      <w:tr w:rsidR="00226FC0" w:rsidTr="003F4404">
        <w:trPr>
          <w:jc w:val="center"/>
        </w:trPr>
        <w:tc>
          <w:tcPr>
            <w:tcW w:w="4876" w:type="dxa"/>
          </w:tcPr>
          <w:p w:rsidR="00B35A32" w:rsidRPr="001A65E1" w:rsidRDefault="00C92BC6" w:rsidP="003F4404">
            <w:pPr>
              <w:pStyle w:val="Normal6"/>
            </w:pPr>
            <w:r>
              <w:rPr>
                <w:b/>
                <w:i/>
                <w:vertAlign w:val="superscript"/>
              </w:rPr>
              <w:t>18</w:t>
            </w:r>
            <w:r>
              <w:t xml:space="preserve"> </w:t>
            </w:r>
            <w:r>
              <w:rPr>
                <w:b/>
                <w:i/>
              </w:rPr>
              <w:t>Op. cit. 15.</w:t>
            </w:r>
          </w:p>
        </w:tc>
        <w:tc>
          <w:tcPr>
            <w:tcW w:w="4876" w:type="dxa"/>
          </w:tcPr>
          <w:p w:rsidR="00B35A32" w:rsidRPr="001A65E1" w:rsidRDefault="00B35A32" w:rsidP="003F4404">
            <w:pPr>
              <w:pStyle w:val="Normal6"/>
              <w:rPr>
                <w:szCs w:val="24"/>
              </w:rPr>
            </w:pPr>
          </w:p>
        </w:tc>
      </w:tr>
    </w:tbl>
    <w:p w:rsidR="00B35A32" w:rsidRPr="001A65E1" w:rsidRDefault="00C92BC6" w:rsidP="00B35A32">
      <w:pPr>
        <w:pStyle w:val="Olang"/>
        <w:rPr>
          <w:sz w:val="24"/>
          <w:szCs w:val="24"/>
        </w:rPr>
      </w:pPr>
      <w:r w:rsidRPr="001A65E1">
        <w:rPr>
          <w:sz w:val="24"/>
          <w:szCs w:val="24"/>
        </w:rPr>
        <w:t xml:space="preserve">Or. </w:t>
      </w:r>
      <w:r w:rsidRPr="001A65E1">
        <w:rPr>
          <w:rStyle w:val="HideTWBExt"/>
          <w:noProof w:val="0"/>
        </w:rPr>
        <w:t>&lt;Original&gt;</w:t>
      </w:r>
      <w:r w:rsidRPr="001A65E1">
        <w:rPr>
          <w:rStyle w:val="HideTWBInt"/>
          <w:sz w:val="24"/>
          <w:szCs w:val="24"/>
        </w:rPr>
        <w:t>{EN}</w:t>
      </w:r>
      <w:r w:rsidRPr="001A65E1">
        <w:rPr>
          <w:sz w:val="24"/>
          <w:szCs w:val="24"/>
        </w:rPr>
        <w:t>en</w:t>
      </w:r>
      <w:r w:rsidRPr="001A65E1">
        <w:rPr>
          <w:rStyle w:val="HideTWBExt"/>
          <w:noProof w:val="0"/>
        </w:rPr>
        <w:t>&lt;/Original&gt;</w:t>
      </w:r>
    </w:p>
    <w:p w:rsidR="00B35A32" w:rsidRPr="001A65E1" w:rsidRDefault="00C92BC6" w:rsidP="00B35A32">
      <w:r>
        <w:rPr>
          <w:rStyle w:val="HideTWBExt"/>
        </w:rPr>
        <w:t>&lt;/Amend&gt;</w:t>
      </w:r>
    </w:p>
    <w:p w:rsidR="00B35A32" w:rsidRPr="001A65E1" w:rsidRDefault="00C92BC6" w:rsidP="00B35A32">
      <w:pPr>
        <w:pStyle w:val="AMNumberTabs0"/>
        <w:keepNext/>
      </w:pPr>
      <w:r>
        <w:rPr>
          <w:rStyle w:val="HideTWBExt"/>
          <w:b w:val="0"/>
        </w:rPr>
        <w:t>&lt;Amend&gt;</w:t>
      </w:r>
      <w:r>
        <w:t>Amendamentul</w:t>
      </w:r>
      <w:r>
        <w:tab/>
      </w:r>
      <w:r>
        <w:tab/>
      </w:r>
      <w:r>
        <w:rPr>
          <w:rStyle w:val="HideTWBExt"/>
          <w:b w:val="0"/>
        </w:rPr>
        <w:t>&lt;NumAm&gt;</w:t>
      </w:r>
      <w:r>
        <w:t>3</w:t>
      </w:r>
      <w:r>
        <w:rPr>
          <w:rStyle w:val="HideTWBExt"/>
          <w:b w:val="0"/>
        </w:rPr>
        <w:t>&lt;/NumAm&gt;</w:t>
      </w:r>
    </w:p>
    <w:p w:rsidR="00B35A32" w:rsidRPr="001A65E1" w:rsidRDefault="00C92BC6" w:rsidP="00B35A32">
      <w:pPr>
        <w:pStyle w:val="NormalBold12b"/>
        <w:keepNext/>
      </w:pPr>
      <w:r>
        <w:rPr>
          <w:rStyle w:val="HideTWBExt"/>
          <w:b w:val="0"/>
        </w:rPr>
        <w:t>&lt;DocAmend&gt;</w:t>
      </w:r>
      <w:r>
        <w:t>Propunere de regulament</w:t>
      </w:r>
      <w:r>
        <w:rPr>
          <w:rStyle w:val="HideTWBExt"/>
          <w:b w:val="0"/>
        </w:rPr>
        <w:t>&lt;/DocAmend&gt;</w:t>
      </w:r>
    </w:p>
    <w:p w:rsidR="00B35A32" w:rsidRPr="001A65E1" w:rsidRDefault="00C92BC6" w:rsidP="00B35A32">
      <w:pPr>
        <w:pStyle w:val="NormalBold"/>
      </w:pPr>
      <w:r>
        <w:rPr>
          <w:rStyle w:val="HideTWBExt"/>
          <w:b w:val="0"/>
        </w:rPr>
        <w:t>&lt;Article&gt;</w:t>
      </w:r>
      <w:r>
        <w:t>Considerentul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6FC0" w:rsidTr="003F4404">
        <w:trPr>
          <w:jc w:val="center"/>
        </w:trPr>
        <w:tc>
          <w:tcPr>
            <w:tcW w:w="9752" w:type="dxa"/>
            <w:gridSpan w:val="2"/>
          </w:tcPr>
          <w:p w:rsidR="00B35A32" w:rsidRPr="001A65E1" w:rsidRDefault="00B35A32" w:rsidP="003F4404">
            <w:pPr>
              <w:keepNext/>
            </w:pPr>
          </w:p>
        </w:tc>
      </w:tr>
      <w:tr w:rsidR="00226FC0" w:rsidTr="003F4404">
        <w:trPr>
          <w:jc w:val="center"/>
        </w:trPr>
        <w:tc>
          <w:tcPr>
            <w:tcW w:w="4876" w:type="dxa"/>
          </w:tcPr>
          <w:p w:rsidR="00B35A32" w:rsidRPr="001A65E1" w:rsidRDefault="00C92BC6" w:rsidP="003F4404">
            <w:pPr>
              <w:pStyle w:val="ColumnHeading"/>
              <w:keepNext/>
            </w:pPr>
            <w:r>
              <w:t>Textul propus de Comisie</w:t>
            </w:r>
          </w:p>
        </w:tc>
        <w:tc>
          <w:tcPr>
            <w:tcW w:w="4876" w:type="dxa"/>
          </w:tcPr>
          <w:p w:rsidR="00B35A32" w:rsidRPr="001A65E1" w:rsidRDefault="00C92BC6" w:rsidP="003F4404">
            <w:pPr>
              <w:pStyle w:val="ColumnHeading"/>
              <w:keepNext/>
            </w:pPr>
            <w:r>
              <w:t>Amendamentul</w:t>
            </w:r>
          </w:p>
        </w:tc>
      </w:tr>
      <w:tr w:rsidR="00226FC0" w:rsidTr="003F4404">
        <w:trPr>
          <w:jc w:val="center"/>
        </w:trPr>
        <w:tc>
          <w:tcPr>
            <w:tcW w:w="4876" w:type="dxa"/>
          </w:tcPr>
          <w:p w:rsidR="00B35A32" w:rsidRPr="001A65E1" w:rsidRDefault="00C92BC6" w:rsidP="003F4404">
            <w:pPr>
              <w:pStyle w:val="Normal6"/>
            </w:pPr>
            <w:r>
              <w:rPr>
                <w:b/>
                <w:i/>
              </w:rPr>
              <w:t>(3)</w:t>
            </w:r>
            <w:r>
              <w:rPr>
                <w:b/>
                <w:i/>
              </w:rPr>
              <w:tab/>
            </w:r>
            <w:r>
              <w:rPr>
                <w:b/>
                <w:bCs/>
                <w:i/>
                <w:iCs/>
              </w:rPr>
              <w:t xml:space="preserve">Accesul la ECRIS-TCN este necesar pentru ca autoritățile desemnate să efectueze procedura de screening prevăzută în Regulamentul (UE).../... [Regulamentul privind procedura de </w:t>
            </w:r>
            <w:r>
              <w:rPr>
                <w:b/>
                <w:bCs/>
                <w:i/>
                <w:iCs/>
              </w:rPr>
              <w:t>screening]</w:t>
            </w:r>
            <w:r>
              <w:rPr>
                <w:b/>
                <w:bCs/>
                <w:i/>
                <w:iCs/>
                <w:vertAlign w:val="superscript"/>
              </w:rPr>
              <w:t>19</w:t>
            </w:r>
            <w:r>
              <w:rPr>
                <w:b/>
                <w:bCs/>
                <w:i/>
                <w:iCs/>
              </w:rPr>
              <w:t xml:space="preserve"> pentru a stabili dacă o persoană ar putea reprezenta o amenințare la adresa securității interne sau a ordinii publice.</w:t>
            </w:r>
          </w:p>
        </w:tc>
        <w:tc>
          <w:tcPr>
            <w:tcW w:w="4876" w:type="dxa"/>
          </w:tcPr>
          <w:p w:rsidR="00B35A32" w:rsidRPr="001A65E1" w:rsidRDefault="00C92BC6" w:rsidP="003F4404">
            <w:pPr>
              <w:pStyle w:val="Normal6"/>
              <w:rPr>
                <w:szCs w:val="24"/>
              </w:rPr>
            </w:pPr>
            <w:r>
              <w:rPr>
                <w:b/>
                <w:i/>
              </w:rPr>
              <w:t>eliminat</w:t>
            </w:r>
          </w:p>
        </w:tc>
      </w:tr>
      <w:tr w:rsidR="00226FC0" w:rsidTr="003F4404">
        <w:trPr>
          <w:jc w:val="center"/>
        </w:trPr>
        <w:tc>
          <w:tcPr>
            <w:tcW w:w="4876" w:type="dxa"/>
          </w:tcPr>
          <w:p w:rsidR="00B35A32" w:rsidRPr="001A65E1" w:rsidRDefault="00C92BC6" w:rsidP="003F4404">
            <w:pPr>
              <w:pStyle w:val="Normal6"/>
            </w:pPr>
            <w:r>
              <w:rPr>
                <w:b/>
                <w:i/>
              </w:rPr>
              <w:t>__________________</w:t>
            </w:r>
          </w:p>
        </w:tc>
        <w:tc>
          <w:tcPr>
            <w:tcW w:w="4876" w:type="dxa"/>
          </w:tcPr>
          <w:p w:rsidR="00B35A32" w:rsidRPr="001A65E1" w:rsidRDefault="00B35A32" w:rsidP="003F4404">
            <w:pPr>
              <w:pStyle w:val="Normal6"/>
              <w:rPr>
                <w:szCs w:val="24"/>
              </w:rPr>
            </w:pPr>
          </w:p>
        </w:tc>
      </w:tr>
      <w:tr w:rsidR="00226FC0" w:rsidTr="003F4404">
        <w:trPr>
          <w:jc w:val="center"/>
        </w:trPr>
        <w:tc>
          <w:tcPr>
            <w:tcW w:w="4876" w:type="dxa"/>
          </w:tcPr>
          <w:p w:rsidR="00B35A32" w:rsidRPr="001A65E1" w:rsidRDefault="00C92BC6" w:rsidP="003F4404">
            <w:pPr>
              <w:pStyle w:val="Normal6"/>
            </w:pPr>
            <w:r>
              <w:rPr>
                <w:b/>
                <w:i/>
                <w:vertAlign w:val="superscript"/>
              </w:rPr>
              <w:t>19</w:t>
            </w:r>
            <w:r>
              <w:t xml:space="preserve"> </w:t>
            </w:r>
            <w:r>
              <w:rPr>
                <w:b/>
                <w:i/>
              </w:rPr>
              <w:t>Op. cit. 15.</w:t>
            </w:r>
          </w:p>
        </w:tc>
        <w:tc>
          <w:tcPr>
            <w:tcW w:w="4876" w:type="dxa"/>
          </w:tcPr>
          <w:p w:rsidR="00B35A32" w:rsidRPr="001A65E1" w:rsidRDefault="00B35A32" w:rsidP="003F4404">
            <w:pPr>
              <w:pStyle w:val="Normal6"/>
              <w:rPr>
                <w:szCs w:val="24"/>
              </w:rPr>
            </w:pPr>
          </w:p>
        </w:tc>
      </w:tr>
    </w:tbl>
    <w:p w:rsidR="00B35A32" w:rsidRPr="001A65E1" w:rsidRDefault="00C92BC6" w:rsidP="00B35A32">
      <w:pPr>
        <w:pStyle w:val="Olang"/>
        <w:rPr>
          <w:sz w:val="24"/>
          <w:szCs w:val="24"/>
        </w:rPr>
      </w:pPr>
      <w:r w:rsidRPr="001A65E1">
        <w:rPr>
          <w:sz w:val="24"/>
          <w:szCs w:val="24"/>
        </w:rPr>
        <w:t xml:space="preserve">Or. </w:t>
      </w:r>
      <w:r w:rsidRPr="001A65E1">
        <w:rPr>
          <w:rStyle w:val="HideTWBExt"/>
          <w:noProof w:val="0"/>
        </w:rPr>
        <w:t>&lt;Original&gt;</w:t>
      </w:r>
      <w:r w:rsidRPr="001A65E1">
        <w:rPr>
          <w:rStyle w:val="HideTWBInt"/>
          <w:sz w:val="24"/>
          <w:szCs w:val="24"/>
        </w:rPr>
        <w:t>{EN}</w:t>
      </w:r>
      <w:r w:rsidRPr="001A65E1">
        <w:rPr>
          <w:sz w:val="24"/>
          <w:szCs w:val="24"/>
        </w:rPr>
        <w:t>en</w:t>
      </w:r>
      <w:r w:rsidRPr="001A65E1">
        <w:rPr>
          <w:rStyle w:val="HideTWBExt"/>
          <w:noProof w:val="0"/>
        </w:rPr>
        <w:t>&lt;/Original&gt;</w:t>
      </w:r>
    </w:p>
    <w:p w:rsidR="00B35A32" w:rsidRPr="001A65E1" w:rsidRDefault="00C92BC6" w:rsidP="00B35A32">
      <w:r>
        <w:rPr>
          <w:rStyle w:val="HideTWBExt"/>
        </w:rPr>
        <w:t>&lt;/Amend&gt;</w:t>
      </w:r>
    </w:p>
    <w:p w:rsidR="00B35A32" w:rsidRPr="001A65E1" w:rsidRDefault="00C92BC6" w:rsidP="00B35A32">
      <w:pPr>
        <w:pStyle w:val="AMNumberTabs0"/>
        <w:keepNext/>
      </w:pPr>
      <w:r>
        <w:rPr>
          <w:rStyle w:val="HideTWBExt"/>
          <w:b w:val="0"/>
        </w:rPr>
        <w:lastRenderedPageBreak/>
        <w:t>&lt;Amend&gt;</w:t>
      </w:r>
      <w:r>
        <w:t>Amendamentul</w:t>
      </w:r>
      <w:r>
        <w:tab/>
      </w:r>
      <w:r>
        <w:tab/>
      </w:r>
      <w:r>
        <w:rPr>
          <w:rStyle w:val="HideTWBExt"/>
          <w:b w:val="0"/>
        </w:rPr>
        <w:t>&lt;NumAm&gt;</w:t>
      </w:r>
      <w:r>
        <w:t>4</w:t>
      </w:r>
      <w:r>
        <w:rPr>
          <w:rStyle w:val="HideTWBExt"/>
          <w:b w:val="0"/>
        </w:rPr>
        <w:t>&lt;/NumAm&gt;</w:t>
      </w:r>
    </w:p>
    <w:p w:rsidR="00B35A32" w:rsidRPr="001A65E1" w:rsidRDefault="00C92BC6" w:rsidP="00B35A32">
      <w:pPr>
        <w:pStyle w:val="NormalBold12b"/>
        <w:keepNext/>
      </w:pPr>
      <w:r>
        <w:rPr>
          <w:rStyle w:val="HideTWBExt"/>
          <w:b w:val="0"/>
        </w:rPr>
        <w:t>&lt;DocAmend&gt;</w:t>
      </w:r>
      <w:r>
        <w:t>Propunere de regulament</w:t>
      </w:r>
      <w:r>
        <w:rPr>
          <w:rStyle w:val="HideTWBExt"/>
          <w:b w:val="0"/>
        </w:rPr>
        <w:t>&lt;/DocAmend&gt;</w:t>
      </w:r>
    </w:p>
    <w:p w:rsidR="00B35A32" w:rsidRPr="001A65E1" w:rsidRDefault="00C92BC6" w:rsidP="00B35A32">
      <w:pPr>
        <w:pStyle w:val="NormalBold"/>
      </w:pPr>
      <w:r>
        <w:rPr>
          <w:rStyle w:val="HideTWBExt"/>
          <w:b w:val="0"/>
        </w:rPr>
        <w:t>&lt;Article&gt;</w:t>
      </w:r>
      <w:r>
        <w:t>Considerentul 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6FC0" w:rsidTr="003F4404">
        <w:trPr>
          <w:jc w:val="center"/>
        </w:trPr>
        <w:tc>
          <w:tcPr>
            <w:tcW w:w="9752" w:type="dxa"/>
            <w:gridSpan w:val="2"/>
          </w:tcPr>
          <w:p w:rsidR="00B35A32" w:rsidRPr="001A65E1" w:rsidRDefault="00B35A32" w:rsidP="003F4404">
            <w:pPr>
              <w:keepNext/>
            </w:pPr>
          </w:p>
        </w:tc>
      </w:tr>
      <w:tr w:rsidR="00226FC0" w:rsidTr="003F4404">
        <w:trPr>
          <w:jc w:val="center"/>
        </w:trPr>
        <w:tc>
          <w:tcPr>
            <w:tcW w:w="4876" w:type="dxa"/>
          </w:tcPr>
          <w:p w:rsidR="00B35A32" w:rsidRPr="001A65E1" w:rsidRDefault="00C92BC6" w:rsidP="003F4404">
            <w:pPr>
              <w:pStyle w:val="ColumnHeading"/>
              <w:keepNext/>
            </w:pPr>
            <w:r>
              <w:t>Textul propus de Comisie</w:t>
            </w:r>
          </w:p>
        </w:tc>
        <w:tc>
          <w:tcPr>
            <w:tcW w:w="4876" w:type="dxa"/>
          </w:tcPr>
          <w:p w:rsidR="00B35A32" w:rsidRPr="001A65E1" w:rsidRDefault="00C92BC6" w:rsidP="003F4404">
            <w:pPr>
              <w:pStyle w:val="ColumnHeading"/>
              <w:keepNext/>
            </w:pPr>
            <w:r>
              <w:t>Amendamentul</w:t>
            </w:r>
          </w:p>
        </w:tc>
      </w:tr>
      <w:tr w:rsidR="00226FC0" w:rsidTr="003F4404">
        <w:trPr>
          <w:jc w:val="center"/>
        </w:trPr>
        <w:tc>
          <w:tcPr>
            <w:tcW w:w="4876" w:type="dxa"/>
          </w:tcPr>
          <w:p w:rsidR="00B35A32" w:rsidRPr="001A65E1" w:rsidRDefault="00C92BC6" w:rsidP="003F4404">
            <w:pPr>
              <w:pStyle w:val="Normal6"/>
            </w:pPr>
            <w:r>
              <w:rPr>
                <w:b/>
                <w:i/>
              </w:rPr>
              <w:t>(4)</w:t>
            </w:r>
            <w:r>
              <w:rPr>
                <w:b/>
                <w:i/>
              </w:rPr>
              <w:tab/>
            </w:r>
            <w:r>
              <w:rPr>
                <w:b/>
                <w:bCs/>
                <w:i/>
                <w:iCs/>
              </w:rPr>
              <w:t>Regulamentul (UE).../... [Regulamentul privind procedura de screening]</w:t>
            </w:r>
            <w:r>
              <w:rPr>
                <w:b/>
                <w:bCs/>
                <w:i/>
                <w:iCs/>
                <w:vertAlign w:val="superscript"/>
              </w:rPr>
              <w:t>20</w:t>
            </w:r>
            <w:r>
              <w:rPr>
                <w:b/>
                <w:bCs/>
                <w:i/>
                <w:iCs/>
              </w:rPr>
              <w:t>, care constituie o dezvoltare a acquis-ului Schen</w:t>
            </w:r>
            <w:r>
              <w:rPr>
                <w:b/>
                <w:bCs/>
                <w:i/>
                <w:iCs/>
              </w:rPr>
              <w:t>gen în ceea ce privește frontierele, modifică Regulamentele (CE) nr. 767/2008</w:t>
            </w:r>
            <w:r>
              <w:rPr>
                <w:b/>
                <w:bCs/>
                <w:i/>
                <w:iCs/>
                <w:vertAlign w:val="superscript"/>
              </w:rPr>
              <w:t>21</w:t>
            </w:r>
            <w:r>
              <w:rPr>
                <w:b/>
                <w:bCs/>
                <w:i/>
                <w:iCs/>
              </w:rPr>
              <w:t>, (UE) 2017/2226</w:t>
            </w:r>
            <w:r>
              <w:rPr>
                <w:b/>
                <w:bCs/>
                <w:i/>
                <w:iCs/>
                <w:vertAlign w:val="superscript"/>
              </w:rPr>
              <w:t>22</w:t>
            </w:r>
            <w:r>
              <w:rPr>
                <w:b/>
                <w:bCs/>
                <w:i/>
                <w:iCs/>
              </w:rPr>
              <w:t>, (UE) 2018/1240</w:t>
            </w:r>
            <w:r>
              <w:rPr>
                <w:b/>
                <w:bCs/>
                <w:i/>
                <w:iCs/>
                <w:vertAlign w:val="superscript"/>
              </w:rPr>
              <w:t>23</w:t>
            </w:r>
            <w:r>
              <w:rPr>
                <w:b/>
                <w:bCs/>
                <w:i/>
                <w:iCs/>
              </w:rPr>
              <w:t xml:space="preserve"> și (UE) 2019/817</w:t>
            </w:r>
            <w:r>
              <w:rPr>
                <w:b/>
                <w:bCs/>
                <w:i/>
                <w:iCs/>
                <w:vertAlign w:val="superscript"/>
              </w:rPr>
              <w:t>24</w:t>
            </w:r>
            <w:r>
              <w:rPr>
                <w:b/>
                <w:bCs/>
                <w:i/>
                <w:iCs/>
              </w:rPr>
              <w:t>, care constituie, de asemenea, evoluții ale acquis-ului Schengen în ceea ce privește frontierele, pentru a acorda dreptur</w:t>
            </w:r>
            <w:r>
              <w:rPr>
                <w:b/>
                <w:bCs/>
                <w:i/>
                <w:iCs/>
              </w:rPr>
              <w:t>i de acces, în scopul procedurii de screening, la datele conținute în Sistemul de informații privind vizele (VIS), Sistemul de intrare/ieșire (EES) și, respectiv, Sistemul european de informații și de autorizare privind călătoriile (ETIAS).</w:t>
            </w:r>
            <w:r>
              <w:rPr>
                <w:b/>
                <w:i/>
              </w:rPr>
              <w:t xml:space="preserve"> Cu toate aceste</w:t>
            </w:r>
            <w:r>
              <w:rPr>
                <w:b/>
                <w:i/>
              </w:rPr>
              <w:t>a, modificarea în paralel a Regulamentului (UE) 2019/816 pentru a acorda drepturi de acces, în scopul procedurii de screening, la ECRIS-TCN nu ar putea face parte din același regulament din motive de geometrie variabilă, întrucât regulamentul de instituire</w:t>
            </w:r>
            <w:r>
              <w:rPr>
                <w:b/>
                <w:i/>
              </w:rPr>
              <w:t xml:space="preserve"> a ECRIS-TCN nu constituie o dezvoltare a acquis-ului Schengen. Prin urmare, Regulamentul 2019/816 ar trebui modificat printr-un instrument juridic distinct.</w:t>
            </w:r>
          </w:p>
        </w:tc>
        <w:tc>
          <w:tcPr>
            <w:tcW w:w="4876" w:type="dxa"/>
          </w:tcPr>
          <w:p w:rsidR="00B35A32" w:rsidRPr="001A65E1" w:rsidRDefault="00C92BC6" w:rsidP="003F4404">
            <w:pPr>
              <w:pStyle w:val="Normal6"/>
              <w:rPr>
                <w:szCs w:val="24"/>
              </w:rPr>
            </w:pPr>
            <w:r>
              <w:rPr>
                <w:b/>
                <w:i/>
              </w:rPr>
              <w:t>eliminat</w:t>
            </w:r>
          </w:p>
        </w:tc>
      </w:tr>
      <w:tr w:rsidR="00226FC0" w:rsidTr="003F4404">
        <w:trPr>
          <w:jc w:val="center"/>
        </w:trPr>
        <w:tc>
          <w:tcPr>
            <w:tcW w:w="4876" w:type="dxa"/>
          </w:tcPr>
          <w:p w:rsidR="00B35A32" w:rsidRPr="001A65E1" w:rsidRDefault="00C92BC6" w:rsidP="003F4404">
            <w:pPr>
              <w:pStyle w:val="Normal6"/>
            </w:pPr>
            <w:r>
              <w:rPr>
                <w:b/>
                <w:i/>
              </w:rPr>
              <w:t>__________________</w:t>
            </w:r>
          </w:p>
        </w:tc>
        <w:tc>
          <w:tcPr>
            <w:tcW w:w="4876" w:type="dxa"/>
          </w:tcPr>
          <w:p w:rsidR="00B35A32" w:rsidRPr="001A65E1" w:rsidRDefault="00B35A32" w:rsidP="003F4404">
            <w:pPr>
              <w:pStyle w:val="Normal6"/>
              <w:rPr>
                <w:szCs w:val="24"/>
              </w:rPr>
            </w:pPr>
          </w:p>
        </w:tc>
      </w:tr>
      <w:tr w:rsidR="00226FC0" w:rsidTr="003F4404">
        <w:trPr>
          <w:jc w:val="center"/>
        </w:trPr>
        <w:tc>
          <w:tcPr>
            <w:tcW w:w="4876" w:type="dxa"/>
          </w:tcPr>
          <w:p w:rsidR="00B35A32" w:rsidRPr="001A65E1" w:rsidRDefault="00C92BC6" w:rsidP="003F4404">
            <w:pPr>
              <w:pStyle w:val="Normal6"/>
            </w:pPr>
            <w:r>
              <w:rPr>
                <w:b/>
                <w:i/>
                <w:vertAlign w:val="superscript"/>
              </w:rPr>
              <w:t>20</w:t>
            </w:r>
            <w:r>
              <w:t xml:space="preserve"> </w:t>
            </w:r>
            <w:r>
              <w:rPr>
                <w:b/>
                <w:i/>
              </w:rPr>
              <w:t>Op. cit. 15.</w:t>
            </w:r>
          </w:p>
        </w:tc>
        <w:tc>
          <w:tcPr>
            <w:tcW w:w="4876" w:type="dxa"/>
          </w:tcPr>
          <w:p w:rsidR="00B35A32" w:rsidRPr="001A65E1" w:rsidRDefault="00B35A32" w:rsidP="003F4404">
            <w:pPr>
              <w:pStyle w:val="Normal6"/>
              <w:rPr>
                <w:szCs w:val="24"/>
              </w:rPr>
            </w:pPr>
          </w:p>
        </w:tc>
      </w:tr>
      <w:tr w:rsidR="00226FC0" w:rsidTr="003F4404">
        <w:trPr>
          <w:jc w:val="center"/>
        </w:trPr>
        <w:tc>
          <w:tcPr>
            <w:tcW w:w="4876" w:type="dxa"/>
          </w:tcPr>
          <w:p w:rsidR="00B35A32" w:rsidRPr="001A65E1" w:rsidRDefault="00C92BC6" w:rsidP="003F4404">
            <w:pPr>
              <w:pStyle w:val="Normal6"/>
            </w:pPr>
            <w:r>
              <w:rPr>
                <w:b/>
                <w:bCs/>
                <w:i/>
                <w:iCs/>
                <w:vertAlign w:val="superscript"/>
              </w:rPr>
              <w:t>21</w:t>
            </w:r>
            <w:r>
              <w:rPr>
                <w:b/>
                <w:bCs/>
                <w:i/>
                <w:iCs/>
              </w:rPr>
              <w:t xml:space="preserve"> Regulamentul (CE) nr. 767/2008 al Parlamentului European și al Consiliului din 9 iulie 2008 privind Sistemul de informații privind vizele (VIS) și schimbul de date între statele membre cu privire la vizele de scurtă ședere (Regulamentul VIS), JO L 218, 13</w:t>
            </w:r>
            <w:r>
              <w:rPr>
                <w:b/>
                <w:bCs/>
                <w:i/>
                <w:iCs/>
              </w:rPr>
              <w:t>.8.2008, p. 60-81.</w:t>
            </w:r>
          </w:p>
        </w:tc>
        <w:tc>
          <w:tcPr>
            <w:tcW w:w="4876" w:type="dxa"/>
          </w:tcPr>
          <w:p w:rsidR="00B35A32" w:rsidRPr="001A65E1" w:rsidRDefault="00B35A32" w:rsidP="003F4404">
            <w:pPr>
              <w:pStyle w:val="Normal6"/>
              <w:rPr>
                <w:szCs w:val="24"/>
              </w:rPr>
            </w:pPr>
          </w:p>
        </w:tc>
      </w:tr>
      <w:tr w:rsidR="00226FC0" w:rsidTr="003F4404">
        <w:trPr>
          <w:jc w:val="center"/>
        </w:trPr>
        <w:tc>
          <w:tcPr>
            <w:tcW w:w="4876" w:type="dxa"/>
          </w:tcPr>
          <w:p w:rsidR="00B35A32" w:rsidRPr="001A65E1" w:rsidRDefault="00C92BC6" w:rsidP="003F4404">
            <w:pPr>
              <w:pStyle w:val="Normal6"/>
            </w:pPr>
            <w:r>
              <w:rPr>
                <w:b/>
                <w:bCs/>
                <w:i/>
                <w:iCs/>
                <w:vertAlign w:val="superscript"/>
              </w:rPr>
              <w:t>22</w:t>
            </w:r>
            <w:r>
              <w:rPr>
                <w:b/>
                <w:bCs/>
                <w:i/>
                <w:iCs/>
              </w:rPr>
              <w:t xml:space="preserve"> Regulamentul (UE) 2017/2226 al Parlamentului European și al Consiliului din 30 noiembrie 2017 de instituire a </w:t>
            </w:r>
            <w:r>
              <w:rPr>
                <w:b/>
                <w:bCs/>
                <w:i/>
                <w:iCs/>
              </w:rPr>
              <w:lastRenderedPageBreak/>
              <w:t>Sistemului de intrare/ieșire (EES) pentru înregistrarea datelor de intrare și de ieșire și a datelor referitoare la refuzu</w:t>
            </w:r>
            <w:r>
              <w:rPr>
                <w:b/>
                <w:bCs/>
                <w:i/>
                <w:iCs/>
              </w:rPr>
              <w:t>l intrării ale resortisanților țărilor terțe care trec frontierele externe ale statelor membre, de stabilire a condițiilor de acces la EES în scopul aplicării legii, JO L 327, 9.12.2017, p. 20.</w:t>
            </w:r>
          </w:p>
        </w:tc>
        <w:tc>
          <w:tcPr>
            <w:tcW w:w="4876" w:type="dxa"/>
          </w:tcPr>
          <w:p w:rsidR="00B35A32" w:rsidRPr="001A65E1" w:rsidRDefault="00B35A32" w:rsidP="003F4404">
            <w:pPr>
              <w:pStyle w:val="Normal6"/>
              <w:rPr>
                <w:szCs w:val="24"/>
              </w:rPr>
            </w:pPr>
          </w:p>
        </w:tc>
      </w:tr>
      <w:tr w:rsidR="00226FC0" w:rsidTr="003F4404">
        <w:trPr>
          <w:jc w:val="center"/>
        </w:trPr>
        <w:tc>
          <w:tcPr>
            <w:tcW w:w="4876" w:type="dxa"/>
          </w:tcPr>
          <w:p w:rsidR="00B35A32" w:rsidRPr="001A65E1" w:rsidRDefault="00C92BC6" w:rsidP="003F4404">
            <w:pPr>
              <w:pStyle w:val="Normal6"/>
            </w:pPr>
            <w:r>
              <w:rPr>
                <w:b/>
                <w:bCs/>
                <w:i/>
                <w:iCs/>
                <w:vertAlign w:val="superscript"/>
              </w:rPr>
              <w:t>23</w:t>
            </w:r>
            <w:r>
              <w:rPr>
                <w:b/>
                <w:bCs/>
                <w:i/>
                <w:iCs/>
              </w:rPr>
              <w:t xml:space="preserve"> Regulamentul (UE) 2018/1240 al Parlamentului European și </w:t>
            </w:r>
            <w:r>
              <w:rPr>
                <w:b/>
                <w:bCs/>
                <w:i/>
                <w:iCs/>
              </w:rPr>
              <w:t>al Consiliului din 12 septembrie 2018 de instituire a Sistemului european de informații și de autorizare privind călătoriile (ETIAS) și de modificare a Regulamentelor (UE) nr. 1077/2011, (UE) nr. 515/2014, (UE) 2016/399, (UE) 2016/1624 și (UE) 2017/2226 (O</w:t>
            </w:r>
            <w:r>
              <w:rPr>
                <w:b/>
                <w:bCs/>
                <w:i/>
                <w:iCs/>
              </w:rPr>
              <w:t>J L 236, 19.9.2018, p. 1).</w:t>
            </w:r>
          </w:p>
        </w:tc>
        <w:tc>
          <w:tcPr>
            <w:tcW w:w="4876" w:type="dxa"/>
          </w:tcPr>
          <w:p w:rsidR="00B35A32" w:rsidRPr="001A65E1" w:rsidRDefault="00B35A32" w:rsidP="003F4404">
            <w:pPr>
              <w:pStyle w:val="Normal6"/>
              <w:rPr>
                <w:szCs w:val="24"/>
              </w:rPr>
            </w:pPr>
          </w:p>
        </w:tc>
      </w:tr>
      <w:tr w:rsidR="00226FC0" w:rsidTr="003F4404">
        <w:trPr>
          <w:jc w:val="center"/>
        </w:trPr>
        <w:tc>
          <w:tcPr>
            <w:tcW w:w="4876" w:type="dxa"/>
          </w:tcPr>
          <w:p w:rsidR="00B35A32" w:rsidRPr="001A65E1" w:rsidRDefault="00C92BC6" w:rsidP="003F4404">
            <w:pPr>
              <w:pStyle w:val="Normal6"/>
            </w:pPr>
            <w:r>
              <w:rPr>
                <w:b/>
                <w:bCs/>
                <w:i/>
                <w:iCs/>
                <w:vertAlign w:val="superscript"/>
              </w:rPr>
              <w:t>24</w:t>
            </w:r>
            <w:r>
              <w:rPr>
                <w:b/>
                <w:bCs/>
                <w:i/>
                <w:iCs/>
              </w:rPr>
              <w:t xml:space="preserve"> Regulamentul (UE) 2019/817 al Parlamentului European și al Consiliului din 20 mai 2019 privind instituirea unui cadru pentru interoperabilitatea dintre sistemele de informații ale UE în domeniul frontierelor și al vizelor și</w:t>
            </w:r>
            <w:r>
              <w:rPr>
                <w:b/>
                <w:bCs/>
                <w:i/>
                <w:iCs/>
              </w:rPr>
              <w:t xml:space="preserve"> de modificare a Regulamentelor (CE) nr. 767/2008, (UE) 2016/399, (UE) 2017/2226, (UE) 2018/1240, (UE) 2018/1726 și (UE) 2018/1861 ale Parlamentului European și ale Consiliului și a Deciziilor 2004/512/CE și 2008/633/JAI ale Consiliului, JO L 135, 22.5.201</w:t>
            </w:r>
            <w:r>
              <w:rPr>
                <w:b/>
                <w:bCs/>
                <w:i/>
                <w:iCs/>
              </w:rPr>
              <w:t>9, p. 27.</w:t>
            </w:r>
          </w:p>
        </w:tc>
        <w:tc>
          <w:tcPr>
            <w:tcW w:w="4876" w:type="dxa"/>
          </w:tcPr>
          <w:p w:rsidR="00B35A32" w:rsidRPr="001A65E1" w:rsidRDefault="00B35A32" w:rsidP="003F4404">
            <w:pPr>
              <w:pStyle w:val="Normal6"/>
              <w:rPr>
                <w:szCs w:val="24"/>
              </w:rPr>
            </w:pPr>
          </w:p>
        </w:tc>
      </w:tr>
    </w:tbl>
    <w:p w:rsidR="00B35A32" w:rsidRPr="001A65E1" w:rsidRDefault="00C92BC6" w:rsidP="00B35A32">
      <w:pPr>
        <w:pStyle w:val="Olang"/>
        <w:rPr>
          <w:sz w:val="24"/>
          <w:szCs w:val="24"/>
        </w:rPr>
      </w:pPr>
      <w:r w:rsidRPr="001A65E1">
        <w:rPr>
          <w:sz w:val="24"/>
          <w:szCs w:val="24"/>
        </w:rPr>
        <w:t xml:space="preserve">Or. </w:t>
      </w:r>
      <w:r w:rsidRPr="001A65E1">
        <w:rPr>
          <w:rStyle w:val="HideTWBExt"/>
          <w:noProof w:val="0"/>
        </w:rPr>
        <w:t>&lt;Original&gt;</w:t>
      </w:r>
      <w:r w:rsidRPr="001A65E1">
        <w:rPr>
          <w:rStyle w:val="HideTWBInt"/>
          <w:sz w:val="24"/>
          <w:szCs w:val="24"/>
        </w:rPr>
        <w:t>{EN}</w:t>
      </w:r>
      <w:r w:rsidRPr="001A65E1">
        <w:rPr>
          <w:sz w:val="24"/>
          <w:szCs w:val="24"/>
        </w:rPr>
        <w:t>en</w:t>
      </w:r>
      <w:r w:rsidRPr="001A65E1">
        <w:rPr>
          <w:rStyle w:val="HideTWBExt"/>
          <w:noProof w:val="0"/>
        </w:rPr>
        <w:t>&lt;/Original&gt;</w:t>
      </w:r>
    </w:p>
    <w:p w:rsidR="00B35A32" w:rsidRPr="001A65E1" w:rsidRDefault="00C92BC6" w:rsidP="00B35A32">
      <w:r>
        <w:rPr>
          <w:rStyle w:val="HideTWBExt"/>
        </w:rPr>
        <w:t>&lt;/Amend&gt;</w:t>
      </w:r>
    </w:p>
    <w:p w:rsidR="00B35A32" w:rsidRPr="001A65E1" w:rsidRDefault="00C92BC6" w:rsidP="00B35A32">
      <w:pPr>
        <w:pStyle w:val="AMNumberTabs0"/>
        <w:keepNext/>
      </w:pPr>
      <w:r>
        <w:rPr>
          <w:rStyle w:val="HideTWBExt"/>
          <w:b w:val="0"/>
        </w:rPr>
        <w:t>&lt;Amend&gt;</w:t>
      </w:r>
      <w:r>
        <w:t>Amendamentul</w:t>
      </w:r>
      <w:r>
        <w:tab/>
      </w:r>
      <w:r>
        <w:tab/>
      </w:r>
      <w:r>
        <w:rPr>
          <w:rStyle w:val="HideTWBExt"/>
          <w:b w:val="0"/>
        </w:rPr>
        <w:t>&lt;NumAm&gt;</w:t>
      </w:r>
      <w:r>
        <w:t>5</w:t>
      </w:r>
      <w:r>
        <w:rPr>
          <w:rStyle w:val="HideTWBExt"/>
          <w:b w:val="0"/>
        </w:rPr>
        <w:t>&lt;/NumAm&gt;</w:t>
      </w:r>
    </w:p>
    <w:p w:rsidR="00B35A32" w:rsidRPr="001A65E1" w:rsidRDefault="00C92BC6" w:rsidP="00B35A32">
      <w:pPr>
        <w:pStyle w:val="NormalBold12b"/>
        <w:keepNext/>
      </w:pPr>
      <w:r>
        <w:rPr>
          <w:rStyle w:val="HideTWBExt"/>
          <w:b w:val="0"/>
        </w:rPr>
        <w:t>&lt;DocAmend&gt;</w:t>
      </w:r>
      <w:r>
        <w:t>Propunere de regulament</w:t>
      </w:r>
      <w:r>
        <w:rPr>
          <w:rStyle w:val="HideTWBExt"/>
          <w:b w:val="0"/>
        </w:rPr>
        <w:t>&lt;/DocAmend&gt;</w:t>
      </w:r>
    </w:p>
    <w:p w:rsidR="00B35A32" w:rsidRPr="001A65E1" w:rsidRDefault="00C92BC6" w:rsidP="00B35A32">
      <w:pPr>
        <w:pStyle w:val="NormalBold"/>
      </w:pPr>
      <w:r>
        <w:rPr>
          <w:rStyle w:val="HideTWBExt"/>
          <w:b w:val="0"/>
        </w:rPr>
        <w:t>&lt;Article&gt;</w:t>
      </w:r>
      <w:r>
        <w:t>Considerentul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6FC0" w:rsidTr="003F4404">
        <w:trPr>
          <w:jc w:val="center"/>
        </w:trPr>
        <w:tc>
          <w:tcPr>
            <w:tcW w:w="9752" w:type="dxa"/>
            <w:gridSpan w:val="2"/>
          </w:tcPr>
          <w:p w:rsidR="00B35A32" w:rsidRPr="001A65E1" w:rsidRDefault="00B35A32" w:rsidP="003F4404">
            <w:pPr>
              <w:keepNext/>
            </w:pPr>
          </w:p>
        </w:tc>
      </w:tr>
      <w:tr w:rsidR="00226FC0" w:rsidTr="003F4404">
        <w:trPr>
          <w:jc w:val="center"/>
        </w:trPr>
        <w:tc>
          <w:tcPr>
            <w:tcW w:w="4876" w:type="dxa"/>
          </w:tcPr>
          <w:p w:rsidR="00B35A32" w:rsidRPr="001A65E1" w:rsidRDefault="00C92BC6" w:rsidP="003F4404">
            <w:pPr>
              <w:pStyle w:val="ColumnHeading"/>
              <w:keepNext/>
            </w:pPr>
            <w:r>
              <w:t>Textul propus de Comisie</w:t>
            </w:r>
          </w:p>
        </w:tc>
        <w:tc>
          <w:tcPr>
            <w:tcW w:w="4876" w:type="dxa"/>
          </w:tcPr>
          <w:p w:rsidR="00B35A32" w:rsidRPr="001A65E1" w:rsidRDefault="00C92BC6" w:rsidP="003F4404">
            <w:pPr>
              <w:pStyle w:val="ColumnHeading"/>
              <w:keepNext/>
            </w:pPr>
            <w:r>
              <w:t>Amendamentul</w:t>
            </w:r>
          </w:p>
        </w:tc>
      </w:tr>
      <w:tr w:rsidR="00226FC0" w:rsidTr="003F4404">
        <w:trPr>
          <w:jc w:val="center"/>
        </w:trPr>
        <w:tc>
          <w:tcPr>
            <w:tcW w:w="4876" w:type="dxa"/>
          </w:tcPr>
          <w:p w:rsidR="00B35A32" w:rsidRPr="001A65E1" w:rsidRDefault="00C92BC6" w:rsidP="003F4404">
            <w:pPr>
              <w:pStyle w:val="Normal6"/>
            </w:pPr>
            <w:r>
              <w:rPr>
                <w:b/>
                <w:i/>
              </w:rPr>
              <w:t>(5)</w:t>
            </w:r>
            <w:r>
              <w:rPr>
                <w:b/>
                <w:i/>
              </w:rPr>
              <w:tab/>
            </w:r>
            <w:r>
              <w:rPr>
                <w:b/>
                <w:bCs/>
                <w:i/>
                <w:iCs/>
              </w:rPr>
              <w:t xml:space="preserve">Întrucât obiectivul prezentului </w:t>
            </w:r>
            <w:r>
              <w:rPr>
                <w:b/>
                <w:bCs/>
                <w:i/>
                <w:iCs/>
              </w:rPr>
              <w:t>regulament, și anume de a permite accesul la ECRISTCN în scopul controalelor de securitate instituite prin Regulamentul (UE).../... [Regulamentul privind procedura de screening]</w:t>
            </w:r>
            <w:r>
              <w:rPr>
                <w:b/>
                <w:bCs/>
                <w:i/>
                <w:iCs/>
                <w:vertAlign w:val="superscript"/>
              </w:rPr>
              <w:t>25</w:t>
            </w:r>
            <w:r>
              <w:rPr>
                <w:b/>
                <w:bCs/>
                <w:i/>
                <w:iCs/>
              </w:rPr>
              <w:t xml:space="preserve">, care, la rândul său, vizează consolidarea </w:t>
            </w:r>
            <w:r>
              <w:rPr>
                <w:b/>
                <w:bCs/>
                <w:i/>
                <w:iCs/>
              </w:rPr>
              <w:lastRenderedPageBreak/>
              <w:t>controlului persoanelor care urme</w:t>
            </w:r>
            <w:r>
              <w:rPr>
                <w:b/>
                <w:bCs/>
                <w:i/>
                <w:iCs/>
              </w:rPr>
              <w:t>ază să intre în spațiul Schengen și direcționarea acestora către procedurile corespunzătoare, nu poate fi realizat în mod satisfăcător de către statele membre, ci poate fi realizat numai la nivelul Uniunii, Uniunea poate adopta măsuri, în conformitate cu p</w:t>
            </w:r>
            <w:r>
              <w:rPr>
                <w:b/>
                <w:bCs/>
                <w:i/>
                <w:iCs/>
              </w:rPr>
              <w:t>rincipiul subsidiarității, astfel cum este prevăzut la articolul 5 din Tratatul privind Uniunea Europeană.</w:t>
            </w:r>
            <w:r>
              <w:rPr>
                <w:b/>
                <w:i/>
              </w:rPr>
              <w:t xml:space="preserve"> În conformitate cu principiul proporționalității, astfel cum este enunțat la respectivul articol, prezentul regulament nu depășește ceea ce este nece</w:t>
            </w:r>
            <w:r>
              <w:rPr>
                <w:b/>
                <w:i/>
              </w:rPr>
              <w:t>sar pentru atingerea acestui obiectiv.</w:t>
            </w:r>
          </w:p>
        </w:tc>
        <w:tc>
          <w:tcPr>
            <w:tcW w:w="4876" w:type="dxa"/>
          </w:tcPr>
          <w:p w:rsidR="00B35A32" w:rsidRPr="001A65E1" w:rsidRDefault="00C92BC6" w:rsidP="003F4404">
            <w:pPr>
              <w:pStyle w:val="Normal6"/>
              <w:rPr>
                <w:szCs w:val="24"/>
              </w:rPr>
            </w:pPr>
            <w:r>
              <w:rPr>
                <w:b/>
                <w:i/>
              </w:rPr>
              <w:lastRenderedPageBreak/>
              <w:t>eliminat</w:t>
            </w:r>
          </w:p>
        </w:tc>
      </w:tr>
      <w:tr w:rsidR="00226FC0" w:rsidTr="003F4404">
        <w:trPr>
          <w:jc w:val="center"/>
        </w:trPr>
        <w:tc>
          <w:tcPr>
            <w:tcW w:w="4876" w:type="dxa"/>
          </w:tcPr>
          <w:p w:rsidR="00B35A32" w:rsidRPr="001A65E1" w:rsidRDefault="00C92BC6" w:rsidP="003F4404">
            <w:pPr>
              <w:pStyle w:val="Normal6"/>
            </w:pPr>
            <w:r>
              <w:rPr>
                <w:b/>
                <w:i/>
              </w:rPr>
              <w:t>__________________</w:t>
            </w:r>
          </w:p>
        </w:tc>
        <w:tc>
          <w:tcPr>
            <w:tcW w:w="4876" w:type="dxa"/>
          </w:tcPr>
          <w:p w:rsidR="00B35A32" w:rsidRPr="001A65E1" w:rsidRDefault="00B35A32" w:rsidP="003F4404">
            <w:pPr>
              <w:pStyle w:val="Normal6"/>
              <w:rPr>
                <w:szCs w:val="24"/>
              </w:rPr>
            </w:pPr>
          </w:p>
        </w:tc>
      </w:tr>
      <w:tr w:rsidR="00226FC0" w:rsidTr="003F4404">
        <w:trPr>
          <w:jc w:val="center"/>
        </w:trPr>
        <w:tc>
          <w:tcPr>
            <w:tcW w:w="4876" w:type="dxa"/>
          </w:tcPr>
          <w:p w:rsidR="00B35A32" w:rsidRPr="001A65E1" w:rsidRDefault="00C92BC6" w:rsidP="003F4404">
            <w:pPr>
              <w:pStyle w:val="Normal6"/>
            </w:pPr>
            <w:r>
              <w:rPr>
                <w:b/>
                <w:i/>
                <w:vertAlign w:val="superscript"/>
              </w:rPr>
              <w:t>25</w:t>
            </w:r>
            <w:r>
              <w:t xml:space="preserve"> </w:t>
            </w:r>
            <w:r>
              <w:rPr>
                <w:b/>
                <w:i/>
              </w:rPr>
              <w:t>Op. cit. 15.</w:t>
            </w:r>
          </w:p>
        </w:tc>
        <w:tc>
          <w:tcPr>
            <w:tcW w:w="4876" w:type="dxa"/>
          </w:tcPr>
          <w:p w:rsidR="00B35A32" w:rsidRPr="001A65E1" w:rsidRDefault="00B35A32" w:rsidP="003F4404">
            <w:pPr>
              <w:pStyle w:val="Normal6"/>
              <w:rPr>
                <w:szCs w:val="24"/>
              </w:rPr>
            </w:pPr>
          </w:p>
        </w:tc>
      </w:tr>
    </w:tbl>
    <w:p w:rsidR="00B35A32" w:rsidRPr="001A65E1" w:rsidRDefault="00C92BC6" w:rsidP="00B35A32">
      <w:pPr>
        <w:pStyle w:val="Olang"/>
        <w:rPr>
          <w:sz w:val="24"/>
          <w:szCs w:val="24"/>
        </w:rPr>
      </w:pPr>
      <w:r w:rsidRPr="001A65E1">
        <w:rPr>
          <w:sz w:val="24"/>
          <w:szCs w:val="24"/>
        </w:rPr>
        <w:t xml:space="preserve">Or. </w:t>
      </w:r>
      <w:r w:rsidRPr="001A65E1">
        <w:rPr>
          <w:rStyle w:val="HideTWBExt"/>
          <w:noProof w:val="0"/>
        </w:rPr>
        <w:t>&lt;Original&gt;</w:t>
      </w:r>
      <w:r w:rsidRPr="001A65E1">
        <w:rPr>
          <w:rStyle w:val="HideTWBInt"/>
          <w:sz w:val="24"/>
          <w:szCs w:val="24"/>
        </w:rPr>
        <w:t>{EN}</w:t>
      </w:r>
      <w:r w:rsidRPr="001A65E1">
        <w:rPr>
          <w:sz w:val="24"/>
          <w:szCs w:val="24"/>
        </w:rPr>
        <w:t>en</w:t>
      </w:r>
      <w:r w:rsidRPr="001A65E1">
        <w:rPr>
          <w:rStyle w:val="HideTWBExt"/>
          <w:noProof w:val="0"/>
        </w:rPr>
        <w:t>&lt;/Original&gt;</w:t>
      </w:r>
    </w:p>
    <w:p w:rsidR="00B35A32" w:rsidRPr="001A65E1" w:rsidRDefault="00C92BC6" w:rsidP="00B35A32">
      <w:r>
        <w:rPr>
          <w:rStyle w:val="HideTWBExt"/>
        </w:rPr>
        <w:t>&lt;/Amend&gt;</w:t>
      </w:r>
    </w:p>
    <w:p w:rsidR="00B35A32" w:rsidRPr="001A65E1" w:rsidRDefault="00C92BC6" w:rsidP="00B35A32">
      <w:pPr>
        <w:pStyle w:val="AMNumberTabs0"/>
        <w:keepNext/>
      </w:pPr>
      <w:r>
        <w:rPr>
          <w:rStyle w:val="HideTWBExt"/>
          <w:b w:val="0"/>
        </w:rPr>
        <w:t>&lt;Amend&gt;</w:t>
      </w:r>
      <w:r>
        <w:t>Amendamentul</w:t>
      </w:r>
      <w:r>
        <w:tab/>
      </w:r>
      <w:r>
        <w:tab/>
      </w:r>
      <w:r>
        <w:rPr>
          <w:rStyle w:val="HideTWBExt"/>
          <w:b w:val="0"/>
        </w:rPr>
        <w:t>&lt;NumAm&gt;</w:t>
      </w:r>
      <w:r>
        <w:t>6</w:t>
      </w:r>
      <w:r>
        <w:rPr>
          <w:rStyle w:val="HideTWBExt"/>
          <w:b w:val="0"/>
        </w:rPr>
        <w:t>&lt;/NumAm&gt;</w:t>
      </w:r>
    </w:p>
    <w:p w:rsidR="00B35A32" w:rsidRPr="001A65E1" w:rsidRDefault="00C92BC6" w:rsidP="00B35A32">
      <w:pPr>
        <w:pStyle w:val="NormalBold12b"/>
        <w:keepNext/>
      </w:pPr>
      <w:r>
        <w:rPr>
          <w:rStyle w:val="HideTWBExt"/>
          <w:b w:val="0"/>
        </w:rPr>
        <w:t>&lt;DocAmend&gt;</w:t>
      </w:r>
      <w:r>
        <w:t>Propunere de regulament</w:t>
      </w:r>
      <w:r>
        <w:rPr>
          <w:rStyle w:val="HideTWBExt"/>
          <w:b w:val="0"/>
        </w:rPr>
        <w:t>&lt;/DocAmend&gt;</w:t>
      </w:r>
    </w:p>
    <w:p w:rsidR="00B35A32" w:rsidRPr="001A65E1" w:rsidRDefault="00C92BC6" w:rsidP="00B35A32">
      <w:pPr>
        <w:pStyle w:val="NormalBold"/>
      </w:pPr>
      <w:r>
        <w:rPr>
          <w:rStyle w:val="HideTWBExt"/>
          <w:b w:val="0"/>
        </w:rPr>
        <w:t>&lt;Article&gt;</w:t>
      </w:r>
      <w:r>
        <w:t>Articolul 1</w:t>
      </w:r>
      <w:r>
        <w:rPr>
          <w:rStyle w:val="HideTWBExt"/>
          <w:b w:val="0"/>
        </w:rPr>
        <w:t>&lt;/Article&gt;</w:t>
      </w:r>
    </w:p>
    <w:p w:rsidR="00B35A32" w:rsidRPr="001A65E1" w:rsidRDefault="00C92BC6" w:rsidP="00B35A32">
      <w:pPr>
        <w:keepNext/>
      </w:pPr>
      <w:r>
        <w:rPr>
          <w:rStyle w:val="HideTWBExt"/>
        </w:rPr>
        <w:t>&lt;DocAmend2&gt;</w:t>
      </w:r>
      <w:r>
        <w:t>Regulamentul (UE) 2019/816</w:t>
      </w:r>
      <w:r>
        <w:rPr>
          <w:rStyle w:val="HideTWBExt"/>
        </w:rPr>
        <w:t>&lt;/DocAmend2&gt;</w:t>
      </w:r>
    </w:p>
    <w:p w:rsidR="00B35A32" w:rsidRPr="001A65E1" w:rsidRDefault="00C92BC6" w:rsidP="00B35A32">
      <w:r>
        <w:rPr>
          <w:rStyle w:val="HideTWBExt"/>
        </w:rPr>
        <w:t>&lt;Article2&gt;</w:t>
      </w:r>
      <w:r>
        <w:t>Articolul 1 litera (e) – articolul 2 – articolul 3 punctul (6) – articolul 5 – articolul 7 – articolul 7a (nou) – articolul 24 alineatul (1)</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6FC0" w:rsidTr="0095424A">
        <w:trPr>
          <w:jc w:val="center"/>
        </w:trPr>
        <w:tc>
          <w:tcPr>
            <w:tcW w:w="9752" w:type="dxa"/>
            <w:gridSpan w:val="2"/>
          </w:tcPr>
          <w:p w:rsidR="00B35A32" w:rsidRPr="001A65E1" w:rsidRDefault="00B35A32" w:rsidP="003F4404">
            <w:pPr>
              <w:keepNext/>
            </w:pPr>
          </w:p>
        </w:tc>
      </w:tr>
      <w:tr w:rsidR="00226FC0" w:rsidTr="0095424A">
        <w:trPr>
          <w:jc w:val="center"/>
        </w:trPr>
        <w:tc>
          <w:tcPr>
            <w:tcW w:w="4876" w:type="dxa"/>
          </w:tcPr>
          <w:p w:rsidR="00B35A32" w:rsidRPr="001A65E1" w:rsidRDefault="00C92BC6" w:rsidP="003F4404">
            <w:pPr>
              <w:pStyle w:val="ColumnHeading"/>
              <w:keepNext/>
            </w:pPr>
            <w:r>
              <w:t>Textul propus de Comisie</w:t>
            </w:r>
          </w:p>
        </w:tc>
        <w:tc>
          <w:tcPr>
            <w:tcW w:w="4876" w:type="dxa"/>
          </w:tcPr>
          <w:p w:rsidR="00B35A32" w:rsidRPr="001A65E1" w:rsidRDefault="00C92BC6" w:rsidP="003F4404">
            <w:pPr>
              <w:pStyle w:val="ColumnHeading"/>
              <w:keepNext/>
            </w:pPr>
            <w:r>
              <w:t>Amendamentul</w:t>
            </w:r>
          </w:p>
        </w:tc>
      </w:tr>
      <w:tr w:rsidR="00226FC0" w:rsidTr="0095424A">
        <w:trPr>
          <w:jc w:val="center"/>
        </w:trPr>
        <w:tc>
          <w:tcPr>
            <w:tcW w:w="4876" w:type="dxa"/>
          </w:tcPr>
          <w:p w:rsidR="0095424A" w:rsidRPr="001A65E1" w:rsidRDefault="00C92BC6" w:rsidP="0095424A">
            <w:pPr>
              <w:pStyle w:val="Normal6"/>
              <w:jc w:val="center"/>
              <w:rPr>
                <w:b/>
                <w:i/>
              </w:rPr>
            </w:pPr>
            <w:r>
              <w:rPr>
                <w:b/>
                <w:i/>
              </w:rPr>
              <w:t>Articolul 1</w:t>
            </w:r>
          </w:p>
        </w:tc>
        <w:tc>
          <w:tcPr>
            <w:tcW w:w="4876" w:type="dxa"/>
          </w:tcPr>
          <w:p w:rsidR="0095424A" w:rsidRPr="001A65E1" w:rsidRDefault="00C92BC6" w:rsidP="0095424A">
            <w:pPr>
              <w:pStyle w:val="Normal6"/>
              <w:rPr>
                <w:b/>
                <w:i/>
              </w:rPr>
            </w:pPr>
            <w:r>
              <w:rPr>
                <w:b/>
                <w:i/>
              </w:rPr>
              <w:t>eliminat</w:t>
            </w:r>
          </w:p>
        </w:tc>
      </w:tr>
      <w:tr w:rsidR="00226FC0" w:rsidTr="0095424A">
        <w:trPr>
          <w:jc w:val="center"/>
        </w:trPr>
        <w:tc>
          <w:tcPr>
            <w:tcW w:w="4876" w:type="dxa"/>
          </w:tcPr>
          <w:p w:rsidR="0095424A" w:rsidRPr="001A65E1" w:rsidRDefault="00C92BC6" w:rsidP="0095424A">
            <w:pPr>
              <w:pStyle w:val="Normal6"/>
              <w:jc w:val="center"/>
              <w:rPr>
                <w:b/>
                <w:i/>
              </w:rPr>
            </w:pPr>
            <w:r>
              <w:rPr>
                <w:b/>
                <w:i/>
              </w:rPr>
              <w:t>Modificările aduse Regulamentului (UE) 2019/816</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Regulamentul (UE) 2019/816 se modifică după cum urmează:</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1.</w:t>
            </w:r>
            <w:r>
              <w:rPr>
                <w:b/>
                <w:i/>
              </w:rPr>
              <w:tab/>
              <w:t>La articolul 1, se adaugă următoarea literă (e):</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 xml:space="preserve">„(e) </w:t>
            </w:r>
            <w:r>
              <w:rPr>
                <w:b/>
                <w:i/>
              </w:rPr>
              <w:tab/>
              <w:t xml:space="preserve">condițiile în care ECRIS-TCN este utilizat de autoritățile competente pentru </w:t>
            </w:r>
            <w:r>
              <w:rPr>
                <w:b/>
                <w:i/>
              </w:rPr>
              <w:t>a efectua un control de securitate în conformitate cu Regulamentul (UE).../...</w:t>
            </w:r>
            <w:r>
              <w:rPr>
                <w:b/>
                <w:i/>
                <w:vertAlign w:val="superscript"/>
              </w:rPr>
              <w:t>28</w:t>
            </w:r>
            <w:r>
              <w:rPr>
                <w:b/>
                <w:i/>
              </w:rPr>
              <w:t xml:space="preserve"> [Regulamentul privind procedura de screening]*.”</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_________</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w:t>
            </w:r>
            <w:r>
              <w:rPr>
                <w:b/>
                <w:i/>
              </w:rPr>
              <w:tab/>
              <w:t xml:space="preserve">Regulamentul (UE) …/… </w:t>
            </w:r>
            <w:r>
              <w:rPr>
                <w:b/>
                <w:i/>
              </w:rPr>
              <w:lastRenderedPageBreak/>
              <w:t>[Regulament de introducere a unei proceduri de screening pentru resortisanții țărilor te</w:t>
            </w:r>
            <w:r>
              <w:rPr>
                <w:b/>
                <w:i/>
              </w:rPr>
              <w:t>rțe la frontierele externe și de modificare a Regulamentelor (CE) nr. 767/2008, (UE) 2017/2226, (UE) 2018/1240 și (UE) 2019/817] (JO ...).</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2.</w:t>
            </w:r>
            <w:r>
              <w:rPr>
                <w:b/>
                <w:i/>
              </w:rPr>
              <w:tab/>
              <w:t>Articolul 2 se înlocuiește cu următorul text:</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„Articolul 2</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Domeniu de aplicare</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 xml:space="preserve">Prezentul regulament se </w:t>
            </w:r>
            <w:r>
              <w:rPr>
                <w:b/>
                <w:i/>
              </w:rPr>
              <w:t>aplică prelucrării informațiilor privind identitatea resortisanților țărilor terțe care au făcut obiectul unor condamnări în statele membre, cu scopul de a identifica statele membre în care au fost pronunțate aceste condamnări [precum și în scopul gestionă</w:t>
            </w:r>
            <w:r>
              <w:rPr>
                <w:b/>
                <w:i/>
              </w:rPr>
              <w:t>rii frontierelor]</w:t>
            </w:r>
            <w:r>
              <w:rPr>
                <w:b/>
                <w:i/>
                <w:vertAlign w:val="superscript"/>
              </w:rPr>
              <w:t>29</w:t>
            </w:r>
            <w:r>
              <w:rPr>
                <w:b/>
                <w:i/>
              </w:rPr>
              <w:t>. Cu excepția articolului 5 alineatul (1) litera (b) punctul (ii), dispozițiile prezentului regulament aplicabile resortisanților țărilor terțe se aplică și cetățenilor Uniunii care dețin și cetățenia unei țări terțe și care au făcut obi</w:t>
            </w:r>
            <w:r>
              <w:rPr>
                <w:b/>
                <w:i/>
              </w:rPr>
              <w:t>ectul unor condamnări în statele membre.</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De asemenea, prezentul regulament:</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(a)</w:t>
            </w:r>
            <w:r>
              <w:rPr>
                <w:b/>
                <w:i/>
              </w:rPr>
              <w:tab/>
              <w:t>facilitează și sprijină identificarea corectă a persoanelor în conformitate cu prezentul regulament și cu Regulamentul (UE) 2019/818;</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(b)</w:t>
            </w:r>
            <w:r>
              <w:rPr>
                <w:b/>
                <w:i/>
              </w:rPr>
              <w:tab/>
              <w:t>sprijină obiectivele Regulamentu</w:t>
            </w:r>
            <w:r>
              <w:rPr>
                <w:b/>
                <w:i/>
              </w:rPr>
              <w:t>lui (UE).../... [Regulamentul privind procedura de screening] în ceea ce privește efectuarea controalelor de securitate.”</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3.</w:t>
            </w:r>
            <w:r>
              <w:rPr>
                <w:b/>
                <w:i/>
              </w:rPr>
              <w:tab/>
              <w:t>La articolul 3, punctul 6 se înlocuiește cu următorul text:</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 xml:space="preserve">„(6) «autorități competente» înseamnă autoritățile centrale și </w:t>
            </w:r>
            <w:r>
              <w:rPr>
                <w:b/>
                <w:i/>
              </w:rPr>
              <w:t>Eurojust, Europol, EPPO [, unitatea centrală a ETIAS instituită în cadrul Agenției Europene pentru Poliția de Frontieră și Garda de Coastă]</w:t>
            </w:r>
            <w:r>
              <w:rPr>
                <w:b/>
                <w:i/>
                <w:vertAlign w:val="superscript"/>
              </w:rPr>
              <w:t>30</w:t>
            </w:r>
            <w:r>
              <w:rPr>
                <w:b/>
                <w:i/>
              </w:rPr>
              <w:t xml:space="preserve"> și autoritățile menționate la articolul 6 alineatul (7) primul paragraf din Regulamentul (UE).../ ... </w:t>
            </w:r>
            <w:r>
              <w:rPr>
                <w:b/>
                <w:i/>
              </w:rPr>
              <w:lastRenderedPageBreak/>
              <w:t>[Regulamentu</w:t>
            </w:r>
            <w:r>
              <w:rPr>
                <w:b/>
                <w:i/>
              </w:rPr>
              <w:t>l privind procedura de screening], care sunt competente să acceseze sau să efectueze interogări în ECRIS-TCN în conformitate cu prezentul regulament;”</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4.</w:t>
            </w:r>
            <w:r>
              <w:rPr>
                <w:b/>
                <w:i/>
              </w:rPr>
              <w:tab/>
              <w:t>Articolul 5 se modifică după cum urmează:</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(a)</w:t>
            </w:r>
            <w:r>
              <w:rPr>
                <w:b/>
                <w:i/>
              </w:rPr>
              <w:tab/>
              <w:t>la alineatul (1), se adaugă următoarea literă:</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„(c)</w:t>
            </w:r>
            <w:r>
              <w:rPr>
                <w:b/>
                <w:i/>
              </w:rPr>
              <w:tab/>
              <w:t>un marcaj care să indice, în sensul Regulamentului (UE) 2018/1240 și al articolelor 11 și 12 din Regulamentul (UE).../ ... [Regulamentul privind procedura de screening], faptul că resortisantul țării terțe în cauză a fost condamnat pentru o infracțiun</w:t>
            </w:r>
            <w:r>
              <w:rPr>
                <w:b/>
                <w:i/>
              </w:rPr>
              <w:t>e de terorism sau pentru orice altă infracțiune enumerată în anexa la Regulamentul (UE) 2018/1240 dacă acestea sunt pasibile de pedeapsă cu închisoarea sau cu o măsură de siguranță privativă de libertate pe o perioadă maximă de cel puțin trei ani în temeiu</w:t>
            </w:r>
            <w:r>
              <w:rPr>
                <w:b/>
                <w:i/>
              </w:rPr>
              <w:t>l dreptului intern și, în cazurile respective, codul statului membru (statelor membre) de condamnare.”;</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(b)</w:t>
            </w:r>
            <w:r>
              <w:rPr>
                <w:b/>
                <w:i/>
              </w:rPr>
              <w:tab/>
              <w:t>după alineatul (6) se adaugă următorul alineat (7):</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„(7).</w:t>
            </w:r>
            <w:r>
              <w:rPr>
                <w:b/>
                <w:i/>
              </w:rPr>
              <w:tab/>
              <w:t>În cazul în care sunt identificate rezultate pozitive în urma controalelor de securita</w:t>
            </w:r>
            <w:r>
              <w:rPr>
                <w:b/>
                <w:i/>
              </w:rPr>
              <w:t>te prevăzute la articolele 11 și 12 din Regulamentul (UE).../... [Regulamentul privind procedura de screening], marcajele și codul (codurile) statului (statelor) membru (membre) de condamnare, astfel cum se menționează la alineatul (1) litera (c) din preze</w:t>
            </w:r>
            <w:r>
              <w:rPr>
                <w:b/>
                <w:i/>
              </w:rPr>
              <w:t>ntul articol, sunt accesibile numai autorităților competente menționate la articolul 6 alineatul (7) din Regulamentul (UE).../... [Regulamentul privind procedura de screening] și, respectiv, pot fi consultate numai de acestea în sensul regulamentului menți</w:t>
            </w:r>
            <w:r>
              <w:rPr>
                <w:b/>
                <w:i/>
              </w:rPr>
              <w:t>onat.”</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5.</w:t>
            </w:r>
            <w:r>
              <w:rPr>
                <w:b/>
                <w:i/>
              </w:rPr>
              <w:tab/>
              <w:t>La articolul 7, alineatul (7) se înlocuiește cu următorul text:</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lastRenderedPageBreak/>
              <w:t>„(7).   În cazul unui rezultat pozitiv, sistemul central comunică în mod automat autorității competente informații privind statele membre care dețin informații privind cazierul j</w:t>
            </w:r>
            <w:r>
              <w:rPr>
                <w:b/>
                <w:i/>
              </w:rPr>
              <w:t>udiciar al resortisantului unei țări terțe, împreună cu numerele de referință asociate menționate la articolul 5 alineatul (1) și orice informație corespunzătoare privind identitatea. Astfel de informații privind identitatea sunt utilizate exclusiv în scop</w:t>
            </w:r>
            <w:r>
              <w:rPr>
                <w:b/>
                <w:i/>
              </w:rPr>
              <w:t>ul de a verifica identitatea respectivului resortisant al unei țări terțe. Rezultatul unei căutări în sistemul central poate fi utilizat numai în următoarele scopuri:</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(a)</w:t>
            </w:r>
            <w:r>
              <w:rPr>
                <w:b/>
                <w:i/>
              </w:rPr>
              <w:tab/>
              <w:t xml:space="preserve">adresarea unei cereri în conformitate cu articolul 6 din Decizia-cadru </w:t>
            </w:r>
            <w:r>
              <w:rPr>
                <w:b/>
                <w:i/>
              </w:rPr>
              <w:t>2009/315/JAI;</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(b)</w:t>
            </w:r>
            <w:r>
              <w:rPr>
                <w:b/>
                <w:i/>
              </w:rPr>
              <w:tab/>
              <w:t>adresarea unei cereri astfel cum se menționează la articolul 17 alineatul (3) din prezentul regulament;</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(c)</w:t>
            </w:r>
            <w:r>
              <w:rPr>
                <w:b/>
                <w:i/>
              </w:rPr>
              <w:tab/>
              <w:t>[gestionarea frontierelor]</w:t>
            </w:r>
            <w:r>
              <w:rPr>
                <w:b/>
                <w:i/>
                <w:vertAlign w:val="superscript"/>
              </w:rPr>
              <w:t>31</w:t>
            </w:r>
            <w:r>
              <w:rPr>
                <w:b/>
                <w:i/>
              </w:rPr>
              <w:t>;</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(d)</w:t>
            </w:r>
            <w:r>
              <w:rPr>
                <w:b/>
                <w:i/>
              </w:rPr>
              <w:tab/>
              <w:t>evaluarea măsurii în care un resortisant al unei țări terțe care face obiectul controalelo</w:t>
            </w:r>
            <w:r>
              <w:rPr>
                <w:b/>
                <w:i/>
              </w:rPr>
              <w:t>r aferente procedurii de screening ar reprezenta o amenințare la adresa ordinii publice sau a siguranței publice, în conformitate cu Regulamentul (UE).../... [Regulamentul privind procedura de screening].”</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6.</w:t>
            </w:r>
            <w:r>
              <w:rPr>
                <w:b/>
                <w:i/>
              </w:rPr>
              <w:tab/>
              <w:t>După articolul 7 se inserează următorul artic</w:t>
            </w:r>
            <w:r>
              <w:rPr>
                <w:b/>
                <w:i/>
              </w:rPr>
              <w:t>ol 7a:</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„Articolul 7a</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Utilizarea ECRIS-TCN în scopul procedurii de screening</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Autoritățile competente menționate la articolul 6 alineatul (7) din Regulamentul (UE).../ ... [Regulamentul privind procedura de screening] au dreptul de a accesa și de a efectua căutări în baza de date a Sistemului european de informații cu privire la caz</w:t>
            </w:r>
            <w:r>
              <w:rPr>
                <w:b/>
                <w:i/>
              </w:rPr>
              <w:t xml:space="preserve">ierele judiciare pentru resortisanții țărilor terțe (ECRIS-TCN), utilizând portalul european de căutare prevăzut la articolul 6 din Regulamentul </w:t>
            </w:r>
            <w:r>
              <w:rPr>
                <w:b/>
                <w:i/>
              </w:rPr>
              <w:lastRenderedPageBreak/>
              <w:t>(UE) 2019/818, în scopul îndeplinirii sarcinilor care le sunt conferite prin articolul 11 din Regulamentul (UE)</w:t>
            </w:r>
            <w:r>
              <w:rPr>
                <w:b/>
                <w:i/>
              </w:rPr>
              <w:t>.../... [Regulamentul privind procedura de screening].</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În scopul efectuării controlului de securitate menționat la articolul 11 din Regulamentul (UE).../... [Regulamentul privind procedura de screening], autoritățile competente menționate la primul parag</w:t>
            </w:r>
            <w:r>
              <w:rPr>
                <w:b/>
                <w:i/>
              </w:rPr>
              <w:t>raf au acces numai la înregistrările de date din CIR cărora li s-a aplicat un marcaj în conformitate cu articolul 5 alineatul (1) litera (c) din prezentul regulament.</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Consultarea cazierelor judiciare naționale pe baza datelor marcate din ECRIS-TCN are lo</w:t>
            </w:r>
            <w:r>
              <w:rPr>
                <w:b/>
                <w:i/>
              </w:rPr>
              <w:t>c în conformitate cu dreptul intern și utilizând canalele naționale. Autoritățile naționale relevante furnizează un aviz autorităților competente menționate la articolul 6 alineatul (7) din Regulamentul (UE).../ ... [Regulamentul privind procedura de scree</w:t>
            </w:r>
            <w:r>
              <w:rPr>
                <w:b/>
                <w:i/>
              </w:rPr>
              <w:t>ning] în termen de două zile în cazul în care procedura de screening are loc pe teritoriul statelor membre sau în termen de patru zile în cazul în care procedura de screening are loc la frontierele externe. Absența unui aviz în termenele menționate înseamn</w:t>
            </w:r>
            <w:r>
              <w:rPr>
                <w:b/>
                <w:i/>
              </w:rPr>
              <w:t>ă că nu există motive de securitate care trebuie luate în considerare.”</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7.</w:t>
            </w:r>
            <w:r>
              <w:rPr>
                <w:b/>
                <w:i/>
              </w:rPr>
              <w:tab/>
              <w:t>La articolul 24, alineatul (1) se înlocuiește cu următorul text:</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„(1).   Datele introduse în sistemul central și în CIR sunt prelucrate numai în următoarele scopuri:</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(a)</w:t>
            </w:r>
            <w:r>
              <w:rPr>
                <w:b/>
                <w:i/>
              </w:rPr>
              <w:tab/>
              <w:t>ident</w:t>
            </w:r>
            <w:r>
              <w:rPr>
                <w:b/>
                <w:i/>
              </w:rPr>
              <w:t>ificarea statelor membre care dețin informații privind cazierele judiciare ale resortisanților țărilor terțe;</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(b)</w:t>
            </w:r>
            <w:r>
              <w:rPr>
                <w:b/>
                <w:i/>
              </w:rPr>
              <w:tab/>
              <w:t>[gestionarea frontierelor]</w:t>
            </w:r>
            <w:r>
              <w:rPr>
                <w:b/>
                <w:i/>
                <w:vertAlign w:val="superscript"/>
              </w:rPr>
              <w:t>32</w:t>
            </w:r>
            <w:r>
              <w:rPr>
                <w:b/>
                <w:i/>
              </w:rPr>
              <w:t xml:space="preserve"> sau</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t>(c)</w:t>
            </w:r>
            <w:r>
              <w:rPr>
                <w:b/>
                <w:i/>
              </w:rPr>
              <w:tab/>
              <w:t>procedura de screening în temeiul articolului 11 din Regulamentul (UE).../... [Regulamentul privind p</w:t>
            </w:r>
            <w:r>
              <w:rPr>
                <w:b/>
                <w:i/>
              </w:rPr>
              <w:t>rocedura de screening].”</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rPr>
              <w:lastRenderedPageBreak/>
              <w:t>___________</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vertAlign w:val="superscript"/>
              </w:rPr>
              <w:t>28</w:t>
            </w:r>
            <w:r>
              <w:rPr>
                <w:b/>
                <w:i/>
              </w:rPr>
              <w:t xml:space="preserve"> JO …</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vertAlign w:val="superscript"/>
              </w:rPr>
              <w:t>29</w:t>
            </w:r>
            <w:r>
              <w:rPr>
                <w:b/>
                <w:i/>
              </w:rPr>
              <w:t xml:space="preserve"> COM/2019/3 final.</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vertAlign w:val="superscript"/>
              </w:rPr>
              <w:t>30</w:t>
            </w:r>
            <w:r>
              <w:rPr>
                <w:b/>
                <w:i/>
              </w:rPr>
              <w:t xml:space="preserve"> Op. cit. 29.</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vertAlign w:val="superscript"/>
              </w:rPr>
              <w:t>31</w:t>
            </w:r>
            <w:r>
              <w:rPr>
                <w:b/>
                <w:i/>
              </w:rPr>
              <w:t xml:space="preserve"> Op. cit. 29.</w:t>
            </w:r>
          </w:p>
        </w:tc>
        <w:tc>
          <w:tcPr>
            <w:tcW w:w="4876" w:type="dxa"/>
          </w:tcPr>
          <w:p w:rsidR="0095424A" w:rsidRPr="001A65E1" w:rsidRDefault="0095424A" w:rsidP="0095424A">
            <w:pPr>
              <w:pStyle w:val="Normal6"/>
              <w:rPr>
                <w:b/>
                <w:i/>
              </w:rPr>
            </w:pPr>
          </w:p>
        </w:tc>
      </w:tr>
      <w:tr w:rsidR="00226FC0" w:rsidTr="0095424A">
        <w:trPr>
          <w:jc w:val="center"/>
        </w:trPr>
        <w:tc>
          <w:tcPr>
            <w:tcW w:w="4876" w:type="dxa"/>
          </w:tcPr>
          <w:p w:rsidR="0095424A" w:rsidRPr="001A65E1" w:rsidRDefault="00C92BC6" w:rsidP="0095424A">
            <w:pPr>
              <w:pStyle w:val="Normal6"/>
              <w:rPr>
                <w:b/>
                <w:i/>
              </w:rPr>
            </w:pPr>
            <w:r>
              <w:rPr>
                <w:b/>
                <w:i/>
                <w:vertAlign w:val="superscript"/>
              </w:rPr>
              <w:t>32</w:t>
            </w:r>
            <w:r>
              <w:rPr>
                <w:b/>
                <w:i/>
              </w:rPr>
              <w:t xml:space="preserve"> Op. cit. 29.</w:t>
            </w:r>
          </w:p>
        </w:tc>
        <w:tc>
          <w:tcPr>
            <w:tcW w:w="4876" w:type="dxa"/>
          </w:tcPr>
          <w:p w:rsidR="0095424A" w:rsidRPr="001A65E1" w:rsidRDefault="0095424A" w:rsidP="0095424A">
            <w:pPr>
              <w:pStyle w:val="Normal6"/>
              <w:rPr>
                <w:b/>
                <w:i/>
              </w:rPr>
            </w:pPr>
          </w:p>
        </w:tc>
      </w:tr>
    </w:tbl>
    <w:p w:rsidR="00B35A32" w:rsidRPr="001A65E1" w:rsidRDefault="00C92BC6" w:rsidP="00B35A32">
      <w:pPr>
        <w:pStyle w:val="Olang"/>
        <w:rPr>
          <w:sz w:val="24"/>
          <w:szCs w:val="24"/>
        </w:rPr>
      </w:pPr>
      <w:r w:rsidRPr="001A65E1">
        <w:rPr>
          <w:sz w:val="24"/>
          <w:szCs w:val="24"/>
        </w:rPr>
        <w:t xml:space="preserve">Or. </w:t>
      </w:r>
      <w:r w:rsidRPr="001A65E1">
        <w:rPr>
          <w:rStyle w:val="HideTWBExt"/>
          <w:noProof w:val="0"/>
        </w:rPr>
        <w:t>&lt;Original&gt;</w:t>
      </w:r>
      <w:r w:rsidRPr="001A65E1">
        <w:rPr>
          <w:rStyle w:val="HideTWBInt"/>
          <w:sz w:val="24"/>
          <w:szCs w:val="24"/>
        </w:rPr>
        <w:t>{EN}</w:t>
      </w:r>
      <w:r w:rsidRPr="001A65E1">
        <w:rPr>
          <w:sz w:val="24"/>
          <w:szCs w:val="24"/>
        </w:rPr>
        <w:t>en</w:t>
      </w:r>
      <w:r w:rsidRPr="001A65E1">
        <w:rPr>
          <w:rStyle w:val="HideTWBExt"/>
          <w:noProof w:val="0"/>
        </w:rPr>
        <w:t>&lt;/Original&gt;</w:t>
      </w:r>
    </w:p>
    <w:p w:rsidR="00B35A32" w:rsidRPr="001A65E1" w:rsidRDefault="00C92BC6" w:rsidP="00B35A32">
      <w:pPr>
        <w:pStyle w:val="JustificationTitle"/>
        <w:rPr>
          <w:noProof w:val="0"/>
        </w:rPr>
      </w:pPr>
      <w:r>
        <w:rPr>
          <w:rStyle w:val="HideTWBExt"/>
          <w:i w:val="0"/>
        </w:rPr>
        <w:t>&lt;TitreJust&gt;</w:t>
      </w:r>
      <w:r>
        <w:t>Justificare</w:t>
      </w:r>
      <w:r>
        <w:rPr>
          <w:rStyle w:val="HideTWBExt"/>
          <w:i w:val="0"/>
        </w:rPr>
        <w:t>&lt;/TitreJust&gt;</w:t>
      </w:r>
    </w:p>
    <w:p w:rsidR="00B35A32" w:rsidRPr="001A65E1" w:rsidRDefault="00C92BC6" w:rsidP="00B35A32">
      <w:pPr>
        <w:pStyle w:val="Normal12Italic"/>
        <w:rPr>
          <w:noProof w:val="0"/>
        </w:rPr>
      </w:pPr>
      <w:r>
        <w:t xml:space="preserve">Raportoarea nu este convinsă că dispozițiile care acordă </w:t>
      </w:r>
      <w:r>
        <w:t>drepturi generale de acces autorităților competente sunt necesare pentru a permite efectuarea efectivă a procedurii de screening.</w:t>
      </w:r>
    </w:p>
    <w:p w:rsidR="00B35BCC" w:rsidRPr="001A65E1" w:rsidRDefault="00C92BC6" w:rsidP="00B35BCC">
      <w:r>
        <w:rPr>
          <w:rStyle w:val="HideTWBExt"/>
        </w:rPr>
        <w:t>&lt;/Amend&gt;</w:t>
      </w:r>
    </w:p>
    <w:p w:rsidR="00B35A32" w:rsidRPr="001A65E1" w:rsidRDefault="00C92BC6" w:rsidP="00B35BCC">
      <w:r>
        <w:t xml:space="preserve"> </w:t>
      </w:r>
      <w:r>
        <w:rPr>
          <w:rStyle w:val="HideTWBExt"/>
        </w:rPr>
        <w:t>&lt;/RepeatBlock-Amend&gt;</w:t>
      </w:r>
    </w:p>
    <w:p w:rsidR="00B35A32" w:rsidRPr="001A65E1" w:rsidRDefault="00B35A32" w:rsidP="002669B6">
      <w:pPr>
        <w:sectPr w:rsidR="00B35A32" w:rsidRPr="001A65E1" w:rsidSect="00B43FB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1A65E1" w:rsidRDefault="00C92BC6" w:rsidP="00B35A32">
      <w:pPr>
        <w:pStyle w:val="PageHeading"/>
      </w:pPr>
      <w:bookmarkStart w:id="2" w:name="_Toc89088719"/>
      <w:r>
        <w:lastRenderedPageBreak/>
        <w:t>EXPUNERE DE MOTIVE</w:t>
      </w:r>
      <w:bookmarkEnd w:id="2"/>
    </w:p>
    <w:p w:rsidR="00B35A32" w:rsidRPr="001A65E1" w:rsidRDefault="00C92BC6" w:rsidP="00874CDF">
      <w:pPr>
        <w:pStyle w:val="NoSpacing"/>
        <w:spacing w:after="240"/>
        <w:rPr>
          <w:szCs w:val="24"/>
        </w:rPr>
      </w:pPr>
      <w:r>
        <w:t>Raportoarea va prezenta în continuare principalele motive pentru a</w:t>
      </w:r>
      <w:r>
        <w:t>mendamentele prezentate în proiectul de raport referitor la propunerea de regulament al Parlamentului European și al Consiliului de modificare a Regulamentului (UE) 2019/816 (ECRIS-TCN) și a Regulamentului (UE) 2019/818 privind interoperabilitatea dintre s</w:t>
      </w:r>
      <w:r>
        <w:t>istemele de informații ale UE în domeniul cooperării polițienești și judiciare, al azilului și al migrației și de modificare a Regulamentelor (UE) 2018/1726, (UE) 2018/1862 și (UE) 2019/816 în scopul introducerii unei proceduri de screening pentru resortis</w:t>
      </w:r>
      <w:r>
        <w:t>anții țărilor terțe la frontierele externe 2021/0046 (COD), adoptată de Comisie în martie 2021.</w:t>
      </w:r>
    </w:p>
    <w:p w:rsidR="00B35A32" w:rsidRPr="001A65E1" w:rsidRDefault="00C92BC6" w:rsidP="00874CDF">
      <w:pPr>
        <w:spacing w:after="240"/>
        <w:jc w:val="both"/>
        <w:rPr>
          <w:rFonts w:eastAsia="Calibri"/>
        </w:rPr>
      </w:pPr>
      <w:r>
        <w:t>Prin acest regulament, Comisia a încercat să introducă o modificare de sine stătătoare a Regulamentului 2019/816 pentru a prevedea drepturi de acces având în ve</w:t>
      </w:r>
      <w:r>
        <w:t>dere propunerea de regulament privind procedura de screening și pentru a modifica Regulamentul (UE) 2019/818 din cauza temeiului juridic diferit și a geometriei variabile.</w:t>
      </w:r>
    </w:p>
    <w:p w:rsidR="00B35A32" w:rsidRPr="001A65E1" w:rsidRDefault="00C92BC6" w:rsidP="00874CDF">
      <w:pPr>
        <w:spacing w:after="240"/>
        <w:jc w:val="both"/>
      </w:pPr>
      <w:r>
        <w:t>De la numirea raportoarei la 22 martie 2021 au avut loc mai multe schimburi de veder</w:t>
      </w:r>
      <w:r>
        <w:t>i, inclusiv reuniuni cu raportorii alternativi, precum și reuniuni cu părțile interesate externe.</w:t>
      </w:r>
    </w:p>
    <w:p w:rsidR="00B35A32" w:rsidRPr="001A65E1" w:rsidRDefault="00C92BC6" w:rsidP="00874CDF">
      <w:pPr>
        <w:autoSpaceDE w:val="0"/>
        <w:autoSpaceDN w:val="0"/>
        <w:adjustRightInd w:val="0"/>
        <w:spacing w:after="240"/>
        <w:jc w:val="both"/>
      </w:pPr>
      <w:r>
        <w:t xml:space="preserve">Raportoarea împărtășește obiectivul general al Comisiei de a permite utilizarea registrului comun de date de identitate (CIR) și a Sistemului european de </w:t>
      </w:r>
      <w:r>
        <w:t>informații cu privire la cazierele judiciare pentru resortisanții țărilor terțe („ECRIS-TCN”) în cursul procedurii de screening. Totuși, raportoarea nu este convinsă că dispozițiile care acordă drepturi generale de acces autorităților competente sunt neces</w:t>
      </w:r>
      <w:r>
        <w:t>are pentru a permite efectuarea efectivă a procedurii de screening.</w:t>
      </w:r>
    </w:p>
    <w:p w:rsidR="003D6312" w:rsidRPr="001A65E1" w:rsidRDefault="00C92BC6" w:rsidP="003D6312">
      <w:pPr>
        <w:spacing w:after="240"/>
        <w:jc w:val="both"/>
      </w:pPr>
      <w:r>
        <w:t>Raportoarea regretă faptul că Comisia nu a realizat o evaluare a impactului pentru propunerea de screening și pentru această propunere ulterioară. Raportoarea ar dori să își exprime recuno</w:t>
      </w:r>
      <w:r>
        <w:t>ștința față de Unitatea de evaluare ex ante a impactului din cadrul Serviciului de Cercetare al Parlamentului European și contractanții respectivi pentru activitatea legată de evaluarea orizontală de impact substitutivă a noului Pact privind migrația și az</w:t>
      </w:r>
      <w:r>
        <w:t>ilul. Raportoarea ar dori, de asemenea, să își exprime recunoștința față de autorii studiului realizat de Departamentul tematic pentru drepturile cetățenilor și afaceri constituționale al Parlamentului European.</w:t>
      </w:r>
    </w:p>
    <w:p w:rsidR="003D6312" w:rsidRPr="001A65E1" w:rsidRDefault="003D6312" w:rsidP="00874CDF">
      <w:pPr>
        <w:spacing w:after="240"/>
        <w:jc w:val="both"/>
      </w:pPr>
    </w:p>
    <w:p w:rsidR="00B35A32" w:rsidRPr="001A65E1" w:rsidRDefault="00B35A32" w:rsidP="009D74FD">
      <w:pPr>
        <w:jc w:val="both"/>
      </w:pPr>
    </w:p>
    <w:sectPr w:rsidR="00B35A32" w:rsidRPr="001A65E1" w:rsidSect="00B35A3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92BC6">
      <w:r>
        <w:separator/>
      </w:r>
    </w:p>
  </w:endnote>
  <w:endnote w:type="continuationSeparator" w:id="0">
    <w:p w:rsidR="00000000" w:rsidRDefault="00C92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FB7" w:rsidRPr="001A65E1" w:rsidRDefault="00C92BC6" w:rsidP="00B43FB7">
    <w:pPr>
      <w:pStyle w:val="EPFooter"/>
    </w:pPr>
    <w:r w:rsidRPr="001A65E1">
      <w:t>PE</w:t>
    </w:r>
    <w:r w:rsidRPr="001A65E1">
      <w:rPr>
        <w:rStyle w:val="HideTWBExt"/>
        <w:noProof w:val="0"/>
      </w:rPr>
      <w:t>&lt;NoPE&gt;</w:t>
    </w:r>
    <w:r w:rsidRPr="001A65E1">
      <w:t>700.426</w:t>
    </w:r>
    <w:r w:rsidRPr="001A65E1">
      <w:rPr>
        <w:rStyle w:val="HideTWBExt"/>
        <w:noProof w:val="0"/>
      </w:rPr>
      <w:t>&lt;/NoPE&gt;&lt;Version&gt;</w:t>
    </w:r>
    <w:r w:rsidRPr="001A65E1">
      <w:t>v01-00</w:t>
    </w:r>
    <w:r w:rsidRPr="001A65E1">
      <w:rPr>
        <w:rStyle w:val="HideTWBExt"/>
        <w:noProof w:val="0"/>
      </w:rPr>
      <w:t>&lt;/Version&gt;</w:t>
    </w:r>
    <w:r w:rsidRPr="001A65E1">
      <w:tab/>
    </w:r>
    <w:r w:rsidRPr="001A65E1">
      <w:fldChar w:fldCharType="begin"/>
    </w:r>
    <w:r w:rsidRPr="001A65E1">
      <w:instrText xml:space="preserve"> PAGE  \* MERGEFORMAT </w:instrText>
    </w:r>
    <w:r w:rsidRPr="001A65E1">
      <w:fldChar w:fldCharType="separate"/>
    </w:r>
    <w:r>
      <w:rPr>
        <w:noProof/>
      </w:rPr>
      <w:t>2</w:t>
    </w:r>
    <w:r w:rsidRPr="001A65E1">
      <w:fldChar w:fldCharType="end"/>
    </w:r>
    <w:r w:rsidRPr="001A65E1">
      <w:t>/</w:t>
    </w:r>
    <w:r w:rsidR="008D2E3C">
      <w:fldChar w:fldCharType="begin"/>
    </w:r>
    <w:r>
      <w:instrText xml:space="preserve"> NUMPAGES  \* MERGEFORMAT </w:instrText>
    </w:r>
    <w:r w:rsidR="008D2E3C">
      <w:fldChar w:fldCharType="separate"/>
    </w:r>
    <w:r>
      <w:rPr>
        <w:noProof/>
      </w:rPr>
      <w:t>16</w:t>
    </w:r>
    <w:r w:rsidR="008D2E3C">
      <w:rPr>
        <w:noProof/>
      </w:rPr>
      <w:fldChar w:fldCharType="end"/>
    </w:r>
    <w:r w:rsidRPr="001A65E1">
      <w:tab/>
    </w:r>
    <w:r w:rsidRPr="001A65E1">
      <w:rPr>
        <w:rStyle w:val="HideTWBExt"/>
        <w:noProof w:val="0"/>
      </w:rPr>
      <w:t>&lt;PathFdR&gt;</w:t>
    </w:r>
    <w:r w:rsidRPr="001A65E1">
      <w:t>PR\1243214RO.docx</w:t>
    </w:r>
    <w:r w:rsidRPr="001A65E1">
      <w:rPr>
        <w:rStyle w:val="HideTWBExt"/>
        <w:noProof w:val="0"/>
      </w:rPr>
      <w:t>&lt;/PathFdR&gt;</w:t>
    </w:r>
  </w:p>
  <w:p w:rsidR="00FB52FE" w:rsidRPr="001A65E1" w:rsidRDefault="00C92BC6" w:rsidP="00B43FB7">
    <w:pPr>
      <w:pStyle w:val="EPFooter2"/>
    </w:pPr>
    <w:r w:rsidRPr="001A65E1">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FB7" w:rsidRPr="001A65E1" w:rsidRDefault="00C92BC6" w:rsidP="00B43FB7">
    <w:pPr>
      <w:pStyle w:val="EPFooter"/>
    </w:pPr>
    <w:r w:rsidRPr="001A65E1">
      <w:rPr>
        <w:rStyle w:val="HideTWBExt"/>
        <w:noProof w:val="0"/>
      </w:rPr>
      <w:t>&lt;PathFdR&gt;</w:t>
    </w:r>
    <w:r w:rsidRPr="001A65E1">
      <w:t>PR\1243214RO.docx</w:t>
    </w:r>
    <w:r w:rsidRPr="001A65E1">
      <w:rPr>
        <w:rStyle w:val="HideTWBExt"/>
        <w:noProof w:val="0"/>
      </w:rPr>
      <w:t>&lt;/PathFdR&gt;</w:t>
    </w:r>
    <w:r w:rsidRPr="001A65E1">
      <w:tab/>
    </w:r>
    <w:r w:rsidRPr="001A65E1">
      <w:fldChar w:fldCharType="begin"/>
    </w:r>
    <w:r w:rsidRPr="001A65E1">
      <w:instrText xml:space="preserve"> PAGE  \* MERGEFORMAT </w:instrText>
    </w:r>
    <w:r w:rsidRPr="001A65E1">
      <w:fldChar w:fldCharType="separate"/>
    </w:r>
    <w:r>
      <w:rPr>
        <w:noProof/>
      </w:rPr>
      <w:t>3</w:t>
    </w:r>
    <w:r w:rsidRPr="001A65E1">
      <w:fldChar w:fldCharType="end"/>
    </w:r>
    <w:r w:rsidRPr="001A65E1">
      <w:t>/</w:t>
    </w:r>
    <w:r w:rsidR="008D2E3C">
      <w:fldChar w:fldCharType="begin"/>
    </w:r>
    <w:r>
      <w:instrText xml:space="preserve"> NUMPAGES  \* MERGEFORMAT </w:instrText>
    </w:r>
    <w:r w:rsidR="008D2E3C">
      <w:fldChar w:fldCharType="separate"/>
    </w:r>
    <w:r>
      <w:rPr>
        <w:noProof/>
      </w:rPr>
      <w:t>16</w:t>
    </w:r>
    <w:r w:rsidR="008D2E3C">
      <w:rPr>
        <w:noProof/>
      </w:rPr>
      <w:fldChar w:fldCharType="end"/>
    </w:r>
    <w:r w:rsidRPr="001A65E1">
      <w:tab/>
      <w:t>PE</w:t>
    </w:r>
    <w:r w:rsidRPr="001A65E1">
      <w:rPr>
        <w:rStyle w:val="HideTWBExt"/>
        <w:noProof w:val="0"/>
      </w:rPr>
      <w:t>&lt;NoPE&gt;</w:t>
    </w:r>
    <w:r w:rsidRPr="001A65E1">
      <w:t>700.426</w:t>
    </w:r>
    <w:r w:rsidRPr="001A65E1">
      <w:rPr>
        <w:rStyle w:val="HideTWBExt"/>
        <w:noProof w:val="0"/>
      </w:rPr>
      <w:t>&lt;/NoPE&gt;&lt;Ver</w:t>
    </w:r>
    <w:r w:rsidRPr="001A65E1">
      <w:rPr>
        <w:rStyle w:val="HideTWBExt"/>
        <w:noProof w:val="0"/>
      </w:rPr>
      <w:t>sion&gt;</w:t>
    </w:r>
    <w:r w:rsidRPr="001A65E1">
      <w:t>v01-00</w:t>
    </w:r>
    <w:r w:rsidRPr="001A65E1">
      <w:rPr>
        <w:rStyle w:val="HideTWBExt"/>
        <w:noProof w:val="0"/>
      </w:rPr>
      <w:t>&lt;/Version&gt;</w:t>
    </w:r>
  </w:p>
  <w:p w:rsidR="00FB52FE" w:rsidRPr="001A65E1" w:rsidRDefault="00C92BC6" w:rsidP="00B43FB7">
    <w:pPr>
      <w:pStyle w:val="EPFooter2"/>
    </w:pPr>
    <w:r w:rsidRPr="001A65E1">
      <w:tab/>
    </w:r>
    <w:r w:rsidRPr="001A65E1">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FB7" w:rsidRPr="001A65E1" w:rsidRDefault="00C92BC6" w:rsidP="00B43FB7">
    <w:pPr>
      <w:pStyle w:val="EPFooter"/>
    </w:pPr>
    <w:r w:rsidRPr="001A65E1">
      <w:rPr>
        <w:rStyle w:val="HideTWBExt"/>
        <w:noProof w:val="0"/>
      </w:rPr>
      <w:t>&lt;PathFdR&gt;</w:t>
    </w:r>
    <w:r w:rsidRPr="001A65E1">
      <w:t>PR\1243214RO.docx</w:t>
    </w:r>
    <w:r w:rsidRPr="001A65E1">
      <w:rPr>
        <w:rStyle w:val="HideTWBExt"/>
        <w:noProof w:val="0"/>
      </w:rPr>
      <w:t>&lt;/PathFdR&gt;</w:t>
    </w:r>
    <w:r w:rsidRPr="001A65E1">
      <w:tab/>
    </w:r>
    <w:r w:rsidRPr="001A65E1">
      <w:tab/>
      <w:t>PE</w:t>
    </w:r>
    <w:r w:rsidRPr="001A65E1">
      <w:rPr>
        <w:rStyle w:val="HideTWBExt"/>
        <w:noProof w:val="0"/>
      </w:rPr>
      <w:t>&lt;NoPE&gt;</w:t>
    </w:r>
    <w:r w:rsidRPr="001A65E1">
      <w:t>700.426</w:t>
    </w:r>
    <w:r w:rsidRPr="001A65E1">
      <w:rPr>
        <w:rStyle w:val="HideTWBExt"/>
        <w:noProof w:val="0"/>
      </w:rPr>
      <w:t>&lt;/NoPE&gt;&lt;Version&gt;</w:t>
    </w:r>
    <w:r w:rsidRPr="001A65E1">
      <w:t>v01-00</w:t>
    </w:r>
    <w:r w:rsidRPr="001A65E1">
      <w:rPr>
        <w:rStyle w:val="HideTWBExt"/>
        <w:noProof w:val="0"/>
      </w:rPr>
      <w:t>&lt;/Version&gt;</w:t>
    </w:r>
  </w:p>
  <w:p w:rsidR="00FB52FE" w:rsidRPr="001A65E1" w:rsidRDefault="00C92BC6" w:rsidP="00B43FB7">
    <w:pPr>
      <w:pStyle w:val="EPFooter2"/>
    </w:pPr>
    <w:r w:rsidRPr="001A65E1">
      <w:t>RO</w:t>
    </w:r>
    <w:r w:rsidRPr="001A65E1">
      <w:tab/>
    </w:r>
    <w:r w:rsidRPr="001A65E1">
      <w:rPr>
        <w:b w:val="0"/>
        <w:i/>
        <w:color w:val="C0C0C0"/>
        <w:sz w:val="22"/>
      </w:rPr>
      <w:t>Unită în diversitate</w:t>
    </w:r>
    <w:r w:rsidRPr="001A65E1">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92BC6">
      <w:r>
        <w:separator/>
      </w:r>
    </w:p>
  </w:footnote>
  <w:footnote w:type="continuationSeparator" w:id="0">
    <w:p w:rsidR="00000000" w:rsidRDefault="00C92B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E3C" w:rsidRDefault="008D2E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E3C" w:rsidRDefault="008D2E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E3C" w:rsidRDefault="008D2E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LIBE"/>
    <w:docVar w:name="CopyToNetwork" w:val="-1"/>
    <w:docVar w:name="CVar" w:val="1"/>
    <w:docVar w:name="DOCMNU" w:val=" 1"/>
    <w:docVar w:name="EPSTATMNU" w:val=" 5"/>
    <w:docVar w:name="iNoAmend" w:val="1"/>
    <w:docVar w:name="INSTITUTIONSMNU" w:val=" 2"/>
    <w:docVar w:name="JURI1MNU" w:val=" 2"/>
    <w:docVar w:name="JURI2MNU" w:val=" 2"/>
    <w:docVar w:name="LastEditedSection" w:val=" 1"/>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338875 HideTWBExt;}{\*\cs18 \additive \v\f1\fs20\cf15 _x000d__x000a_\spriority0 \styrsid11338875 HideTWBInt;}{\s19\ql \li0\ri0\sa120\nowidctlpar\wrapdefault\aspalpha\aspnum\faauto\adjustright\rin0\lin0\itap0 \rtlch\fcs1 \af0\afs20\alang1025 \ltrch\fcs0 \fs24\lang2057\langfe2057\cgrid\langnp2057\langfenp2057 _x000d__x000a_\sbasedon0 \snext19 \spriority0 \styrsid11338875 Normal6a;}{\s20\ql \li0\ri0\nowidctlpar\wrapdefault\aspalpha\aspnum\faauto\adjustright\rin0\lin0\itap0 \rtlch\fcs1 \af0\afs20\alang1025 \ltrch\fcs0 \b\fs24\lang2057\langfe2057\cgrid\langnp2057\langfenp2057 _x000d__x000a_\sbasedon0 \snext20 \spriority0 \styrsid11338875 NormalBold;}{\s21\ql \li0\ri0\sa240\nowidctlpar\wrapdefault\aspalpha\aspnum\faauto\adjustright\rin0\lin0\itap0 \rtlch\fcs1 \af0\afs20\alang1025 \ltrch\fcs0 _x000d__x000a_\i\fs24\lang2057\langfe2057\cgrid\langnp2057\langfenp2057 \sbasedon0 \snext21 \spriority0 \styrsid11338875 AmJustText;}{\s22\qc \li0\ri0\sb240\sa240\nowidctlpar\wrapdefault\aspalpha\aspnum\faauto\adjustright\rin0\lin0\itap0 \rtlch\fcs1 _x000d__x000a_\af0\afs20\alang1025 \ltrch\fcs0 \i\fs24\lang2057\langfe2057\cgrid\langnp2057\langfenp2057 \sbasedon0 \snext22 \spriority0 \styrsid11338875 AmCrossRef;}{_x000d__x000a_\s23\qc \li0\ri0\sb240\sa240\keepn\nowidctlpar\wrapdefault\aspalpha\aspnum\faauto\adjustright\rin0\lin0\itap0 \rtlch\fcs1 \af0\afs20\alang1025 \ltrch\fcs0 \i\fs24\lang2057\langfe2057\cgrid\langnp2057\langfenp2057 _x000d__x000a_\sbasedon0 \snext21 \spriority0 \styrsid11338875 AmJustTitle;}{\s24\qr \li0\ri0\sb240\sa240\nowidctlpar\wrapdefault\aspalpha\aspnum\faauto\adjustright\rin0\lin0\itap0 \rtlch\fcs1 \af0\afs20\alang1025 \ltrch\fcs0 _x000d__x000a_\fs24\lang2057\langfe2057\cgrid\langnp2057\langfenp2057 \sbasedon0 \snext24 \spriority0 \styrsid11338875 AmOrLang;}{\s25\qc \li0\ri0\sa240\nowidctlpar\wrapdefault\aspalpha\aspnum\faauto\adjustright\rin0\lin0\itap0 \rtlch\fcs1 \af0\afs20\alang1025 _x000d__x000a_\ltrch\fcs0 \i\fs24\lang2057\langfe2057\cgrid\langnp2057\langfenp2057 \sbasedon0 \snext25 \spriority0 \styrsid113388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338875 AmNumberTabs;}{\s27\ql \li0\ri0\sb240\nowidctlpar\wrapdefault\aspalpha\aspnum\faauto\adjustright\rin0\lin0\itap0 \rtlch\fcs1 _x000d__x000a_\af0\afs20\alang1025 \ltrch\fcs0 \b\fs24\lang2057\langfe2057\cgrid\langnp2057\langfenp2057 \sbasedon0 \snext27 \spriority0 \styrsid11338875 NormalBold12b;}}{\*\rsidtbl \rsid24658\rsid223860\rsid735077\rsid1718133\rsid2892074\rsid3565327\rsid4666813_x000d__x000a_\rsid5312860\rsid6641733\rsid7823322\rsid9636012\rsid10377208\rsid11215221\rsid11338875\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1\mo11\dy15\hr10\min17}{\revtim\yr2021\mo11\dy15\hr10\min17}{\version1}{\edmins0}{\nofpages1}_x000d__x000a_{\nofwords104}{\nofchars596}{\nofcharsws69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33887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312860 \chftnsep _x000d__x000a_\par }}{\*\ftnsepc \ltrpar \pard\plain \ltrpar\ql \li0\ri0\widctlpar\wrapdefault\aspalpha\aspnum\faauto\adjustright\rin0\lin0\itap0 \rtlch\fcs1 \af0\afs20\alang1025 \ltrch\fcs0 \fs24\lang2057\langfe2057\cgrid\langnp2057\langfenp2057 {\rtlch\fcs1 \af0 _x000d__x000a_\ltrch\fcs0 \insrsid5312860 \chftnsepc _x000d__x000a_\par }}{\*\aftnsep \ltrpar \pard\plain \ltrpar\ql \li0\ri0\widctlpar\wrapdefault\aspalpha\aspnum\faauto\adjustright\rin0\lin0\itap0 \rtlch\fcs1 \af0\afs20\alang1025 \ltrch\fcs0 \fs24\lang2057\langfe2057\cgrid\langnp2057\langfenp2057 {\rtlch\fcs1 \af0 _x000d__x000a_\ltrch\fcs0 \insrsid5312860 \chftnsep _x000d__x000a_\par }}{\*\aftnsepc \ltrpar \pard\plain \ltrpar\ql \li0\ri0\widctlpar\wrapdefault\aspalpha\aspnum\faauto\adjustright\rin0\lin0\itap0 \rtlch\fcs1 \af0\afs20\alang1025 \ltrch\fcs0 \fs24\lang2057\langfe2057\cgrid\langnp2057\langfenp2057 {\rtlch\fcs1 \af0 _x000d__x000a_\ltrch\fcs0 \insrsid53128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338875 \rtlch\fcs1 _x000d__x000a_\af0\afs20\alang1025 \ltrch\fcs0 \b\fs24\lang2057\langfe2057\cgrid\langnp2057\langfenp2057 {\rtlch\fcs1 \af0 \ltrch\fcs0 \cs17\b0\v\fs20\cf9\loch\af1\hich\af1\dbch\af31501\insrsid11338875\charrsid4804144 {\*\bkmkstart restart}_x000d__x000a_\hich\af1\dbch\af31501\loch\f1 &lt;Amend&gt;}{\rtlch\fcs1 \af0 \ltrch\fcs0 \insrsid11338875\charrsid4804144 Amendment\tab \tab }{\rtlch\fcs1 \af0 \ltrch\fcs0 \cs17\b0\v\fs20\cf9\loch\af1\hich\af1\dbch\af31501\insrsid11338875\charrsid4804144 _x000d__x000a_\hich\af1\dbch\af31501\loch\f1 &lt;NumAm&gt;}{\rtlch\fcs1 \af0 \ltrch\fcs0 \insrsid11338875\charrsid4804144 #}{\rtlch\fcs1 \af1 \ltrch\fcs0 \cs18\v\f1\fs20\cf15\insrsid11338875\charrsid4804144 ENMIENDA@NRAM@}{\rtlch\fcs1 \af0 \ltrch\fcs0 _x000d__x000a_\insrsid11338875\charrsid4804144 #}{\rtlch\fcs1 \af0 \ltrch\fcs0 \cs17\b0\v\fs20\cf9\loch\af1\hich\af1\dbch\af31501\insrsid11338875\charrsid4804144 \hich\af1\dbch\af31501\loch\f1 &lt;/NumAm&gt;}{\rtlch\fcs1 \af0 \ltrch\fcs0 \insrsid11338875\charrsid4804144 _x000d__x000a__x000d__x000a_\par }\pard\plain \ltrpar\s27\ql \li0\ri0\sb240\keepn\nowidctlpar\wrapdefault\aspalpha\aspnum\faauto\adjustright\rin0\lin0\itap0\pararsid11338875 \rtlch\fcs1 \af0\afs20\alang1025 \ltrch\fcs0 \b\fs24\lang2057\langfe2057\cgrid\langnp2057\langfenp2057 {_x000d__x000a_\rtlch\fcs1 \af0 \ltrch\fcs0 \cs17\b0\v\fs20\cf9\loch\af1\hich\af1\dbch\af31501\insrsid11338875\charrsid4804144 \hich\af1\dbch\af31501\loch\f1 &lt;DocAmend&gt;}{\rtlch\fcs1 \af0 \ltrch\fcs0 \insrsid11338875\charrsid4804144 Proposal for a #}{\rtlch\fcs1 \af1 _x000d__x000a_\ltrch\fcs0 \cs18\v\f1\fs20\cf15\insrsid11338875\charrsid4804144 MNU[DOC1][DOC2][DOC3]@DOCMSG@DOCMNU}{\rtlch\fcs1 \af0 \ltrch\fcs0 \insrsid11338875\charrsid4804144 ##}{\rtlch\fcs1 \af1 \ltrch\fcs0 \cs18\v\f1\fs20\cf15\insrsid11338875\charrsid4804144 _x000d__x000a_MNU[AMACTYES][NOTAPP]@CHOICE@AMACTMNU}{\rtlch\fcs1 \af0 \ltrch\fcs0 \insrsid11338875\charrsid4804144 #}{\rtlch\fcs1 \af0 \ltrch\fcs0 \cs17\b0\v\fs20\cf9\loch\af1\hich\af1\dbch\af31501\insrsid11338875\charrsid4804144 \hich\af1\dbch\af31501\loch\f1 _x000d__x000a_&lt;/DocAmend&gt;}{\rtlch\fcs1 \af0 \ltrch\fcs0 \insrsid11338875\charrsid4804144 _x000d__x000a_\par }\pard\plain \ltrpar\s20\ql \li0\ri0\keepn\nowidctlpar\wrapdefault\aspalpha\aspnum\faauto\adjustright\rin0\lin0\itap0\pararsid11338875 \rtlch\fcs1 \af0\afs20\alang1025 \ltrch\fcs0 \b\fs24\lang2057\langfe2057\cgrid\langnp2057\langfenp2057 {\rtlch\fcs1 _x000d__x000a_\af0 \ltrch\fcs0 \cs17\b0\v\fs20\cf9\loch\af1\hich\af1\dbch\af31501\insrsid11338875\charrsid4804144 \hich\af1\dbch\af31501\loch\f1 &lt;Article&gt;}{\rtlch\fcs1 \af0 \ltrch\fcs0 \insrsid11338875\charrsid4804144 #}{\rtlch\fcs1 \af1 \ltrch\fcs0 _x000d__x000a_\cs18\v\f1\fs20\cf15\insrsid11338875\charrsid4804144 MNU[AMACTPARTYES][AMACTPARTNO]@CHOICE@AMACTMNU}{\rtlch\fcs1 \af0 \ltrch\fcs0 \insrsid11338875\charrsid4804144 #}{\rtlch\fcs1 \af0 \ltrch\fcs0 _x000d__x000a_\cs17\b0\v\fs20\cf9\loch\af1\hich\af1\dbch\af31501\insrsid11338875\charrsid4804144 \hich\af1\dbch\af31501\loch\f1 &lt;/Article&gt;}{\rtlch\fcs1 \af0 \ltrch\fcs0 \insrsid11338875\charrsid4804144 _x000d__x000a_\par }\pard\plain \ltrpar\ql \li0\ri0\keepn\widctlpar\wrapdefault\aspalpha\aspnum\faauto\adjustright\rin0\lin0\itap0\pararsid11338875 \rtlch\fcs1 \af0\afs20\alang1025 \ltrch\fcs0 \fs24\lang2057\langfe2057\cgrid\langnp2057\langfenp2057 {\rtlch\fcs1 \af0 _x000d__x000a_\ltrch\fcs0 \cs17\v\fs20\cf9\loch\af1\hich\af1\dbch\af31501\insrsid11338875\charrsid4804144 \hich\af1\dbch\af31501\loch\f1 &lt;DocAmend2&gt;&lt;OptDel&gt;}{\rtlch\fcs1 \af0 \ltrch\fcs0 \insrsid11338875\charrsid4804144 #}{\rtlch\fcs1 \af1 \ltrch\fcs0 _x000d__x000a_\cs18\v\f1\fs20\cf15\insrsid11338875\charrsid4804144 MNU[OPTNRACTYES][NOTAPP]@CHOICE@AMACTMNU}{\rtlch\fcs1 \af0 \ltrch\fcs0 \insrsid11338875\charrsid4804144 #}{\rtlch\fcs1 \af0 \ltrch\fcs0 _x000d__x000a_\cs17\v\fs20\cf9\loch\af1\hich\af1\dbch\af31501\insrsid11338875\charrsid4804144 \hich\af1\dbch\af31501\loch\f1 &lt;/OptDel&gt;&lt;/DocAmend2&gt;}{\rtlch\fcs1 \af0 \ltrch\fcs0 \insrsid11338875\charrsid4804144 _x000d__x000a_\par }\pard \ltrpar\ql \li0\ri0\widctlpar\wrapdefault\aspalpha\aspnum\faauto\adjustright\rin0\lin0\itap0\pararsid11338875 {\rtlch\fcs1 \af0 \ltrch\fcs0 \cs17\v\fs20\cf9\loch\af1\hich\af1\dbch\af31501\insrsid11338875\charrsid4804144 _x000d__x000a_\hich\af1\dbch\af31501\loch\f1 &lt;Article2&gt;&lt;OptDel&gt;}{\rtlch\fcs1 \af0 \ltrch\fcs0 \insrsid11338875\charrsid4804144 #}{\rtlch\fcs1 \af1 \ltrch\fcs0 \cs18\v\f1\fs20\cf15\insrsid11338875\charrsid4804144 MNU[OPTACTPARTYES][NOTAPP]@CHOICE@AMACTMNU}{\rtlch\fcs1 _x000d__x000a_\af0 \ltrch\fcs0 \insrsid11338875\charrsid4804144 #}{\rtlch\fcs1 \af0 \ltrch\fcs0 \cs17\v\fs20\cf9\loch\af1\hich\af1\dbch\af31501\insrsid11338875\charrsid4804144 \hich\af1\dbch\af31501\loch\f1 &lt;/OptDel&gt;&lt;/Article2&gt;}{\rtlch\fcs1 \af0 \ltrch\fcs0 _x000d__x000a_\insrsid11338875\charrsid4804144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11338875\charrsid4804144 \cell }\pard\plain \ltrpar\ql \li0\ri0\widctlpar\intbl\wrapdefault\aspalpha\aspnum\faauto\adjustright\rin0\lin0 \rtlch\fcs1 _x000d__x000a_\af0\afs20\alang1025 \ltrch\fcs0 \fs24\lang2057\langfe2057\cgrid\langnp2057\langfenp2057 {\rtlch\fcs1 \af0 \ltrch\fcs0 \insrsid11338875\charrsid4804144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11338875\charrsid4804144 #}{\rtlch\fcs1 \af1 \ltrch\fcs0 \cs18\v\f1\fs20\cf15\insrsid11338875\charrsid4804144 MNU[OPTLEFTAMACT][LEFTPROP]@CHOICE@AMACTMNU}{\rtlch\fcs1 \af0 \ltrch\fcs0 \insrsid11338875\charrsid4804144 #\cell Amendment\cell _x000d__x000a_}\pard\plain \ltrpar\ql \li0\ri0\widctlpar\intbl\wrapdefault\aspalpha\aspnum\faauto\adjustright\rin0\lin0 \rtlch\fcs1 \af0\afs20\alang1025 \ltrch\fcs0 \fs24\lang2057\langfe2057\cgrid\langnp2057\langfenp2057 {\rtlch\fcs1 \af0 \ltrch\fcs0 _x000d__x000a_\insrsid11338875\charrsid4804144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11338875\charrsid4804144 ##\cell ##}{\rtlch\fcs1 \af0\afs24 \ltrch\fcs0 \insrsid11338875\charrsid4804144 \cell }\pard\plain \ltrpar\ql \li0\ri0\widctlpar\intbl\wrapdefault\aspalpha\aspnum\faauto\adjustright\rin0\lin0 _x000d__x000a_\rtlch\fcs1 \af0\afs20\alang1025 \ltrch\fcs0 \fs24\lang2057\langfe2057\cgrid\langnp2057\langfenp2057 {\rtlch\fcs1 \af0 \ltrch\fcs0 \insrsid11338875\charrsid4804144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1338875 \rtlch\fcs1 \af0\afs20\alang1025 \ltrch\fcs0 \fs24\lang2057\langfe2057\cgrid\langnp2057\langfenp2057 {\rtlch\fcs1 \af0 \ltrch\fcs0 _x000d__x000a_\insrsid11338875\charrsid4804144 Or. }{\rtlch\fcs1 \af0 \ltrch\fcs0 \cs17\v\fs20\cf9\loch\af1\hich\af1\dbch\af31501\insrsid11338875\charrsid4804144 \hich\af1\dbch\af31501\loch\f1 &lt;Original&gt;}{\rtlch\fcs1 \af0 \ltrch\fcs0 \insrsid11338875\charrsid4804144 #}_x000d__x000a_{\rtlch\fcs1 \af1 \ltrch\fcs0 \cs18\v\f1\fs20\cf15\insrsid11338875\charrsid4804144 MNU[ORLANGONE][ORLANGMORE]@CHOICE@ORLANGMNU}{\rtlch\fcs1 \af0 \ltrch\fcs0 \insrsid11338875\charrsid4804144 #}{\rtlch\fcs1 \af0 \ltrch\fcs0 _x000d__x000a_\cs17\v\fs20\cf9\loch\af1\hich\af1\dbch\af31501\insrsid11338875\charrsid4804144 \hich\af1\dbch\af31501\loch\f1 &lt;/Original&gt;}{\rtlch\fcs1 \af0 \ltrch\fcs0 \insrsid11338875\charrsid4804144 _x000d__x000a_\par }\pard\plain \ltrpar\s22\qc \li0\ri0\sb240\sa240\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OptDel&gt;}{\rtlch\fcs1 \af0 \ltrch\fcs0 \insrsid11338875\charrsid4804144 #}{\rtlch\fcs1 \af1 \ltrch\fcs0 _x000d__x000a_\cs18\v\f1\fs20\cf15\insrsid11338875\charrsid4804144 MNU[CROSSREFNO][CROSSREFYES]@CHOICE@}{\rtlch\fcs1 \af0 \ltrch\fcs0 \insrsid11338875\charrsid4804144 #}{\rtlch\fcs1 \af0 \ltrch\fcs0 _x000d__x000a_\cs17\i0\v\fs20\cf9\loch\af1\hich\af1\dbch\af31501\insrsid11338875\charrsid4804144 \hich\af1\dbch\af31501\loch\f1 &lt;/OptDel&gt;}{\rtlch\fcs1 \af0 \ltrch\fcs0 \insrsid11338875\charrsid4804144 _x000d__x000a_\par }\pard\plain \ltrpar\s23\qc \li0\ri0\sb240\sa240\keepn\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TitreJust&gt;}{\rtlch\fcs1 \af0 \ltrch\fcs0 \insrsid11338875\charrsid4804144 Justification}{\rtlch\fcs1 \af0 _x000d__x000a_\ltrch\fcs0 \cs17\i0\v\fs20\cf9\loch\af1\hich\af1\dbch\af31501\insrsid11338875\charrsid4804144 \hich\af1\dbch\af31501\loch\f1 &lt;/TitreJust&gt;}{\rtlch\fcs1 \af0 \ltrch\fcs0 \insrsid11338875\charrsid4804144 _x000d__x000a_\par }\pard\plain \ltrpar\s21\ql \li0\ri0\sa240\nowidctlpar\wrapdefault\aspalpha\aspnum\faauto\adjustright\rin0\lin0\itap0\pararsid11338875 \rtlch\fcs1 \af0\afs20\alang1025 \ltrch\fcs0 \i\fs24\lang2057\langfe2057\cgrid\langnp2057\langfenp2057 {\rtlch\fcs1 _x000d__x000a_\af0 \ltrch\fcs0 \cs17\i0\v\fs20\cf9\loch\af1\hich\af1\dbch\af31501\insrsid11338875\charrsid4804144 \hich\af1\dbch\af31501\loch\f1 &lt;OptDelPrev&gt;}{\rtlch\fcs1 \af0 \ltrch\fcs0 \insrsid11338875\charrsid4804144 #}{\rtlch\fcs1 \af1 \ltrch\fcs0 _x000d__x000a_\cs18\v\f1\fs20\cf15\insrsid11338875\charrsid4804144 MNU[TEXTJUSTYES][TEXTJUSTNO]@CHOICE@}{\rtlch\fcs1 \af0 \ltrch\fcs0 \insrsid11338875\charrsid4804144 #}{\rtlch\fcs1 \af0 \ltrch\fcs0 _x000d__x000a_\cs17\i0\v\fs20\cf9\loch\af1\hich\af1\dbch\af31501\insrsid11338875\charrsid4804144 \hich\af1\dbch\af31501\loch\f1 &lt;/OptDelPrev&gt;}{\rtlch\fcs1 \af0 \ltrch\fcs0 \insrsid11338875\charrsid4804144 _x000d__x000a_\par }\pard\plain \ltrpar\ql \li0\ri0\widctlpar\wrapdefault\aspalpha\aspnum\faauto\adjustright\rin0\lin0\itap0\pararsid11338875 \rtlch\fcs1 \af0\afs20\alang1025 \ltrch\fcs0 \fs24\lang2057\langfe2057\cgrid\langnp2057\langfenp2057 {\rtlch\fcs1 \af0 \ltrch\fcs0 _x000d__x000a_\cs17\v\fs20\cf9\loch\af1\hich\af1\dbch\af31501\insrsid11338875\charrsid480414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8_x000d__x000a_259501da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3"/>
    <w:docVar w:name="TXTAUTHOR" w:val="Birgit Sippel"/>
    <w:docVar w:name="TXTLANGUE" w:val="RO"/>
    <w:docVar w:name="TXTLANGUEMIN" w:val="ro"/>
    <w:docVar w:name="TXTNRC" w:val="0088/2021"/>
    <w:docVar w:name="TXTNRCOD" w:val="2021/0046"/>
    <w:docVar w:name="TXTNRCOM" w:val="(2021)0096"/>
    <w:docVar w:name="TXTNRFIRSTAM" w:val="1"/>
    <w:docVar w:name="TXTNRLASTAM" w:val="1"/>
    <w:docVar w:name="TXTNRPE" w:val="700.426"/>
    <w:docVar w:name="TXTPEorAP" w:val="PE"/>
    <w:docVar w:name="TXTROUTE" w:val="PR\1243214RO.docx"/>
    <w:docVar w:name="TXTTITLE" w:val="amending Regulation (EU) 2019/816 establishing a centralised system for the identification of Member States holding conviction information on third-country nationals and stateless persons (ECRIS-TCN) to supplement the European Criminal Records Information System and Regulation (EU) 2019/818 on establishing a framework for interoperability between EU information systems in the field of police and judicial cooperation, asylum and migration and amending Regulations (EU) 2018/1726, (EU) 2018/1862 and (EU) 2019/816 for the purpose of introducing a screening of third country nationals at the external borders"/>
    <w:docVar w:name="TXTVERSION" w:val="01-00"/>
  </w:docVars>
  <w:rsids>
    <w:rsidRoot w:val="00537246"/>
    <w:rsid w:val="00011AAB"/>
    <w:rsid w:val="00012351"/>
    <w:rsid w:val="000139E5"/>
    <w:rsid w:val="000172F6"/>
    <w:rsid w:val="000674AA"/>
    <w:rsid w:val="00084DD2"/>
    <w:rsid w:val="00084E89"/>
    <w:rsid w:val="000B7489"/>
    <w:rsid w:val="000F1096"/>
    <w:rsid w:val="00102201"/>
    <w:rsid w:val="00120948"/>
    <w:rsid w:val="00123DD5"/>
    <w:rsid w:val="001277AE"/>
    <w:rsid w:val="00127957"/>
    <w:rsid w:val="00142215"/>
    <w:rsid w:val="001767E2"/>
    <w:rsid w:val="00187008"/>
    <w:rsid w:val="001A65E1"/>
    <w:rsid w:val="001B2CB1"/>
    <w:rsid w:val="001B3829"/>
    <w:rsid w:val="001B51EB"/>
    <w:rsid w:val="001C5592"/>
    <w:rsid w:val="001C5B44"/>
    <w:rsid w:val="001C6FFC"/>
    <w:rsid w:val="001F7C7C"/>
    <w:rsid w:val="00212B84"/>
    <w:rsid w:val="00226FC0"/>
    <w:rsid w:val="002346B0"/>
    <w:rsid w:val="00234FAA"/>
    <w:rsid w:val="002667C3"/>
    <w:rsid w:val="002669B6"/>
    <w:rsid w:val="00290BED"/>
    <w:rsid w:val="002D13EE"/>
    <w:rsid w:val="002E33EE"/>
    <w:rsid w:val="002F40BB"/>
    <w:rsid w:val="002F4B02"/>
    <w:rsid w:val="003165A2"/>
    <w:rsid w:val="00323EF8"/>
    <w:rsid w:val="003316DD"/>
    <w:rsid w:val="00356F77"/>
    <w:rsid w:val="00366A46"/>
    <w:rsid w:val="00370AC3"/>
    <w:rsid w:val="003824EE"/>
    <w:rsid w:val="0038513D"/>
    <w:rsid w:val="003B4689"/>
    <w:rsid w:val="003C2068"/>
    <w:rsid w:val="003C37CF"/>
    <w:rsid w:val="003D6312"/>
    <w:rsid w:val="003E2A8F"/>
    <w:rsid w:val="003F4404"/>
    <w:rsid w:val="004100B1"/>
    <w:rsid w:val="00426E47"/>
    <w:rsid w:val="00455743"/>
    <w:rsid w:val="00461601"/>
    <w:rsid w:val="004C0915"/>
    <w:rsid w:val="004D065C"/>
    <w:rsid w:val="004D3F5B"/>
    <w:rsid w:val="004D424E"/>
    <w:rsid w:val="004E42C8"/>
    <w:rsid w:val="004E733D"/>
    <w:rsid w:val="004F3FA5"/>
    <w:rsid w:val="0051271F"/>
    <w:rsid w:val="00521F46"/>
    <w:rsid w:val="00537246"/>
    <w:rsid w:val="00546956"/>
    <w:rsid w:val="00551111"/>
    <w:rsid w:val="00551123"/>
    <w:rsid w:val="00570A6A"/>
    <w:rsid w:val="00586E50"/>
    <w:rsid w:val="00594B10"/>
    <w:rsid w:val="0059583D"/>
    <w:rsid w:val="005A42D9"/>
    <w:rsid w:val="005C2BEF"/>
    <w:rsid w:val="005D1A99"/>
    <w:rsid w:val="005D7609"/>
    <w:rsid w:val="005D7EE8"/>
    <w:rsid w:val="005F1BC6"/>
    <w:rsid w:val="00642325"/>
    <w:rsid w:val="006870D3"/>
    <w:rsid w:val="006978EA"/>
    <w:rsid w:val="006A2F5D"/>
    <w:rsid w:val="006A7251"/>
    <w:rsid w:val="006F7907"/>
    <w:rsid w:val="00724C16"/>
    <w:rsid w:val="00743189"/>
    <w:rsid w:val="00743D33"/>
    <w:rsid w:val="00760580"/>
    <w:rsid w:val="00775070"/>
    <w:rsid w:val="007932B3"/>
    <w:rsid w:val="00793EA9"/>
    <w:rsid w:val="007D6F68"/>
    <w:rsid w:val="00816AF2"/>
    <w:rsid w:val="00823E6B"/>
    <w:rsid w:val="00826780"/>
    <w:rsid w:val="00837CCD"/>
    <w:rsid w:val="008579B2"/>
    <w:rsid w:val="008633CC"/>
    <w:rsid w:val="00865190"/>
    <w:rsid w:val="008719B9"/>
    <w:rsid w:val="00874CDF"/>
    <w:rsid w:val="00894923"/>
    <w:rsid w:val="00894ECE"/>
    <w:rsid w:val="00896BB4"/>
    <w:rsid w:val="008A7FB8"/>
    <w:rsid w:val="008D2E3C"/>
    <w:rsid w:val="008D5D4B"/>
    <w:rsid w:val="008E4A53"/>
    <w:rsid w:val="009022B8"/>
    <w:rsid w:val="00914537"/>
    <w:rsid w:val="00917CC4"/>
    <w:rsid w:val="0095424A"/>
    <w:rsid w:val="009763DA"/>
    <w:rsid w:val="009912F1"/>
    <w:rsid w:val="009975B3"/>
    <w:rsid w:val="009A216D"/>
    <w:rsid w:val="009A21F1"/>
    <w:rsid w:val="009B4B93"/>
    <w:rsid w:val="009D74FD"/>
    <w:rsid w:val="009E6B10"/>
    <w:rsid w:val="009F24BE"/>
    <w:rsid w:val="009F6C2F"/>
    <w:rsid w:val="009F767A"/>
    <w:rsid w:val="00A22533"/>
    <w:rsid w:val="00A26F46"/>
    <w:rsid w:val="00A34FD3"/>
    <w:rsid w:val="00A36929"/>
    <w:rsid w:val="00A50548"/>
    <w:rsid w:val="00A60EE7"/>
    <w:rsid w:val="00A81858"/>
    <w:rsid w:val="00A90D21"/>
    <w:rsid w:val="00A910C9"/>
    <w:rsid w:val="00AA35B0"/>
    <w:rsid w:val="00AD18C8"/>
    <w:rsid w:val="00AD7FA6"/>
    <w:rsid w:val="00AE15F1"/>
    <w:rsid w:val="00AE4643"/>
    <w:rsid w:val="00AF0416"/>
    <w:rsid w:val="00B00CE9"/>
    <w:rsid w:val="00B10CB4"/>
    <w:rsid w:val="00B13D6F"/>
    <w:rsid w:val="00B23B72"/>
    <w:rsid w:val="00B35A32"/>
    <w:rsid w:val="00B35BCC"/>
    <w:rsid w:val="00B42702"/>
    <w:rsid w:val="00B43FB7"/>
    <w:rsid w:val="00B57B8B"/>
    <w:rsid w:val="00B714D1"/>
    <w:rsid w:val="00B71EC6"/>
    <w:rsid w:val="00B85407"/>
    <w:rsid w:val="00B95702"/>
    <w:rsid w:val="00BC514D"/>
    <w:rsid w:val="00BC6489"/>
    <w:rsid w:val="00BD480C"/>
    <w:rsid w:val="00C1318F"/>
    <w:rsid w:val="00C1736C"/>
    <w:rsid w:val="00C20954"/>
    <w:rsid w:val="00C23324"/>
    <w:rsid w:val="00C237E3"/>
    <w:rsid w:val="00C42A41"/>
    <w:rsid w:val="00C47E74"/>
    <w:rsid w:val="00C57A72"/>
    <w:rsid w:val="00C73602"/>
    <w:rsid w:val="00C85D0F"/>
    <w:rsid w:val="00C92BC6"/>
    <w:rsid w:val="00CC44DE"/>
    <w:rsid w:val="00CE0671"/>
    <w:rsid w:val="00CF60C8"/>
    <w:rsid w:val="00D30DE2"/>
    <w:rsid w:val="00D32924"/>
    <w:rsid w:val="00D503A3"/>
    <w:rsid w:val="00D77D00"/>
    <w:rsid w:val="00DA3925"/>
    <w:rsid w:val="00DA6ED0"/>
    <w:rsid w:val="00DB60B1"/>
    <w:rsid w:val="00DC5011"/>
    <w:rsid w:val="00DE34BE"/>
    <w:rsid w:val="00E103FB"/>
    <w:rsid w:val="00E171B6"/>
    <w:rsid w:val="00E34C88"/>
    <w:rsid w:val="00E72695"/>
    <w:rsid w:val="00EB1753"/>
    <w:rsid w:val="00EB6CFF"/>
    <w:rsid w:val="00EE3996"/>
    <w:rsid w:val="00EF5DA4"/>
    <w:rsid w:val="00F07062"/>
    <w:rsid w:val="00F23CFC"/>
    <w:rsid w:val="00F433E2"/>
    <w:rsid w:val="00F8699F"/>
    <w:rsid w:val="00F87F1A"/>
    <w:rsid w:val="00F904AE"/>
    <w:rsid w:val="00F934F8"/>
    <w:rsid w:val="00FB09ED"/>
    <w:rsid w:val="00FB52FE"/>
    <w:rsid w:val="00FC0A34"/>
    <w:rsid w:val="00FD1DEF"/>
    <w:rsid w:val="00FE08E4"/>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F144EE"/>
  <w15:chartTrackingRefBased/>
  <w15:docId w15:val="{756417E2-1D7C-4B10-AFEE-BAF2D4404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DE34BE"/>
    <w:pPr>
      <w:tabs>
        <w:tab w:val="right" w:pos="454"/>
        <w:tab w:val="left" w:pos="737"/>
      </w:tabs>
      <w:ind w:left="737" w:hanging="737"/>
    </w:pPr>
    <w:rPr>
      <w:snapToGrid w:val="0"/>
      <w:sz w:val="18"/>
      <w:lang w:eastAsia="en-US"/>
    </w:rPr>
  </w:style>
  <w:style w:type="paragraph" w:customStyle="1" w:styleId="Lgendetitre">
    <w:name w:val="Légende titre"/>
    <w:basedOn w:val="Normal"/>
    <w:rsid w:val="00DE34BE"/>
    <w:pPr>
      <w:spacing w:before="240" w:after="240"/>
    </w:pPr>
    <w:rPr>
      <w:b/>
      <w:i/>
      <w:snapToGrid w:val="0"/>
      <w:lang w:eastAsia="en-US"/>
    </w:rPr>
  </w:style>
  <w:style w:type="paragraph" w:customStyle="1" w:styleId="Lgendestandard">
    <w:name w:val="Légende standard"/>
    <w:basedOn w:val="Normal"/>
    <w:rsid w:val="00DE34BE"/>
    <w:rPr>
      <w:sz w:val="18"/>
    </w:rPr>
  </w:style>
  <w:style w:type="paragraph" w:customStyle="1" w:styleId="Normal6">
    <w:name w:val="Normal6"/>
    <w:basedOn w:val="Normal"/>
    <w:link w:val="Normal6Char"/>
    <w:rsid w:val="00B35A32"/>
    <w:pPr>
      <w:spacing w:after="120"/>
    </w:pPr>
  </w:style>
  <w:style w:type="paragraph" w:customStyle="1" w:styleId="Normal12Italic">
    <w:name w:val="Normal12Italic"/>
    <w:basedOn w:val="Normal"/>
    <w:rsid w:val="00B35A32"/>
    <w:pPr>
      <w:spacing w:after="240"/>
    </w:pPr>
    <w:rPr>
      <w:i/>
      <w:noProof/>
    </w:rPr>
  </w:style>
  <w:style w:type="character" w:customStyle="1" w:styleId="NormalBoldChar">
    <w:name w:val="NormalBold Char"/>
    <w:link w:val="NormalBold"/>
    <w:rsid w:val="00B35A32"/>
    <w:rPr>
      <w:b/>
      <w:sz w:val="24"/>
    </w:rPr>
  </w:style>
  <w:style w:type="paragraph" w:customStyle="1" w:styleId="JustificationTitle">
    <w:name w:val="JustificationTitle"/>
    <w:basedOn w:val="Normal"/>
    <w:next w:val="Normal"/>
    <w:rsid w:val="00B35A32"/>
    <w:pPr>
      <w:keepNext/>
      <w:spacing w:before="240" w:after="240"/>
      <w:jc w:val="center"/>
    </w:pPr>
    <w:rPr>
      <w:i/>
      <w:noProof/>
    </w:rPr>
  </w:style>
  <w:style w:type="character" w:customStyle="1" w:styleId="Normal6Char">
    <w:name w:val="Normal6 Char"/>
    <w:link w:val="Normal6"/>
    <w:rsid w:val="00B35A32"/>
    <w:rPr>
      <w:sz w:val="24"/>
      <w:lang w:val="ro-RO"/>
    </w:rPr>
  </w:style>
  <w:style w:type="paragraph" w:customStyle="1" w:styleId="ColumnHeading">
    <w:name w:val="ColumnHeading"/>
    <w:basedOn w:val="Normal"/>
    <w:rsid w:val="00B35A32"/>
    <w:pPr>
      <w:spacing w:after="240"/>
      <w:jc w:val="center"/>
    </w:pPr>
    <w:rPr>
      <w:i/>
    </w:rPr>
  </w:style>
  <w:style w:type="paragraph" w:customStyle="1" w:styleId="AMNumberTabs0">
    <w:name w:val="AMNumberTabs"/>
    <w:basedOn w:val="Normal"/>
    <w:rsid w:val="00B35A3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35A32"/>
    <w:pPr>
      <w:jc w:val="right"/>
    </w:pPr>
  </w:style>
  <w:style w:type="paragraph" w:styleId="Footer">
    <w:name w:val="footer"/>
    <w:basedOn w:val="Normal"/>
    <w:link w:val="FooterChar"/>
    <w:semiHidden/>
    <w:rsid w:val="00B35A32"/>
    <w:pPr>
      <w:tabs>
        <w:tab w:val="center" w:pos="4513"/>
        <w:tab w:val="right" w:pos="9026"/>
      </w:tabs>
    </w:pPr>
  </w:style>
  <w:style w:type="character" w:customStyle="1" w:styleId="FooterChar">
    <w:name w:val="Footer Char"/>
    <w:basedOn w:val="DefaultParagraphFont"/>
    <w:link w:val="Footer"/>
    <w:semiHidden/>
    <w:rsid w:val="00B35A32"/>
    <w:rPr>
      <w:sz w:val="24"/>
    </w:rPr>
  </w:style>
  <w:style w:type="paragraph" w:styleId="NoSpacing">
    <w:name w:val="No Spacing"/>
    <w:basedOn w:val="Normal"/>
    <w:uiPriority w:val="1"/>
    <w:qFormat/>
    <w:rsid w:val="00B35A32"/>
    <w:pPr>
      <w:widowControl/>
      <w:jc w:val="both"/>
    </w:pPr>
    <w:rPr>
      <w:rFonts w:eastAsiaTheme="minorHAnsi"/>
      <w:szCs w:val="32"/>
      <w:lang w:eastAsia="en-US"/>
    </w:rPr>
  </w:style>
  <w:style w:type="character" w:styleId="CommentReference">
    <w:name w:val="annotation reference"/>
    <w:basedOn w:val="DefaultParagraphFont"/>
    <w:rsid w:val="00B714D1"/>
    <w:rPr>
      <w:sz w:val="16"/>
      <w:szCs w:val="16"/>
    </w:rPr>
  </w:style>
  <w:style w:type="paragraph" w:styleId="CommentText">
    <w:name w:val="annotation text"/>
    <w:basedOn w:val="Normal"/>
    <w:link w:val="CommentTextChar"/>
    <w:rsid w:val="00B714D1"/>
    <w:rPr>
      <w:sz w:val="20"/>
    </w:rPr>
  </w:style>
  <w:style w:type="character" w:customStyle="1" w:styleId="CommentTextChar">
    <w:name w:val="Comment Text Char"/>
    <w:basedOn w:val="DefaultParagraphFont"/>
    <w:link w:val="CommentText"/>
    <w:rsid w:val="00B714D1"/>
  </w:style>
  <w:style w:type="paragraph" w:styleId="CommentSubject">
    <w:name w:val="annotation subject"/>
    <w:basedOn w:val="CommentText"/>
    <w:next w:val="CommentText"/>
    <w:link w:val="CommentSubjectChar"/>
    <w:semiHidden/>
    <w:unhideWhenUsed/>
    <w:rsid w:val="00B714D1"/>
    <w:rPr>
      <w:b/>
      <w:bCs/>
    </w:rPr>
  </w:style>
  <w:style w:type="character" w:customStyle="1" w:styleId="CommentSubjectChar">
    <w:name w:val="Comment Subject Char"/>
    <w:basedOn w:val="CommentTextChar"/>
    <w:link w:val="CommentSubject"/>
    <w:semiHidden/>
    <w:rsid w:val="00B714D1"/>
    <w:rPr>
      <w:b/>
      <w:bCs/>
    </w:rPr>
  </w:style>
  <w:style w:type="paragraph" w:styleId="BalloonText">
    <w:name w:val="Balloon Text"/>
    <w:basedOn w:val="Normal"/>
    <w:link w:val="BalloonTextChar"/>
    <w:semiHidden/>
    <w:unhideWhenUsed/>
    <w:rsid w:val="00B714D1"/>
    <w:rPr>
      <w:rFonts w:ascii="Segoe UI" w:hAnsi="Segoe UI" w:cs="Segoe UI"/>
      <w:sz w:val="18"/>
      <w:szCs w:val="18"/>
    </w:rPr>
  </w:style>
  <w:style w:type="character" w:customStyle="1" w:styleId="BalloonTextChar">
    <w:name w:val="Balloon Text Char"/>
    <w:basedOn w:val="DefaultParagraphFont"/>
    <w:link w:val="BalloonText"/>
    <w:semiHidden/>
    <w:rsid w:val="00B714D1"/>
    <w:rPr>
      <w:rFonts w:ascii="Segoe UI" w:hAnsi="Segoe UI" w:cs="Segoe UI"/>
      <w:sz w:val="18"/>
      <w:szCs w:val="18"/>
    </w:rPr>
  </w:style>
  <w:style w:type="paragraph" w:styleId="FootnoteText">
    <w:name w:val="footnote text"/>
    <w:basedOn w:val="Normal"/>
    <w:link w:val="FootnoteTextChar"/>
    <w:uiPriority w:val="99"/>
    <w:unhideWhenUsed/>
    <w:rsid w:val="00B35BCC"/>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B35BCC"/>
    <w:rPr>
      <w:rFonts w:eastAsiaTheme="minorHAnsi"/>
      <w:lang w:eastAsia="en-US"/>
    </w:rPr>
  </w:style>
  <w:style w:type="character" w:styleId="FootnoteReference">
    <w:name w:val="footnote reference"/>
    <w:basedOn w:val="DefaultParagraphFont"/>
    <w:uiPriority w:val="99"/>
    <w:unhideWhenUsed/>
    <w:rsid w:val="00B35BCC"/>
    <w:rPr>
      <w:shd w:val="clear" w:color="auto" w:fill="auto"/>
      <w:vertAlign w:val="superscript"/>
    </w:rPr>
  </w:style>
  <w:style w:type="paragraph" w:styleId="Revision">
    <w:name w:val="Revision"/>
    <w:hidden/>
    <w:uiPriority w:val="99"/>
    <w:semiHidden/>
    <w:rsid w:val="003165A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3C9B7D-0AAB-4C24-8125-82E67D038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3139</Words>
  <Characters>19530</Characters>
  <Application>Microsoft Office Word</Application>
  <DocSecurity>0</DocSecurity>
  <Lines>673</Lines>
  <Paragraphs>197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MOISAN Corina</cp:lastModifiedBy>
  <cp:revision>2</cp:revision>
  <cp:lastPrinted>2004-11-04T09:41:00Z</cp:lastPrinted>
  <dcterms:created xsi:type="dcterms:W3CDTF">2021-11-29T13:31:00Z</dcterms:created>
  <dcterms:modified xsi:type="dcterms:W3CDTF">2021-11-29T13:31:00Z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1243214</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\\eiciBRUpr1\pdocep$\DocEP\TRANSFIL\EN\PR_COD_1amCom.EN(07/09/2020 18:06:27)</vt:lpwstr>
  </property>
  <property fmtid="{D5CDD505-2E9C-101B-9397-08002B2CF9AE}" pid="7" name="&lt;Type&gt;">
    <vt:lpwstr>PR</vt:lpwstr>
  </property>
  <property fmtid="{D5CDD505-2E9C-101B-9397-08002B2CF9AE}" pid="8" name="Created with">
    <vt:lpwstr>9.11.0 Build [20211103]</vt:lpwstr>
  </property>
  <property fmtid="{D5CDD505-2E9C-101B-9397-08002B2CF9AE}" pid="9" name="FooterPath">
    <vt:lpwstr>PR\1243214RO.docx</vt:lpwstr>
  </property>
  <property fmtid="{D5CDD505-2E9C-101B-9397-08002B2CF9AE}" pid="10" name="LastEdited with">
    <vt:lpwstr>9.11.0 Build [20211103]</vt:lpwstr>
  </property>
  <property fmtid="{D5CDD505-2E9C-101B-9397-08002B2CF9AE}" pid="11" name="PE number">
    <vt:lpwstr>700.426</vt:lpwstr>
  </property>
  <property fmtid="{D5CDD505-2E9C-101B-9397-08002B2CF9AE}" pid="12" name="SDLStudio">
    <vt:lpwstr/>
  </property>
  <property fmtid="{D5CDD505-2E9C-101B-9397-08002B2CF9AE}" pid="13" name="SendToEpades">
    <vt:lpwstr>OK - 2021/11/16 20:43</vt:lpwstr>
  </property>
  <property fmtid="{D5CDD505-2E9C-101B-9397-08002B2CF9AE}" pid="14" name="Bookout">
    <vt:lpwstr>OK - 2021/11/29 14:31</vt:lpwstr>
  </property>
</Properties>
</file>