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4C7801" w14:paraId="2CAB4410" w14:textId="77777777" w:rsidTr="00C85D0F">
        <w:trPr>
          <w:trHeight w:hRule="exact" w:val="1418"/>
        </w:trPr>
        <w:tc>
          <w:tcPr>
            <w:tcW w:w="6804" w:type="dxa"/>
            <w:shd w:val="clear" w:color="auto" w:fill="auto"/>
            <w:vAlign w:val="center"/>
          </w:tcPr>
          <w:p w14:paraId="4C8984EF" w14:textId="77777777" w:rsidR="00E0465F" w:rsidRPr="00583094" w:rsidRDefault="00023BC5" w:rsidP="00C85D0F">
            <w:pPr>
              <w:pStyle w:val="EPName"/>
            </w:pPr>
            <w:r w:rsidRPr="00583094">
              <w:t>European Parliament</w:t>
            </w:r>
          </w:p>
          <w:p w14:paraId="52BDA9D4" w14:textId="77777777" w:rsidR="00E0465F" w:rsidRPr="004C7801" w:rsidRDefault="0057485A" w:rsidP="0057485A">
            <w:pPr>
              <w:pStyle w:val="EPTerm"/>
            </w:pPr>
            <w:r w:rsidRPr="004C7801">
              <w:t>2019-2024</w:t>
            </w:r>
          </w:p>
        </w:tc>
        <w:tc>
          <w:tcPr>
            <w:tcW w:w="2268" w:type="dxa"/>
            <w:shd w:val="clear" w:color="auto" w:fill="auto"/>
          </w:tcPr>
          <w:p w14:paraId="5128FE29" w14:textId="77777777" w:rsidR="00E0465F" w:rsidRPr="00583094" w:rsidRDefault="00E0465F" w:rsidP="00C85D0F">
            <w:pPr>
              <w:pStyle w:val="EPLogo"/>
            </w:pPr>
            <w:r w:rsidRPr="00583094">
              <w:drawing>
                <wp:inline distT="0" distB="0" distL="0" distR="0" wp14:anchorId="52921D0C" wp14:editId="4A7129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5ED322" w14:textId="77777777" w:rsidR="00404059" w:rsidRPr="004C7801" w:rsidRDefault="00404059" w:rsidP="00404059">
      <w:pPr>
        <w:pStyle w:val="LineTop"/>
      </w:pPr>
    </w:p>
    <w:p w14:paraId="6DD69777" w14:textId="77777777" w:rsidR="00404059" w:rsidRPr="004C7801" w:rsidRDefault="00404059" w:rsidP="00404059">
      <w:pPr>
        <w:pStyle w:val="EPBody"/>
      </w:pPr>
      <w:r w:rsidRPr="004C7801">
        <w:rPr>
          <w:rStyle w:val="HideTWBExt"/>
          <w:noProof w:val="0"/>
        </w:rPr>
        <w:t>&lt;</w:t>
      </w:r>
      <w:r w:rsidRPr="004C7801">
        <w:rPr>
          <w:rStyle w:val="HideTWBExt"/>
          <w:i w:val="0"/>
          <w:noProof w:val="0"/>
        </w:rPr>
        <w:t>Commission</w:t>
      </w:r>
      <w:r w:rsidRPr="004C7801">
        <w:rPr>
          <w:rStyle w:val="HideTWBExt"/>
          <w:noProof w:val="0"/>
        </w:rPr>
        <w:t>&gt;</w:t>
      </w:r>
      <w:r w:rsidR="0057485A" w:rsidRPr="004C7801">
        <w:rPr>
          <w:rStyle w:val="HideTWBInt"/>
        </w:rPr>
        <w:t>{LIBE}</w:t>
      </w:r>
      <w:r w:rsidR="0057485A" w:rsidRPr="004C7801">
        <w:t>Committee on Civil Liberties, Justice and Home Affairs</w:t>
      </w:r>
      <w:r w:rsidRPr="004C7801">
        <w:rPr>
          <w:rStyle w:val="HideTWBExt"/>
          <w:noProof w:val="0"/>
        </w:rPr>
        <w:t>&lt;/</w:t>
      </w:r>
      <w:r w:rsidRPr="004C7801">
        <w:rPr>
          <w:rStyle w:val="HideTWBExt"/>
          <w:i w:val="0"/>
          <w:noProof w:val="0"/>
        </w:rPr>
        <w:t>Commission</w:t>
      </w:r>
      <w:r w:rsidRPr="004C7801">
        <w:rPr>
          <w:rStyle w:val="HideTWBExt"/>
          <w:noProof w:val="0"/>
        </w:rPr>
        <w:t>&gt;</w:t>
      </w:r>
    </w:p>
    <w:p w14:paraId="5C7DA172" w14:textId="77777777" w:rsidR="00404059" w:rsidRPr="004C7801" w:rsidRDefault="00404059" w:rsidP="00404059">
      <w:pPr>
        <w:pStyle w:val="LineBottom"/>
      </w:pPr>
    </w:p>
    <w:p w14:paraId="5AA77DEF" w14:textId="77777777" w:rsidR="00C70FF0" w:rsidRPr="004C7801" w:rsidRDefault="00C70FF0">
      <w:pPr>
        <w:pStyle w:val="CoverReference"/>
      </w:pPr>
      <w:r w:rsidRPr="004C7801">
        <w:rPr>
          <w:rStyle w:val="HideTWBExt"/>
          <w:b w:val="0"/>
          <w:noProof w:val="0"/>
        </w:rPr>
        <w:t>&lt;RefProc&gt;</w:t>
      </w:r>
      <w:r w:rsidR="0057485A" w:rsidRPr="004C7801">
        <w:t>2018/0902R</w:t>
      </w:r>
      <w:r w:rsidRPr="004C7801">
        <w:rPr>
          <w:rStyle w:val="HideTWBExt"/>
          <w:b w:val="0"/>
          <w:noProof w:val="0"/>
        </w:rPr>
        <w:t>&lt;/RefProc&gt;&lt;RefTypeProc&gt;</w:t>
      </w:r>
      <w:r w:rsidR="00023BC5" w:rsidRPr="004C7801">
        <w:t>(</w:t>
      </w:r>
      <w:r w:rsidR="0057485A" w:rsidRPr="004C7801">
        <w:t>NLE</w:t>
      </w:r>
      <w:r w:rsidR="00023BC5" w:rsidRPr="004C7801">
        <w:t>)</w:t>
      </w:r>
      <w:r w:rsidRPr="004C7801">
        <w:rPr>
          <w:rStyle w:val="HideTWBExt"/>
          <w:b w:val="0"/>
          <w:noProof w:val="0"/>
        </w:rPr>
        <w:t>&lt;/RefTypeProc&gt;</w:t>
      </w:r>
    </w:p>
    <w:p w14:paraId="66972CC3" w14:textId="77777777" w:rsidR="00C70FF0" w:rsidRPr="004C7801" w:rsidRDefault="00C70FF0">
      <w:pPr>
        <w:pStyle w:val="CoverDate"/>
      </w:pPr>
      <w:r w:rsidRPr="004C7801">
        <w:rPr>
          <w:rStyle w:val="HideTWBExt"/>
          <w:noProof w:val="0"/>
        </w:rPr>
        <w:t>&lt;Date&gt;</w:t>
      </w:r>
      <w:r w:rsidR="0057485A" w:rsidRPr="004C7801">
        <w:rPr>
          <w:rStyle w:val="HideTWBInt"/>
        </w:rPr>
        <w:t>{26/04/2022}</w:t>
      </w:r>
      <w:r w:rsidR="0057485A" w:rsidRPr="004C7801">
        <w:t>26.4.2022</w:t>
      </w:r>
      <w:r w:rsidRPr="004C7801">
        <w:rPr>
          <w:rStyle w:val="HideTWBExt"/>
          <w:noProof w:val="0"/>
        </w:rPr>
        <w:t>&lt;/Date&gt;</w:t>
      </w:r>
    </w:p>
    <w:p w14:paraId="509D271B" w14:textId="77777777" w:rsidR="00C70FF0" w:rsidRPr="004C7801" w:rsidRDefault="00C70FF0">
      <w:pPr>
        <w:pStyle w:val="CoverDocType24a"/>
      </w:pPr>
      <w:r w:rsidRPr="004C7801">
        <w:rPr>
          <w:rStyle w:val="HideTWBExt"/>
          <w:b w:val="0"/>
          <w:noProof w:val="0"/>
        </w:rPr>
        <w:t>&lt;TitreType&gt;</w:t>
      </w:r>
      <w:r w:rsidR="00023BC5" w:rsidRPr="004C7801">
        <w:t>DRAFT INTERIM REPORT</w:t>
      </w:r>
      <w:r w:rsidRPr="004C7801">
        <w:rPr>
          <w:rStyle w:val="HideTWBExt"/>
          <w:b w:val="0"/>
          <w:noProof w:val="0"/>
        </w:rPr>
        <w:t>&lt;/TitreType&gt;</w:t>
      </w:r>
    </w:p>
    <w:p w14:paraId="37F210B9" w14:textId="170439CC" w:rsidR="00C70FF0" w:rsidRPr="004C7801" w:rsidRDefault="00C70FF0">
      <w:pPr>
        <w:pStyle w:val="CoverNormal"/>
      </w:pPr>
      <w:r w:rsidRPr="004C7801">
        <w:rPr>
          <w:rStyle w:val="HideTWBExt"/>
          <w:noProof w:val="0"/>
        </w:rPr>
        <w:t>&lt;Titre&gt;</w:t>
      </w:r>
      <w:r w:rsidR="00023BC5" w:rsidRPr="004C7801">
        <w:t xml:space="preserve">on the </w:t>
      </w:r>
      <w:r w:rsidR="00E00418" w:rsidRPr="004C7801">
        <w:t>p</w:t>
      </w:r>
      <w:r w:rsidR="0007577F" w:rsidRPr="004C7801">
        <w:t>roposal for a Council decision determining, pursuant to Article 7(1) of the Treaty on European Union, the existence of a clear risk of a serious breach by Hungary of the values on which the Union is founded</w:t>
      </w:r>
      <w:r w:rsidRPr="004C7801">
        <w:rPr>
          <w:rStyle w:val="HideTWBExt"/>
          <w:noProof w:val="0"/>
        </w:rPr>
        <w:t>&lt;/Titre&gt;</w:t>
      </w:r>
    </w:p>
    <w:p w14:paraId="5C7861D9" w14:textId="77777777" w:rsidR="00C70FF0" w:rsidRPr="004C7801" w:rsidRDefault="00C70FF0">
      <w:pPr>
        <w:pStyle w:val="CoverNormal24a"/>
      </w:pPr>
      <w:r w:rsidRPr="004C7801">
        <w:rPr>
          <w:rStyle w:val="HideTWBExt"/>
          <w:noProof w:val="0"/>
        </w:rPr>
        <w:t>&lt;DocRef&gt;</w:t>
      </w:r>
      <w:r w:rsidR="00023BC5" w:rsidRPr="004C7801">
        <w:t>(</w:t>
      </w:r>
      <w:r w:rsidR="0057485A" w:rsidRPr="004C7801">
        <w:t>C9</w:t>
      </w:r>
      <w:r w:rsidR="0057485A" w:rsidRPr="004C7801">
        <w:noBreakHyphen/>
        <w:t>0000/2022 – 2018/0902R</w:t>
      </w:r>
      <w:r w:rsidR="00023BC5" w:rsidRPr="004C7801">
        <w:t>(</w:t>
      </w:r>
      <w:r w:rsidR="0057485A" w:rsidRPr="004C7801">
        <w:t>NLE</w:t>
      </w:r>
      <w:r w:rsidR="00023BC5" w:rsidRPr="004C7801">
        <w:t>))</w:t>
      </w:r>
      <w:r w:rsidRPr="004C7801">
        <w:rPr>
          <w:rStyle w:val="HideTWBExt"/>
          <w:noProof w:val="0"/>
        </w:rPr>
        <w:t>&lt;/DocRef&gt;</w:t>
      </w:r>
    </w:p>
    <w:p w14:paraId="114E971B" w14:textId="77777777" w:rsidR="00C70FF0" w:rsidRPr="004C7801" w:rsidRDefault="00C70FF0">
      <w:pPr>
        <w:pStyle w:val="CoverNormal24a"/>
      </w:pPr>
      <w:r w:rsidRPr="004C7801">
        <w:rPr>
          <w:rStyle w:val="HideTWBExt"/>
          <w:noProof w:val="0"/>
        </w:rPr>
        <w:t>&lt;Commission&gt;</w:t>
      </w:r>
      <w:r w:rsidR="0057485A" w:rsidRPr="004C7801">
        <w:rPr>
          <w:rStyle w:val="HideTWBInt"/>
        </w:rPr>
        <w:t>{LIBE}</w:t>
      </w:r>
      <w:r w:rsidR="0057485A" w:rsidRPr="004C7801">
        <w:t>Committee on Civil Liberties, Justice and Home Affairs</w:t>
      </w:r>
      <w:r w:rsidRPr="004C7801">
        <w:rPr>
          <w:rStyle w:val="HideTWBExt"/>
          <w:noProof w:val="0"/>
        </w:rPr>
        <w:t>&lt;/Commission&gt;</w:t>
      </w:r>
    </w:p>
    <w:p w14:paraId="0F078F0C" w14:textId="77777777" w:rsidR="00C70FF0" w:rsidRPr="004C7801" w:rsidRDefault="00023BC5">
      <w:pPr>
        <w:pStyle w:val="CoverNormal24a"/>
      </w:pPr>
      <w:r w:rsidRPr="004C7801">
        <w:t>Rapporteur:</w:t>
      </w:r>
      <w:r w:rsidR="00C70FF0" w:rsidRPr="004C7801">
        <w:t xml:space="preserve"> </w:t>
      </w:r>
      <w:r w:rsidR="00C70FF0" w:rsidRPr="004C7801">
        <w:rPr>
          <w:rStyle w:val="HideTWBExt"/>
          <w:noProof w:val="0"/>
        </w:rPr>
        <w:t>&lt;Depute&gt;</w:t>
      </w:r>
      <w:r w:rsidR="0057485A" w:rsidRPr="004C7801">
        <w:t>Gwendoline Delbos</w:t>
      </w:r>
      <w:r w:rsidR="0057485A" w:rsidRPr="004C7801">
        <w:noBreakHyphen/>
        <w:t>Corfield</w:t>
      </w:r>
      <w:r w:rsidR="00C70FF0" w:rsidRPr="004C7801">
        <w:rPr>
          <w:rStyle w:val="HideTWBExt"/>
          <w:noProof w:val="0"/>
        </w:rPr>
        <w:t>&lt;/Depute&gt;</w:t>
      </w:r>
    </w:p>
    <w:p w14:paraId="30078797" w14:textId="77777777" w:rsidR="00A67729" w:rsidRPr="004C7801" w:rsidRDefault="00A67729" w:rsidP="00A67729">
      <w:pPr>
        <w:pStyle w:val="CoverNormal"/>
      </w:pPr>
    </w:p>
    <w:p w14:paraId="2BE98998" w14:textId="77777777" w:rsidR="00C70FF0" w:rsidRPr="004C7801" w:rsidRDefault="00C70FF0" w:rsidP="00C70A30">
      <w:r w:rsidRPr="004C7801">
        <w:br w:type="page"/>
      </w:r>
      <w:r w:rsidR="00023BC5" w:rsidRPr="004C7801">
        <w:lastRenderedPageBreak/>
        <w:t>PR_Consent_Interim</w:t>
      </w:r>
    </w:p>
    <w:p w14:paraId="3950489D" w14:textId="77777777" w:rsidR="00C70FF0" w:rsidRPr="004C7801" w:rsidRDefault="00023BC5">
      <w:pPr>
        <w:pStyle w:val="TOCHeading"/>
      </w:pPr>
      <w:r w:rsidRPr="004C7801">
        <w:t>CONTENTS</w:t>
      </w:r>
    </w:p>
    <w:p w14:paraId="57FE71F2" w14:textId="77777777" w:rsidR="00C70FF0" w:rsidRPr="004C7801" w:rsidRDefault="00023BC5">
      <w:pPr>
        <w:pStyle w:val="TOCPage"/>
      </w:pPr>
      <w:r w:rsidRPr="004C7801">
        <w:t>Page</w:t>
      </w:r>
    </w:p>
    <w:p w14:paraId="19881ABC" w14:textId="49037AF4" w:rsidR="004D0BA7" w:rsidRDefault="000E4683">
      <w:pPr>
        <w:pStyle w:val="TOC1"/>
        <w:tabs>
          <w:tab w:val="right" w:leader="dot" w:pos="9060"/>
        </w:tabs>
        <w:rPr>
          <w:rFonts w:asciiTheme="minorHAnsi" w:eastAsiaTheme="minorEastAsia" w:hAnsiTheme="minorHAnsi" w:cstheme="minorBidi"/>
          <w:noProof/>
          <w:sz w:val="22"/>
          <w:szCs w:val="22"/>
        </w:rPr>
      </w:pPr>
      <w:r w:rsidRPr="004C7801">
        <w:rPr>
          <w:b/>
        </w:rPr>
        <w:fldChar w:fldCharType="begin"/>
      </w:r>
      <w:r w:rsidRPr="004C7801">
        <w:rPr>
          <w:b/>
        </w:rPr>
        <w:instrText xml:space="preserve"> TOC \t "PageHeading</w:instrText>
      </w:r>
      <w:r w:rsidR="004D0BA7">
        <w:rPr>
          <w:b/>
        </w:rPr>
        <w:instrText>;</w:instrText>
      </w:r>
      <w:r w:rsidRPr="004C7801">
        <w:rPr>
          <w:b/>
        </w:rPr>
        <w:instrText xml:space="preserve">1" </w:instrText>
      </w:r>
      <w:r w:rsidRPr="004C7801">
        <w:rPr>
          <w:b/>
        </w:rPr>
        <w:fldChar w:fldCharType="separate"/>
      </w:r>
      <w:r w:rsidR="004D0BA7">
        <w:rPr>
          <w:noProof/>
        </w:rPr>
        <w:t>MOTION FOR A EUROPEAN PARLIAMENT RESOLUTION</w:t>
      </w:r>
      <w:r w:rsidR="004D0BA7">
        <w:rPr>
          <w:noProof/>
        </w:rPr>
        <w:tab/>
      </w:r>
      <w:r w:rsidR="004D0BA7">
        <w:rPr>
          <w:noProof/>
        </w:rPr>
        <w:fldChar w:fldCharType="begin"/>
      </w:r>
      <w:r w:rsidR="004D0BA7">
        <w:rPr>
          <w:noProof/>
        </w:rPr>
        <w:instrText xml:space="preserve"> PAGEREF _Toc102118453 \h </w:instrText>
      </w:r>
      <w:r w:rsidR="004D0BA7">
        <w:rPr>
          <w:noProof/>
        </w:rPr>
      </w:r>
      <w:r w:rsidR="004D0BA7">
        <w:rPr>
          <w:noProof/>
        </w:rPr>
        <w:fldChar w:fldCharType="separate"/>
      </w:r>
      <w:r w:rsidR="004D0BA7">
        <w:rPr>
          <w:noProof/>
        </w:rPr>
        <w:t>3</w:t>
      </w:r>
      <w:r w:rsidR="004D0BA7">
        <w:rPr>
          <w:noProof/>
        </w:rPr>
        <w:fldChar w:fldCharType="end"/>
      </w:r>
    </w:p>
    <w:p w14:paraId="06B0D236" w14:textId="1C844642" w:rsidR="00A67729" w:rsidRPr="00583094" w:rsidRDefault="000E4683" w:rsidP="004A0754">
      <w:r w:rsidRPr="004C7801">
        <w:rPr>
          <w:b/>
        </w:rPr>
        <w:fldChar w:fldCharType="end"/>
      </w:r>
    </w:p>
    <w:p w14:paraId="487D09EE" w14:textId="77777777" w:rsidR="00C70FF0" w:rsidRPr="004C7801" w:rsidRDefault="00C70FF0" w:rsidP="0035103A">
      <w:pPr>
        <w:pStyle w:val="PageHeading"/>
      </w:pPr>
      <w:r w:rsidRPr="004C7801">
        <w:br w:type="page"/>
      </w:r>
      <w:bookmarkStart w:id="0" w:name="_Toc102118453"/>
      <w:r w:rsidR="00023BC5" w:rsidRPr="004C7801">
        <w:t>MOTION FOR A EUROPEAN PARLIAMENT RESOLUTION</w:t>
      </w:r>
      <w:bookmarkEnd w:id="0"/>
    </w:p>
    <w:p w14:paraId="7FF2BEA8" w14:textId="1423D995" w:rsidR="0007577F" w:rsidRPr="004C7801" w:rsidRDefault="0007577F" w:rsidP="0007577F">
      <w:pPr>
        <w:pStyle w:val="NormalBold"/>
        <w:rPr>
          <w:szCs w:val="24"/>
        </w:rPr>
      </w:pPr>
      <w:r w:rsidRPr="004C7801">
        <w:rPr>
          <w:szCs w:val="24"/>
        </w:rPr>
        <w:t xml:space="preserve">on the proposal </w:t>
      </w:r>
      <w:r w:rsidR="00E00418" w:rsidRPr="004C7801">
        <w:rPr>
          <w:szCs w:val="24"/>
        </w:rPr>
        <w:t>for a Council decision determining</w:t>
      </w:r>
      <w:r w:rsidRPr="004C7801">
        <w:rPr>
          <w:szCs w:val="24"/>
        </w:rPr>
        <w:t>, pursuant to Article 7(1) of the Treaty on European Union, the existence of a clear risk of a serious breach by Hungary of the values on which the Union is founded</w:t>
      </w:r>
    </w:p>
    <w:p w14:paraId="1E893303" w14:textId="77777777" w:rsidR="0007577F" w:rsidRPr="004C7801" w:rsidRDefault="0007577F" w:rsidP="0007577F">
      <w:pPr>
        <w:pStyle w:val="NormalBold"/>
        <w:rPr>
          <w:szCs w:val="24"/>
        </w:rPr>
      </w:pPr>
      <w:r w:rsidRPr="004C7801">
        <w:rPr>
          <w:szCs w:val="24"/>
        </w:rPr>
        <w:t>(C9</w:t>
      </w:r>
      <w:r w:rsidRPr="004C7801">
        <w:rPr>
          <w:szCs w:val="24"/>
        </w:rPr>
        <w:noBreakHyphen/>
        <w:t>0000/2022 – 2018/0902R(NLE))</w:t>
      </w:r>
    </w:p>
    <w:p w14:paraId="1076B6DC" w14:textId="77777777" w:rsidR="0007577F" w:rsidRPr="004C7801" w:rsidRDefault="0007577F" w:rsidP="0007577F">
      <w:pPr>
        <w:rPr>
          <w:szCs w:val="24"/>
        </w:rPr>
      </w:pPr>
    </w:p>
    <w:p w14:paraId="3551D550" w14:textId="77777777" w:rsidR="0007577F" w:rsidRPr="004C7801" w:rsidRDefault="0007577F" w:rsidP="0007577F">
      <w:pPr>
        <w:pStyle w:val="Normal12"/>
        <w:rPr>
          <w:szCs w:val="24"/>
        </w:rPr>
      </w:pPr>
      <w:bookmarkStart w:id="1" w:name="TextBodyBegin"/>
      <w:bookmarkEnd w:id="1"/>
      <w:r w:rsidRPr="004C7801">
        <w:rPr>
          <w:i/>
          <w:szCs w:val="24"/>
        </w:rPr>
        <w:t>The European Parliament</w:t>
      </w:r>
      <w:r w:rsidRPr="004C7801">
        <w:rPr>
          <w:szCs w:val="24"/>
        </w:rPr>
        <w:t>,</w:t>
      </w:r>
    </w:p>
    <w:p w14:paraId="1F712B2B" w14:textId="3E5EF1E2" w:rsidR="0007577F" w:rsidRPr="004C7801" w:rsidRDefault="0007577F" w:rsidP="0007577F">
      <w:pPr>
        <w:pStyle w:val="Normal12Hanging"/>
        <w:ind w:left="357" w:hanging="357"/>
        <w:rPr>
          <w:szCs w:val="24"/>
        </w:rPr>
      </w:pPr>
      <w:r w:rsidRPr="004C7801">
        <w:rPr>
          <w:szCs w:val="24"/>
        </w:rPr>
        <w:t>–</w:t>
      </w:r>
      <w:r w:rsidRPr="004C7801">
        <w:rPr>
          <w:szCs w:val="24"/>
        </w:rPr>
        <w:tab/>
        <w:t>having regard to the Treaty on European Union</w:t>
      </w:r>
      <w:r w:rsidR="00856F3C" w:rsidRPr="004C7801">
        <w:rPr>
          <w:szCs w:val="24"/>
        </w:rPr>
        <w:t xml:space="preserve"> (TEU)</w:t>
      </w:r>
      <w:r w:rsidRPr="004C7801">
        <w:rPr>
          <w:szCs w:val="24"/>
        </w:rPr>
        <w:t>, and in particular Article</w:t>
      </w:r>
      <w:r w:rsidR="00E00418" w:rsidRPr="004C7801">
        <w:rPr>
          <w:szCs w:val="24"/>
        </w:rPr>
        <w:t>s</w:t>
      </w:r>
      <w:r w:rsidRPr="004C7801">
        <w:rPr>
          <w:szCs w:val="24"/>
        </w:rPr>
        <w:t xml:space="preserve"> 2 and 7(1) thereof,</w:t>
      </w:r>
    </w:p>
    <w:p w14:paraId="5391C093" w14:textId="77777777" w:rsidR="0007577F" w:rsidRPr="004C7801" w:rsidRDefault="0007577F" w:rsidP="0007577F">
      <w:pPr>
        <w:pStyle w:val="Normal12Hanging"/>
        <w:ind w:left="357" w:hanging="357"/>
        <w:rPr>
          <w:szCs w:val="24"/>
        </w:rPr>
      </w:pPr>
      <w:r w:rsidRPr="004C7801">
        <w:rPr>
          <w:szCs w:val="24"/>
        </w:rPr>
        <w:t>–</w:t>
      </w:r>
      <w:r w:rsidRPr="004C7801">
        <w:rPr>
          <w:szCs w:val="24"/>
        </w:rPr>
        <w:tab/>
        <w:t>having regard to the Charter of Fundamental Rights of the European Union,</w:t>
      </w:r>
    </w:p>
    <w:p w14:paraId="1995AAD6" w14:textId="79D7B308" w:rsidR="0007577F" w:rsidRPr="004C7801" w:rsidRDefault="0007577F" w:rsidP="0007577F">
      <w:pPr>
        <w:pStyle w:val="Normal12Hanging"/>
        <w:ind w:left="357" w:hanging="357"/>
        <w:rPr>
          <w:szCs w:val="24"/>
        </w:rPr>
      </w:pPr>
      <w:r w:rsidRPr="004C7801">
        <w:rPr>
          <w:szCs w:val="24"/>
        </w:rPr>
        <w:t>–</w:t>
      </w:r>
      <w:r w:rsidRPr="004C7801">
        <w:rPr>
          <w:szCs w:val="24"/>
        </w:rPr>
        <w:tab/>
        <w:t xml:space="preserve">having regard to the European Convention </w:t>
      </w:r>
      <w:r w:rsidR="00E00418" w:rsidRPr="004C7801">
        <w:rPr>
          <w:szCs w:val="24"/>
        </w:rPr>
        <w:t>on</w:t>
      </w:r>
      <w:r w:rsidRPr="004C7801">
        <w:rPr>
          <w:szCs w:val="24"/>
        </w:rPr>
        <w:t xml:space="preserve"> Human Rights and the </w:t>
      </w:r>
      <w:r w:rsidR="00856F3C" w:rsidRPr="004C7801">
        <w:rPr>
          <w:szCs w:val="24"/>
        </w:rPr>
        <w:t xml:space="preserve">protocols </w:t>
      </w:r>
      <w:r w:rsidRPr="004C7801">
        <w:rPr>
          <w:szCs w:val="24"/>
        </w:rPr>
        <w:t>thereto,</w:t>
      </w:r>
    </w:p>
    <w:p w14:paraId="1DC788A5" w14:textId="77777777" w:rsidR="0007577F" w:rsidRPr="004C7801" w:rsidRDefault="0007577F" w:rsidP="0007577F">
      <w:pPr>
        <w:pStyle w:val="Normal12Hanging"/>
        <w:ind w:left="357" w:hanging="357"/>
        <w:rPr>
          <w:szCs w:val="24"/>
        </w:rPr>
      </w:pPr>
      <w:r w:rsidRPr="004C7801">
        <w:rPr>
          <w:szCs w:val="24"/>
        </w:rPr>
        <w:t>–</w:t>
      </w:r>
      <w:r w:rsidRPr="004C7801">
        <w:rPr>
          <w:szCs w:val="24"/>
        </w:rPr>
        <w:tab/>
        <w:t>having regard to the Universal Declaration of Human Rights,</w:t>
      </w:r>
    </w:p>
    <w:p w14:paraId="0AD1DE90" w14:textId="77777777" w:rsidR="0007577F" w:rsidRPr="004C7801" w:rsidRDefault="0007577F" w:rsidP="0007577F">
      <w:pPr>
        <w:pStyle w:val="Normal12Hanging"/>
        <w:ind w:left="357" w:hanging="357"/>
        <w:rPr>
          <w:szCs w:val="24"/>
        </w:rPr>
      </w:pPr>
      <w:r w:rsidRPr="004C7801">
        <w:rPr>
          <w:szCs w:val="24"/>
        </w:rPr>
        <w:t>–</w:t>
      </w:r>
      <w:r w:rsidRPr="004C7801">
        <w:rPr>
          <w:szCs w:val="24"/>
        </w:rPr>
        <w:tab/>
        <w:t xml:space="preserve">having regard to the international human rights treaties of the United Nations and the Council of Europe, </w:t>
      </w:r>
    </w:p>
    <w:p w14:paraId="3053EBC4" w14:textId="77777777" w:rsidR="0007577F" w:rsidRPr="004C7801" w:rsidRDefault="0007577F" w:rsidP="0007577F">
      <w:pPr>
        <w:pStyle w:val="Normal12Hanging"/>
        <w:ind w:left="357" w:hanging="357"/>
        <w:rPr>
          <w:szCs w:val="24"/>
        </w:rPr>
      </w:pPr>
      <w:r w:rsidRPr="004C7801">
        <w:rPr>
          <w:szCs w:val="24"/>
        </w:rPr>
        <w:t>–</w:t>
      </w:r>
      <w:r w:rsidRPr="004C7801">
        <w:rPr>
          <w:szCs w:val="24"/>
        </w:rPr>
        <w:tab/>
        <w:t>having regard to its resolution of 12 September 2018 on a proposal calling on the Council to determine, pursuant to Article 7(1) of the Treaty on European Union, the existence of a clear risk of a serious breach by Hungary of the values on which the Union is founded</w:t>
      </w:r>
      <w:r w:rsidR="009432EA" w:rsidRPr="004C7801">
        <w:rPr>
          <w:rStyle w:val="FootnoteReference"/>
          <w:szCs w:val="24"/>
        </w:rPr>
        <w:footnoteReference w:id="1"/>
      </w:r>
      <w:r w:rsidRPr="004C7801">
        <w:rPr>
          <w:szCs w:val="24"/>
        </w:rPr>
        <w:t>,</w:t>
      </w:r>
    </w:p>
    <w:p w14:paraId="1E88938C" w14:textId="77777777" w:rsidR="0007577F" w:rsidRPr="004C7801" w:rsidRDefault="0007577F" w:rsidP="0007577F">
      <w:pPr>
        <w:pStyle w:val="NormalHanging12a"/>
        <w:ind w:left="426" w:hanging="426"/>
        <w:rPr>
          <w:szCs w:val="24"/>
        </w:rPr>
      </w:pPr>
      <w:r w:rsidRPr="004C7801">
        <w:rPr>
          <w:szCs w:val="24"/>
        </w:rPr>
        <w:t>–</w:t>
      </w:r>
      <w:r w:rsidRPr="004C7801">
        <w:rPr>
          <w:szCs w:val="24"/>
        </w:rPr>
        <w:tab/>
        <w:t xml:space="preserve">having regard to its resolution of 16 January 2020 on ongoing hearings under Article 7(1) </w:t>
      </w:r>
      <w:r w:rsidR="00856F3C" w:rsidRPr="004C7801">
        <w:rPr>
          <w:szCs w:val="24"/>
        </w:rPr>
        <w:t xml:space="preserve">of the </w:t>
      </w:r>
      <w:r w:rsidRPr="004C7801">
        <w:rPr>
          <w:szCs w:val="24"/>
        </w:rPr>
        <w:t>TEU regarding Poland and Hungary</w:t>
      </w:r>
      <w:r w:rsidR="009432EA" w:rsidRPr="004C7801">
        <w:rPr>
          <w:rStyle w:val="FootnoteReference"/>
          <w:szCs w:val="24"/>
        </w:rPr>
        <w:footnoteReference w:id="2"/>
      </w:r>
      <w:r w:rsidRPr="004C7801">
        <w:rPr>
          <w:szCs w:val="24"/>
        </w:rPr>
        <w:t>,</w:t>
      </w:r>
    </w:p>
    <w:p w14:paraId="7891376D" w14:textId="77777777" w:rsidR="0007577F" w:rsidRPr="004C7801" w:rsidRDefault="0007577F" w:rsidP="0007577F">
      <w:pPr>
        <w:pStyle w:val="NormalHanging12a"/>
        <w:ind w:left="426" w:hanging="426"/>
        <w:rPr>
          <w:szCs w:val="24"/>
        </w:rPr>
      </w:pPr>
      <w:r w:rsidRPr="004C7801">
        <w:rPr>
          <w:szCs w:val="24"/>
        </w:rPr>
        <w:t>–</w:t>
      </w:r>
      <w:r w:rsidRPr="004C7801">
        <w:rPr>
          <w:szCs w:val="24"/>
        </w:rPr>
        <w:tab/>
        <w:t>having regard to its resolution of 8 July 2021 on breaches of EU law and of the rights of LGBTIQ citizens in Hungary as a result of the legal changes adopted by the Hungarian Parliament</w:t>
      </w:r>
      <w:r w:rsidR="009432EA" w:rsidRPr="004C7801">
        <w:rPr>
          <w:rStyle w:val="FootnoteReference"/>
          <w:szCs w:val="24"/>
        </w:rPr>
        <w:footnoteReference w:id="3"/>
      </w:r>
      <w:r w:rsidRPr="004C7801">
        <w:rPr>
          <w:szCs w:val="24"/>
        </w:rPr>
        <w:t>,</w:t>
      </w:r>
    </w:p>
    <w:p w14:paraId="76083B11" w14:textId="01E38F33" w:rsidR="0007577F" w:rsidRPr="004C7801" w:rsidRDefault="0007577F" w:rsidP="0007577F">
      <w:pPr>
        <w:pStyle w:val="Normal12Hanging"/>
        <w:ind w:left="357" w:hanging="357"/>
        <w:rPr>
          <w:szCs w:val="24"/>
        </w:rPr>
      </w:pPr>
      <w:r w:rsidRPr="004C7801">
        <w:rPr>
          <w:szCs w:val="24"/>
        </w:rPr>
        <w:t>–</w:t>
      </w:r>
      <w:r w:rsidRPr="004C7801">
        <w:rPr>
          <w:szCs w:val="24"/>
        </w:rPr>
        <w:tab/>
        <w:t>having regard to Rule 105(5) of its Rules of Procedure,</w:t>
      </w:r>
    </w:p>
    <w:p w14:paraId="34CEFFBA" w14:textId="77777777" w:rsidR="009432EA" w:rsidRPr="004C7801" w:rsidRDefault="009432EA" w:rsidP="0007577F">
      <w:pPr>
        <w:pStyle w:val="Normal12Hanging"/>
        <w:ind w:left="357" w:hanging="357"/>
        <w:rPr>
          <w:szCs w:val="24"/>
        </w:rPr>
      </w:pPr>
      <w:r w:rsidRPr="004C7801">
        <w:rPr>
          <w:szCs w:val="24"/>
        </w:rPr>
        <w:t>–</w:t>
      </w:r>
      <w:r w:rsidRPr="004C7801">
        <w:rPr>
          <w:szCs w:val="24"/>
        </w:rPr>
        <w:tab/>
        <w:t xml:space="preserve">having regard to the opinion of the Committee on </w:t>
      </w:r>
      <w:r w:rsidRPr="004C7801">
        <w:rPr>
          <w:color w:val="000000"/>
        </w:rPr>
        <w:t>Constitutional Affairs,</w:t>
      </w:r>
    </w:p>
    <w:p w14:paraId="0435427D" w14:textId="11F93B0C" w:rsidR="0007577F" w:rsidRPr="004C7801" w:rsidRDefault="0007577F" w:rsidP="0007577F">
      <w:pPr>
        <w:pStyle w:val="Normal12Hanging"/>
        <w:ind w:left="357" w:hanging="357"/>
        <w:rPr>
          <w:szCs w:val="24"/>
        </w:rPr>
      </w:pPr>
      <w:r w:rsidRPr="004C7801">
        <w:rPr>
          <w:szCs w:val="24"/>
        </w:rPr>
        <w:t>–</w:t>
      </w:r>
      <w:r w:rsidRPr="004C7801">
        <w:rPr>
          <w:szCs w:val="24"/>
        </w:rPr>
        <w:tab/>
        <w:t xml:space="preserve">having regard to the </w:t>
      </w:r>
      <w:r w:rsidR="009432EA" w:rsidRPr="004C7801">
        <w:rPr>
          <w:szCs w:val="24"/>
        </w:rPr>
        <w:t xml:space="preserve">interim </w:t>
      </w:r>
      <w:r w:rsidRPr="004C7801">
        <w:rPr>
          <w:szCs w:val="24"/>
        </w:rPr>
        <w:t>report of the Committee on Civil Liberties, Justice and Home Affairs (A9-0</w:t>
      </w:r>
      <w:r w:rsidR="009432EA" w:rsidRPr="004C7801">
        <w:rPr>
          <w:szCs w:val="24"/>
        </w:rPr>
        <w:t>000</w:t>
      </w:r>
      <w:r w:rsidRPr="004C7801">
        <w:rPr>
          <w:szCs w:val="24"/>
        </w:rPr>
        <w:t>/2022),</w:t>
      </w:r>
    </w:p>
    <w:p w14:paraId="0A446691" w14:textId="77777777" w:rsidR="0007577F" w:rsidRPr="004C7801" w:rsidRDefault="0007577F" w:rsidP="0007577F">
      <w:pPr>
        <w:pStyle w:val="Normal12Hanging"/>
        <w:ind w:left="357" w:hanging="357"/>
        <w:rPr>
          <w:szCs w:val="24"/>
        </w:rPr>
      </w:pPr>
      <w:r w:rsidRPr="004C7801">
        <w:rPr>
          <w:szCs w:val="24"/>
        </w:rPr>
        <w:t>A.</w:t>
      </w:r>
      <w:r w:rsidRPr="004C7801">
        <w:rPr>
          <w:szCs w:val="24"/>
        </w:rPr>
        <w:tab/>
        <w:t>whereas the Union is founded on the values of respect for human dignity, freedom, democracy, equality, the rule of law and respect for human rights, including the rights of persons belonging to minorities, as set out in Article 2 of the Treaty on European Union (TEU) and as reflected in the Charter of Fundamental Rights of the European Union and embedded in international human rights treaties, and whereas those values, which are common to the Member States and to which all Member States have freely subscribed, constitute the foundation of the rights enjoyed by those living in the Union;</w:t>
      </w:r>
    </w:p>
    <w:p w14:paraId="7D1F8224" w14:textId="641084A3" w:rsidR="0007577F" w:rsidRPr="004C7801" w:rsidRDefault="0007577F" w:rsidP="0007577F">
      <w:pPr>
        <w:pStyle w:val="Normal12Hanging"/>
        <w:ind w:left="357" w:hanging="357"/>
        <w:rPr>
          <w:szCs w:val="24"/>
        </w:rPr>
      </w:pPr>
      <w:r w:rsidRPr="004C7801">
        <w:rPr>
          <w:szCs w:val="24"/>
        </w:rPr>
        <w:t>B.</w:t>
      </w:r>
      <w:r w:rsidRPr="004C7801">
        <w:rPr>
          <w:szCs w:val="24"/>
        </w:rPr>
        <w:tab/>
        <w:t>whereas any clear risk of a serious breach by a Member State of the values referred to in Article 2 TEU does not concern solely the individual Member State where the risk materialises but has an impact on the other Member States, on mutual trust between them and on the</w:t>
      </w:r>
      <w:r w:rsidRPr="004C7801">
        <w:rPr>
          <w:b/>
          <w:i/>
          <w:szCs w:val="24"/>
        </w:rPr>
        <w:t xml:space="preserve"> </w:t>
      </w:r>
      <w:r w:rsidRPr="004C7801">
        <w:rPr>
          <w:szCs w:val="24"/>
        </w:rPr>
        <w:t>very nature of the Union and its citizens</w:t>
      </w:r>
      <w:r w:rsidR="004C7801">
        <w:rPr>
          <w:szCs w:val="24"/>
        </w:rPr>
        <w:t>’</w:t>
      </w:r>
      <w:r w:rsidRPr="004C7801">
        <w:rPr>
          <w:szCs w:val="24"/>
        </w:rPr>
        <w:t xml:space="preserve"> fundamental rights under Union law; </w:t>
      </w:r>
    </w:p>
    <w:p w14:paraId="3CD0AB7F" w14:textId="41BFB508" w:rsidR="0007577F" w:rsidRPr="004C7801" w:rsidRDefault="0007577F" w:rsidP="0007577F">
      <w:pPr>
        <w:pStyle w:val="Normal12Hanging"/>
        <w:ind w:left="357" w:hanging="357"/>
        <w:rPr>
          <w:szCs w:val="24"/>
        </w:rPr>
      </w:pPr>
      <w:r w:rsidRPr="004C7801">
        <w:rPr>
          <w:szCs w:val="24"/>
        </w:rPr>
        <w:t>C.</w:t>
      </w:r>
      <w:r w:rsidRPr="004C7801">
        <w:rPr>
          <w:szCs w:val="24"/>
        </w:rPr>
        <w:tab/>
        <w:t>whereas the scope of Article 7 TEU is not confined to the obligations under the Treaties, as in Article 258 of the Treaty on the Functioning of the European Union, and whereas the Union can assess the existence of a clear risk of a serious breach of the common values in areas falling under Member States</w:t>
      </w:r>
      <w:r w:rsidR="004C7801">
        <w:rPr>
          <w:szCs w:val="24"/>
        </w:rPr>
        <w:t>’</w:t>
      </w:r>
      <w:r w:rsidRPr="004C7801">
        <w:rPr>
          <w:szCs w:val="24"/>
        </w:rPr>
        <w:t xml:space="preserve"> competences;</w:t>
      </w:r>
    </w:p>
    <w:p w14:paraId="2C4FE9E6" w14:textId="0757A41D" w:rsidR="0007577F" w:rsidRPr="004C7801" w:rsidRDefault="0007577F" w:rsidP="0007577F">
      <w:pPr>
        <w:pStyle w:val="Normal12Hanging"/>
        <w:ind w:left="357" w:hanging="357"/>
        <w:rPr>
          <w:szCs w:val="24"/>
        </w:rPr>
      </w:pPr>
      <w:r w:rsidRPr="004C7801">
        <w:rPr>
          <w:szCs w:val="24"/>
        </w:rPr>
        <w:t>D.</w:t>
      </w:r>
      <w:r w:rsidRPr="004C7801">
        <w:rPr>
          <w:szCs w:val="24"/>
        </w:rPr>
        <w:tab/>
        <w:t xml:space="preserve">whereas </w:t>
      </w:r>
      <w:r w:rsidR="00856F3C" w:rsidRPr="004C7801">
        <w:rPr>
          <w:szCs w:val="24"/>
        </w:rPr>
        <w:t xml:space="preserve">for </w:t>
      </w:r>
      <w:r w:rsidRPr="004C7801">
        <w:rPr>
          <w:szCs w:val="24"/>
        </w:rPr>
        <w:t xml:space="preserve">several years the situation in Hungary has not been addressed and many concerns remain, </w:t>
      </w:r>
      <w:r w:rsidR="00856F3C" w:rsidRPr="004C7801">
        <w:rPr>
          <w:szCs w:val="24"/>
        </w:rPr>
        <w:t xml:space="preserve">and in the meantime </w:t>
      </w:r>
      <w:r w:rsidRPr="004C7801">
        <w:rPr>
          <w:szCs w:val="24"/>
        </w:rPr>
        <w:t xml:space="preserve">many new issues have </w:t>
      </w:r>
      <w:r w:rsidR="00856F3C" w:rsidRPr="004C7801">
        <w:rPr>
          <w:szCs w:val="24"/>
        </w:rPr>
        <w:t>arisen</w:t>
      </w:r>
      <w:r w:rsidRPr="004C7801">
        <w:rPr>
          <w:szCs w:val="24"/>
        </w:rPr>
        <w:t xml:space="preserve">, </w:t>
      </w:r>
      <w:r w:rsidR="00856F3C" w:rsidRPr="004C7801">
        <w:rPr>
          <w:szCs w:val="24"/>
        </w:rPr>
        <w:t xml:space="preserve">which is </w:t>
      </w:r>
      <w:r w:rsidRPr="004C7801">
        <w:rPr>
          <w:szCs w:val="24"/>
        </w:rPr>
        <w:t xml:space="preserve">having a negative impact on the image of the Union, as well as its effectiveness and credibility in the defence of fundamental rights, human rights and democracy globally, and revealing the need to address them </w:t>
      </w:r>
      <w:r w:rsidR="00AF4ADB" w:rsidRPr="004C7801">
        <w:rPr>
          <w:szCs w:val="24"/>
        </w:rPr>
        <w:t>through</w:t>
      </w:r>
      <w:r w:rsidRPr="004C7801">
        <w:rPr>
          <w:szCs w:val="24"/>
        </w:rPr>
        <w:t xml:space="preserve"> concerted </w:t>
      </w:r>
      <w:r w:rsidR="00AF4ADB" w:rsidRPr="004C7801">
        <w:rPr>
          <w:szCs w:val="24"/>
        </w:rPr>
        <w:t xml:space="preserve">Union </w:t>
      </w:r>
      <w:r w:rsidRPr="004C7801">
        <w:rPr>
          <w:szCs w:val="24"/>
        </w:rPr>
        <w:t>action;</w:t>
      </w:r>
    </w:p>
    <w:p w14:paraId="10CCF054" w14:textId="5D11F907" w:rsidR="0007577F" w:rsidRPr="004C7801" w:rsidRDefault="0007577F" w:rsidP="0007577F">
      <w:pPr>
        <w:pStyle w:val="Normal12Hanging"/>
        <w:ind w:left="357" w:hanging="357"/>
        <w:rPr>
          <w:szCs w:val="24"/>
        </w:rPr>
      </w:pPr>
      <w:r w:rsidRPr="004C7801">
        <w:rPr>
          <w:szCs w:val="24"/>
        </w:rPr>
        <w:t>E.</w:t>
      </w:r>
      <w:r w:rsidRPr="004C7801">
        <w:rPr>
          <w:szCs w:val="24"/>
        </w:rPr>
        <w:tab/>
        <w:t>whereas following the ad</w:t>
      </w:r>
      <w:r w:rsidR="00856F3C" w:rsidRPr="004C7801">
        <w:rPr>
          <w:szCs w:val="24"/>
        </w:rPr>
        <w:t xml:space="preserve"> </w:t>
      </w:r>
      <w:r w:rsidRPr="004C7801">
        <w:rPr>
          <w:szCs w:val="24"/>
        </w:rPr>
        <w:t>hoc delegation of its Committee on Civil Liberties, Justice and Home Affairs to Budapest, Hungary</w:t>
      </w:r>
      <w:r w:rsidR="00856F3C" w:rsidRPr="004C7801">
        <w:rPr>
          <w:szCs w:val="24"/>
        </w:rPr>
        <w:t>, from</w:t>
      </w:r>
      <w:r w:rsidRPr="004C7801">
        <w:rPr>
          <w:szCs w:val="24"/>
        </w:rPr>
        <w:t xml:space="preserve"> 29 September </w:t>
      </w:r>
      <w:r w:rsidR="00856F3C" w:rsidRPr="004C7801">
        <w:rPr>
          <w:szCs w:val="24"/>
        </w:rPr>
        <w:t xml:space="preserve">to </w:t>
      </w:r>
      <w:r w:rsidRPr="004C7801">
        <w:rPr>
          <w:szCs w:val="24"/>
        </w:rPr>
        <w:t xml:space="preserve">1 October 2021, the majority of the </w:t>
      </w:r>
      <w:r w:rsidR="00856F3C" w:rsidRPr="004C7801">
        <w:rPr>
          <w:szCs w:val="24"/>
        </w:rPr>
        <w:t xml:space="preserve">members </w:t>
      </w:r>
      <w:r w:rsidRPr="004C7801">
        <w:rPr>
          <w:szCs w:val="24"/>
        </w:rPr>
        <w:t>of the delegation still ha</w:t>
      </w:r>
      <w:r w:rsidR="00856F3C" w:rsidRPr="004C7801">
        <w:rPr>
          <w:szCs w:val="24"/>
        </w:rPr>
        <w:t>ve</w:t>
      </w:r>
      <w:r w:rsidRPr="004C7801">
        <w:rPr>
          <w:szCs w:val="24"/>
        </w:rPr>
        <w:t xml:space="preserve"> serious concerns about democracy, the rule of law and fundamental rights in </w:t>
      </w:r>
      <w:r w:rsidR="00856F3C" w:rsidRPr="004C7801">
        <w:rPr>
          <w:szCs w:val="24"/>
        </w:rPr>
        <w:t>the country</w:t>
      </w:r>
      <w:r w:rsidRPr="004C7801">
        <w:rPr>
          <w:szCs w:val="24"/>
        </w:rPr>
        <w:t>; whereas the delegation has concluded that the situation has not improved since 2018</w:t>
      </w:r>
      <w:r w:rsidR="00856F3C" w:rsidRPr="004C7801">
        <w:rPr>
          <w:szCs w:val="24"/>
        </w:rPr>
        <w:t>, but has instead</w:t>
      </w:r>
      <w:r w:rsidRPr="004C7801">
        <w:rPr>
          <w:szCs w:val="24"/>
        </w:rPr>
        <w:t xml:space="preserve"> deteriorated;</w:t>
      </w:r>
    </w:p>
    <w:p w14:paraId="212C7CD7" w14:textId="4EE02265" w:rsidR="0007577F" w:rsidRPr="004C7801" w:rsidRDefault="0007577F" w:rsidP="0007577F">
      <w:pPr>
        <w:pStyle w:val="NormalWeb"/>
        <w:spacing w:before="240" w:beforeAutospacing="0" w:after="240" w:afterAutospacing="0"/>
        <w:ind w:left="426" w:hanging="426"/>
      </w:pPr>
      <w:r w:rsidRPr="004C7801">
        <w:t>F.</w:t>
      </w:r>
      <w:r w:rsidRPr="004C7801">
        <w:tab/>
        <w:t xml:space="preserve">whereas on 20 July 2021, the Commission indicated in the country chapter on Hungary of the 2021 Rule of Law Report that the transparency and quality of the legislative process remain a source of concern, although an amendment to the constitution will limit the powers of </w:t>
      </w:r>
      <w:r w:rsidR="00856F3C" w:rsidRPr="004C7801">
        <w:t xml:space="preserve">government </w:t>
      </w:r>
      <w:r w:rsidRPr="004C7801">
        <w:t xml:space="preserve">as regards the </w:t>
      </w:r>
      <w:r w:rsidR="004C7801">
        <w:t>‘</w:t>
      </w:r>
      <w:r w:rsidRPr="004C7801">
        <w:t>state of danger</w:t>
      </w:r>
      <w:r w:rsidR="004C7801">
        <w:t>’</w:t>
      </w:r>
      <w:r w:rsidRPr="004C7801">
        <w:t xml:space="preserve"> regime after July 2023</w:t>
      </w:r>
      <w:r w:rsidR="004C7801">
        <w:t xml:space="preserve">; </w:t>
      </w:r>
      <w:r w:rsidRPr="004C7801">
        <w:t>whereas concerns have been expressed about newly established private trusts receiving significant public funding, managed by board members close to the current government;</w:t>
      </w:r>
    </w:p>
    <w:p w14:paraId="10C69327" w14:textId="61132DB7" w:rsidR="0007577F" w:rsidRPr="004C7801" w:rsidRDefault="0007577F" w:rsidP="00AF1D14">
      <w:pPr>
        <w:spacing w:after="240"/>
        <w:ind w:left="425" w:hanging="425"/>
        <w:rPr>
          <w:bCs/>
        </w:rPr>
      </w:pPr>
      <w:r w:rsidRPr="004C7801">
        <w:t>G.</w:t>
      </w:r>
      <w:r w:rsidRPr="004C7801">
        <w:tab/>
        <w:t>whereas in its resolution of 17 April 2020 on EU coordinated action to combat the COVID-19 pandemic and its consequences</w:t>
      </w:r>
      <w:r w:rsidR="00AF78A9" w:rsidRPr="004C7801">
        <w:rPr>
          <w:rStyle w:val="FootnoteReference"/>
        </w:rPr>
        <w:footnoteReference w:id="4"/>
      </w:r>
      <w:r w:rsidRPr="004C7801">
        <w:t>, Parliament deemed totally incompatible with European values the Hungarian Government</w:t>
      </w:r>
      <w:r w:rsidR="004C7801">
        <w:t>’</w:t>
      </w:r>
      <w:r w:rsidR="00AF78A9" w:rsidRPr="004C7801">
        <w:t>s decision</w:t>
      </w:r>
      <w:r w:rsidRPr="004C7801">
        <w:t xml:space="preserve"> to prolong the state of emergency indefinitely, to authorise </w:t>
      </w:r>
      <w:r w:rsidR="00AF78A9" w:rsidRPr="004C7801">
        <w:t xml:space="preserve">itself </w:t>
      </w:r>
      <w:r w:rsidRPr="004C7801">
        <w:t xml:space="preserve">to rule by decree without </w:t>
      </w:r>
      <w:r w:rsidR="00AF78A9" w:rsidRPr="004C7801">
        <w:t xml:space="preserve">a </w:t>
      </w:r>
      <w:r w:rsidRPr="004C7801">
        <w:t xml:space="preserve">time limit, and to weaken the emergency oversight of the Hungarian Parliament; whereas </w:t>
      </w:r>
      <w:r w:rsidR="00AF78A9" w:rsidRPr="004C7801">
        <w:t xml:space="preserve">in its opinion on the 2020 Convergence Programme of Hungary </w:t>
      </w:r>
      <w:r w:rsidRPr="004C7801">
        <w:t>o</w:t>
      </w:r>
      <w:r w:rsidR="00AF78A9" w:rsidRPr="004C7801">
        <w:t>f</w:t>
      </w:r>
      <w:r w:rsidRPr="004C7801">
        <w:t xml:space="preserve"> 20 July 2020, the Council recommended </w:t>
      </w:r>
      <w:r w:rsidR="00AF4ADB" w:rsidRPr="004C7801">
        <w:t xml:space="preserve">ensuring </w:t>
      </w:r>
      <w:r w:rsidRPr="004C7801">
        <w:t>that any emergency measures be strictly proportionate, limited in time and in line with European and international standards</w:t>
      </w:r>
      <w:r w:rsidR="009322D0" w:rsidRPr="004C7801">
        <w:t>,</w:t>
      </w:r>
      <w:r w:rsidRPr="004C7801">
        <w:t xml:space="preserve"> </w:t>
      </w:r>
      <w:r w:rsidR="009322D0" w:rsidRPr="004C7801">
        <w:t xml:space="preserve">that they </w:t>
      </w:r>
      <w:r w:rsidRPr="004C7801">
        <w:t>do not interfere with business activities and the stability of the regulatory environment</w:t>
      </w:r>
      <w:r w:rsidR="00704227" w:rsidRPr="004C7801">
        <w:t>,</w:t>
      </w:r>
      <w:r w:rsidRPr="004C7801">
        <w:t xml:space="preserve"> and </w:t>
      </w:r>
      <w:r w:rsidR="00704227" w:rsidRPr="004C7801">
        <w:t xml:space="preserve">the </w:t>
      </w:r>
      <w:r w:rsidRPr="004C7801">
        <w:t>effective involvement of social partners and stakeholders in the policy-making process;</w:t>
      </w:r>
    </w:p>
    <w:p w14:paraId="25591117" w14:textId="0B912A35" w:rsidR="0007577F" w:rsidRPr="004C7801" w:rsidRDefault="0007577F" w:rsidP="00AF1D14">
      <w:pPr>
        <w:spacing w:after="240"/>
        <w:ind w:left="425" w:hanging="425"/>
        <w:rPr>
          <w:color w:val="000000" w:themeColor="text1"/>
          <w:szCs w:val="22"/>
        </w:rPr>
      </w:pPr>
      <w:r w:rsidRPr="004C7801">
        <w:t>H.</w:t>
      </w:r>
      <w:r w:rsidRPr="004C7801">
        <w:tab/>
        <w:t xml:space="preserve">whereas on 20 July 2021, the Commission indicated in the country chapter on Hungary of the 2021 Rule of Law Report that the Hungarian justice system performs well in terms of the length of proceedings and has a high level of digitalisation, </w:t>
      </w:r>
      <w:r w:rsidR="009322D0" w:rsidRPr="004C7801">
        <w:t xml:space="preserve">and that </w:t>
      </w:r>
      <w:r w:rsidRPr="004C7801">
        <w:t xml:space="preserve">the gradual increase </w:t>
      </w:r>
      <w:r w:rsidR="00704227" w:rsidRPr="004C7801">
        <w:t>in the</w:t>
      </w:r>
      <w:r w:rsidRPr="004C7801">
        <w:t xml:space="preserve"> salaries of judges and prosecutors continues; whereas, as regards judicial independence, the justice system has been subject to new developments adding to existing concerns: the new rules allowing for </w:t>
      </w:r>
      <w:r w:rsidR="009322D0" w:rsidRPr="004C7801">
        <w:t xml:space="preserve">the </w:t>
      </w:r>
      <w:r w:rsidRPr="004C7801">
        <w:t>appointment of members of the Constitutional Court to the Supreme Court (Kúria) outside the normal procedure have been put in</w:t>
      </w:r>
      <w:r w:rsidR="009322D0" w:rsidRPr="004C7801">
        <w:t>to</w:t>
      </w:r>
      <w:r w:rsidRPr="004C7801">
        <w:t xml:space="preserve"> practice and </w:t>
      </w:r>
      <w:r w:rsidR="009322D0" w:rsidRPr="004C7801">
        <w:t xml:space="preserve">have </w:t>
      </w:r>
      <w:r w:rsidRPr="004C7801">
        <w:t>enabled the election of the new Kúria President, whose position was also endowed with additional powers</w:t>
      </w:r>
      <w:r w:rsidR="009322D0" w:rsidRPr="004C7801">
        <w:t xml:space="preserve"> and who</w:t>
      </w:r>
      <w:r w:rsidRPr="004C7801">
        <w:t xml:space="preserve"> was elected despite </w:t>
      </w:r>
      <w:r w:rsidR="009322D0" w:rsidRPr="004C7801">
        <w:t>an unfavourable</w:t>
      </w:r>
      <w:r w:rsidRPr="004C7801">
        <w:t xml:space="preserve"> opinion </w:t>
      </w:r>
      <w:r w:rsidR="009322D0" w:rsidRPr="004C7801">
        <w:t xml:space="preserve">from </w:t>
      </w:r>
      <w:r w:rsidRPr="004C7801">
        <w:t>the National Judicial Council (NJC);</w:t>
      </w:r>
      <w:r w:rsidR="009322D0" w:rsidRPr="004C7801">
        <w:t xml:space="preserve"> </w:t>
      </w:r>
      <w:r w:rsidRPr="004C7801">
        <w:t>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w:t>
      </w:r>
    </w:p>
    <w:p w14:paraId="1A53D7EC" w14:textId="040EBC7B" w:rsidR="0007577F" w:rsidRPr="004C7801" w:rsidRDefault="0007577F" w:rsidP="00AF1D14">
      <w:pPr>
        <w:spacing w:after="240"/>
        <w:ind w:left="426" w:hanging="426"/>
      </w:pPr>
      <w:r w:rsidRPr="004C7801">
        <w:t>I.</w:t>
      </w:r>
      <w:r w:rsidRPr="004C7801">
        <w:tab/>
        <w:t>whereas on 20 July 2021, the Commission indicated in the country chapter on Hungary of the 2021 Rule of Law Report that the implementation of the anti-corruption strategy is ongoing</w:t>
      </w:r>
      <w:r w:rsidR="009322D0" w:rsidRPr="004C7801">
        <w:t>,</w:t>
      </w:r>
      <w:r w:rsidRPr="004C7801">
        <w:t xml:space="preserve"> but its scope remains limited, and shortcomings persist as regards political party financing, lobbying and </w:t>
      </w:r>
      <w:r w:rsidR="004C7801">
        <w:t>‘</w:t>
      </w:r>
      <w:r w:rsidRPr="004C7801">
        <w:t>revolving doors</w:t>
      </w:r>
      <w:r w:rsidR="004C7801">
        <w:t>’</w:t>
      </w:r>
      <w:r w:rsidRPr="004C7801">
        <w:t>; whereas risks of clientelism, favouritism and nepotism in high-level public administration</w:t>
      </w:r>
      <w:r w:rsidR="009322D0" w:rsidRPr="004C7801">
        <w:t>,</w:t>
      </w:r>
      <w:r w:rsidRPr="004C7801">
        <w:t xml:space="preserve"> as well as risks arising from the link between businesses and political actors</w:t>
      </w:r>
      <w:r w:rsidR="009322D0" w:rsidRPr="004C7801">
        <w:t>,</w:t>
      </w:r>
      <w:r w:rsidRPr="004C7801">
        <w:t xml:space="preserve"> remain unaddressed, independent control mechanisms remain insufficient for detecting corruption, </w:t>
      </w:r>
      <w:r w:rsidR="009322D0" w:rsidRPr="004C7801">
        <w:t xml:space="preserve">and </w:t>
      </w:r>
      <w:r w:rsidRPr="004C7801">
        <w:t xml:space="preserve">concerns remain regarding the lack of systematic checks and insufficient oversight of asset and interest declarations; whereas new criminal law provisions aim to address foreign bribery and informal payments in healthcare; whereas while the indictment rate for corruption cases is high, and some new high-level corruption cases </w:t>
      </w:r>
      <w:r w:rsidR="00DF7F01" w:rsidRPr="004C7801">
        <w:t xml:space="preserve">have been </w:t>
      </w:r>
      <w:r w:rsidRPr="004C7801">
        <w:t xml:space="preserve">opened since 2020, the track record for </w:t>
      </w:r>
      <w:r w:rsidR="00DF7F01" w:rsidRPr="004C7801">
        <w:t xml:space="preserve">the </w:t>
      </w:r>
      <w:r w:rsidRPr="004C7801">
        <w:t>investigation of allegations concerning high-level officials and their immediate circle remains limited;</w:t>
      </w:r>
    </w:p>
    <w:p w14:paraId="1B09E97D" w14:textId="60C86BEB" w:rsidR="0007577F" w:rsidRPr="004C7801" w:rsidRDefault="0007577F" w:rsidP="00AF1D14">
      <w:pPr>
        <w:spacing w:after="240"/>
        <w:ind w:left="426" w:hanging="426"/>
      </w:pPr>
      <w:r w:rsidRPr="004C7801">
        <w:t>J.</w:t>
      </w:r>
      <w:r w:rsidRPr="004C7801">
        <w:tab/>
        <w:t xml:space="preserve">whereas on 10 June 2021, </w:t>
      </w:r>
      <w:r w:rsidR="00DF7F01" w:rsidRPr="004C7801">
        <w:t>the European Anti-Fraud Office (</w:t>
      </w:r>
      <w:r w:rsidRPr="004C7801">
        <w:t>OLAF</w:t>
      </w:r>
      <w:r w:rsidR="00DF7F01" w:rsidRPr="004C7801">
        <w:t>)</w:t>
      </w:r>
      <w:r w:rsidRPr="004C7801">
        <w:t xml:space="preserve"> stated in its 2020 </w:t>
      </w:r>
      <w:r w:rsidR="00DF7F01" w:rsidRPr="004C7801">
        <w:t xml:space="preserve">Activity Report </w:t>
      </w:r>
      <w:r w:rsidRPr="004C7801">
        <w:t>that it had recommended</w:t>
      </w:r>
      <w:r w:rsidR="00DF7F01" w:rsidRPr="004C7801">
        <w:t xml:space="preserve"> that</w:t>
      </w:r>
      <w:r w:rsidRPr="004C7801">
        <w:t xml:space="preserve"> the Commission recover 2.2</w:t>
      </w:r>
      <w:r w:rsidR="00DF7F01" w:rsidRPr="004C7801">
        <w:t> </w:t>
      </w:r>
      <w:r w:rsidRPr="004C7801">
        <w:t xml:space="preserve">% of the payments made </w:t>
      </w:r>
      <w:r w:rsidR="00DF7F01" w:rsidRPr="004C7801">
        <w:t>under</w:t>
      </w:r>
      <w:r w:rsidRPr="004C7801">
        <w:t xml:space="preserve"> the European Structural and Investment Funds and</w:t>
      </w:r>
      <w:r w:rsidR="00666108" w:rsidRPr="004C7801">
        <w:t xml:space="preserve"> the</w:t>
      </w:r>
      <w:r w:rsidRPr="004C7801">
        <w:t xml:space="preserve"> </w:t>
      </w:r>
      <w:r w:rsidR="00666108" w:rsidRPr="004C7801">
        <w:t>European Agricultural Fund for Rural Development</w:t>
      </w:r>
      <w:r w:rsidRPr="004C7801">
        <w:t xml:space="preserve"> </w:t>
      </w:r>
      <w:r w:rsidR="00DF7F01" w:rsidRPr="004C7801">
        <w:t xml:space="preserve">for </w:t>
      </w:r>
      <w:r w:rsidRPr="004C7801">
        <w:t xml:space="preserve">the period 2016-2020; whereas this is the highest percentage of payments to be recovered among all </w:t>
      </w:r>
      <w:r w:rsidR="00DF7F01" w:rsidRPr="004C7801">
        <w:t xml:space="preserve">the </w:t>
      </w:r>
      <w:r w:rsidRPr="004C7801">
        <w:t xml:space="preserve">Member States and is far above the average </w:t>
      </w:r>
      <w:r w:rsidR="00DF7F01" w:rsidRPr="004C7801">
        <w:t xml:space="preserve">of </w:t>
      </w:r>
      <w:r w:rsidRPr="004C7801">
        <w:t>0.29</w:t>
      </w:r>
      <w:r w:rsidR="00DF7F01" w:rsidRPr="004C7801">
        <w:t> </w:t>
      </w:r>
      <w:r w:rsidRPr="004C7801">
        <w:t>%;</w:t>
      </w:r>
    </w:p>
    <w:p w14:paraId="664F0FC3" w14:textId="6B66DA0F" w:rsidR="0007577F" w:rsidRPr="004C7801" w:rsidRDefault="0007577F" w:rsidP="00AF1D14">
      <w:pPr>
        <w:spacing w:after="240"/>
        <w:ind w:left="426" w:hanging="426"/>
      </w:pPr>
      <w:r w:rsidRPr="004C7801">
        <w:t>K.</w:t>
      </w:r>
      <w:r w:rsidRPr="004C7801">
        <w:tab/>
        <w:t>whereas on 5 April 2022</w:t>
      </w:r>
      <w:r w:rsidR="00DF7F01" w:rsidRPr="004C7801">
        <w:t>,</w:t>
      </w:r>
      <w:r w:rsidRPr="004C7801">
        <w:t xml:space="preserve"> the Commission President announced that Commissioner </w:t>
      </w:r>
      <w:r w:rsidR="00DF7F01" w:rsidRPr="004C7801">
        <w:t xml:space="preserve">for Budget </w:t>
      </w:r>
      <w:r w:rsidRPr="004C7801">
        <w:t>Johannes Hahn ha</w:t>
      </w:r>
      <w:r w:rsidR="00DF7F01" w:rsidRPr="004C7801">
        <w:t>d</w:t>
      </w:r>
      <w:r w:rsidRPr="004C7801">
        <w:t xml:space="preserve"> informed the Hungarian authorities about the Commission</w:t>
      </w:r>
      <w:r w:rsidR="004C7801">
        <w:t>’</w:t>
      </w:r>
      <w:r w:rsidRPr="004C7801">
        <w:t xml:space="preserve">s plans to move on to the next step and formally </w:t>
      </w:r>
      <w:r w:rsidR="00704227" w:rsidRPr="004C7801">
        <w:t xml:space="preserve">trigger </w:t>
      </w:r>
      <w:r w:rsidR="00AF4ADB" w:rsidRPr="004C7801">
        <w:t>the Rule of Law Conditionality Regulation</w:t>
      </w:r>
      <w:r w:rsidR="00DF7F01" w:rsidRPr="004C7801">
        <w:rPr>
          <w:rStyle w:val="FootnoteReference"/>
        </w:rPr>
        <w:footnoteReference w:id="5"/>
      </w:r>
      <w:r w:rsidRPr="004C7801">
        <w:t>, mainly over corruption concerns;</w:t>
      </w:r>
    </w:p>
    <w:p w14:paraId="021CA441" w14:textId="176D1714" w:rsidR="0007577F" w:rsidRPr="004C7801" w:rsidRDefault="0007577F" w:rsidP="00AF1D14">
      <w:pPr>
        <w:pStyle w:val="NormalWeb"/>
        <w:spacing w:before="0" w:beforeAutospacing="0" w:after="240" w:afterAutospacing="0"/>
        <w:ind w:left="426" w:hanging="426"/>
      </w:pPr>
      <w:r w:rsidRPr="004C7801">
        <w:t>L.</w:t>
      </w:r>
      <w:r w:rsidRPr="004C7801">
        <w:tab/>
        <w:t>whereas on 20 July 2021, the Commission indicated in the country chapter on Hungary of the 2021 Rule of Law Report that media pluralism remains at risk</w:t>
      </w:r>
      <w:r w:rsidR="00E16450" w:rsidRPr="004C7801">
        <w:t xml:space="preserve"> and that</w:t>
      </w:r>
      <w:r w:rsidRPr="004C7801">
        <w:t xml:space="preserve"> concerns persist with regard to the independence and effectiveness of the </w:t>
      </w:r>
      <w:r w:rsidR="00E16450" w:rsidRPr="004C7801">
        <w:t>M</w:t>
      </w:r>
      <w:r w:rsidRPr="004C7801">
        <w:t>edia Authority, also in the light of the Media Council</w:t>
      </w:r>
      <w:r w:rsidR="004C7801">
        <w:t>’</w:t>
      </w:r>
      <w:r w:rsidRPr="004C7801">
        <w:t>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p>
    <w:p w14:paraId="1FD6011F" w14:textId="77777777" w:rsidR="0007577F" w:rsidRPr="004C7801" w:rsidRDefault="0007577F" w:rsidP="0007577F">
      <w:pPr>
        <w:pStyle w:val="Normal12Hanging"/>
        <w:ind w:left="357" w:hanging="357"/>
        <w:rPr>
          <w:szCs w:val="24"/>
        </w:rPr>
      </w:pPr>
      <w:r w:rsidRPr="004C7801">
        <w:rPr>
          <w:szCs w:val="24"/>
        </w:rPr>
        <w:t>1.</w:t>
      </w:r>
      <w:r w:rsidRPr="004C7801">
        <w:rPr>
          <w:szCs w:val="24"/>
        </w:rPr>
        <w:tab/>
        <w:t>Reiterates that the concerns of Parliament relate to the following issues in Hungary:</w:t>
      </w:r>
    </w:p>
    <w:p w14:paraId="6FF5BBE2" w14:textId="77777777" w:rsidR="0007577F" w:rsidRPr="004C7801" w:rsidRDefault="0007577F" w:rsidP="0007577F">
      <w:pPr>
        <w:pStyle w:val="Normal12Hanging"/>
        <w:ind w:left="709" w:hanging="357"/>
        <w:rPr>
          <w:szCs w:val="24"/>
        </w:rPr>
      </w:pPr>
      <w:r w:rsidRPr="004C7801">
        <w:rPr>
          <w:szCs w:val="24"/>
        </w:rPr>
        <w:t>– the functioning of the constitutional and electoral system;</w:t>
      </w:r>
    </w:p>
    <w:p w14:paraId="4135B1BB" w14:textId="77777777" w:rsidR="0007577F" w:rsidRPr="004C7801" w:rsidRDefault="0007577F" w:rsidP="0007577F">
      <w:pPr>
        <w:pStyle w:val="Normal12Hanging"/>
        <w:ind w:left="709" w:hanging="357"/>
        <w:rPr>
          <w:szCs w:val="24"/>
        </w:rPr>
      </w:pPr>
      <w:r w:rsidRPr="004C7801">
        <w:rPr>
          <w:szCs w:val="24"/>
        </w:rPr>
        <w:t>– the independence of the judiciary and of other institutions and the rights of judges;</w:t>
      </w:r>
    </w:p>
    <w:p w14:paraId="43F02AAD" w14:textId="77777777" w:rsidR="0007577F" w:rsidRPr="004C7801" w:rsidRDefault="0007577F" w:rsidP="0007577F">
      <w:pPr>
        <w:pStyle w:val="Normal12Hanging"/>
        <w:ind w:left="709" w:hanging="357"/>
        <w:rPr>
          <w:szCs w:val="24"/>
        </w:rPr>
      </w:pPr>
      <w:r w:rsidRPr="004C7801">
        <w:rPr>
          <w:szCs w:val="24"/>
        </w:rPr>
        <w:t>– corruption and conflicts of interest;</w:t>
      </w:r>
    </w:p>
    <w:p w14:paraId="6FA1FD38" w14:textId="77777777" w:rsidR="0007577F" w:rsidRPr="004C7801" w:rsidRDefault="0007577F" w:rsidP="0007577F">
      <w:pPr>
        <w:pStyle w:val="Normal12Hanging"/>
        <w:ind w:left="709" w:hanging="357"/>
        <w:rPr>
          <w:szCs w:val="24"/>
        </w:rPr>
      </w:pPr>
      <w:r w:rsidRPr="004C7801">
        <w:rPr>
          <w:szCs w:val="24"/>
        </w:rPr>
        <w:t>– privacy and data protection;</w:t>
      </w:r>
    </w:p>
    <w:p w14:paraId="347C4D66" w14:textId="77777777" w:rsidR="0007577F" w:rsidRPr="004C7801" w:rsidRDefault="0007577F" w:rsidP="0007577F">
      <w:pPr>
        <w:pStyle w:val="Normal12Hanging"/>
        <w:ind w:left="709" w:hanging="357"/>
        <w:rPr>
          <w:szCs w:val="24"/>
        </w:rPr>
      </w:pPr>
      <w:r w:rsidRPr="004C7801">
        <w:rPr>
          <w:szCs w:val="24"/>
        </w:rPr>
        <w:t>– freedom of expression;</w:t>
      </w:r>
    </w:p>
    <w:p w14:paraId="1FB205DE" w14:textId="77777777" w:rsidR="0007577F" w:rsidRPr="004C7801" w:rsidRDefault="0007577F" w:rsidP="0007577F">
      <w:pPr>
        <w:pStyle w:val="Normal12Hanging"/>
        <w:ind w:left="709" w:hanging="357"/>
        <w:rPr>
          <w:szCs w:val="24"/>
        </w:rPr>
      </w:pPr>
      <w:r w:rsidRPr="004C7801">
        <w:rPr>
          <w:szCs w:val="24"/>
        </w:rPr>
        <w:t>– academic freedom;</w:t>
      </w:r>
    </w:p>
    <w:p w14:paraId="0B97D7E3" w14:textId="77777777" w:rsidR="0007577F" w:rsidRPr="004C7801" w:rsidRDefault="0007577F" w:rsidP="0007577F">
      <w:pPr>
        <w:pStyle w:val="Normal12Hanging"/>
        <w:ind w:left="709" w:hanging="357"/>
        <w:rPr>
          <w:szCs w:val="24"/>
        </w:rPr>
      </w:pPr>
      <w:r w:rsidRPr="004C7801">
        <w:rPr>
          <w:szCs w:val="24"/>
        </w:rPr>
        <w:t>– freedom of religion;</w:t>
      </w:r>
    </w:p>
    <w:p w14:paraId="5B41E8D1" w14:textId="77777777" w:rsidR="0007577F" w:rsidRPr="004C7801" w:rsidRDefault="0007577F" w:rsidP="0007577F">
      <w:pPr>
        <w:pStyle w:val="Normal12Hanging"/>
        <w:ind w:left="709" w:hanging="357"/>
        <w:rPr>
          <w:szCs w:val="24"/>
        </w:rPr>
      </w:pPr>
      <w:r w:rsidRPr="004C7801">
        <w:rPr>
          <w:szCs w:val="24"/>
        </w:rPr>
        <w:t>– freedom of association;</w:t>
      </w:r>
    </w:p>
    <w:p w14:paraId="0A8D9377" w14:textId="77777777" w:rsidR="0007577F" w:rsidRPr="004C7801" w:rsidRDefault="0007577F" w:rsidP="0007577F">
      <w:pPr>
        <w:pStyle w:val="Normal12Hanging"/>
        <w:ind w:left="709" w:hanging="357"/>
        <w:rPr>
          <w:szCs w:val="24"/>
        </w:rPr>
      </w:pPr>
      <w:r w:rsidRPr="004C7801">
        <w:rPr>
          <w:szCs w:val="24"/>
        </w:rPr>
        <w:t>– the right to equal treatment;</w:t>
      </w:r>
    </w:p>
    <w:p w14:paraId="745EE12B" w14:textId="77777777" w:rsidR="0007577F" w:rsidRPr="004C7801" w:rsidRDefault="0007577F" w:rsidP="0007577F">
      <w:pPr>
        <w:pStyle w:val="Normal12Hanging"/>
        <w:ind w:hanging="215"/>
        <w:rPr>
          <w:b/>
          <w:i/>
          <w:szCs w:val="24"/>
        </w:rPr>
      </w:pPr>
      <w:r w:rsidRPr="004C7801">
        <w:rPr>
          <w:szCs w:val="24"/>
        </w:rPr>
        <w:t>– the rights of persons belonging to minorities, including Roma and Jews, and protection against hateful statements against such minorities;</w:t>
      </w:r>
    </w:p>
    <w:p w14:paraId="76F11D83" w14:textId="77777777" w:rsidR="0007577F" w:rsidRPr="004C7801" w:rsidRDefault="0007577F" w:rsidP="0007577F">
      <w:pPr>
        <w:pStyle w:val="Normal12Hanging"/>
        <w:ind w:left="709" w:hanging="357"/>
        <w:rPr>
          <w:szCs w:val="24"/>
        </w:rPr>
      </w:pPr>
      <w:r w:rsidRPr="004C7801">
        <w:rPr>
          <w:szCs w:val="24"/>
        </w:rPr>
        <w:t>– the fundamental rights of migrants, asylum seekers and refugees;</w:t>
      </w:r>
    </w:p>
    <w:p w14:paraId="1B062433" w14:textId="4F102054" w:rsidR="0007577F" w:rsidRPr="004C7801" w:rsidRDefault="0007577F" w:rsidP="0007577F">
      <w:pPr>
        <w:pStyle w:val="Normal12Hanging"/>
        <w:ind w:left="709" w:hanging="357"/>
        <w:rPr>
          <w:szCs w:val="24"/>
        </w:rPr>
      </w:pPr>
      <w:r w:rsidRPr="004C7801">
        <w:rPr>
          <w:szCs w:val="24"/>
        </w:rPr>
        <w:t>– economic and social rights</w:t>
      </w:r>
      <w:r w:rsidR="00E16450" w:rsidRPr="004C7801">
        <w:rPr>
          <w:szCs w:val="24"/>
        </w:rPr>
        <w:t>;</w:t>
      </w:r>
    </w:p>
    <w:p w14:paraId="55A78ADF" w14:textId="5E5507E4" w:rsidR="0007577F" w:rsidRPr="004C7801" w:rsidRDefault="0007577F" w:rsidP="0007577F">
      <w:pPr>
        <w:pStyle w:val="Normal12Hanging"/>
        <w:ind w:left="357" w:hanging="357"/>
        <w:rPr>
          <w:szCs w:val="24"/>
        </w:rPr>
      </w:pPr>
      <w:r w:rsidRPr="004C7801">
        <w:rPr>
          <w:szCs w:val="24"/>
        </w:rPr>
        <w:t>2.</w:t>
      </w:r>
      <w:r w:rsidRPr="004C7801">
        <w:rPr>
          <w:szCs w:val="24"/>
        </w:rPr>
        <w:tab/>
        <w:t>Believes that</w:t>
      </w:r>
      <w:r w:rsidR="00704227" w:rsidRPr="004C7801">
        <w:rPr>
          <w:szCs w:val="24"/>
        </w:rPr>
        <w:t>, taken together,</w:t>
      </w:r>
      <w:r w:rsidRPr="004C7801">
        <w:rPr>
          <w:szCs w:val="24"/>
        </w:rPr>
        <w:t xml:space="preserve"> the facts and trends mentioned in Parliament</w:t>
      </w:r>
      <w:r w:rsidR="004C7801">
        <w:rPr>
          <w:szCs w:val="24"/>
        </w:rPr>
        <w:t>’</w:t>
      </w:r>
      <w:r w:rsidRPr="004C7801">
        <w:rPr>
          <w:szCs w:val="24"/>
        </w:rPr>
        <w:t xml:space="preserve">s resolutions represent a systemic threat to the values of Article 2 TEU and constitute a clear risk of a serious breach thereof; expresses regret that the lack of decisive EU action </w:t>
      </w:r>
      <w:r w:rsidR="00E16450" w:rsidRPr="004C7801">
        <w:rPr>
          <w:szCs w:val="24"/>
        </w:rPr>
        <w:t xml:space="preserve">has </w:t>
      </w:r>
      <w:r w:rsidRPr="004C7801">
        <w:rPr>
          <w:szCs w:val="24"/>
        </w:rPr>
        <w:t>contributed to turning Hungary into hybrid regime of electoral autocracy</w:t>
      </w:r>
      <w:r w:rsidR="00E16450" w:rsidRPr="004C7801">
        <w:rPr>
          <w:szCs w:val="24"/>
        </w:rPr>
        <w:t>,</w:t>
      </w:r>
      <w:r w:rsidRPr="004C7801">
        <w:rPr>
          <w:szCs w:val="24"/>
        </w:rPr>
        <w:t xml:space="preserve"> according to </w:t>
      </w:r>
      <w:r w:rsidR="00704227" w:rsidRPr="004C7801">
        <w:rPr>
          <w:szCs w:val="24"/>
        </w:rPr>
        <w:t xml:space="preserve">the </w:t>
      </w:r>
      <w:r w:rsidRPr="004C7801">
        <w:rPr>
          <w:szCs w:val="24"/>
        </w:rPr>
        <w:t>relevant indices;</w:t>
      </w:r>
    </w:p>
    <w:p w14:paraId="17877EC1" w14:textId="05224BE9" w:rsidR="0007577F" w:rsidRPr="004C7801" w:rsidRDefault="0007577F" w:rsidP="0007577F">
      <w:pPr>
        <w:pStyle w:val="NormalHanging12a"/>
        <w:ind w:left="426" w:hanging="426"/>
        <w:rPr>
          <w:szCs w:val="24"/>
        </w:rPr>
      </w:pPr>
      <w:r w:rsidRPr="004C7801">
        <w:rPr>
          <w:szCs w:val="24"/>
        </w:rPr>
        <w:t>3.</w:t>
      </w:r>
      <w:r w:rsidRPr="004C7801">
        <w:rPr>
          <w:szCs w:val="24"/>
        </w:rPr>
        <w:tab/>
        <w:t xml:space="preserve">Strongly regrets the inability of the Council to make meaningful progress in </w:t>
      </w:r>
      <w:r w:rsidR="00E16450" w:rsidRPr="004C7801">
        <w:rPr>
          <w:szCs w:val="24"/>
        </w:rPr>
        <w:t xml:space="preserve">the </w:t>
      </w:r>
      <w:r w:rsidRPr="004C7801">
        <w:rPr>
          <w:szCs w:val="24"/>
        </w:rPr>
        <w:t xml:space="preserve">ongoing Article 7(1) TEU procedure; urges the Council to ensure that hearings take place at </w:t>
      </w:r>
      <w:r w:rsidR="00E16450" w:rsidRPr="004C7801">
        <w:rPr>
          <w:szCs w:val="24"/>
        </w:rPr>
        <w:t xml:space="preserve">a </w:t>
      </w:r>
      <w:r w:rsidRPr="004C7801">
        <w:rPr>
          <w:szCs w:val="24"/>
        </w:rPr>
        <w:t xml:space="preserve">minimum once per Presidency during ongoing Article 7 TEU procedures and also address new developments affecting </w:t>
      </w:r>
      <w:r w:rsidR="00E16450" w:rsidRPr="004C7801">
        <w:rPr>
          <w:szCs w:val="24"/>
        </w:rPr>
        <w:t xml:space="preserve">the </w:t>
      </w:r>
      <w:r w:rsidRPr="004C7801">
        <w:rPr>
          <w:szCs w:val="24"/>
        </w:rPr>
        <w:t xml:space="preserve">rule of law, democracy and fundamental rights; calls on the Council to publish comprehensive minutes after each hearing; emphasises that there is no need for unanimity in the Council </w:t>
      </w:r>
      <w:r w:rsidR="00E16450" w:rsidRPr="004C7801">
        <w:rPr>
          <w:szCs w:val="24"/>
        </w:rPr>
        <w:t>either</w:t>
      </w:r>
      <w:r w:rsidRPr="004C7801">
        <w:rPr>
          <w:szCs w:val="24"/>
        </w:rPr>
        <w:t xml:space="preserve"> to identify a clear risk of a serious breach of Union values under Article 7(1),</w:t>
      </w:r>
      <w:r w:rsidR="00E16450" w:rsidRPr="004C7801">
        <w:rPr>
          <w:szCs w:val="24"/>
        </w:rPr>
        <w:t xml:space="preserve"> or</w:t>
      </w:r>
      <w:r w:rsidRPr="004C7801">
        <w:rPr>
          <w:szCs w:val="24"/>
        </w:rPr>
        <w:t xml:space="preserve"> to address concrete recommendations to the Member States in question</w:t>
      </w:r>
      <w:r w:rsidR="00E16450" w:rsidRPr="004C7801">
        <w:rPr>
          <w:szCs w:val="24"/>
        </w:rPr>
        <w:t xml:space="preserve"> and </w:t>
      </w:r>
      <w:r w:rsidRPr="004C7801">
        <w:rPr>
          <w:szCs w:val="24"/>
        </w:rPr>
        <w:t xml:space="preserve">provide deadlines for the implementation of those recommendations; reiterates its call </w:t>
      </w:r>
      <w:r w:rsidR="00E16450" w:rsidRPr="004C7801">
        <w:rPr>
          <w:szCs w:val="24"/>
        </w:rPr>
        <w:t>for</w:t>
      </w:r>
      <w:r w:rsidRPr="004C7801">
        <w:rPr>
          <w:szCs w:val="24"/>
        </w:rPr>
        <w:t xml:space="preserve"> the Council to do so, underlining that any further delay </w:t>
      </w:r>
      <w:r w:rsidR="00E16450" w:rsidRPr="004C7801">
        <w:rPr>
          <w:szCs w:val="24"/>
        </w:rPr>
        <w:t xml:space="preserve">to </w:t>
      </w:r>
      <w:r w:rsidRPr="004C7801">
        <w:rPr>
          <w:szCs w:val="24"/>
        </w:rPr>
        <w:t>such action would amount to a breach of the rule of law principle by the Council itself; calls on the Council to</w:t>
      </w:r>
      <w:r w:rsidR="00E16450" w:rsidRPr="004C7801">
        <w:rPr>
          <w:szCs w:val="24"/>
        </w:rPr>
        <w:t xml:space="preserve"> issue</w:t>
      </w:r>
      <w:r w:rsidRPr="004C7801">
        <w:rPr>
          <w:szCs w:val="24"/>
        </w:rPr>
        <w:t xml:space="preserve"> recommendations to Hungary as soon as possible in order to remedy the issues mentioned in its resolution of 12 September 2018 and in </w:t>
      </w:r>
      <w:r w:rsidR="00AF4ADB" w:rsidRPr="004C7801">
        <w:rPr>
          <w:szCs w:val="24"/>
        </w:rPr>
        <w:t xml:space="preserve">the present </w:t>
      </w:r>
      <w:r w:rsidRPr="004C7801">
        <w:rPr>
          <w:szCs w:val="24"/>
        </w:rPr>
        <w:t xml:space="preserve">resolution, asking </w:t>
      </w:r>
      <w:r w:rsidR="00AF4ADB" w:rsidRPr="004C7801">
        <w:rPr>
          <w:szCs w:val="24"/>
        </w:rPr>
        <w:t xml:space="preserve">it </w:t>
      </w:r>
      <w:r w:rsidRPr="004C7801">
        <w:rPr>
          <w:szCs w:val="24"/>
        </w:rPr>
        <w:t xml:space="preserve">to implement all </w:t>
      </w:r>
      <w:r w:rsidR="00AF4ADB" w:rsidRPr="004C7801">
        <w:rPr>
          <w:szCs w:val="24"/>
        </w:rPr>
        <w:t xml:space="preserve">the </w:t>
      </w:r>
      <w:r w:rsidRPr="004C7801">
        <w:rPr>
          <w:szCs w:val="24"/>
        </w:rPr>
        <w:t>judgments and recommendations mentioned; insists that Parliament</w:t>
      </w:r>
      <w:r w:rsidR="004C7801">
        <w:rPr>
          <w:szCs w:val="24"/>
        </w:rPr>
        <w:t>’</w:t>
      </w:r>
      <w:r w:rsidRPr="004C7801">
        <w:rPr>
          <w:szCs w:val="24"/>
        </w:rPr>
        <w:t xml:space="preserve">s role and competences be duly respected; </w:t>
      </w:r>
    </w:p>
    <w:p w14:paraId="4416819D" w14:textId="5A8846A8" w:rsidR="0007577F" w:rsidRPr="004C7801" w:rsidRDefault="0007577F" w:rsidP="0007577F">
      <w:pPr>
        <w:pStyle w:val="NormalHanging12a"/>
        <w:ind w:left="426" w:hanging="426"/>
        <w:rPr>
          <w:szCs w:val="24"/>
        </w:rPr>
      </w:pPr>
      <w:r w:rsidRPr="004C7801">
        <w:rPr>
          <w:szCs w:val="24"/>
        </w:rPr>
        <w:t>4.</w:t>
      </w:r>
      <w:r w:rsidRPr="004C7801">
        <w:rPr>
          <w:szCs w:val="24"/>
        </w:rPr>
        <w:tab/>
        <w:t xml:space="preserve">Calls on the Commission to make full use of the tools available to address </w:t>
      </w:r>
      <w:r w:rsidR="00AF4ADB" w:rsidRPr="004C7801">
        <w:rPr>
          <w:szCs w:val="24"/>
        </w:rPr>
        <w:t>the</w:t>
      </w:r>
      <w:r w:rsidRPr="004C7801">
        <w:rPr>
          <w:szCs w:val="24"/>
        </w:rPr>
        <w:t xml:space="preserve"> clear risk of a serious breach by Hungary of the values on which the Union is founded, in particular expedited infringement procedures, applications for interim measures before the Court of Justice and actions regarding non-implementation of the Court</w:t>
      </w:r>
      <w:r w:rsidR="004C7801">
        <w:rPr>
          <w:szCs w:val="24"/>
        </w:rPr>
        <w:t>’</w:t>
      </w:r>
      <w:r w:rsidRPr="004C7801">
        <w:rPr>
          <w:szCs w:val="24"/>
        </w:rPr>
        <w:t xml:space="preserve">s judgments; recalls the importance of the Rule of Law Conditionality Regulation and welcomes the decision to trigger it in the case of Hungary, albeit after a long delay and with a limited scope; calls on the Commission to take immediate action under the </w:t>
      </w:r>
      <w:r w:rsidR="00AF4ADB" w:rsidRPr="004C7801">
        <w:rPr>
          <w:szCs w:val="24"/>
        </w:rPr>
        <w:t xml:space="preserve">regulation </w:t>
      </w:r>
      <w:r w:rsidRPr="004C7801">
        <w:rPr>
          <w:szCs w:val="24"/>
        </w:rPr>
        <w:t>as regards other breaches of th</w:t>
      </w:r>
      <w:bookmarkStart w:id="2" w:name="_GoBack"/>
      <w:bookmarkEnd w:id="2"/>
      <w:r w:rsidRPr="004C7801">
        <w:rPr>
          <w:szCs w:val="24"/>
        </w:rPr>
        <w:t xml:space="preserve">e rule of law; notes the risk of misuse of funds </w:t>
      </w:r>
      <w:r w:rsidR="00AF4ADB" w:rsidRPr="004C7801">
        <w:rPr>
          <w:szCs w:val="24"/>
        </w:rPr>
        <w:t xml:space="preserve">under </w:t>
      </w:r>
      <w:r w:rsidRPr="004C7801">
        <w:rPr>
          <w:szCs w:val="24"/>
        </w:rPr>
        <w:t xml:space="preserve">the Recovery and Resilience Facility and reiterates its call </w:t>
      </w:r>
      <w:r w:rsidR="00AF4ADB" w:rsidRPr="004C7801">
        <w:rPr>
          <w:szCs w:val="24"/>
        </w:rPr>
        <w:t xml:space="preserve">for the Commission </w:t>
      </w:r>
      <w:r w:rsidRPr="004C7801">
        <w:rPr>
          <w:szCs w:val="24"/>
        </w:rPr>
        <w:t>to refrain from approval of the Hungarian plan;</w:t>
      </w:r>
    </w:p>
    <w:p w14:paraId="2DF27E8B" w14:textId="46C7B938" w:rsidR="003106F9" w:rsidRPr="004C7801" w:rsidRDefault="0007577F" w:rsidP="00AF1D14">
      <w:pPr>
        <w:pStyle w:val="Normal12Hanging"/>
        <w:ind w:left="357" w:hanging="357"/>
      </w:pPr>
      <w:r w:rsidRPr="004C7801">
        <w:rPr>
          <w:szCs w:val="24"/>
        </w:rPr>
        <w:t>5.</w:t>
      </w:r>
      <w:r w:rsidRPr="004C7801">
        <w:rPr>
          <w:szCs w:val="24"/>
        </w:rPr>
        <w:tab/>
        <w:t xml:space="preserve">Instructs its President to forward this resolution to the Council, the Commission, the governments and parliaments of the Member States, the Council of Europe, the </w:t>
      </w:r>
      <w:r w:rsidR="00AF4ADB" w:rsidRPr="004C7801">
        <w:rPr>
          <w:szCs w:val="24"/>
        </w:rPr>
        <w:t>Organization for Security and Co-operation in Europe</w:t>
      </w:r>
      <w:r w:rsidRPr="004C7801">
        <w:rPr>
          <w:szCs w:val="24"/>
        </w:rPr>
        <w:t xml:space="preserve"> and the United Nations.</w:t>
      </w:r>
    </w:p>
    <w:sectPr w:rsidR="003106F9" w:rsidRPr="004C7801" w:rsidSect="005830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A7FB2" w14:textId="77777777" w:rsidR="00023BC5" w:rsidRPr="004C7801" w:rsidRDefault="00023BC5">
      <w:r w:rsidRPr="004C7801">
        <w:separator/>
      </w:r>
    </w:p>
  </w:endnote>
  <w:endnote w:type="continuationSeparator" w:id="0">
    <w:p w14:paraId="632E21E4" w14:textId="77777777" w:rsidR="00023BC5" w:rsidRPr="004C7801" w:rsidRDefault="00023BC5">
      <w:r w:rsidRPr="004C7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D7BA4" w14:textId="7FEABEEB" w:rsidR="00583094" w:rsidRPr="004C7801" w:rsidRDefault="00583094" w:rsidP="00583094">
    <w:pPr>
      <w:pStyle w:val="EPFooter"/>
    </w:pPr>
    <w:r w:rsidRPr="00583094">
      <w:t>PE</w:t>
    </w:r>
    <w:r w:rsidRPr="004C7801">
      <w:rPr>
        <w:rStyle w:val="HideTWBExt"/>
        <w:noProof w:val="0"/>
      </w:rPr>
      <w:t>&lt;NoPE&gt;</w:t>
    </w:r>
    <w:r w:rsidRPr="004C7801">
      <w:t>731.646</w:t>
    </w:r>
    <w:r w:rsidRPr="004C7801">
      <w:rPr>
        <w:rStyle w:val="HideTWBExt"/>
        <w:noProof w:val="0"/>
      </w:rPr>
      <w:t>&lt;/NoPE&gt;&lt;Version&gt;</w:t>
    </w:r>
    <w:r w:rsidRPr="004C7801">
      <w:t>v01-00</w:t>
    </w:r>
    <w:r w:rsidRPr="004C7801">
      <w:rPr>
        <w:rStyle w:val="HideTWBExt"/>
        <w:noProof w:val="0"/>
      </w:rPr>
      <w:t>&lt;/Version&gt;</w:t>
    </w:r>
    <w:r w:rsidRPr="004C7801">
      <w:tab/>
    </w:r>
    <w:r w:rsidRPr="004C7801">
      <w:fldChar w:fldCharType="begin"/>
    </w:r>
    <w:r w:rsidRPr="004C7801">
      <w:instrText xml:space="preserve"> PAGE  \* MERGEFORMAT </w:instrText>
    </w:r>
    <w:r w:rsidRPr="004C7801">
      <w:fldChar w:fldCharType="separate"/>
    </w:r>
    <w:r w:rsidR="004D0BA7">
      <w:rPr>
        <w:noProof/>
      </w:rPr>
      <w:t>6</w:t>
    </w:r>
    <w:r w:rsidRPr="004C7801">
      <w:fldChar w:fldCharType="end"/>
    </w:r>
    <w:r w:rsidRPr="00583094">
      <w:t>/</w:t>
    </w:r>
    <w:fldSimple w:instr=" NUMPAGES  \* MERGEFORMAT ">
      <w:r w:rsidR="004D0BA7">
        <w:rPr>
          <w:noProof/>
        </w:rPr>
        <w:t>7</w:t>
      </w:r>
    </w:fldSimple>
    <w:r w:rsidRPr="00583094">
      <w:tab/>
    </w:r>
    <w:r w:rsidRPr="004C7801">
      <w:rPr>
        <w:rStyle w:val="HideTWBExt"/>
        <w:noProof w:val="0"/>
      </w:rPr>
      <w:t>&lt;PathFdR&gt;</w:t>
    </w:r>
    <w:r w:rsidRPr="004C7801">
      <w:t>PR\1254832EN.docx</w:t>
    </w:r>
    <w:r w:rsidRPr="004C7801">
      <w:rPr>
        <w:rStyle w:val="HideTWBExt"/>
        <w:noProof w:val="0"/>
      </w:rPr>
      <w:t>&lt;/PathFdR&gt;</w:t>
    </w:r>
  </w:p>
  <w:p w14:paraId="38CEF031" w14:textId="52CE3E6F" w:rsidR="00067497" w:rsidRPr="004C7801" w:rsidRDefault="00583094" w:rsidP="00583094">
    <w:pPr>
      <w:pStyle w:val="EPFooter2"/>
    </w:pPr>
    <w:r w:rsidRPr="004C7801">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4FA8" w14:textId="3EBCF7A7" w:rsidR="00583094" w:rsidRPr="004C7801" w:rsidRDefault="00583094" w:rsidP="00583094">
    <w:pPr>
      <w:pStyle w:val="EPFooter"/>
    </w:pPr>
    <w:r w:rsidRPr="004C7801">
      <w:rPr>
        <w:rStyle w:val="HideTWBExt"/>
        <w:noProof w:val="0"/>
      </w:rPr>
      <w:t>&lt;PathFdR&gt;</w:t>
    </w:r>
    <w:r w:rsidRPr="004C7801">
      <w:t>PR\1254832EN.docx</w:t>
    </w:r>
    <w:r w:rsidRPr="004C7801">
      <w:rPr>
        <w:rStyle w:val="HideTWBExt"/>
        <w:noProof w:val="0"/>
      </w:rPr>
      <w:t>&lt;/PathFdR&gt;</w:t>
    </w:r>
    <w:r w:rsidRPr="004C7801">
      <w:tab/>
    </w:r>
    <w:r w:rsidRPr="004C7801">
      <w:fldChar w:fldCharType="begin"/>
    </w:r>
    <w:r w:rsidRPr="004C7801">
      <w:instrText xml:space="preserve"> PAGE  \* MERGEFORMAT </w:instrText>
    </w:r>
    <w:r w:rsidRPr="004C7801">
      <w:fldChar w:fldCharType="separate"/>
    </w:r>
    <w:r w:rsidR="004D0BA7">
      <w:rPr>
        <w:noProof/>
      </w:rPr>
      <w:t>7</w:t>
    </w:r>
    <w:r w:rsidRPr="004C7801">
      <w:fldChar w:fldCharType="end"/>
    </w:r>
    <w:r w:rsidRPr="004C7801">
      <w:t>/</w:t>
    </w:r>
    <w:fldSimple w:instr=" NUMPAGES  \* MERGEFORMAT ">
      <w:r w:rsidR="004D0BA7">
        <w:rPr>
          <w:noProof/>
        </w:rPr>
        <w:t>7</w:t>
      </w:r>
    </w:fldSimple>
    <w:r w:rsidRPr="004C7801">
      <w:tab/>
      <w:t>PE</w:t>
    </w:r>
    <w:r w:rsidRPr="004C7801">
      <w:rPr>
        <w:rStyle w:val="HideTWBExt"/>
        <w:noProof w:val="0"/>
      </w:rPr>
      <w:t>&lt;NoPE&gt;</w:t>
    </w:r>
    <w:r w:rsidRPr="004C7801">
      <w:t>731.646</w:t>
    </w:r>
    <w:r w:rsidRPr="004C7801">
      <w:rPr>
        <w:rStyle w:val="HideTWBExt"/>
        <w:noProof w:val="0"/>
      </w:rPr>
      <w:t>&lt;/NoPE&gt;&lt;Version&gt;</w:t>
    </w:r>
    <w:r w:rsidRPr="004C7801">
      <w:t>v01-00</w:t>
    </w:r>
    <w:r w:rsidRPr="004C7801">
      <w:rPr>
        <w:rStyle w:val="HideTWBExt"/>
        <w:noProof w:val="0"/>
      </w:rPr>
      <w:t>&lt;/Version&gt;</w:t>
    </w:r>
  </w:p>
  <w:p w14:paraId="5DF6F813" w14:textId="34164916" w:rsidR="00067497" w:rsidRPr="004C7801" w:rsidRDefault="00583094" w:rsidP="00583094">
    <w:pPr>
      <w:pStyle w:val="EPFooter2"/>
    </w:pPr>
    <w:r w:rsidRPr="004C7801">
      <w:tab/>
    </w:r>
    <w:r w:rsidRPr="004C7801">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638E" w14:textId="77777777" w:rsidR="00583094" w:rsidRPr="004C7801" w:rsidRDefault="00583094" w:rsidP="00583094">
    <w:pPr>
      <w:pStyle w:val="EPFooter"/>
    </w:pPr>
    <w:r w:rsidRPr="004C7801">
      <w:rPr>
        <w:rStyle w:val="HideTWBExt"/>
        <w:noProof w:val="0"/>
      </w:rPr>
      <w:t>&lt;PathFdR&gt;</w:t>
    </w:r>
    <w:r w:rsidRPr="004C7801">
      <w:t>PR\1254832EN.docx</w:t>
    </w:r>
    <w:r w:rsidRPr="004C7801">
      <w:rPr>
        <w:rStyle w:val="HideTWBExt"/>
        <w:noProof w:val="0"/>
      </w:rPr>
      <w:t>&lt;/PathFdR&gt;</w:t>
    </w:r>
    <w:r w:rsidRPr="004C7801">
      <w:tab/>
    </w:r>
    <w:r w:rsidRPr="004C7801">
      <w:tab/>
      <w:t>PE</w:t>
    </w:r>
    <w:r w:rsidRPr="004C7801">
      <w:rPr>
        <w:rStyle w:val="HideTWBExt"/>
        <w:noProof w:val="0"/>
      </w:rPr>
      <w:t>&lt;NoPE&gt;</w:t>
    </w:r>
    <w:r w:rsidRPr="004C7801">
      <w:t>731.646</w:t>
    </w:r>
    <w:r w:rsidRPr="004C7801">
      <w:rPr>
        <w:rStyle w:val="HideTWBExt"/>
        <w:noProof w:val="0"/>
      </w:rPr>
      <w:t>&lt;/NoPE&gt;&lt;Version&gt;</w:t>
    </w:r>
    <w:r w:rsidRPr="004C7801">
      <w:t>v01-00</w:t>
    </w:r>
    <w:r w:rsidRPr="004C7801">
      <w:rPr>
        <w:rStyle w:val="HideTWBExt"/>
        <w:noProof w:val="0"/>
      </w:rPr>
      <w:t>&lt;/Version&gt;</w:t>
    </w:r>
  </w:p>
  <w:p w14:paraId="1AD12B6F" w14:textId="6CE6C539" w:rsidR="00067497" w:rsidRPr="004C7801" w:rsidRDefault="00583094" w:rsidP="00583094">
    <w:pPr>
      <w:pStyle w:val="EPFooter2"/>
    </w:pPr>
    <w:r w:rsidRPr="004C7801">
      <w:t>EN</w:t>
    </w:r>
    <w:r w:rsidRPr="004C7801">
      <w:tab/>
    </w:r>
    <w:r w:rsidRPr="004C7801">
      <w:rPr>
        <w:b w:val="0"/>
        <w:i/>
        <w:color w:val="C0C0C0"/>
        <w:sz w:val="22"/>
      </w:rPr>
      <w:t>United in diversity</w:t>
    </w:r>
    <w:r w:rsidRPr="004C780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A9D80" w14:textId="77777777" w:rsidR="00023BC5" w:rsidRPr="004C7801" w:rsidRDefault="00023BC5">
      <w:r w:rsidRPr="004C7801">
        <w:separator/>
      </w:r>
    </w:p>
  </w:footnote>
  <w:footnote w:type="continuationSeparator" w:id="0">
    <w:p w14:paraId="01F94DC7" w14:textId="77777777" w:rsidR="00023BC5" w:rsidRPr="004C7801" w:rsidRDefault="00023BC5">
      <w:r w:rsidRPr="004C7801">
        <w:continuationSeparator/>
      </w:r>
    </w:p>
  </w:footnote>
  <w:footnote w:id="1">
    <w:p w14:paraId="199A0F20" w14:textId="77777777" w:rsidR="009432EA" w:rsidRPr="004C7801" w:rsidRDefault="009432EA">
      <w:pPr>
        <w:pStyle w:val="FootnoteText"/>
      </w:pPr>
      <w:r w:rsidRPr="004C7801">
        <w:rPr>
          <w:rStyle w:val="FootnoteReference"/>
        </w:rPr>
        <w:footnoteRef/>
      </w:r>
      <w:r w:rsidRPr="004C7801">
        <w:t xml:space="preserve"> OJ C 433, 23.12.2019, p. 66.</w:t>
      </w:r>
    </w:p>
  </w:footnote>
  <w:footnote w:id="2">
    <w:p w14:paraId="46430668" w14:textId="77777777" w:rsidR="009432EA" w:rsidRPr="004C7801" w:rsidRDefault="009432EA">
      <w:pPr>
        <w:pStyle w:val="FootnoteText"/>
      </w:pPr>
      <w:r w:rsidRPr="004C7801">
        <w:rPr>
          <w:rStyle w:val="FootnoteReference"/>
        </w:rPr>
        <w:footnoteRef/>
      </w:r>
      <w:r w:rsidRPr="004C7801">
        <w:t xml:space="preserve"> OJ C 270, 7.7.2021, p. 91.</w:t>
      </w:r>
    </w:p>
  </w:footnote>
  <w:footnote w:id="3">
    <w:p w14:paraId="14599E13" w14:textId="77777777" w:rsidR="009432EA" w:rsidRPr="004C7801" w:rsidRDefault="009432EA">
      <w:pPr>
        <w:pStyle w:val="FootnoteText"/>
      </w:pPr>
      <w:r w:rsidRPr="004C7801">
        <w:rPr>
          <w:rStyle w:val="FootnoteReference"/>
        </w:rPr>
        <w:footnoteRef/>
      </w:r>
      <w:r w:rsidRPr="004C7801">
        <w:t xml:space="preserve"> OJ C 99, 1.3.2022, p. 218.</w:t>
      </w:r>
    </w:p>
  </w:footnote>
  <w:footnote w:id="4">
    <w:p w14:paraId="4D11EDA8" w14:textId="77777777" w:rsidR="00AF78A9" w:rsidRPr="004C7801" w:rsidRDefault="00AF78A9">
      <w:pPr>
        <w:pStyle w:val="FootnoteText"/>
      </w:pPr>
      <w:r w:rsidRPr="004C7801">
        <w:rPr>
          <w:rStyle w:val="FootnoteReference"/>
        </w:rPr>
        <w:footnoteRef/>
      </w:r>
      <w:r w:rsidRPr="004C7801">
        <w:t xml:space="preserve"> OJ C 316, 6.8.2021, p. 2.</w:t>
      </w:r>
    </w:p>
  </w:footnote>
  <w:footnote w:id="5">
    <w:p w14:paraId="43D72D0F" w14:textId="0F362301" w:rsidR="00DF7F01" w:rsidRPr="004C7801" w:rsidRDefault="00DF7F01">
      <w:pPr>
        <w:pStyle w:val="FootnoteText"/>
      </w:pPr>
      <w:r w:rsidRPr="004C7801">
        <w:rPr>
          <w:rStyle w:val="FootnoteReference"/>
        </w:rPr>
        <w:footnoteRef/>
      </w:r>
      <w:r w:rsidRPr="004C7801">
        <w:t xml:space="preserve"> </w:t>
      </w:r>
      <w:r w:rsidR="00AF4ADB" w:rsidRPr="004C7801">
        <w:t>Regulation (EU, Euratom) 2020/2092 of 16 December 2020 on a general regime of conditionality for the protection of the Union budget</w:t>
      </w:r>
      <w:r w:rsidR="00192DB7" w:rsidRPr="004C7801">
        <w:t xml:space="preserve">, </w:t>
      </w:r>
      <w:r w:rsidRPr="004C7801">
        <w:t>OJ L 433 I ,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BFB80" w14:textId="77777777" w:rsidR="004C7801" w:rsidRDefault="004C7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EAEB" w14:textId="77777777" w:rsidR="004C7801" w:rsidRDefault="004C7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7C5C7" w14:textId="77777777" w:rsidR="004C7801" w:rsidRDefault="004C7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COMKEY" w:val="LIBE"/>
    <w:docVar w:name="CopyToNetwork" w:val="-1"/>
    <w:docVar w:name="DOCMNU" w:val=" 3"/>
    <w:docVar w:name="DOCREFCMNU" w:val=" 1"/>
    <w:docVar w:name="LastEditedSection" w:val=" 1"/>
    <w:docVar w:name="strDocTypeID" w:val="PR_Consent_Interim"/>
    <w:docVar w:name="strSubDir" w:val="1254"/>
    <w:docVar w:name="TITLENLEMNU" w:val=" 1"/>
    <w:docVar w:name="TXTLANGUE" w:val="EN"/>
    <w:docVar w:name="TXTLANGUEMIN" w:val="en"/>
    <w:docVar w:name="TXTNRC" w:val="0000/2022"/>
    <w:docVar w:name="TXTNRCOM" w:val="2020(0111)"/>
    <w:docVar w:name="TXTNRPE" w:val="731.646"/>
    <w:docVar w:name="TXTNRPROC" w:val="2018/0902R"/>
    <w:docVar w:name="TXTPEorAP" w:val="PE"/>
    <w:docVar w:name="TXTROUTE" w:val="PR\1254832EN.docx"/>
    <w:docVar w:name="TXTTITLE" w:val="subject"/>
    <w:docVar w:name="TXTVERSION" w:val="01-00"/>
  </w:docVars>
  <w:rsids>
    <w:rsidRoot w:val="00023BC5"/>
    <w:rsid w:val="00021F22"/>
    <w:rsid w:val="00023BC5"/>
    <w:rsid w:val="00024F5C"/>
    <w:rsid w:val="000635FB"/>
    <w:rsid w:val="00067497"/>
    <w:rsid w:val="0007577F"/>
    <w:rsid w:val="000766C7"/>
    <w:rsid w:val="000A25F0"/>
    <w:rsid w:val="000D5806"/>
    <w:rsid w:val="000E4683"/>
    <w:rsid w:val="00171978"/>
    <w:rsid w:val="00192DB7"/>
    <w:rsid w:val="001B4E2B"/>
    <w:rsid w:val="001C2944"/>
    <w:rsid w:val="001E03A0"/>
    <w:rsid w:val="00204F65"/>
    <w:rsid w:val="00236C5F"/>
    <w:rsid w:val="00263471"/>
    <w:rsid w:val="0028783F"/>
    <w:rsid w:val="002C4972"/>
    <w:rsid w:val="002E0012"/>
    <w:rsid w:val="003106F9"/>
    <w:rsid w:val="003142E7"/>
    <w:rsid w:val="00322FD3"/>
    <w:rsid w:val="0032694A"/>
    <w:rsid w:val="0035103A"/>
    <w:rsid w:val="003A1613"/>
    <w:rsid w:val="003B3FBA"/>
    <w:rsid w:val="003D3402"/>
    <w:rsid w:val="00404059"/>
    <w:rsid w:val="00463EF7"/>
    <w:rsid w:val="0048673E"/>
    <w:rsid w:val="00487D37"/>
    <w:rsid w:val="004A0754"/>
    <w:rsid w:val="004A2939"/>
    <w:rsid w:val="004C1AF6"/>
    <w:rsid w:val="004C7801"/>
    <w:rsid w:val="004D0BA7"/>
    <w:rsid w:val="004E5CDF"/>
    <w:rsid w:val="0057485A"/>
    <w:rsid w:val="00583094"/>
    <w:rsid w:val="005B50CE"/>
    <w:rsid w:val="006053F6"/>
    <w:rsid w:val="00666108"/>
    <w:rsid w:val="00680DDD"/>
    <w:rsid w:val="006909E1"/>
    <w:rsid w:val="006F6D23"/>
    <w:rsid w:val="00704227"/>
    <w:rsid w:val="007162FD"/>
    <w:rsid w:val="00742BB4"/>
    <w:rsid w:val="0077773A"/>
    <w:rsid w:val="00781AD1"/>
    <w:rsid w:val="007E687B"/>
    <w:rsid w:val="007F1762"/>
    <w:rsid w:val="00803343"/>
    <w:rsid w:val="00813535"/>
    <w:rsid w:val="00856F3C"/>
    <w:rsid w:val="008720FE"/>
    <w:rsid w:val="008C670B"/>
    <w:rsid w:val="009322D0"/>
    <w:rsid w:val="009432EA"/>
    <w:rsid w:val="009B1487"/>
    <w:rsid w:val="00A100E7"/>
    <w:rsid w:val="00A67729"/>
    <w:rsid w:val="00AA2B5C"/>
    <w:rsid w:val="00AB1FEF"/>
    <w:rsid w:val="00AB6B96"/>
    <w:rsid w:val="00AC3D09"/>
    <w:rsid w:val="00AC56E6"/>
    <w:rsid w:val="00AD3B1F"/>
    <w:rsid w:val="00AE705E"/>
    <w:rsid w:val="00AF1D14"/>
    <w:rsid w:val="00AF4ADB"/>
    <w:rsid w:val="00AF78A9"/>
    <w:rsid w:val="00B12FCA"/>
    <w:rsid w:val="00B67352"/>
    <w:rsid w:val="00B801D1"/>
    <w:rsid w:val="00B87D7F"/>
    <w:rsid w:val="00BA423D"/>
    <w:rsid w:val="00BC3795"/>
    <w:rsid w:val="00BE4A35"/>
    <w:rsid w:val="00C00C0C"/>
    <w:rsid w:val="00C04C3A"/>
    <w:rsid w:val="00C373E1"/>
    <w:rsid w:val="00C40836"/>
    <w:rsid w:val="00C70A30"/>
    <w:rsid w:val="00C70FF0"/>
    <w:rsid w:val="00C747FC"/>
    <w:rsid w:val="00C85986"/>
    <w:rsid w:val="00CF18C6"/>
    <w:rsid w:val="00D3134D"/>
    <w:rsid w:val="00D334B2"/>
    <w:rsid w:val="00D7747A"/>
    <w:rsid w:val="00DE6946"/>
    <w:rsid w:val="00DF1BBC"/>
    <w:rsid w:val="00DF7F01"/>
    <w:rsid w:val="00E00418"/>
    <w:rsid w:val="00E0465F"/>
    <w:rsid w:val="00E14752"/>
    <w:rsid w:val="00E16450"/>
    <w:rsid w:val="00E219A2"/>
    <w:rsid w:val="00E55356"/>
    <w:rsid w:val="00EA16DD"/>
    <w:rsid w:val="00EB7F1C"/>
    <w:rsid w:val="00EC3F2C"/>
    <w:rsid w:val="00EE207E"/>
    <w:rsid w:val="00EE5C50"/>
    <w:rsid w:val="00EF3E4D"/>
    <w:rsid w:val="00F04DF0"/>
    <w:rsid w:val="00F055F9"/>
    <w:rsid w:val="00F33E61"/>
    <w:rsid w:val="00FD0C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A8FA0"/>
  <w15:chartTrackingRefBased/>
  <w15:docId w15:val="{567A5B0E-D6D1-4E0F-8AE5-666E224C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uiPriority w:val="99"/>
    <w:rPr>
      <w:b/>
    </w:rPr>
  </w:style>
  <w:style w:type="paragraph" w:customStyle="1" w:styleId="NormalHanging12a">
    <w:name w:val="NormalHanging12a"/>
    <w:basedOn w:val="Normal"/>
    <w:uiPriority w:val="99"/>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styleId="NormalWeb">
    <w:name w:val="Normal (Web)"/>
    <w:basedOn w:val="Normal"/>
    <w:uiPriority w:val="99"/>
    <w:unhideWhenUsed/>
    <w:rsid w:val="0007577F"/>
    <w:pPr>
      <w:widowControl/>
      <w:spacing w:before="100" w:beforeAutospacing="1" w:after="100" w:afterAutospacing="1"/>
    </w:pPr>
    <w:rPr>
      <w:szCs w:val="24"/>
      <w:lang w:eastAsia="en-US"/>
    </w:rPr>
  </w:style>
  <w:style w:type="character" w:customStyle="1" w:styleId="Normal12Char">
    <w:name w:val="Normal12 Char"/>
    <w:link w:val="Normal12"/>
    <w:locked/>
    <w:rsid w:val="0007577F"/>
    <w:rPr>
      <w:sz w:val="24"/>
    </w:rPr>
  </w:style>
  <w:style w:type="paragraph" w:customStyle="1" w:styleId="Normal12">
    <w:name w:val="Normal12"/>
    <w:basedOn w:val="Normal"/>
    <w:link w:val="Normal12Char"/>
    <w:qFormat/>
    <w:rsid w:val="0007577F"/>
    <w:pPr>
      <w:widowControl/>
      <w:spacing w:after="240"/>
      <w:ind w:left="357" w:hanging="357"/>
    </w:pPr>
  </w:style>
  <w:style w:type="character" w:customStyle="1" w:styleId="Normal12HangingChar">
    <w:name w:val="Normal12Hanging Char"/>
    <w:link w:val="Normal12Hanging"/>
    <w:locked/>
    <w:rsid w:val="0007577F"/>
    <w:rPr>
      <w:sz w:val="24"/>
    </w:rPr>
  </w:style>
  <w:style w:type="paragraph" w:customStyle="1" w:styleId="Normal12Hanging">
    <w:name w:val="Normal12Hanging"/>
    <w:basedOn w:val="Normal12"/>
    <w:link w:val="Normal12HangingChar"/>
    <w:rsid w:val="0007577F"/>
    <w:pPr>
      <w:ind w:left="567" w:hanging="567"/>
    </w:pPr>
  </w:style>
  <w:style w:type="paragraph" w:styleId="Footer">
    <w:name w:val="footer"/>
    <w:basedOn w:val="Normal"/>
    <w:link w:val="FooterChar"/>
    <w:semiHidden/>
    <w:rsid w:val="0007577F"/>
    <w:pPr>
      <w:tabs>
        <w:tab w:val="center" w:pos="4513"/>
        <w:tab w:val="right" w:pos="9026"/>
      </w:tabs>
    </w:pPr>
  </w:style>
  <w:style w:type="character" w:customStyle="1" w:styleId="FooterChar">
    <w:name w:val="Footer Char"/>
    <w:basedOn w:val="DefaultParagraphFont"/>
    <w:link w:val="Footer"/>
    <w:semiHidden/>
    <w:rsid w:val="0007577F"/>
    <w:rPr>
      <w:sz w:val="24"/>
    </w:rPr>
  </w:style>
  <w:style w:type="paragraph" w:styleId="FootnoteText">
    <w:name w:val="footnote text"/>
    <w:basedOn w:val="Normal"/>
    <w:link w:val="FootnoteTextChar"/>
    <w:rsid w:val="009432EA"/>
    <w:rPr>
      <w:sz w:val="20"/>
    </w:rPr>
  </w:style>
  <w:style w:type="character" w:customStyle="1" w:styleId="FootnoteTextChar">
    <w:name w:val="Footnote Text Char"/>
    <w:basedOn w:val="DefaultParagraphFont"/>
    <w:link w:val="FootnoteText"/>
    <w:rsid w:val="009432EA"/>
  </w:style>
  <w:style w:type="character" w:styleId="FootnoteReference">
    <w:name w:val="footnote reference"/>
    <w:basedOn w:val="DefaultParagraphFont"/>
    <w:rsid w:val="009432EA"/>
    <w:rPr>
      <w:vertAlign w:val="superscript"/>
    </w:rPr>
  </w:style>
  <w:style w:type="paragraph" w:styleId="BalloonText">
    <w:name w:val="Balloon Text"/>
    <w:basedOn w:val="Normal"/>
    <w:link w:val="BalloonTextChar"/>
    <w:semiHidden/>
    <w:unhideWhenUsed/>
    <w:rsid w:val="00E00418"/>
    <w:rPr>
      <w:rFonts w:ascii="Segoe UI" w:hAnsi="Segoe UI" w:cs="Segoe UI"/>
      <w:sz w:val="18"/>
      <w:szCs w:val="18"/>
    </w:rPr>
  </w:style>
  <w:style w:type="character" w:customStyle="1" w:styleId="BalloonTextChar">
    <w:name w:val="Balloon Text Char"/>
    <w:basedOn w:val="DefaultParagraphFont"/>
    <w:link w:val="BalloonText"/>
    <w:semiHidden/>
    <w:rsid w:val="00E00418"/>
    <w:rPr>
      <w:rFonts w:ascii="Segoe UI" w:hAnsi="Segoe UI" w:cs="Segoe UI"/>
      <w:sz w:val="18"/>
      <w:szCs w:val="18"/>
    </w:rPr>
  </w:style>
  <w:style w:type="character" w:styleId="CommentReference">
    <w:name w:val="annotation reference"/>
    <w:basedOn w:val="DefaultParagraphFont"/>
    <w:rsid w:val="009322D0"/>
    <w:rPr>
      <w:sz w:val="16"/>
      <w:szCs w:val="16"/>
    </w:rPr>
  </w:style>
  <w:style w:type="paragraph" w:styleId="CommentText">
    <w:name w:val="annotation text"/>
    <w:basedOn w:val="Normal"/>
    <w:link w:val="CommentTextChar"/>
    <w:rsid w:val="009322D0"/>
    <w:rPr>
      <w:sz w:val="20"/>
    </w:rPr>
  </w:style>
  <w:style w:type="character" w:customStyle="1" w:styleId="CommentTextChar">
    <w:name w:val="Comment Text Char"/>
    <w:basedOn w:val="DefaultParagraphFont"/>
    <w:link w:val="CommentText"/>
    <w:rsid w:val="009322D0"/>
  </w:style>
  <w:style w:type="paragraph" w:styleId="CommentSubject">
    <w:name w:val="annotation subject"/>
    <w:basedOn w:val="CommentText"/>
    <w:next w:val="CommentText"/>
    <w:link w:val="CommentSubjectChar"/>
    <w:semiHidden/>
    <w:unhideWhenUsed/>
    <w:rsid w:val="009322D0"/>
    <w:rPr>
      <w:b/>
      <w:bCs/>
    </w:rPr>
  </w:style>
  <w:style w:type="character" w:customStyle="1" w:styleId="CommentSubjectChar">
    <w:name w:val="Comment Subject Char"/>
    <w:basedOn w:val="CommentTextChar"/>
    <w:link w:val="CommentSubject"/>
    <w:semiHidden/>
    <w:rsid w:val="009322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84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5CD46-EC93-4302-B61A-0C5CAF887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2064</Words>
  <Characters>11004</Characters>
  <Application>Microsoft Office Word</Application>
  <DocSecurity>0</DocSecurity>
  <Lines>189</Lines>
  <Paragraphs>70</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ARRIBAS Sophie</dc:creator>
  <cp:keywords/>
  <dc:description/>
  <cp:lastModifiedBy>GILL Ben</cp:lastModifiedBy>
  <cp:revision>2</cp:revision>
  <cp:lastPrinted>2022-04-28T14:16:00Z</cp:lastPrinted>
  <dcterms:created xsi:type="dcterms:W3CDTF">2022-04-29T07:54:00Z</dcterms:created>
  <dcterms:modified xsi:type="dcterms:W3CDTF">2022-04-29T07:54:00Z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9.12.2 Build [20220301]</vt:lpwstr>
  </property>
  <property fmtid="{D5CDD505-2E9C-101B-9397-08002B2CF9AE}" pid="4" name="LastEdited with">
    <vt:lpwstr>9.11.0 Build [20211103]</vt:lpwstr>
  </property>
  <property fmtid="{D5CDD505-2E9C-101B-9397-08002B2CF9AE}" pid="5" name="&lt;FdR&gt;">
    <vt:lpwstr>1254832</vt:lpwstr>
  </property>
  <property fmtid="{D5CDD505-2E9C-101B-9397-08002B2CF9AE}" pid="6" name="&lt;Type&gt;">
    <vt:lpwstr>PR</vt:lpwstr>
  </property>
  <property fmtid="{D5CDD505-2E9C-101B-9397-08002B2CF9AE}" pid="7" name="&lt;ModelCod&gt;">
    <vt:lpwstr>\\eiciBRUpr1\pdocep$\DocEP\DOCS\General\PR\PR_NonLeg\Other\PR_Consent_Interim.dotx(03/07/2020 10:56:03)</vt:lpwstr>
  </property>
  <property fmtid="{D5CDD505-2E9C-101B-9397-08002B2CF9AE}" pid="8" name="&lt;ModelTra&gt;">
    <vt:lpwstr>\\eiciBRUpr1\pdocep$\DocEP\TRANSFIL\EN\PR_Consent_Interim.EN(03/07/2020 10:55:06)</vt:lpwstr>
  </property>
  <property fmtid="{D5CDD505-2E9C-101B-9397-08002B2CF9AE}" pid="9" name="&lt;Model&gt;">
    <vt:lpwstr>PR_Consent_Interim</vt:lpwstr>
  </property>
  <property fmtid="{D5CDD505-2E9C-101B-9397-08002B2CF9AE}" pid="10" name="FooterPath">
    <vt:lpwstr>PR\1254832EN.docx</vt:lpwstr>
  </property>
  <property fmtid="{D5CDD505-2E9C-101B-9397-08002B2CF9AE}" pid="11" name="PE number">
    <vt:lpwstr>731.646</vt:lpwstr>
  </property>
  <property fmtid="{D5CDD505-2E9C-101B-9397-08002B2CF9AE}" pid="12" name="SendToEpades">
    <vt:lpwstr>OK - 2022/04/27 17:55</vt:lpwstr>
  </property>
  <property fmtid="{D5CDD505-2E9C-101B-9397-08002B2CF9AE}" pid="13" name="Bookout">
    <vt:lpwstr>OK - 2022/04/29 09:53</vt:lpwstr>
  </property>
</Properties>
</file>