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13D6F" w:rsidRPr="000A633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0A6335" w:rsidRDefault="00D00F40" w:rsidP="00C85D0F">
            <w:pPr>
              <w:pStyle w:val="EPName"/>
            </w:pPr>
            <w:bookmarkStart w:id="0" w:name="_GoBack"/>
            <w:bookmarkEnd w:id="0"/>
            <w:r>
              <w:t>Evropský parlament</w:t>
            </w:r>
          </w:p>
          <w:p w:rsidR="00B13D6F" w:rsidRPr="000A6335" w:rsidRDefault="000A6335" w:rsidP="000A6335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0A6335" w:rsidRDefault="00B13D6F" w:rsidP="00C85D0F">
            <w:pPr>
              <w:pStyle w:val="EPLogo"/>
            </w:pPr>
            <w:r w:rsidRPr="000A6335">
              <w:rPr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0A6335" w:rsidRDefault="00461601" w:rsidP="00461601">
      <w:pPr>
        <w:pStyle w:val="LineTop"/>
      </w:pPr>
    </w:p>
    <w:p w:rsidR="00461601" w:rsidRPr="000A6335" w:rsidRDefault="00461601" w:rsidP="00461601">
      <w:pPr>
        <w:pStyle w:val="EPBody"/>
      </w:pPr>
      <w:r>
        <w:rPr>
          <w:rStyle w:val="HideTWBExt"/>
          <w:noProof w:val="0"/>
        </w:rPr>
        <w:t>&lt;</w:t>
      </w:r>
      <w:r>
        <w:rPr>
          <w:rStyle w:val="HideTWBExt"/>
          <w:i w:val="0"/>
          <w:noProof w:val="0"/>
        </w:rPr>
        <w:t>Commission</w:t>
      </w:r>
      <w:r>
        <w:rPr>
          <w:rStyle w:val="HideTWBExt"/>
          <w:noProof w:val="0"/>
        </w:rPr>
        <w:t>&gt;</w:t>
      </w:r>
      <w:r>
        <w:rPr>
          <w:rStyle w:val="HideTWBInt"/>
        </w:rPr>
        <w:t>{LIBE}</w:t>
      </w:r>
      <w:r>
        <w:t>Výbor pro občanské svobody, spravedlnost a vnitřní věci</w:t>
      </w:r>
      <w:r>
        <w:rPr>
          <w:rStyle w:val="HideTWBExt"/>
          <w:noProof w:val="0"/>
        </w:rPr>
        <w:t>&lt;/</w:t>
      </w:r>
      <w:r>
        <w:rPr>
          <w:rStyle w:val="HideTWBExt"/>
          <w:i w:val="0"/>
          <w:noProof w:val="0"/>
        </w:rPr>
        <w:t>Commission</w:t>
      </w:r>
      <w:r>
        <w:rPr>
          <w:rStyle w:val="HideTWBExt"/>
          <w:noProof w:val="0"/>
        </w:rPr>
        <w:t>&gt;</w:t>
      </w:r>
    </w:p>
    <w:p w:rsidR="00461601" w:rsidRPr="000A6335" w:rsidRDefault="00461601" w:rsidP="00461601">
      <w:pPr>
        <w:pStyle w:val="LineBottom"/>
      </w:pPr>
    </w:p>
    <w:p w:rsidR="00793EA9" w:rsidRPr="000A6335" w:rsidRDefault="00793EA9">
      <w:pPr>
        <w:pStyle w:val="CoverReference"/>
      </w:pPr>
      <w:r>
        <w:rPr>
          <w:rStyle w:val="HideTWBExt"/>
          <w:b w:val="0"/>
          <w:noProof w:val="0"/>
        </w:rPr>
        <w:t>&lt;RefProc&gt;</w:t>
      </w:r>
      <w:r>
        <w:t>2021/0244</w:t>
      </w:r>
      <w:r>
        <w:rPr>
          <w:rStyle w:val="HideTWBExt"/>
          <w:b w:val="0"/>
          <w:noProof w:val="0"/>
        </w:rPr>
        <w:t>&lt;/RefProc&gt;&lt;RefTypeProc&gt;</w:t>
      </w:r>
      <w:r>
        <w:t>(COD)</w:t>
      </w:r>
      <w:r>
        <w:rPr>
          <w:rStyle w:val="HideTWBExt"/>
          <w:b w:val="0"/>
          <w:noProof w:val="0"/>
        </w:rPr>
        <w:t>&lt;/RefTypeProc&gt;</w:t>
      </w:r>
    </w:p>
    <w:p w:rsidR="00793EA9" w:rsidRPr="000A6335" w:rsidRDefault="00793EA9">
      <w:pPr>
        <w:pStyle w:val="CoverDate"/>
      </w:pPr>
      <w:r>
        <w:rPr>
          <w:rStyle w:val="HideTWBExt"/>
          <w:noProof w:val="0"/>
        </w:rPr>
        <w:t>&lt;Date&gt;</w:t>
      </w:r>
      <w:r>
        <w:rPr>
          <w:rStyle w:val="HideTWBInt"/>
        </w:rPr>
        <w:t>{01/07/2022}</w:t>
      </w:r>
      <w:r>
        <w:t>1.7.2022</w:t>
      </w:r>
      <w:r>
        <w:rPr>
          <w:rStyle w:val="HideTWBExt"/>
          <w:noProof w:val="0"/>
        </w:rPr>
        <w:t>&lt;/Date&gt;</w:t>
      </w:r>
    </w:p>
    <w:p w:rsidR="00793EA9" w:rsidRPr="000A6335" w:rsidRDefault="00793EA9">
      <w:pPr>
        <w:pStyle w:val="CoverDocType"/>
      </w:pPr>
      <w:r>
        <w:rPr>
          <w:rStyle w:val="HideTWBExt"/>
          <w:b w:val="0"/>
          <w:noProof w:val="0"/>
        </w:rPr>
        <w:t>&lt;RefProcLect&gt;</w:t>
      </w:r>
      <w:r>
        <w:t>***I</w:t>
      </w:r>
      <w:r>
        <w:rPr>
          <w:rStyle w:val="HideTWBExt"/>
          <w:b w:val="0"/>
          <w:noProof w:val="0"/>
        </w:rPr>
        <w:t>&lt;/RefProcLect&gt;</w:t>
      </w:r>
    </w:p>
    <w:p w:rsidR="00793EA9" w:rsidRPr="000A6335" w:rsidRDefault="00793EA9">
      <w:pPr>
        <w:pStyle w:val="CoverDocType24a"/>
      </w:pPr>
      <w:r>
        <w:rPr>
          <w:rStyle w:val="HideTWBExt"/>
          <w:b w:val="0"/>
          <w:noProof w:val="0"/>
        </w:rPr>
        <w:t>&lt;TitreType&gt;</w:t>
      </w:r>
      <w:r>
        <w:t>NÁVRH ZPRÁVY</w:t>
      </w:r>
      <w:r>
        <w:rPr>
          <w:rStyle w:val="HideTWBExt"/>
          <w:b w:val="0"/>
          <w:noProof w:val="0"/>
        </w:rPr>
        <w:t>&lt;/TitreType&gt;</w:t>
      </w:r>
    </w:p>
    <w:p w:rsidR="000A6335" w:rsidRPr="000A6335" w:rsidRDefault="000A6335" w:rsidP="000A6335">
      <w:pPr>
        <w:pStyle w:val="CoverNormal"/>
      </w:pPr>
      <w:r>
        <w:rPr>
          <w:rStyle w:val="HideTWBExt"/>
          <w:noProof w:val="0"/>
        </w:rPr>
        <w:t>&lt;Titre&gt;</w:t>
      </w:r>
      <w:r>
        <w:t>o návrhu směrnice Evropského parlamentu a Rady, kterou se mění směrnice Evropského parlamentu a Rady (EU) 2019/1153, pokud jde o přístup příslušných orgánů k centralizovaným registrům bankovních účtů prostřednictvím jednotného přístupového místa</w:t>
      </w:r>
      <w:r>
        <w:rPr>
          <w:rStyle w:val="HideTWBExt"/>
          <w:noProof w:val="0"/>
        </w:rPr>
        <w:t>&lt;/Titre&gt;</w:t>
      </w:r>
    </w:p>
    <w:p w:rsidR="00793EA9" w:rsidRPr="000A6335" w:rsidRDefault="000A6335" w:rsidP="000A6335">
      <w:pPr>
        <w:pStyle w:val="CoverNormal24a"/>
      </w:pPr>
      <w:r>
        <w:rPr>
          <w:rStyle w:val="HideTWBExt"/>
          <w:noProof w:val="0"/>
        </w:rPr>
        <w:t>&lt;DocRef&gt;</w:t>
      </w:r>
      <w:r>
        <w:t>(COM(2021)0429 – C9</w:t>
      </w:r>
      <w:r>
        <w:noBreakHyphen/>
        <w:t>0000/2022 – 2021/0244(COD))</w:t>
      </w:r>
      <w:r>
        <w:rPr>
          <w:rStyle w:val="HideTWBExt"/>
          <w:noProof w:val="0"/>
        </w:rPr>
        <w:t>&lt;/DocRef&gt;</w:t>
      </w:r>
    </w:p>
    <w:p w:rsidR="00793EA9" w:rsidRPr="000A6335" w:rsidRDefault="00793EA9">
      <w:pPr>
        <w:pStyle w:val="CoverNormal24a"/>
      </w:pPr>
      <w:r>
        <w:rPr>
          <w:rStyle w:val="HideTWBExt"/>
          <w:noProof w:val="0"/>
        </w:rPr>
        <w:t>&lt;Commission&gt;</w:t>
      </w:r>
      <w:r>
        <w:rPr>
          <w:rStyle w:val="HideTWBInt"/>
        </w:rPr>
        <w:t>{LIBE}</w:t>
      </w:r>
      <w:r>
        <w:t>Výbor pro občanské svobody, spravedlnost a vnitřní věci</w:t>
      </w:r>
      <w:r>
        <w:rPr>
          <w:rStyle w:val="HideTWBExt"/>
          <w:noProof w:val="0"/>
        </w:rPr>
        <w:t>&lt;/Commission&gt;</w:t>
      </w:r>
    </w:p>
    <w:p w:rsidR="00793EA9" w:rsidRPr="000A6335" w:rsidRDefault="000A6335">
      <w:pPr>
        <w:pStyle w:val="CoverNormal24a"/>
      </w:pPr>
      <w:r>
        <w:t xml:space="preserve">Zpravodaj: </w:t>
      </w:r>
      <w:r>
        <w:rPr>
          <w:rStyle w:val="HideTWBExt"/>
          <w:noProof w:val="0"/>
        </w:rPr>
        <w:t>&lt;Depute&gt;</w:t>
      </w:r>
      <w:r>
        <w:t>Emil Radev</w:t>
      </w:r>
      <w:r>
        <w:rPr>
          <w:rStyle w:val="HideTWBExt"/>
          <w:noProof w:val="0"/>
        </w:rPr>
        <w:t>&lt;/Depute&gt;</w:t>
      </w:r>
    </w:p>
    <w:p w:rsidR="001C5B44" w:rsidRPr="000A6335" w:rsidRDefault="001C5B44" w:rsidP="001C5B44">
      <w:pPr>
        <w:pStyle w:val="CoverNormal"/>
      </w:pPr>
    </w:p>
    <w:p w:rsidR="000A6335" w:rsidRPr="000A6335" w:rsidRDefault="00793EA9" w:rsidP="00894923">
      <w:r>
        <w:br w:type="page"/>
      </w:r>
      <w:fldSimple w:instr=" TITLE  \* MERGEFORMAT ">
        <w:r w:rsidR="009C1153">
          <w:t>PR_COD_1amCom</w:t>
        </w:r>
      </w:fldSimple>
    </w:p>
    <w:p w:rsidR="000A6335" w:rsidRPr="000A6335" w:rsidRDefault="000A6335" w:rsidP="00894923"/>
    <w:p w:rsidR="000A6335" w:rsidRPr="000A6335" w:rsidRDefault="000A6335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0A6335" w:rsidRPr="000A6335">
        <w:tc>
          <w:tcPr>
            <w:tcW w:w="5811" w:type="dxa"/>
          </w:tcPr>
          <w:p w:rsidR="000A6335" w:rsidRPr="000A6335" w:rsidRDefault="000A6335" w:rsidP="00894923">
            <w:pPr>
              <w:pStyle w:val="Lgendetitre"/>
            </w:pPr>
            <w:r>
              <w:t>Vysvětlivky</w:t>
            </w:r>
          </w:p>
        </w:tc>
      </w:tr>
      <w:tr w:rsidR="000A6335" w:rsidRPr="000A6335" w:rsidTr="00D60247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0A6335" w:rsidRPr="000A6335" w:rsidRDefault="000A6335" w:rsidP="00291397">
            <w:pPr>
              <w:pStyle w:val="Lgendesigne"/>
            </w:pPr>
            <w:r>
              <w:tab/>
              <w:t>*</w:t>
            </w:r>
            <w:r>
              <w:tab/>
              <w:t>Postup konzultace</w:t>
            </w:r>
          </w:p>
          <w:p w:rsidR="000A6335" w:rsidRPr="000A6335" w:rsidRDefault="000A6335" w:rsidP="00291397">
            <w:pPr>
              <w:pStyle w:val="Lgendesigne"/>
            </w:pPr>
            <w:r>
              <w:tab/>
              <w:t>***</w:t>
            </w:r>
            <w:r>
              <w:tab/>
              <w:t>Postup souhlasu</w:t>
            </w:r>
          </w:p>
          <w:p w:rsidR="000A6335" w:rsidRPr="000A6335" w:rsidRDefault="000A6335" w:rsidP="00291397">
            <w:pPr>
              <w:pStyle w:val="Lgendesigne"/>
            </w:pPr>
            <w:r>
              <w:tab/>
              <w:t>***I</w:t>
            </w:r>
            <w:r>
              <w:tab/>
              <w:t>Řádný legislativní postup (první čtení)</w:t>
            </w:r>
          </w:p>
          <w:p w:rsidR="000A6335" w:rsidRPr="000A6335" w:rsidRDefault="000A6335" w:rsidP="00291397">
            <w:pPr>
              <w:pStyle w:val="Lgendesigne"/>
            </w:pPr>
            <w:r>
              <w:tab/>
              <w:t>***II</w:t>
            </w:r>
            <w:r>
              <w:tab/>
              <w:t>Řádný legislativní postup (druhé čtení)</w:t>
            </w:r>
          </w:p>
          <w:p w:rsidR="000A6335" w:rsidRPr="000A6335" w:rsidRDefault="000A6335" w:rsidP="00291397">
            <w:pPr>
              <w:pStyle w:val="Lgendesigne"/>
            </w:pPr>
            <w:r>
              <w:tab/>
              <w:t>***III</w:t>
            </w:r>
            <w:r>
              <w:tab/>
              <w:t>Řádný legislativní postup (třetí čtení)</w:t>
            </w:r>
          </w:p>
          <w:p w:rsidR="000A6335" w:rsidRPr="000A6335" w:rsidRDefault="000A6335" w:rsidP="0069092A">
            <w:pPr>
              <w:pStyle w:val="Lgendestandard"/>
            </w:pPr>
          </w:p>
          <w:p w:rsidR="000A6335" w:rsidRPr="000A6335" w:rsidRDefault="000A6335" w:rsidP="0069092A">
            <w:pPr>
              <w:pStyle w:val="Lgendestandard"/>
            </w:pPr>
            <w:r>
              <w:t>(Druh postupu závisí na právním základu navrženém v návrhu aktu.)</w:t>
            </w:r>
          </w:p>
          <w:p w:rsidR="000A6335" w:rsidRPr="000A6335" w:rsidRDefault="000A6335" w:rsidP="008F1BC6">
            <w:pPr>
              <w:pStyle w:val="Lgendestandard"/>
            </w:pPr>
          </w:p>
        </w:tc>
      </w:tr>
    </w:tbl>
    <w:p w:rsidR="000A6335" w:rsidRPr="000A6335" w:rsidRDefault="000A6335" w:rsidP="00894923"/>
    <w:p w:rsidR="000A6335" w:rsidRPr="000A6335" w:rsidRDefault="000A6335" w:rsidP="00894923"/>
    <w:p w:rsidR="000A6335" w:rsidRPr="000A6335" w:rsidRDefault="000A6335" w:rsidP="00894923"/>
    <w:p w:rsidR="000A6335" w:rsidRPr="000A6335" w:rsidRDefault="000A6335" w:rsidP="00291397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0A6335" w:rsidRPr="000A6335" w:rsidTr="00740116">
        <w:tc>
          <w:tcPr>
            <w:tcW w:w="5811" w:type="dxa"/>
          </w:tcPr>
          <w:p w:rsidR="000A6335" w:rsidRPr="000A6335" w:rsidRDefault="000A6335" w:rsidP="00740116">
            <w:pPr>
              <w:pStyle w:val="Lgendetitre"/>
            </w:pPr>
            <w:r>
              <w:t>Pozměňovací návrhy k návrhu aktu</w:t>
            </w:r>
          </w:p>
        </w:tc>
      </w:tr>
      <w:tr w:rsidR="000A6335" w:rsidRPr="000A6335" w:rsidTr="00D60247">
        <w:trPr>
          <w:trHeight w:val="4213"/>
        </w:trPr>
        <w:tc>
          <w:tcPr>
            <w:tcW w:w="5811" w:type="dxa"/>
          </w:tcPr>
          <w:p w:rsidR="000A6335" w:rsidRPr="000A6335" w:rsidRDefault="000A6335" w:rsidP="00740116">
            <w:pPr>
              <w:pStyle w:val="Lgendestandard"/>
              <w:rPr>
                <w:szCs w:val="18"/>
              </w:rPr>
            </w:pPr>
            <w:r>
              <w:rPr>
                <w:b/>
              </w:rPr>
              <w:t>Pozměňovacích návrhy Parlamentu předložené ve dvou sloupcích</w:t>
            </w:r>
          </w:p>
          <w:p w:rsidR="000A6335" w:rsidRPr="000A6335" w:rsidRDefault="000A6335" w:rsidP="00740116">
            <w:pPr>
              <w:pStyle w:val="Lgendestandard"/>
              <w:rPr>
                <w:szCs w:val="18"/>
              </w:rPr>
            </w:pPr>
          </w:p>
          <w:p w:rsidR="000A6335" w:rsidRPr="000A6335" w:rsidRDefault="000A6335" w:rsidP="00740116">
            <w:pPr>
              <w:pStyle w:val="Lgendestandard"/>
              <w:rPr>
                <w:szCs w:val="18"/>
              </w:rPr>
            </w:pPr>
            <w:r>
              <w:t xml:space="preserve">Vypuštění textu je označeno </w:t>
            </w:r>
            <w:r>
              <w:rPr>
                <w:b/>
                <w:i/>
              </w:rPr>
              <w:t xml:space="preserve">tučnou kurzivou </w:t>
            </w:r>
            <w:r>
              <w:t xml:space="preserve">v levém sloupci. Nahrazení je označeno </w:t>
            </w:r>
            <w:r>
              <w:rPr>
                <w:b/>
                <w:i/>
              </w:rPr>
              <w:t>tučnou kurzivou</w:t>
            </w:r>
            <w:r>
              <w:t xml:space="preserve"> v obou sloupcích. Nový text je označen </w:t>
            </w:r>
            <w:r>
              <w:rPr>
                <w:b/>
                <w:i/>
              </w:rPr>
              <w:t>tučnou kurzivou</w:t>
            </w:r>
            <w:r>
              <w:t xml:space="preserve"> v pravém sloupci.</w:t>
            </w:r>
          </w:p>
          <w:p w:rsidR="000A6335" w:rsidRPr="000A6335" w:rsidRDefault="000A6335" w:rsidP="00740116">
            <w:pPr>
              <w:pStyle w:val="Lgendestandard"/>
            </w:pPr>
          </w:p>
          <w:p w:rsidR="000A6335" w:rsidRPr="000A6335" w:rsidRDefault="000A6335" w:rsidP="00740116">
            <w:pPr>
              <w:pStyle w:val="Lgendestandard"/>
            </w:pPr>
            <w:r>
              <w:t xml:space="preserve">První a druhý řádek záhlaví každého pozměňovacího návrhu označují příslušnou část projednávaného návrhu aktu. Pokud se pozměňovací návrh týká existujícího aktu, který má být návrhem aktu pozměněn, je v záhlaví mimo to na třetím řádku uveden existující akt a na čtvrtém řádku ustanovení existujícího aktu, kterého se pozměňovací návrh týká. </w:t>
            </w:r>
          </w:p>
          <w:p w:rsidR="000A6335" w:rsidRPr="000A6335" w:rsidRDefault="000A6335" w:rsidP="00740116">
            <w:pPr>
              <w:pStyle w:val="Lgendestandard"/>
            </w:pPr>
          </w:p>
          <w:p w:rsidR="000A6335" w:rsidRPr="000A6335" w:rsidRDefault="000A6335" w:rsidP="00740116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Pozměňovací návrhy Parlamentu v podobě konsolidovaného textu</w:t>
            </w:r>
          </w:p>
          <w:p w:rsidR="000A6335" w:rsidRPr="000A6335" w:rsidRDefault="000A6335" w:rsidP="00740116">
            <w:pPr>
              <w:pStyle w:val="Lgendestandard"/>
              <w:rPr>
                <w:szCs w:val="18"/>
              </w:rPr>
            </w:pPr>
          </w:p>
          <w:p w:rsidR="000A6335" w:rsidRPr="000A6335" w:rsidRDefault="000A6335" w:rsidP="00740116">
            <w:pPr>
              <w:pStyle w:val="Lgendestandard"/>
            </w:pPr>
            <w:r>
              <w:t xml:space="preserve">Nové části textu jsou označeny </w:t>
            </w:r>
            <w:r>
              <w:rPr>
                <w:b/>
                <w:i/>
              </w:rPr>
              <w:t>tučnou kurzivou</w:t>
            </w:r>
            <w:r>
              <w:t xml:space="preserve">. Vypuštěné části textu jsou označeny symbolem ▌nebo přeškrtnuty. Nahrazení se vyznačují tak, že nový text se označí </w:t>
            </w:r>
            <w:r>
              <w:rPr>
                <w:b/>
                <w:i/>
              </w:rPr>
              <w:t>tučnou kurzivou</w:t>
            </w:r>
            <w:r>
              <w:t xml:space="preserve"> a nahrazený text se vymaže nebo přeškrtne. Výjimečně se neoznačují změny výlučně technické povahy, které provedly příslušné útvary za účelem vypracování konečného znění.</w:t>
            </w:r>
          </w:p>
          <w:p w:rsidR="000A6335" w:rsidRPr="000A6335" w:rsidRDefault="000A6335" w:rsidP="00740116">
            <w:pPr>
              <w:pStyle w:val="Lgendestandard"/>
            </w:pPr>
          </w:p>
        </w:tc>
      </w:tr>
    </w:tbl>
    <w:p w:rsidR="000A6335" w:rsidRPr="000A6335" w:rsidRDefault="000A6335" w:rsidP="00291397"/>
    <w:p w:rsidR="000A6335" w:rsidRPr="000A6335" w:rsidRDefault="000A6335" w:rsidP="00291397"/>
    <w:p w:rsidR="00793EA9" w:rsidRPr="000A6335" w:rsidRDefault="00793EA9" w:rsidP="00012351">
      <w:pPr>
        <w:widowControl/>
        <w:tabs>
          <w:tab w:val="center" w:pos="4677"/>
        </w:tabs>
      </w:pPr>
    </w:p>
    <w:p w:rsidR="00793EA9" w:rsidRPr="000A6335" w:rsidRDefault="00793EA9">
      <w:pPr>
        <w:pStyle w:val="TOCHeading"/>
      </w:pPr>
      <w:r>
        <w:br w:type="page"/>
      </w:r>
      <w:r>
        <w:lastRenderedPageBreak/>
        <w:t>OBSAH</w:t>
      </w:r>
    </w:p>
    <w:p w:rsidR="00793EA9" w:rsidRPr="000A6335" w:rsidRDefault="00D00F40">
      <w:pPr>
        <w:pStyle w:val="TOCPage"/>
      </w:pPr>
      <w:r>
        <w:t>Strana</w:t>
      </w:r>
    </w:p>
    <w:p w:rsidR="009C1153" w:rsidRDefault="00C2332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0A6335">
        <w:rPr>
          <w:b/>
        </w:rPr>
        <w:fldChar w:fldCharType="begin"/>
      </w:r>
      <w:r w:rsidRPr="000A6335">
        <w:rPr>
          <w:b/>
        </w:rPr>
        <w:instrText xml:space="preserve"> TOC \t "PageHeading</w:instrText>
      </w:r>
      <w:r w:rsidR="009C1153">
        <w:rPr>
          <w:b/>
        </w:rPr>
        <w:instrText>;</w:instrText>
      </w:r>
      <w:r w:rsidRPr="000A6335">
        <w:rPr>
          <w:b/>
        </w:rPr>
        <w:instrText xml:space="preserve">1" </w:instrText>
      </w:r>
      <w:r w:rsidRPr="000A6335">
        <w:rPr>
          <w:b/>
        </w:rPr>
        <w:fldChar w:fldCharType="separate"/>
      </w:r>
      <w:r w:rsidR="009C1153">
        <w:rPr>
          <w:noProof/>
        </w:rPr>
        <w:t>NÁVRH LEGISLATIVNÍHO USNESENÍ EVROPSKÉHO PARLAMENTU</w:t>
      </w:r>
      <w:r w:rsidR="009C1153">
        <w:rPr>
          <w:noProof/>
        </w:rPr>
        <w:tab/>
      </w:r>
      <w:r w:rsidR="009C1153">
        <w:rPr>
          <w:noProof/>
        </w:rPr>
        <w:fldChar w:fldCharType="begin"/>
      </w:r>
      <w:r w:rsidR="009C1153">
        <w:rPr>
          <w:noProof/>
        </w:rPr>
        <w:instrText xml:space="preserve"> PAGEREF _Toc108441118 \h </w:instrText>
      </w:r>
      <w:r w:rsidR="009C1153">
        <w:rPr>
          <w:noProof/>
        </w:rPr>
      </w:r>
      <w:r w:rsidR="009C1153">
        <w:rPr>
          <w:noProof/>
        </w:rPr>
        <w:fldChar w:fldCharType="separate"/>
      </w:r>
      <w:r w:rsidR="009C1153">
        <w:rPr>
          <w:noProof/>
        </w:rPr>
        <w:t>5</w:t>
      </w:r>
      <w:r w:rsidR="009C1153">
        <w:rPr>
          <w:noProof/>
        </w:rPr>
        <w:fldChar w:fldCharType="end"/>
      </w:r>
    </w:p>
    <w:p w:rsidR="002346B0" w:rsidRPr="000A6335" w:rsidRDefault="00C23324" w:rsidP="00C23324">
      <w:r w:rsidRPr="000A6335">
        <w:rPr>
          <w:b/>
        </w:rPr>
        <w:fldChar w:fldCharType="end"/>
      </w:r>
    </w:p>
    <w:p w:rsidR="00793EA9" w:rsidRPr="000A6335" w:rsidRDefault="00793EA9">
      <w:pPr>
        <w:pStyle w:val="PageHeading"/>
      </w:pPr>
      <w:r>
        <w:br w:type="page"/>
      </w:r>
      <w:r>
        <w:br w:type="page"/>
      </w:r>
      <w:bookmarkStart w:id="1" w:name="_Toc108441118"/>
      <w:r>
        <w:t>NÁVRH LEGISLATIVNÍHO USNESENÍ EVROPSKÉHO PARLAMENTU</w:t>
      </w:r>
      <w:bookmarkEnd w:id="1"/>
    </w:p>
    <w:p w:rsidR="000A6335" w:rsidRPr="000A6335" w:rsidRDefault="000A6335" w:rsidP="000A6335">
      <w:pPr>
        <w:pStyle w:val="NormalBold"/>
      </w:pPr>
      <w:r>
        <w:t>o návrhu směrnice Evropského parlamentu a Rady, kterou se mění směrnice Evropského parlamentu a Rady (EU) 2019/1153, pokud jde o přístup příslušných orgánů k centralizovaným registrům bankovních účtů prostřednictvím jednotného přístupového místa</w:t>
      </w:r>
    </w:p>
    <w:p w:rsidR="00793EA9" w:rsidRPr="000A6335" w:rsidRDefault="000A6335" w:rsidP="000A6335">
      <w:pPr>
        <w:pStyle w:val="NormalBold12a"/>
      </w:pPr>
      <w:r>
        <w:t>(COM(2021)0429 – C9</w:t>
      </w:r>
      <w:r>
        <w:noBreakHyphen/>
        <w:t>0000/2022 – 2021/0244(COD))</w:t>
      </w:r>
    </w:p>
    <w:p w:rsidR="00793EA9" w:rsidRPr="000A6335" w:rsidRDefault="00D00F40" w:rsidP="00A910C9">
      <w:pPr>
        <w:pStyle w:val="NormalBold"/>
      </w:pPr>
      <w:r>
        <w:t>(Řádný legislativní postup: první čtení)</w:t>
      </w:r>
    </w:p>
    <w:p w:rsidR="00793EA9" w:rsidRPr="000A6335" w:rsidRDefault="00D00F40" w:rsidP="00A910C9">
      <w:pPr>
        <w:pStyle w:val="EPComma"/>
      </w:pPr>
      <w:r>
        <w:rPr>
          <w:i/>
        </w:rPr>
        <w:t>Evropský parlament</w:t>
      </w:r>
      <w:r>
        <w:t>,</w:t>
      </w:r>
    </w:p>
    <w:p w:rsidR="00793EA9" w:rsidRPr="000A6335" w:rsidRDefault="00793EA9">
      <w:pPr>
        <w:pStyle w:val="NormalHanging12a"/>
      </w:pPr>
      <w:r>
        <w:t>–</w:t>
      </w:r>
      <w:r>
        <w:tab/>
        <w:t>s ohledem na návrh Komise předložený Evropskému parlamentu a Radě (COM(2021)0429),</w:t>
      </w:r>
    </w:p>
    <w:p w:rsidR="00793EA9" w:rsidRPr="000A6335" w:rsidRDefault="00793EA9">
      <w:pPr>
        <w:pStyle w:val="NormalHanging12a"/>
      </w:pPr>
      <w:r>
        <w:t>–</w:t>
      </w:r>
      <w:r>
        <w:tab/>
        <w:t>s ohledem na čl. 294 odst. 2 a čl. 87 odst. 2 Smlouvy o fungování Evropské unie, v souladu s nimiž Komise předložila svůj návrh Parlamentu (C9</w:t>
      </w:r>
      <w:r>
        <w:noBreakHyphen/>
        <w:t>0000/2022),</w:t>
      </w:r>
    </w:p>
    <w:p w:rsidR="00A26F46" w:rsidRPr="000A6335" w:rsidRDefault="00A26F46" w:rsidP="00A26F46">
      <w:pPr>
        <w:pStyle w:val="NormalHanging12a"/>
      </w:pPr>
      <w:r>
        <w:t>–</w:t>
      </w:r>
      <w:r>
        <w:tab/>
        <w:t>s ohledem na čl. 294 odst. 3 Smlouvy o fungování Evropské unie,</w:t>
      </w:r>
    </w:p>
    <w:p w:rsidR="00793EA9" w:rsidRPr="000A6335" w:rsidRDefault="00793EA9">
      <w:pPr>
        <w:pStyle w:val="NormalHanging12a"/>
      </w:pPr>
      <w:r>
        <w:t>–</w:t>
      </w:r>
      <w:r>
        <w:tab/>
        <w:t>s ohledem na článek 59 jednacího řádu,</w:t>
      </w:r>
    </w:p>
    <w:p w:rsidR="006A2F5D" w:rsidRPr="000A6335" w:rsidRDefault="006A2F5D" w:rsidP="006A2F5D">
      <w:pPr>
        <w:pStyle w:val="NormalHanging12a"/>
      </w:pPr>
      <w:r>
        <w:t>–</w:t>
      </w:r>
      <w:r>
        <w:tab/>
        <w:t>s ohledem na stanovisko Hospodářského a měnového výboru,</w:t>
      </w:r>
    </w:p>
    <w:p w:rsidR="006A2F5D" w:rsidRPr="000A6335" w:rsidRDefault="006A2F5D" w:rsidP="006A2F5D">
      <w:pPr>
        <w:pStyle w:val="NormalHanging12a"/>
      </w:pPr>
      <w:r>
        <w:t>–</w:t>
      </w:r>
      <w:r>
        <w:tab/>
        <w:t>s ohledem na zprávu Výboru pro občanské svobody, spravedlnost a vnitřní věci (A9</w:t>
      </w:r>
      <w:r>
        <w:noBreakHyphen/>
        <w:t>0000/2022),</w:t>
      </w:r>
    </w:p>
    <w:p w:rsidR="009F6C2F" w:rsidRPr="000A6335" w:rsidRDefault="009F6C2F" w:rsidP="009F6C2F">
      <w:pPr>
        <w:pStyle w:val="NormalHanging12a"/>
      </w:pPr>
      <w:r>
        <w:t>1.</w:t>
      </w:r>
      <w:r>
        <w:tab/>
        <w:t>přijímá níže uvedený postoj v prvním čtení;</w:t>
      </w:r>
    </w:p>
    <w:p w:rsidR="009F6C2F" w:rsidRPr="000A6335" w:rsidRDefault="000A6335" w:rsidP="009F6C2F">
      <w:pPr>
        <w:pStyle w:val="NormalHanging12a"/>
      </w:pPr>
      <w:r>
        <w:t>2.</w:t>
      </w:r>
      <w:r>
        <w:tab/>
        <w:t>vyzývá Komisi, aby věc znovu postoupila Parlamentu, jestliže svůj návrh nahradí jiným textem, podstatně jej změní nebo má v úmyslu jej podstatně změnit;</w:t>
      </w:r>
    </w:p>
    <w:p w:rsidR="009F6C2F" w:rsidRPr="000A6335" w:rsidRDefault="000A6335" w:rsidP="009F6C2F">
      <w:pPr>
        <w:pStyle w:val="NormalHanging12a"/>
      </w:pPr>
      <w:r>
        <w:t>3.</w:t>
      </w:r>
      <w:r>
        <w:tab/>
        <w:t>pověřuje svou předsedkyni, aby předala postoj Parlamentu Radě a Komisi, jakož i vnitrostátním parlamentům.</w:t>
      </w:r>
    </w:p>
    <w:p w:rsidR="00D30DE2" w:rsidRPr="000A6335" w:rsidRDefault="00D30DE2" w:rsidP="00D30DE2"/>
    <w:p w:rsidR="002669B6" w:rsidRPr="000A6335" w:rsidRDefault="002669B6" w:rsidP="00212B84">
      <w:pPr>
        <w:pStyle w:val="AmNumberTabs"/>
        <w:keepNext/>
      </w:pPr>
      <w:r>
        <w:rPr>
          <w:rStyle w:val="HideTWBExt"/>
          <w:b w:val="0"/>
          <w:noProof w:val="0"/>
        </w:rPr>
        <w:t>&lt;RepeatBlock-Amend&gt;</w:t>
      </w:r>
      <w:bookmarkStart w:id="2" w:name="restart"/>
      <w:r>
        <w:rPr>
          <w:rStyle w:val="HideTWBExt"/>
          <w:b w:val="0"/>
          <w:noProof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</w:rPr>
        <w:t>&lt;NumAm&gt;</w:t>
      </w:r>
      <w:r>
        <w:t>1</w:t>
      </w:r>
      <w:r>
        <w:rPr>
          <w:rStyle w:val="HideTWBExt"/>
          <w:b w:val="0"/>
          <w:noProof w:val="0"/>
        </w:rPr>
        <w:t>&lt;/NumAm&gt;</w:t>
      </w:r>
    </w:p>
    <w:p w:rsidR="002669B6" w:rsidRPr="000A6335" w:rsidRDefault="002669B6" w:rsidP="00212B84">
      <w:pPr>
        <w:pStyle w:val="NormalBold12b"/>
        <w:keepNext/>
      </w:pPr>
      <w:r>
        <w:rPr>
          <w:rStyle w:val="HideTWBExt"/>
          <w:b w:val="0"/>
          <w:noProof w:val="0"/>
        </w:rPr>
        <w:t>&lt;DocAmend&gt;</w:t>
      </w:r>
      <w:r>
        <w:t>Návrh směrnice</w:t>
      </w:r>
      <w:r>
        <w:rPr>
          <w:rStyle w:val="HideTWBExt"/>
          <w:b w:val="0"/>
          <w:noProof w:val="0"/>
        </w:rPr>
        <w:t>&lt;/DocAmend&gt;</w:t>
      </w:r>
    </w:p>
    <w:p w:rsidR="002669B6" w:rsidRPr="000A6335" w:rsidRDefault="002669B6" w:rsidP="00DA6ED0">
      <w:pPr>
        <w:pStyle w:val="NormalBold"/>
        <w:keepNext/>
      </w:pPr>
      <w:r>
        <w:rPr>
          <w:rStyle w:val="HideTWBExt"/>
          <w:b w:val="0"/>
          <w:noProof w:val="0"/>
        </w:rPr>
        <w:t>&lt;Article&gt;</w:t>
      </w:r>
      <w:r>
        <w:t>Bod odůvodnění 6 a (nový)</w:t>
      </w:r>
      <w:r>
        <w:rPr>
          <w:rStyle w:val="HideTWBExt"/>
          <w:b w:val="0"/>
          <w:noProof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669B6" w:rsidRPr="000A6335" w:rsidTr="002669B6">
        <w:trPr>
          <w:jc w:val="center"/>
        </w:trPr>
        <w:tc>
          <w:tcPr>
            <w:tcW w:w="9752" w:type="dxa"/>
            <w:gridSpan w:val="2"/>
          </w:tcPr>
          <w:p w:rsidR="002669B6" w:rsidRPr="000A6335" w:rsidRDefault="002669B6" w:rsidP="00DA6ED0">
            <w:pPr>
              <w:keepNext/>
            </w:pPr>
          </w:p>
        </w:tc>
      </w:tr>
      <w:tr w:rsidR="002669B6" w:rsidRPr="000A6335" w:rsidTr="002669B6">
        <w:trPr>
          <w:jc w:val="center"/>
        </w:trPr>
        <w:tc>
          <w:tcPr>
            <w:tcW w:w="4876" w:type="dxa"/>
          </w:tcPr>
          <w:p w:rsidR="002669B6" w:rsidRPr="000A6335" w:rsidRDefault="00E21C1E" w:rsidP="00DA6ED0">
            <w:pPr>
              <w:pStyle w:val="AmColumnHeading"/>
              <w:keepNext/>
            </w:pPr>
            <w:r>
              <w:t>Platné znění</w:t>
            </w:r>
          </w:p>
        </w:tc>
        <w:tc>
          <w:tcPr>
            <w:tcW w:w="4876" w:type="dxa"/>
          </w:tcPr>
          <w:p w:rsidR="002669B6" w:rsidRPr="000A6335" w:rsidRDefault="00D00F40" w:rsidP="00DA6ED0">
            <w:pPr>
              <w:pStyle w:val="AmColumnHeading"/>
              <w:keepNext/>
            </w:pPr>
            <w:r>
              <w:t>Pozměňovací návrh</w:t>
            </w:r>
          </w:p>
        </w:tc>
      </w:tr>
      <w:tr w:rsidR="000A6335" w:rsidRPr="000A6335" w:rsidTr="002669B6">
        <w:trPr>
          <w:jc w:val="center"/>
        </w:trPr>
        <w:tc>
          <w:tcPr>
            <w:tcW w:w="4876" w:type="dxa"/>
          </w:tcPr>
          <w:p w:rsidR="000A6335" w:rsidRPr="000A6335" w:rsidRDefault="000A6335" w:rsidP="000A6335">
            <w:pPr>
              <w:pStyle w:val="Normal6"/>
            </w:pPr>
          </w:p>
        </w:tc>
        <w:tc>
          <w:tcPr>
            <w:tcW w:w="4876" w:type="dxa"/>
          </w:tcPr>
          <w:p w:rsidR="000A6335" w:rsidRPr="000A6335" w:rsidRDefault="000A6335" w:rsidP="000A6335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(6a)</w:t>
            </w:r>
            <w:r>
              <w:rPr>
                <w:b/>
                <w:i/>
              </w:rPr>
              <w:tab/>
              <w:t>Mechanismus pro přímý přeshraniční přístup donucovacích orgánů k centralizovaným registrům bankovních účtů prostřednictvím jednotného přístupového místa je založen na zásadě vzájemné důvěry mezi členskými státy a na předpokladu, že členské státy dodržují právní předpisy Unie, zásady právního státu v souladu s článkem 2 SEU, a zejména základní práva v souladu s článkem 6 SEU, jako je právo na soukromí a ochranu údajů, což jsou základní prvky prostoru svobody, bezpečnosti a práva v Unii.</w:t>
            </w:r>
            <w:r>
              <w:t xml:space="preserve"> </w:t>
            </w:r>
          </w:p>
        </w:tc>
      </w:tr>
    </w:tbl>
    <w:p w:rsidR="002669B6" w:rsidRPr="000A6335" w:rsidRDefault="002669B6" w:rsidP="002669B6">
      <w:pPr>
        <w:pStyle w:val="AmOrLang"/>
      </w:pPr>
      <w:r w:rsidRPr="000A6335">
        <w:t xml:space="preserve">Or. </w:t>
      </w:r>
      <w:r w:rsidRPr="000A6335">
        <w:rPr>
          <w:rStyle w:val="HideTWBExt"/>
          <w:noProof w:val="0"/>
        </w:rPr>
        <w:t>&lt;Original&gt;</w:t>
      </w:r>
      <w:r w:rsidR="000A6335" w:rsidRPr="000A6335">
        <w:rPr>
          <w:rStyle w:val="HideTWBInt"/>
        </w:rPr>
        <w:t>{EN}</w:t>
      </w:r>
      <w:r w:rsidR="000A6335" w:rsidRPr="000A6335">
        <w:t>en</w:t>
      </w:r>
      <w:r w:rsidRPr="000A6335">
        <w:rPr>
          <w:rStyle w:val="HideTWBExt"/>
          <w:noProof w:val="0"/>
        </w:rPr>
        <w:t>&lt;/Original&gt;</w:t>
      </w:r>
    </w:p>
    <w:p w:rsidR="002669B6" w:rsidRPr="000A6335" w:rsidRDefault="002669B6" w:rsidP="002669B6">
      <w:pPr>
        <w:pStyle w:val="AmJustTitle"/>
      </w:pPr>
      <w:r>
        <w:rPr>
          <w:rStyle w:val="HideTWBExt"/>
          <w:i w:val="0"/>
          <w:noProof w:val="0"/>
        </w:rPr>
        <w:t>&lt;TitreJust&gt;</w:t>
      </w:r>
      <w:r>
        <w:t>Odůvodnění</w:t>
      </w:r>
      <w:r>
        <w:rPr>
          <w:rStyle w:val="HideTWBExt"/>
          <w:i w:val="0"/>
          <w:noProof w:val="0"/>
        </w:rPr>
        <w:t>&lt;/TitreJust&gt;</w:t>
      </w:r>
    </w:p>
    <w:p w:rsidR="002669B6" w:rsidRPr="000A6335" w:rsidRDefault="000A6335" w:rsidP="002669B6">
      <w:pPr>
        <w:pStyle w:val="AmJustText"/>
      </w:pPr>
      <w:r>
        <w:t>Je nutné, aby tato přeshraniční pravidla měla základ ve vnitrostátním právu v souladu s povinnostmi podle článku 8 EÚLP (právo na soukromí) a aby tato vyhledávání byla přiměřená a používala se pouze tehdy, pokud jsou proveditelná v podobných vnitrostátních situacích, aby se zabránilo spekulativnímu výběru jurisdikce („forum shopping“).</w:t>
      </w:r>
    </w:p>
    <w:p w:rsidR="002669B6" w:rsidRPr="000A6335" w:rsidRDefault="002669B6" w:rsidP="002669B6">
      <w:r>
        <w:rPr>
          <w:rStyle w:val="HideTWBExt"/>
          <w:noProof w:val="0"/>
        </w:rPr>
        <w:t>&lt;/Amend&gt;</w:t>
      </w:r>
      <w:bookmarkEnd w:id="2"/>
    </w:p>
    <w:p w:rsidR="000A6335" w:rsidRPr="00E44F7E" w:rsidRDefault="000A6335" w:rsidP="000A6335">
      <w:pPr>
        <w:pStyle w:val="AMNumberTabs0"/>
        <w:keepNext/>
      </w:pPr>
      <w:r>
        <w:rPr>
          <w:rStyle w:val="HideTWBExt"/>
          <w:b w:val="0"/>
          <w:noProof w:val="0"/>
          <w:lang w:val="en-GB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  <w:noProof w:val="0"/>
          <w:lang w:val="en-GB"/>
        </w:rPr>
        <w:t>&lt;NumAm&gt;</w:t>
      </w:r>
      <w:r>
        <w:t>2</w:t>
      </w:r>
      <w:r>
        <w:rPr>
          <w:rStyle w:val="HideTWBExt"/>
          <w:b w:val="0"/>
          <w:noProof w:val="0"/>
          <w:lang w:val="en-GB"/>
        </w:rPr>
        <w:t>&lt;/NumAm&gt;</w:t>
      </w:r>
    </w:p>
    <w:p w:rsidR="000A6335" w:rsidRPr="00E44F7E" w:rsidRDefault="000A6335" w:rsidP="000A6335">
      <w:pPr>
        <w:pStyle w:val="NormalBold12b"/>
        <w:keepNext/>
      </w:pPr>
      <w:r>
        <w:rPr>
          <w:rStyle w:val="HideTWBExt"/>
          <w:b w:val="0"/>
          <w:noProof w:val="0"/>
        </w:rPr>
        <w:t>&lt;DocAmend&gt;</w:t>
      </w:r>
      <w:r>
        <w:t>Návrh směrnice</w:t>
      </w:r>
      <w:r>
        <w:rPr>
          <w:rStyle w:val="HideTWBExt"/>
          <w:b w:val="0"/>
          <w:noProof w:val="0"/>
        </w:rPr>
        <w:t>&lt;/DocAmend&gt;</w:t>
      </w:r>
    </w:p>
    <w:p w:rsidR="000A6335" w:rsidRPr="00E44F7E" w:rsidRDefault="000A6335" w:rsidP="000A6335">
      <w:pPr>
        <w:pStyle w:val="NormalBold"/>
      </w:pPr>
      <w:r>
        <w:rPr>
          <w:rStyle w:val="HideTWBExt"/>
          <w:b w:val="0"/>
          <w:noProof w:val="0"/>
        </w:rPr>
        <w:t>&lt;Article&gt;</w:t>
      </w:r>
      <w:r>
        <w:t>Čl. 1 – odst. 1</w:t>
      </w:r>
      <w:r>
        <w:rPr>
          <w:rStyle w:val="HideTWBExt"/>
          <w:b w:val="0"/>
          <w:noProof w:val="0"/>
        </w:rPr>
        <w:t>&lt;/Article&gt;</w:t>
      </w:r>
    </w:p>
    <w:p w:rsidR="000A6335" w:rsidRPr="00E44F7E" w:rsidRDefault="000A6335" w:rsidP="000A6335">
      <w:pPr>
        <w:keepNext/>
      </w:pPr>
      <w:r>
        <w:rPr>
          <w:rStyle w:val="HideTWBExt"/>
          <w:noProof w:val="0"/>
        </w:rPr>
        <w:t>&lt;DocAmend2&gt;</w:t>
      </w:r>
      <w:r>
        <w:t>Směrnice (EU) 2019/1153</w:t>
      </w:r>
      <w:r>
        <w:rPr>
          <w:rStyle w:val="HideTWBExt"/>
          <w:noProof w:val="0"/>
        </w:rPr>
        <w:t>&lt;/DocAmend2&gt;</w:t>
      </w:r>
    </w:p>
    <w:p w:rsidR="000A6335" w:rsidRPr="00E44F7E" w:rsidRDefault="000A6335" w:rsidP="000A6335">
      <w:r>
        <w:rPr>
          <w:rStyle w:val="HideTWBExt"/>
          <w:noProof w:val="0"/>
        </w:rPr>
        <w:t>&lt;Article2&gt;</w:t>
      </w:r>
      <w:r>
        <w:t>Čl. 4 – odst. 1 a</w:t>
      </w:r>
      <w:r>
        <w:rPr>
          <w:rStyle w:val="HideTWBExt"/>
          <w:noProof w:val="0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6335" w:rsidRPr="00E44F7E" w:rsidTr="00B804B8">
        <w:trPr>
          <w:jc w:val="center"/>
        </w:trPr>
        <w:tc>
          <w:tcPr>
            <w:tcW w:w="9752" w:type="dxa"/>
            <w:gridSpan w:val="2"/>
          </w:tcPr>
          <w:p w:rsidR="000A6335" w:rsidRPr="00E44F7E" w:rsidRDefault="000A6335" w:rsidP="002B4A18">
            <w:pPr>
              <w:keepNext/>
            </w:pPr>
          </w:p>
        </w:tc>
      </w:tr>
      <w:tr w:rsidR="00B804B8" w:rsidRPr="00E44F7E" w:rsidTr="00B804B8">
        <w:trPr>
          <w:jc w:val="center"/>
        </w:trPr>
        <w:tc>
          <w:tcPr>
            <w:tcW w:w="4876" w:type="dxa"/>
            <w:hideMark/>
          </w:tcPr>
          <w:p w:rsidR="00B804B8" w:rsidRPr="000A6335" w:rsidRDefault="00B804B8" w:rsidP="00B804B8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  <w:hideMark/>
          </w:tcPr>
          <w:p w:rsidR="00B804B8" w:rsidRPr="000A6335" w:rsidRDefault="00B804B8" w:rsidP="00B804B8">
            <w:pPr>
              <w:pStyle w:val="AmColumnHeading"/>
              <w:keepNext/>
            </w:pPr>
            <w:r>
              <w:t>Pozměňovací návrh</w:t>
            </w:r>
          </w:p>
        </w:tc>
      </w:tr>
      <w:tr w:rsidR="000A6335" w:rsidRPr="00E44F7E" w:rsidTr="00B804B8">
        <w:trPr>
          <w:jc w:val="center"/>
        </w:trPr>
        <w:tc>
          <w:tcPr>
            <w:tcW w:w="4876" w:type="dxa"/>
            <w:hideMark/>
          </w:tcPr>
          <w:p w:rsidR="000A6335" w:rsidRPr="00E44F7E" w:rsidRDefault="000A6335" w:rsidP="002B4A18">
            <w:pPr>
              <w:pStyle w:val="Normal6"/>
            </w:pPr>
            <w:r>
              <w:t>1a.</w:t>
            </w:r>
            <w:r>
              <w:tab/>
              <w:t>Členské státy zajistí, aby příslušné vnitrostátní orgány určené podle čl. 3 odst. 1 měly pravomoc pro přístup k informacím o bankovních účtech v jiných členských státech, které jsou k dispozici prostřednictvím jednotného přístupového místa do registrů bankovních účtů zřízeného podle článku XX směrnice (EU) YYYY/XX [nová směrnice o boji proti praní peněz], a vyhledávání v nich, a to přímo a okamžitě, pokud to je nezbytné pro plnění jejich úkolů pro účely účelem prevence, odhalování, vyšetřování nebo stíhání závažného trestného činu nebo podpory trestního vyšetřování závažného trestného činu, včetně zjišťování, sledování a zmrazení majetku v souvislosti s tímto vyšetřováním.</w:t>
            </w:r>
          </w:p>
        </w:tc>
        <w:tc>
          <w:tcPr>
            <w:tcW w:w="4876" w:type="dxa"/>
            <w:hideMark/>
          </w:tcPr>
          <w:p w:rsidR="000A6335" w:rsidRPr="00E44F7E" w:rsidRDefault="000A6335" w:rsidP="002B4A18">
            <w:pPr>
              <w:pStyle w:val="Normal6"/>
              <w:rPr>
                <w:szCs w:val="24"/>
              </w:rPr>
            </w:pPr>
            <w:r>
              <w:t>1a.</w:t>
            </w:r>
            <w:r>
              <w:tab/>
              <w:t xml:space="preserve">Členské státy zajistí, aby příslušné vnitrostátní orgány určené podle čl. 3 odst. 1 měly pravomoc pro přístup k informacím o bankovních účtech v jiných členských státech, které jsou k dispozici prostřednictvím jednotného přístupového místa do registrů bankovních účtů zřízeného podle článku XX směrnice (EU) YYYY/XX [nová směrnice o boji proti praní peněz], a vyhledávání v nich, a to přímo a okamžitě </w:t>
            </w:r>
            <w:r>
              <w:rPr>
                <w:b/>
                <w:bCs/>
                <w:i/>
                <w:iCs/>
              </w:rPr>
              <w:t>a v souladu s vnitrostátními právními předpisy</w:t>
            </w:r>
            <w:r>
              <w:t>, pokud to je nezbytné pro plnění jejich úkolů pro účely účelem prevence, odhalování, vyšetřování nebo stíhání závažného trestného činu nebo podpory trestního vyšetřování závažného trestného činu, včetně zjišťování, sledování a zmrazení majetku v souvislosti s tímto vyšetřováním.</w:t>
            </w:r>
          </w:p>
        </w:tc>
      </w:tr>
      <w:tr w:rsidR="000A6335" w:rsidRPr="00E44F7E" w:rsidTr="00B804B8">
        <w:trPr>
          <w:jc w:val="center"/>
        </w:trPr>
        <w:tc>
          <w:tcPr>
            <w:tcW w:w="4876" w:type="dxa"/>
          </w:tcPr>
          <w:p w:rsidR="000A6335" w:rsidRPr="00E44F7E" w:rsidRDefault="000A6335" w:rsidP="002B4A18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A6335" w:rsidRPr="00E44F7E" w:rsidRDefault="000A6335" w:rsidP="002B4A18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</w:rPr>
              <w:t>Shromažďování údajů podle prvního pododstavce je přiměřené účelu řízení, přičemž je nutné přihlížet k právům podezřelé nebo obviněné osoby a dodržet požadavek, aby bylo za stejných podmínek možné vyhledávání v obdobném vnitrostátním případě.</w:t>
            </w:r>
            <w:r>
              <w:t xml:space="preserve"> </w:t>
            </w:r>
            <w:r>
              <w:rPr>
                <w:b/>
                <w:i/>
              </w:rPr>
              <w:t>Shromážděné údaje se použijí pouze k účelu, pro který byly vyžádány.</w:t>
            </w:r>
          </w:p>
        </w:tc>
      </w:tr>
      <w:tr w:rsidR="000A6335" w:rsidRPr="00E44F7E" w:rsidTr="00B804B8">
        <w:trPr>
          <w:jc w:val="center"/>
        </w:trPr>
        <w:tc>
          <w:tcPr>
            <w:tcW w:w="4876" w:type="dxa"/>
          </w:tcPr>
          <w:p w:rsidR="000A6335" w:rsidRPr="00E44F7E" w:rsidRDefault="000A6335" w:rsidP="002B4A18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0A6335" w:rsidRPr="00E44F7E" w:rsidRDefault="000A6335" w:rsidP="002B4A18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Členské státy zajistí, aby příslušné orgány, které určí, dodržovaly při přeshraničním přístupu k centralizovaným registrům bankovních účtů prostřednictvím jednotného přístupového místa, který provádí za účelem přístupu k informacím a jejich vyhledávání, procesní práva jednotlivců a pravidla Unie v oblasti ochrany osobních údajů.</w:t>
            </w:r>
          </w:p>
        </w:tc>
      </w:tr>
    </w:tbl>
    <w:p w:rsidR="000A6335" w:rsidRPr="00E44F7E" w:rsidRDefault="000A6335" w:rsidP="000A6335">
      <w:pPr>
        <w:pStyle w:val="Olang"/>
        <w:rPr>
          <w:sz w:val="24"/>
          <w:szCs w:val="24"/>
        </w:rPr>
      </w:pPr>
      <w:r w:rsidRPr="00E44F7E">
        <w:rPr>
          <w:sz w:val="24"/>
          <w:szCs w:val="24"/>
        </w:rPr>
        <w:t xml:space="preserve">Or. </w:t>
      </w:r>
      <w:r w:rsidRPr="00E44F7E">
        <w:rPr>
          <w:rStyle w:val="HideTWBExt"/>
          <w:noProof w:val="0"/>
        </w:rPr>
        <w:t>&lt;Original&gt;</w:t>
      </w:r>
      <w:r w:rsidRPr="00E44F7E">
        <w:rPr>
          <w:rStyle w:val="HideTWBInt"/>
          <w:sz w:val="24"/>
          <w:szCs w:val="24"/>
        </w:rPr>
        <w:t>{EN}</w:t>
      </w:r>
      <w:r w:rsidRPr="00E44F7E">
        <w:rPr>
          <w:sz w:val="24"/>
          <w:szCs w:val="24"/>
        </w:rPr>
        <w:t>en</w:t>
      </w:r>
      <w:r w:rsidRPr="00E44F7E">
        <w:rPr>
          <w:rStyle w:val="HideTWBExt"/>
          <w:noProof w:val="0"/>
        </w:rPr>
        <w:t>&lt;/Original&gt;</w:t>
      </w:r>
    </w:p>
    <w:p w:rsidR="000A6335" w:rsidRPr="00E44F7E" w:rsidRDefault="000A6335" w:rsidP="000A6335">
      <w:pPr>
        <w:pStyle w:val="JustificationTitle"/>
        <w:rPr>
          <w:noProof w:val="0"/>
        </w:rPr>
      </w:pPr>
      <w:r>
        <w:rPr>
          <w:rStyle w:val="HideTWBExt"/>
          <w:i w:val="0"/>
          <w:noProof w:val="0"/>
          <w:lang w:val="en-GB"/>
        </w:rPr>
        <w:t>&lt;TitreJust&gt;</w:t>
      </w:r>
      <w:r>
        <w:rPr>
          <w:noProof w:val="0"/>
        </w:rPr>
        <w:t>Odůvodnění</w:t>
      </w:r>
      <w:r>
        <w:rPr>
          <w:rStyle w:val="HideTWBExt"/>
          <w:i w:val="0"/>
          <w:noProof w:val="0"/>
          <w:lang w:val="en-GB"/>
        </w:rPr>
        <w:t>&lt;/TitreJust&gt;</w:t>
      </w:r>
    </w:p>
    <w:p w:rsidR="000A6335" w:rsidRPr="00E44F7E" w:rsidRDefault="000A6335" w:rsidP="000A6335">
      <w:pPr>
        <w:pStyle w:val="Normal12Italic"/>
        <w:rPr>
          <w:noProof w:val="0"/>
        </w:rPr>
      </w:pPr>
      <w:r>
        <w:rPr>
          <w:noProof w:val="0"/>
        </w:rPr>
        <w:t>Je nutné, aby tato přeshraniční pravidla měla základ ve vnitrostátním právu v souladu s povinnostmi podle článku 8 EÚLP (právo na soukromí) a aby tato vyhledávání byla přiměřená a používala se pouze tehdy, pokud jsou proveditelná v podobných vnitrostátních situacích, aby se zabránilo spekulativnímu výběru jurisdikce („forum shopping“).</w:t>
      </w:r>
    </w:p>
    <w:p w:rsidR="000A6335" w:rsidRPr="00E44F7E" w:rsidRDefault="000A6335" w:rsidP="000A6335">
      <w:r>
        <w:rPr>
          <w:rStyle w:val="HideTWBExt"/>
          <w:noProof w:val="0"/>
        </w:rPr>
        <w:t>&lt;/Amend&gt;</w:t>
      </w:r>
    </w:p>
    <w:p w:rsidR="002669B6" w:rsidRPr="000A6335" w:rsidRDefault="000A6335" w:rsidP="000A6335">
      <w:r>
        <w:rPr>
          <w:rStyle w:val="HideTWBExt"/>
          <w:noProof w:val="0"/>
        </w:rPr>
        <w:t>&lt;/RepeatBlock-Amend&gt;</w:t>
      </w:r>
    </w:p>
    <w:p w:rsidR="002669B6" w:rsidRPr="000A6335" w:rsidRDefault="002669B6" w:rsidP="002669B6"/>
    <w:sectPr w:rsidR="002669B6" w:rsidRPr="000A6335" w:rsidSect="004557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F40" w:rsidRPr="000A6335" w:rsidRDefault="00D00F40">
      <w:r w:rsidRPr="000A6335">
        <w:separator/>
      </w:r>
    </w:p>
  </w:endnote>
  <w:endnote w:type="continuationSeparator" w:id="0">
    <w:p w:rsidR="00D00F40" w:rsidRPr="000A6335" w:rsidRDefault="00D00F40">
      <w:r w:rsidRPr="000A63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0A6335" w:rsidRDefault="00FB52FE" w:rsidP="00F07062">
    <w:pPr>
      <w:pStyle w:val="EPFooter"/>
    </w:pPr>
    <w:r w:rsidRPr="000A6335">
      <w:t>PE</w:t>
    </w:r>
    <w:r w:rsidRPr="000A6335">
      <w:rPr>
        <w:rStyle w:val="HideTWBExt"/>
        <w:noProof w:val="0"/>
      </w:rPr>
      <w:t>&lt;NoPE&gt;</w:t>
    </w:r>
    <w:r w:rsidR="000A6335" w:rsidRPr="000A6335">
      <w:t>734.352</w:t>
    </w:r>
    <w:r w:rsidRPr="000A6335">
      <w:rPr>
        <w:rStyle w:val="HideTWBExt"/>
        <w:noProof w:val="0"/>
      </w:rPr>
      <w:t>&lt;/NoPE&gt;&lt;Version&gt;</w:t>
    </w:r>
    <w:r w:rsidR="00D00F40" w:rsidRPr="000A6335">
      <w:t>v</w:t>
    </w:r>
    <w:r w:rsidR="000A6335" w:rsidRPr="000A6335">
      <w:t>01-00</w:t>
    </w:r>
    <w:r w:rsidRPr="000A6335">
      <w:rPr>
        <w:rStyle w:val="HideTWBExt"/>
        <w:noProof w:val="0"/>
      </w:rPr>
      <w:t>&lt;/Version&gt;</w:t>
    </w:r>
    <w:r w:rsidRPr="000A6335">
      <w:tab/>
    </w:r>
    <w:r w:rsidR="00914537" w:rsidRPr="000A6335">
      <w:fldChar w:fldCharType="begin"/>
    </w:r>
    <w:r w:rsidR="00914537" w:rsidRPr="000A6335">
      <w:instrText xml:space="preserve"> PAGE </w:instrText>
    </w:r>
    <w:r w:rsidR="00914537" w:rsidRPr="000A6335">
      <w:fldChar w:fldCharType="separate"/>
    </w:r>
    <w:r w:rsidR="009C1153">
      <w:rPr>
        <w:noProof/>
      </w:rPr>
      <w:t>2</w:t>
    </w:r>
    <w:r w:rsidR="00914537" w:rsidRPr="000A6335">
      <w:fldChar w:fldCharType="end"/>
    </w:r>
    <w:r w:rsidR="00914537" w:rsidRPr="000A6335">
      <w:t>/</w:t>
    </w:r>
    <w:r w:rsidR="00914537" w:rsidRPr="000A6335">
      <w:rPr>
        <w:rStyle w:val="PageNumber"/>
      </w:rPr>
      <w:fldChar w:fldCharType="begin"/>
    </w:r>
    <w:r w:rsidR="00914537" w:rsidRPr="000A6335">
      <w:rPr>
        <w:rStyle w:val="PageNumber"/>
      </w:rPr>
      <w:instrText xml:space="preserve"> NUMPAGES </w:instrText>
    </w:r>
    <w:r w:rsidR="00914537" w:rsidRPr="000A6335">
      <w:rPr>
        <w:rStyle w:val="PageNumber"/>
      </w:rPr>
      <w:fldChar w:fldCharType="separate"/>
    </w:r>
    <w:r w:rsidR="009C1153">
      <w:rPr>
        <w:rStyle w:val="PageNumber"/>
        <w:noProof/>
      </w:rPr>
      <w:t>7</w:t>
    </w:r>
    <w:r w:rsidR="00914537" w:rsidRPr="000A6335">
      <w:rPr>
        <w:rStyle w:val="PageNumber"/>
      </w:rPr>
      <w:fldChar w:fldCharType="end"/>
    </w:r>
    <w:r w:rsidRPr="000A6335">
      <w:tab/>
    </w:r>
    <w:r w:rsidRPr="000A6335">
      <w:rPr>
        <w:rStyle w:val="HideTWBExt"/>
        <w:noProof w:val="0"/>
      </w:rPr>
      <w:t>&lt;PathFdR&gt;</w:t>
    </w:r>
    <w:r w:rsidR="000A6335" w:rsidRPr="000A6335">
      <w:t>PR\1259686CS.docx</w:t>
    </w:r>
    <w:r w:rsidRPr="000A6335">
      <w:rPr>
        <w:rStyle w:val="HideTWBExt"/>
        <w:noProof w:val="0"/>
      </w:rPr>
      <w:t>&lt;/PathFdR&gt;</w:t>
    </w:r>
  </w:p>
  <w:p w:rsidR="00FB52FE" w:rsidRPr="000A6335" w:rsidRDefault="009C1153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0A6335" w:rsidRDefault="00FB52FE" w:rsidP="00F07062">
    <w:pPr>
      <w:pStyle w:val="EPFooter"/>
    </w:pPr>
    <w:r w:rsidRPr="000A6335">
      <w:rPr>
        <w:rStyle w:val="HideTWBExt"/>
        <w:noProof w:val="0"/>
      </w:rPr>
      <w:t>&lt;PathFdR&gt;</w:t>
    </w:r>
    <w:r w:rsidR="000A6335" w:rsidRPr="000A6335">
      <w:t>PR\1259686CS.docx</w:t>
    </w:r>
    <w:r w:rsidRPr="000A6335">
      <w:rPr>
        <w:rStyle w:val="HideTWBExt"/>
        <w:noProof w:val="0"/>
      </w:rPr>
      <w:t>&lt;/PathFdR&gt;</w:t>
    </w:r>
    <w:r w:rsidRPr="000A6335">
      <w:tab/>
    </w:r>
    <w:r w:rsidR="00914537" w:rsidRPr="000A6335">
      <w:fldChar w:fldCharType="begin"/>
    </w:r>
    <w:r w:rsidR="00914537" w:rsidRPr="000A6335">
      <w:instrText xml:space="preserve"> PAGE </w:instrText>
    </w:r>
    <w:r w:rsidR="00914537" w:rsidRPr="000A6335">
      <w:fldChar w:fldCharType="separate"/>
    </w:r>
    <w:r w:rsidR="009C1153">
      <w:rPr>
        <w:noProof/>
      </w:rPr>
      <w:t>3</w:t>
    </w:r>
    <w:r w:rsidR="00914537" w:rsidRPr="000A6335">
      <w:fldChar w:fldCharType="end"/>
    </w:r>
    <w:r w:rsidR="00914537" w:rsidRPr="000A6335">
      <w:t>/</w:t>
    </w:r>
    <w:r w:rsidR="00914537" w:rsidRPr="000A6335">
      <w:rPr>
        <w:rStyle w:val="PageNumber"/>
      </w:rPr>
      <w:fldChar w:fldCharType="begin"/>
    </w:r>
    <w:r w:rsidR="00914537" w:rsidRPr="000A6335">
      <w:rPr>
        <w:rStyle w:val="PageNumber"/>
      </w:rPr>
      <w:instrText xml:space="preserve"> NUMPAGES </w:instrText>
    </w:r>
    <w:r w:rsidR="00914537" w:rsidRPr="000A6335">
      <w:rPr>
        <w:rStyle w:val="PageNumber"/>
      </w:rPr>
      <w:fldChar w:fldCharType="separate"/>
    </w:r>
    <w:r w:rsidR="009C1153">
      <w:rPr>
        <w:rStyle w:val="PageNumber"/>
        <w:noProof/>
      </w:rPr>
      <w:t>7</w:t>
    </w:r>
    <w:r w:rsidR="00914537" w:rsidRPr="000A6335">
      <w:rPr>
        <w:rStyle w:val="PageNumber"/>
      </w:rPr>
      <w:fldChar w:fldCharType="end"/>
    </w:r>
    <w:r w:rsidRPr="000A6335">
      <w:tab/>
      <w:t>PE</w:t>
    </w:r>
    <w:r w:rsidRPr="000A6335">
      <w:rPr>
        <w:rStyle w:val="HideTWBExt"/>
        <w:noProof w:val="0"/>
      </w:rPr>
      <w:t>&lt;NoPE&gt;</w:t>
    </w:r>
    <w:r w:rsidR="000A6335" w:rsidRPr="000A6335">
      <w:t>734.352</w:t>
    </w:r>
    <w:r w:rsidRPr="000A6335">
      <w:rPr>
        <w:rStyle w:val="HideTWBExt"/>
        <w:noProof w:val="0"/>
      </w:rPr>
      <w:t>&lt;/NoPE&gt;&lt;Version&gt;</w:t>
    </w:r>
    <w:r w:rsidR="00D00F40" w:rsidRPr="000A6335">
      <w:t>v</w:t>
    </w:r>
    <w:r w:rsidR="000A6335" w:rsidRPr="000A6335">
      <w:t>01-00</w:t>
    </w:r>
    <w:r w:rsidRPr="000A6335">
      <w:rPr>
        <w:rStyle w:val="HideTWBExt"/>
        <w:noProof w:val="0"/>
      </w:rPr>
      <w:t>&lt;/Version&gt;</w:t>
    </w:r>
  </w:p>
  <w:p w:rsidR="00FB52FE" w:rsidRPr="000A6335" w:rsidRDefault="00914537">
    <w:pPr>
      <w:pStyle w:val="EPFooter2"/>
    </w:pPr>
    <w:r w:rsidRPr="000A6335">
      <w:tab/>
    </w:r>
    <w:r w:rsidR="00FB52FE" w:rsidRPr="000A6335">
      <w:tab/>
    </w:r>
    <w:r w:rsidR="009C1153">
      <w:fldChar w:fldCharType="begin"/>
    </w:r>
    <w:r w:rsidR="009C1153">
      <w:instrText xml:space="preserve"> DOCPROPERTY "&lt;Extension&gt;" </w:instrText>
    </w:r>
    <w:r w:rsidR="009C1153">
      <w:fldChar w:fldCharType="separate"/>
    </w:r>
    <w:r w:rsidR="009C1153">
      <w:t>CS</w:t>
    </w:r>
    <w:r w:rsidR="009C1153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0A6335" w:rsidRDefault="00FB52FE" w:rsidP="00F07062">
    <w:pPr>
      <w:pStyle w:val="EPFooter"/>
    </w:pPr>
    <w:r w:rsidRPr="000A6335">
      <w:rPr>
        <w:rStyle w:val="HideTWBExt"/>
        <w:noProof w:val="0"/>
      </w:rPr>
      <w:t>&lt;PathFdR&gt;</w:t>
    </w:r>
    <w:r w:rsidR="000A6335" w:rsidRPr="000A6335">
      <w:t>PR\1259686CS.docx</w:t>
    </w:r>
    <w:r w:rsidRPr="000A6335">
      <w:rPr>
        <w:rStyle w:val="HideTWBExt"/>
        <w:noProof w:val="0"/>
      </w:rPr>
      <w:t>&lt;/PathFdR&gt;</w:t>
    </w:r>
    <w:r w:rsidRPr="000A6335">
      <w:tab/>
    </w:r>
    <w:r w:rsidRPr="000A6335">
      <w:tab/>
      <w:t>PE</w:t>
    </w:r>
    <w:r w:rsidRPr="000A6335">
      <w:rPr>
        <w:rStyle w:val="HideTWBExt"/>
        <w:noProof w:val="0"/>
      </w:rPr>
      <w:t>&lt;NoPE&gt;</w:t>
    </w:r>
    <w:r w:rsidR="000A6335" w:rsidRPr="000A6335">
      <w:t>734.352</w:t>
    </w:r>
    <w:r w:rsidRPr="000A6335">
      <w:rPr>
        <w:rStyle w:val="HideTWBExt"/>
        <w:noProof w:val="0"/>
      </w:rPr>
      <w:t>&lt;/NoPE&gt;&lt;Version&gt;</w:t>
    </w:r>
    <w:r w:rsidR="00D00F40" w:rsidRPr="000A6335">
      <w:t>v</w:t>
    </w:r>
    <w:r w:rsidR="000A6335" w:rsidRPr="000A6335">
      <w:t>01-00</w:t>
    </w:r>
    <w:r w:rsidRPr="000A6335">
      <w:rPr>
        <w:rStyle w:val="HideTWBExt"/>
        <w:noProof w:val="0"/>
      </w:rPr>
      <w:t>&lt;/Version&gt;</w:t>
    </w:r>
  </w:p>
  <w:p w:rsidR="00FB52FE" w:rsidRPr="000A6335" w:rsidRDefault="009C1153" w:rsidP="00461601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  <w:r w:rsidR="00FB52FE" w:rsidRPr="000A6335">
      <w:tab/>
    </w:r>
    <w:r w:rsidR="000A6335" w:rsidRPr="000A6335">
      <w:rPr>
        <w:b w:val="0"/>
        <w:i/>
        <w:color w:val="C0C0C0"/>
        <w:sz w:val="22"/>
        <w:szCs w:val="22"/>
      </w:rPr>
      <w:t>Jednotná v rozmanitosti</w:t>
    </w:r>
    <w:r w:rsidR="00FB52FE" w:rsidRPr="000A6335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F40" w:rsidRPr="000A6335" w:rsidRDefault="00D00F40">
      <w:r w:rsidRPr="000A6335">
        <w:separator/>
      </w:r>
    </w:p>
  </w:footnote>
  <w:footnote w:type="continuationSeparator" w:id="0">
    <w:p w:rsidR="00D00F40" w:rsidRPr="000A6335" w:rsidRDefault="00D00F40">
      <w:r w:rsidRPr="000A63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335" w:rsidRPr="000A6335" w:rsidRDefault="000A63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335" w:rsidRPr="000A6335" w:rsidRDefault="000A63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6335" w:rsidRPr="000A6335" w:rsidRDefault="000A63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CJMNU" w:val="1"/>
    <w:docVar w:name="COMKEY" w:val="LIBE"/>
    <w:docVar w:name="CVar" w:val="2"/>
    <w:docVar w:name="DOCMNU" w:val=" 2"/>
    <w:docVar w:name="EPSTATMNU" w:val=" 5"/>
    <w:docVar w:name="iNoAmend" w:val="2"/>
    <w:docVar w:name="INSTITUTIONSMNU" w:val=" 2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2\fbidi \froman\fcharset238\fprq2 Times New Roman CE;}{\f303\fbidi \froman\fcharset204\fprq2 Times New Roman Cyr;}_x000d__x000a_{\f305\fbidi \froman\fcharset161\fprq2 Times New Roman Greek;}{\f306\fbidi \froman\fcharset162\fprq2 Times New Roman Tur;}{\f307\fbidi \froman\fcharset177\fprq2 Times New Roman (Hebrew);}{\f308\fbidi \froman\fcharset178\fprq2 Times New Roman (Arabic);}_x000d__x000a_{\f309\fbidi \froman\fcharset186\fprq2 Times New Roman Baltic;}{\f310\fbidi \froman\fcharset163\fprq2 Times New Roman (Vietnamese);}{\f312\fbidi \fswiss\fcharset238\fprq2 Arial CE;}{\f313\fbidi \fswiss\fcharset204\fprq2 Arial Cyr;}_x000d__x000a_{\f315\fbidi \fswiss\fcharset161\fprq2 Arial Greek;}{\f316\fbidi \fswiss\fcharset162\fprq2 Arial Tur;}{\f317\fbidi \fswiss\fcharset177\fprq2 Arial (Hebrew);}{\f318\fbidi \fswiss\fcharset178\fprq2 Arial (Arabic);}_x000d__x000a_{\f319\fbidi \fswiss\fcharset186\fprq2 Arial Baltic;}{\f320\fbidi \fswiss\fcharset163\fprq2 Arial (Vietnamese);}{\f642\fbidi \froman\fcharset238\fprq2 Cambria Math CE;}{\f643\fbidi \froman\fcharset204\fprq2 Cambria Math Cyr;}_x000d__x000a_{\f645\fbidi \froman\fcharset161\fprq2 Cambria Math Greek;}{\f646\fbidi \froman\fcharset162\fprq2 Cambria Math Tur;}{\f649\fbidi \froman\fcharset186\fprq2 Cambria Math Baltic;}{\f65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1247 HideTWBExt;}}{\*\rsidtbl \rsid24658\rsid223860\rsid599156\rsid735077_x000d__x000a_\rsid1718133\rsid2892074\rsid3565327\rsid4666813\rsid6641733\rsid7823322\rsid8791247\rsid9636012\rsid10377208\rsid11215221\rsid11549030\rsid12154954\rsid14382809\rsid14424199\rsid15204470\rsid15285974\rsid15950462\rsid16324206\rsid16662270}{\mmathPr_x000d__x000a_\mmathFont34\mbrkBin0\mbrkBinSub0\msmallFrac0\mdispDef1\mlMargin0\mrMargin0\mdefJc1\mwrapIndent1440\mintLim0\mnaryLim1}{\info{\author SOCHOROVA Lenka}{\operator SOCHOROVA Lenka}{\creatim\yr2022\mo7\dy6\hr12\min7}{\revtim\yr2022\mo7\dy6\hr12\min7}_x000d__x000a_{\version1}{\edmins0}{\nofpages1}{\nofwords1}{\nofchars7}{\nofcharsws7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879124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SOCH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9915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991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991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9915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cs17\v\fs20\cf9\lang1024\langfe1024\loch\af1\hich\af1\dbch\af31501\noproof\insrsid8791247\charrsid14962558 _x000d__x000a_\hich\af1\dbch\af31501\loch\f1 &lt;Amend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5_x000d__x000a_743b2091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59"/>
    <w:docVar w:name="TVTAMPART" w:val="Bod odůvodnění 6 a (nový)"/>
    <w:docVar w:name="TXTAUTHOR" w:val="Emil Radev"/>
    <w:docVar w:name="TXTLANGUE" w:val="CS"/>
    <w:docVar w:name="TXTLANGUEMIN" w:val="cs"/>
    <w:docVar w:name="TXTNRC" w:val="0000/2022"/>
    <w:docVar w:name="TXTNRCOD" w:val="2021/0244"/>
    <w:docVar w:name="TXTNRFIRSTAM" w:val="1"/>
    <w:docVar w:name="TXTNRLASTAM" w:val="2"/>
    <w:docVar w:name="TXTNRPE" w:val="734.352"/>
    <w:docVar w:name="TXTPEorAP" w:val="PE"/>
    <w:docVar w:name="TXTROUTE" w:val="PR\1259686CS.docx"/>
    <w:docVar w:name="TXTVERSION" w:val="01-00"/>
  </w:docVars>
  <w:rsids>
    <w:rsidRoot w:val="00D00F40"/>
    <w:rsid w:val="00011AAB"/>
    <w:rsid w:val="00012351"/>
    <w:rsid w:val="000139E5"/>
    <w:rsid w:val="00084DD2"/>
    <w:rsid w:val="00084E89"/>
    <w:rsid w:val="000A6335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A2F5D"/>
    <w:rsid w:val="006F7907"/>
    <w:rsid w:val="00743189"/>
    <w:rsid w:val="00743D33"/>
    <w:rsid w:val="007932B3"/>
    <w:rsid w:val="00793EA9"/>
    <w:rsid w:val="007D6F68"/>
    <w:rsid w:val="00823E6B"/>
    <w:rsid w:val="00826780"/>
    <w:rsid w:val="00837CCD"/>
    <w:rsid w:val="008633CC"/>
    <w:rsid w:val="00865190"/>
    <w:rsid w:val="008719B9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C115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04B8"/>
    <w:rsid w:val="00B839F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F60C8"/>
    <w:rsid w:val="00D00F40"/>
    <w:rsid w:val="00D30DE2"/>
    <w:rsid w:val="00D32924"/>
    <w:rsid w:val="00D503A3"/>
    <w:rsid w:val="00DA6ED0"/>
    <w:rsid w:val="00DC5011"/>
    <w:rsid w:val="00E171B6"/>
    <w:rsid w:val="00E21C1E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45EB0-F2BC-44F6-970E-4AD9B120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0A633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A633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A6335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0A6335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0A6335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0A6335"/>
    <w:pPr>
      <w:spacing w:after="120"/>
    </w:pPr>
  </w:style>
  <w:style w:type="paragraph" w:customStyle="1" w:styleId="Normal12Italic">
    <w:name w:val="Normal12Italic"/>
    <w:basedOn w:val="Normal"/>
    <w:rsid w:val="000A6335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0A6335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0A633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A633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0A6335"/>
    <w:pPr>
      <w:jc w:val="right"/>
    </w:pPr>
  </w:style>
  <w:style w:type="paragraph" w:styleId="Footer">
    <w:name w:val="footer"/>
    <w:basedOn w:val="Normal"/>
    <w:link w:val="FooterChar"/>
    <w:semiHidden/>
    <w:rsid w:val="00B804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804B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BD3F-DFEA-4233-9092-1AC38FCA7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1025</Words>
  <Characters>6236</Characters>
  <Application>Microsoft Office Word</Application>
  <DocSecurity>0</DocSecurity>
  <Lines>215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subject/>
  <dc:creator>SOCHOROVA Lenka</dc:creator>
  <cp:keywords/>
  <dc:description/>
  <cp:lastModifiedBy>VYROUBALOVA Jana</cp:lastModifiedBy>
  <cp:revision>2</cp:revision>
  <cp:lastPrinted>2004-11-04T09:41:00Z</cp:lastPrinted>
  <dcterms:created xsi:type="dcterms:W3CDTF">2022-07-11T12:11:00Z</dcterms:created>
  <dcterms:modified xsi:type="dcterms:W3CDTF">2022-07-11T12:11:00Z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9.11.0 Build [20211103]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1259686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\\eiciLUXpr1\pdocep$\DocEP\DOCS\General\PR\PR_Leg\COD\COD_1st\PR_COD_1amCom.dotx(17/04/2020 19:27:09)</vt:lpwstr>
  </property>
  <property fmtid="{D5CDD505-2E9C-101B-9397-08002B2CF9AE}" pid="8" name="&lt;ModelTra&gt;">
    <vt:lpwstr>\\eiciLUXpr1\pdocep$\DocEP\TRANSFIL\CS\PR_COD_1amCom.CS(29/06/2022 10:20:42)</vt:lpwstr>
  </property>
  <property fmtid="{D5CDD505-2E9C-101B-9397-08002B2CF9AE}" pid="9" name="&lt;Model&gt;">
    <vt:lpwstr>PR_COD_1amCom</vt:lpwstr>
  </property>
  <property fmtid="{D5CDD505-2E9C-101B-9397-08002B2CF9AE}" pid="10" name="FooterPath">
    <vt:lpwstr>PR\1259686CS.docx</vt:lpwstr>
  </property>
  <property fmtid="{D5CDD505-2E9C-101B-9397-08002B2CF9AE}" pid="11" name="PE number">
    <vt:lpwstr>734.352</vt:lpwstr>
  </property>
  <property fmtid="{D5CDD505-2E9C-101B-9397-08002B2CF9AE}" pid="12" name="Bookout">
    <vt:lpwstr>OK - 2022/07/11 14:11</vt:lpwstr>
  </property>
  <property fmtid="{D5CDD505-2E9C-101B-9397-08002B2CF9AE}" pid="13" name="SDLStudio">
    <vt:lpwstr/>
  </property>
</Properties>
</file>