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40EB2" w:rsidTr="00C85D0F">
        <w:trPr>
          <w:trHeight w:hRule="exact" w:val="1418"/>
        </w:trPr>
        <w:tc>
          <w:tcPr>
            <w:tcW w:w="6804" w:type="dxa"/>
            <w:shd w:val="clear" w:color="auto" w:fill="auto"/>
            <w:vAlign w:val="center"/>
          </w:tcPr>
          <w:p w:rsidR="00B13D6F" w:rsidRPr="00255CBF" w:rsidRDefault="00892676" w:rsidP="00C85D0F">
            <w:pPr>
              <w:pStyle w:val="EPName"/>
            </w:pPr>
            <w:r>
              <w:t>Europäisches Parlament</w:t>
            </w:r>
          </w:p>
          <w:p w:rsidR="00B13D6F" w:rsidRPr="00C17E9D" w:rsidRDefault="00892676" w:rsidP="00C17E9D">
            <w:pPr>
              <w:pStyle w:val="EPTerm"/>
            </w:pPr>
            <w:r>
              <w:t>2019-2024</w:t>
            </w:r>
          </w:p>
        </w:tc>
        <w:tc>
          <w:tcPr>
            <w:tcW w:w="2268" w:type="dxa"/>
            <w:shd w:val="clear" w:color="auto" w:fill="auto"/>
          </w:tcPr>
          <w:p w:rsidR="00B13D6F" w:rsidRPr="00255CBF" w:rsidRDefault="00892676" w:rsidP="00C85D0F">
            <w:pPr>
              <w:pStyle w:val="EPLogo"/>
            </w:pPr>
            <w:r w:rsidRPr="00255CB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48864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255CBF" w:rsidRDefault="00461601" w:rsidP="00461601">
      <w:pPr>
        <w:pStyle w:val="LineTop"/>
      </w:pPr>
    </w:p>
    <w:p w:rsidR="00461601" w:rsidRPr="00255CBF" w:rsidRDefault="00892676" w:rsidP="00461601">
      <w:pPr>
        <w:pStyle w:val="EPBody"/>
      </w:pPr>
      <w:r>
        <w:rPr>
          <w:rStyle w:val="HideTWBExt"/>
        </w:rPr>
        <w:t>&lt;</w:t>
      </w:r>
      <w:r>
        <w:rPr>
          <w:rStyle w:val="HideTWBExt"/>
          <w:i w:val="0"/>
        </w:rPr>
        <w:t>Commission</w:t>
      </w:r>
      <w:r>
        <w:rPr>
          <w:rStyle w:val="HideTWBExt"/>
        </w:rPr>
        <w:t>&gt;</w:t>
      </w:r>
      <w:r>
        <w:rPr>
          <w:rStyle w:val="HideTWBInt"/>
          <w:color w:val="auto"/>
        </w:rPr>
        <w:t>{LIBE}</w:t>
      </w:r>
      <w:r>
        <w:t>Ausschuss für bürgerliche Freiheiten, Justiz und Inneres</w:t>
      </w:r>
      <w:r>
        <w:rPr>
          <w:rStyle w:val="HideTWBExt"/>
        </w:rPr>
        <w:t>&lt;/</w:t>
      </w:r>
      <w:r>
        <w:rPr>
          <w:rStyle w:val="HideTWBExt"/>
          <w:i w:val="0"/>
        </w:rPr>
        <w:t>Commission</w:t>
      </w:r>
      <w:r>
        <w:rPr>
          <w:rStyle w:val="HideTWBExt"/>
        </w:rPr>
        <w:t>&gt;</w:t>
      </w:r>
    </w:p>
    <w:p w:rsidR="00461601" w:rsidRPr="00255CBF" w:rsidRDefault="00461601" w:rsidP="00461601">
      <w:pPr>
        <w:pStyle w:val="LineBottom"/>
      </w:pPr>
    </w:p>
    <w:p w:rsidR="00793EA9" w:rsidRPr="00255CBF" w:rsidRDefault="00892676">
      <w:pPr>
        <w:pStyle w:val="CoverReference"/>
      </w:pPr>
      <w:r>
        <w:rPr>
          <w:rStyle w:val="HideTWBExt"/>
          <w:b w:val="0"/>
        </w:rPr>
        <w:t>&lt;RefProc&gt;</w:t>
      </w:r>
      <w:r>
        <w:t>2021/0244</w:t>
      </w:r>
      <w:r>
        <w:rPr>
          <w:rStyle w:val="HideTWBExt"/>
          <w:b w:val="0"/>
        </w:rPr>
        <w:t>&lt;/RefProc&gt;&lt;RefTypeProc&gt;</w:t>
      </w:r>
      <w:r>
        <w:t>(COD)</w:t>
      </w:r>
      <w:r>
        <w:rPr>
          <w:rStyle w:val="HideTWBExt"/>
          <w:b w:val="0"/>
        </w:rPr>
        <w:t>&lt;/RefTypeProc&gt;</w:t>
      </w:r>
    </w:p>
    <w:p w:rsidR="00793EA9" w:rsidRPr="00255CBF" w:rsidRDefault="00892676">
      <w:pPr>
        <w:pStyle w:val="CoverDate"/>
      </w:pPr>
      <w:r>
        <w:rPr>
          <w:rStyle w:val="HideTWBExt"/>
        </w:rPr>
        <w:t>&lt;Date&gt;</w:t>
      </w:r>
      <w:r>
        <w:rPr>
          <w:rStyle w:val="HideTWBInt"/>
          <w:color w:val="auto"/>
        </w:rPr>
        <w:t>{01/07/2022}</w:t>
      </w:r>
      <w:r>
        <w:t>1.7.2022</w:t>
      </w:r>
      <w:r>
        <w:rPr>
          <w:rStyle w:val="HideTWBExt"/>
        </w:rPr>
        <w:t>&lt;/Date&gt;</w:t>
      </w:r>
    </w:p>
    <w:p w:rsidR="00793EA9" w:rsidRPr="00255CBF" w:rsidRDefault="00892676">
      <w:pPr>
        <w:pStyle w:val="CoverDocType"/>
      </w:pPr>
      <w:r>
        <w:rPr>
          <w:rStyle w:val="HideTWBExt"/>
          <w:b w:val="0"/>
        </w:rPr>
        <w:t>&lt;RefProcLect&gt;</w:t>
      </w:r>
      <w:r>
        <w:t>***I</w:t>
      </w:r>
      <w:r>
        <w:rPr>
          <w:rStyle w:val="HideTWBExt"/>
          <w:b w:val="0"/>
        </w:rPr>
        <w:t>&lt;/RefProcLect&gt;</w:t>
      </w:r>
    </w:p>
    <w:p w:rsidR="00793EA9" w:rsidRPr="00255CBF" w:rsidRDefault="00892676">
      <w:pPr>
        <w:pStyle w:val="CoverDocType24a"/>
      </w:pPr>
      <w:r>
        <w:rPr>
          <w:rStyle w:val="HideTWBExt"/>
          <w:b w:val="0"/>
        </w:rPr>
        <w:t>&lt;TitreType&gt;</w:t>
      </w:r>
      <w:r>
        <w:t>ENTWURF EINES BERICHTS</w:t>
      </w:r>
      <w:r>
        <w:rPr>
          <w:rStyle w:val="HideTWBExt"/>
          <w:b w:val="0"/>
        </w:rPr>
        <w:t>&lt;/TitreType&gt;</w:t>
      </w:r>
    </w:p>
    <w:p w:rsidR="00793EA9" w:rsidRPr="00255CBF" w:rsidRDefault="00892676">
      <w:pPr>
        <w:pStyle w:val="CoverNormal"/>
      </w:pPr>
      <w:r>
        <w:rPr>
          <w:rStyle w:val="HideTWBExt"/>
        </w:rPr>
        <w:t>&lt;Titre&gt;</w:t>
      </w:r>
      <w:r>
        <w:t>über den Vorschlag für eine Richtlinie des Europäischen Parlaments und des Rates zur Änderung der Richtlinie (EU) 2019/1153 des Europäischen Parlaments und des Rates in Bezug auf den Zugang zuständiger B</w:t>
      </w:r>
      <w:r>
        <w:t>ehörden zu zentralen Bankkontenregistern über die zentrale Zugangsstelle</w:t>
      </w:r>
      <w:r>
        <w:rPr>
          <w:rStyle w:val="HideTWBExt"/>
        </w:rPr>
        <w:t>&lt;/Titre&gt;</w:t>
      </w:r>
    </w:p>
    <w:p w:rsidR="00793EA9" w:rsidRPr="00255CBF" w:rsidRDefault="00892676">
      <w:pPr>
        <w:pStyle w:val="CoverNormal24a"/>
      </w:pPr>
      <w:r>
        <w:rPr>
          <w:rStyle w:val="HideTWBExt"/>
        </w:rPr>
        <w:t>&lt;DocRef&gt;</w:t>
      </w:r>
      <w:r>
        <w:t>(COM(2021)0429 – C9</w:t>
      </w:r>
      <w:r>
        <w:noBreakHyphen/>
        <w:t>0000/2022 – 2021/0244(COD))</w:t>
      </w:r>
      <w:r>
        <w:rPr>
          <w:rStyle w:val="HideTWBExt"/>
        </w:rPr>
        <w:t>&lt;/DocRef&gt;</w:t>
      </w:r>
    </w:p>
    <w:p w:rsidR="00793EA9" w:rsidRPr="00255CBF" w:rsidRDefault="00892676">
      <w:pPr>
        <w:pStyle w:val="CoverNormal24a"/>
      </w:pPr>
      <w:r>
        <w:rPr>
          <w:rStyle w:val="HideTWBExt"/>
        </w:rPr>
        <w:t>&lt;Commission&gt;</w:t>
      </w:r>
      <w:r>
        <w:rPr>
          <w:rStyle w:val="HideTWBInt"/>
          <w:color w:val="auto"/>
        </w:rPr>
        <w:t>{LIBE}</w:t>
      </w:r>
      <w:r>
        <w:t>Ausschuss für bürgerliche Freiheiten, Justiz und Inneres</w:t>
      </w:r>
      <w:r>
        <w:rPr>
          <w:rStyle w:val="HideTWBExt"/>
        </w:rPr>
        <w:t>&lt;/Commission&gt;</w:t>
      </w:r>
    </w:p>
    <w:p w:rsidR="00793EA9" w:rsidRPr="00255CBF" w:rsidRDefault="00892676">
      <w:pPr>
        <w:pStyle w:val="CoverNormal24a"/>
      </w:pPr>
      <w:r>
        <w:t xml:space="preserve">Berichterstatter: </w:t>
      </w:r>
      <w:r>
        <w:rPr>
          <w:rStyle w:val="HideTWBExt"/>
        </w:rPr>
        <w:t>&lt;Depute&gt;</w:t>
      </w:r>
      <w:r>
        <w:t>Emil Radev</w:t>
      </w:r>
      <w:r>
        <w:rPr>
          <w:rStyle w:val="HideTWBExt"/>
        </w:rPr>
        <w:t>&lt;/Depute&gt;</w:t>
      </w:r>
    </w:p>
    <w:p w:rsidR="001C5B44" w:rsidRPr="00255CBF" w:rsidRDefault="001C5B44" w:rsidP="001C5B44">
      <w:pPr>
        <w:pStyle w:val="CoverNormal"/>
      </w:pPr>
    </w:p>
    <w:p w:rsidR="00C17E9D" w:rsidRDefault="00892676" w:rsidP="00894923">
      <w:r>
        <w:br w:type="page"/>
      </w:r>
      <w:r>
        <w:lastRenderedPageBreak/>
        <w:fldChar w:fldCharType="begin"/>
      </w:r>
      <w:r>
        <w:instrText xml:space="preserve"> TITLE  \* MERGEFORMAT </w:instrText>
      </w:r>
      <w:r>
        <w:fldChar w:fldCharType="separate"/>
      </w:r>
      <w:r w:rsidRPr="00892676">
        <w:rPr>
          <w:lang w:val="fr-FR"/>
        </w:rPr>
        <w:t>PR_COD_1amCom</w:t>
      </w:r>
      <w:r>
        <w:rPr>
          <w:lang w:val="fr-FR"/>
        </w:rPr>
        <w:fldChar w:fldCharType="end"/>
      </w:r>
    </w:p>
    <w:p w:rsidR="00C17E9D" w:rsidRDefault="00C17E9D" w:rsidP="00894923">
      <w:pPr>
        <w:rPr>
          <w:lang w:val="fr-FR"/>
        </w:rPr>
      </w:pPr>
    </w:p>
    <w:p w:rsidR="00C17E9D" w:rsidRDefault="00C17E9D" w:rsidP="00894923">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40EB2">
        <w:tc>
          <w:tcPr>
            <w:tcW w:w="5811" w:type="dxa"/>
          </w:tcPr>
          <w:p w:rsidR="00C17E9D" w:rsidRDefault="00892676" w:rsidP="00894923">
            <w:pPr>
              <w:pStyle w:val="Lgendetitre"/>
            </w:pPr>
            <w:r>
              <w:t>Erklärung der benutzten Zeichen</w:t>
            </w:r>
          </w:p>
        </w:tc>
      </w:tr>
      <w:tr w:rsidR="00140EB2" w:rsidTr="00C50C36">
        <w:trPr>
          <w:cantSplit/>
          <w:trHeight w:val="1944"/>
        </w:trPr>
        <w:tc>
          <w:tcPr>
            <w:tcW w:w="5811" w:type="dxa"/>
            <w:tcBorders>
              <w:bottom w:val="single" w:sz="4" w:space="0" w:color="auto"/>
            </w:tcBorders>
          </w:tcPr>
          <w:p w:rsidR="00C17E9D" w:rsidRPr="00F54D75" w:rsidRDefault="00892676" w:rsidP="00A225F3">
            <w:pPr>
              <w:pStyle w:val="Lgendesigne"/>
              <w:rPr>
                <w:szCs w:val="24"/>
              </w:rPr>
            </w:pPr>
            <w:r>
              <w:tab/>
              <w:t>*</w:t>
            </w:r>
            <w:r>
              <w:tab/>
              <w:t>Anhörungsverfahren</w:t>
            </w:r>
          </w:p>
          <w:p w:rsidR="00C17E9D" w:rsidRPr="00F54D75" w:rsidRDefault="00892676" w:rsidP="00A225F3">
            <w:pPr>
              <w:pStyle w:val="Lgendesigne"/>
              <w:rPr>
                <w:szCs w:val="24"/>
              </w:rPr>
            </w:pPr>
            <w:r>
              <w:tab/>
              <w:t>***</w:t>
            </w:r>
            <w:r>
              <w:tab/>
              <w:t>Zustimmungsverfahren</w:t>
            </w:r>
          </w:p>
          <w:p w:rsidR="00C17E9D" w:rsidRPr="00F54D75" w:rsidRDefault="00892676" w:rsidP="00A225F3">
            <w:pPr>
              <w:pStyle w:val="Lgendesigne"/>
              <w:rPr>
                <w:szCs w:val="24"/>
              </w:rPr>
            </w:pPr>
            <w:r>
              <w:tab/>
              <w:t>***I</w:t>
            </w:r>
            <w:r>
              <w:tab/>
              <w:t>Ordentliches Gesetzgebungsverfahren (erste Lesung)</w:t>
            </w:r>
          </w:p>
          <w:p w:rsidR="00C17E9D" w:rsidRPr="00F54D75" w:rsidRDefault="00892676" w:rsidP="00A225F3">
            <w:pPr>
              <w:pStyle w:val="Lgendesigne"/>
              <w:rPr>
                <w:szCs w:val="24"/>
              </w:rPr>
            </w:pPr>
            <w:r>
              <w:tab/>
              <w:t>***II</w:t>
            </w:r>
            <w:r>
              <w:tab/>
              <w:t xml:space="preserve">Ordentliches Gesetzgebungsverfahren </w:t>
            </w:r>
            <w:r>
              <w:t>(zweite Lesung)</w:t>
            </w:r>
          </w:p>
          <w:p w:rsidR="00C17E9D" w:rsidRPr="00F54D75" w:rsidRDefault="00892676" w:rsidP="00A225F3">
            <w:pPr>
              <w:pStyle w:val="Lgendesigne"/>
              <w:rPr>
                <w:szCs w:val="24"/>
              </w:rPr>
            </w:pPr>
            <w:r>
              <w:tab/>
              <w:t>***III</w:t>
            </w:r>
            <w:r>
              <w:tab/>
              <w:t>Ordentliches Gesetzgebungsverfahren (dritte Lesung)</w:t>
            </w:r>
          </w:p>
          <w:p w:rsidR="00C17E9D" w:rsidRPr="00F54D75" w:rsidRDefault="00C17E9D" w:rsidP="00A225F3">
            <w:pPr>
              <w:pStyle w:val="Lgendestandard"/>
            </w:pPr>
          </w:p>
          <w:p w:rsidR="00C17E9D" w:rsidRDefault="00892676" w:rsidP="00A225F3">
            <w:pPr>
              <w:pStyle w:val="Lgendestandard"/>
            </w:pPr>
            <w:r>
              <w:t>(Die Angabe des Verfahrens beruht auf der im Entwurf eines Rechtsakts vorgeschlagenen Rechtsgrundlage.)</w:t>
            </w:r>
          </w:p>
          <w:p w:rsidR="00C17E9D" w:rsidRDefault="00C17E9D" w:rsidP="00E36DAF">
            <w:pPr>
              <w:pStyle w:val="Lgendestandard"/>
              <w:rPr>
                <w:lang w:val="fr-FR"/>
              </w:rPr>
            </w:pPr>
          </w:p>
        </w:tc>
      </w:tr>
    </w:tbl>
    <w:p w:rsidR="00C17E9D" w:rsidRDefault="00C17E9D" w:rsidP="00894923">
      <w:pPr>
        <w:rPr>
          <w:lang w:val="fr-FR"/>
        </w:rPr>
      </w:pPr>
    </w:p>
    <w:p w:rsidR="00C17E9D" w:rsidRDefault="00C17E9D" w:rsidP="00894923">
      <w:pPr>
        <w:rPr>
          <w:lang w:val="fr-FR"/>
        </w:rPr>
      </w:pPr>
    </w:p>
    <w:p w:rsidR="00C17E9D" w:rsidRDefault="00C17E9D" w:rsidP="00894923">
      <w:pPr>
        <w:rPr>
          <w:lang w:val="fr-FR"/>
        </w:rPr>
      </w:pPr>
    </w:p>
    <w:p w:rsidR="00C17E9D" w:rsidRDefault="00C17E9D" w:rsidP="00894923">
      <w:pPr>
        <w:rPr>
          <w:lang w:val="fr-FR"/>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40EB2">
        <w:tc>
          <w:tcPr>
            <w:tcW w:w="5811" w:type="dxa"/>
          </w:tcPr>
          <w:p w:rsidR="00C17E9D" w:rsidRPr="00817843" w:rsidRDefault="00892676" w:rsidP="00894923">
            <w:pPr>
              <w:pStyle w:val="Lgendetitre"/>
            </w:pPr>
            <w:r>
              <w:t>Änderungsanträge zu einem Entwurf eines Rechtsakts</w:t>
            </w:r>
          </w:p>
        </w:tc>
      </w:tr>
      <w:tr w:rsidR="00140EB2" w:rsidTr="00225D8A">
        <w:trPr>
          <w:trHeight w:val="5490"/>
        </w:trPr>
        <w:tc>
          <w:tcPr>
            <w:tcW w:w="5811" w:type="dxa"/>
          </w:tcPr>
          <w:p w:rsidR="00C17E9D" w:rsidRPr="00F54D75" w:rsidRDefault="00892676" w:rsidP="00A225F3">
            <w:pPr>
              <w:pStyle w:val="Lgendestandard"/>
              <w:rPr>
                <w:szCs w:val="24"/>
              </w:rPr>
            </w:pPr>
            <w:r>
              <w:rPr>
                <w:b/>
              </w:rPr>
              <w:t xml:space="preserve">Änderungsanträge </w:t>
            </w:r>
            <w:r>
              <w:rPr>
                <w:b/>
              </w:rPr>
              <w:t>des Parlaments in Spaltenform</w:t>
            </w:r>
          </w:p>
          <w:p w:rsidR="00C17E9D" w:rsidRPr="00F54D75" w:rsidRDefault="00C17E9D" w:rsidP="00A225F3">
            <w:pPr>
              <w:pStyle w:val="Lgendestandard"/>
              <w:rPr>
                <w:szCs w:val="24"/>
              </w:rPr>
            </w:pPr>
          </w:p>
          <w:p w:rsidR="00C17E9D" w:rsidRPr="00F54D75" w:rsidRDefault="00892676" w:rsidP="00A225F3">
            <w:pPr>
              <w:pStyle w:val="Lgendestandard"/>
              <w:rPr>
                <w:szCs w:val="24"/>
              </w:rPr>
            </w:pPr>
            <w:r>
              <w:t xml:space="preserve">Streichungen werden durch </w:t>
            </w:r>
            <w:r>
              <w:rPr>
                <w:b/>
                <w:i/>
              </w:rPr>
              <w:t>Fett- und Kursivdruck</w:t>
            </w:r>
            <w:r>
              <w:t xml:space="preserve"> in der linken Spalte gekennzeichnet. Textänderungen werden durch </w:t>
            </w:r>
            <w:r>
              <w:rPr>
                <w:b/>
                <w:i/>
              </w:rPr>
              <w:t>Fett- und Kursivdruck</w:t>
            </w:r>
            <w:r>
              <w:t xml:space="preserve"> in beiden Spalten gekennzeichnet. Neuer Text wird durch </w:t>
            </w:r>
            <w:r>
              <w:rPr>
                <w:b/>
                <w:i/>
              </w:rPr>
              <w:t>Fett- und Kursivdruck</w:t>
            </w:r>
            <w:r>
              <w:t xml:space="preserve"> in der rechten Spalte gekennzeichnet.</w:t>
            </w:r>
          </w:p>
          <w:p w:rsidR="00C17E9D" w:rsidRPr="00F54D75" w:rsidRDefault="00C17E9D" w:rsidP="00A225F3">
            <w:pPr>
              <w:pStyle w:val="Lgendestandard"/>
              <w:rPr>
                <w:szCs w:val="24"/>
              </w:rPr>
            </w:pPr>
          </w:p>
          <w:p w:rsidR="00C17E9D" w:rsidRPr="00F54D75" w:rsidRDefault="00892676" w:rsidP="00A225F3">
            <w:pPr>
              <w:pStyle w:val="Lgendestandard"/>
              <w:rPr>
                <w:szCs w:val="24"/>
              </w:rPr>
            </w:pPr>
            <w:r>
              <w:t>Aus der ersten und der zweiten Zeile des Kopftextes zu jedem der Änderungsanträge ist der betroffene Abschnitt des zu prüfenden Entwurfs eines Rechtsakts ersichtlich. Wenn sich ein Änderungsantrag auf einen bestehend</w:t>
            </w:r>
            <w:r>
              <w:t>en Rechtsakt bezieht, der durch den Entwurf eines Rechtsakts geändert werden soll, umfasst der Kopftext auch eine dritte und eine vierte Zeile, in der der bestehende Rechtsakt bzw. die von der Änderung betroffene Bestimmung des bestehenden Rechtsakts angeg</w:t>
            </w:r>
            <w:r>
              <w:t>eben werden.</w:t>
            </w:r>
          </w:p>
          <w:p w:rsidR="00C17E9D" w:rsidRPr="00F54D75" w:rsidRDefault="00C17E9D" w:rsidP="00A225F3">
            <w:pPr>
              <w:pStyle w:val="Lgendestandard"/>
              <w:rPr>
                <w:szCs w:val="24"/>
              </w:rPr>
            </w:pPr>
          </w:p>
          <w:p w:rsidR="00C17E9D" w:rsidRPr="00F54D75" w:rsidRDefault="00892676" w:rsidP="00A225F3">
            <w:pPr>
              <w:pStyle w:val="Lgendestandard"/>
              <w:rPr>
                <w:b/>
                <w:szCs w:val="24"/>
              </w:rPr>
            </w:pPr>
            <w:r>
              <w:rPr>
                <w:b/>
              </w:rPr>
              <w:t>Änderungsanträge des Parlaments in Form eines konsolidierten Textes</w:t>
            </w:r>
          </w:p>
          <w:p w:rsidR="00C17E9D" w:rsidRPr="00F54D75" w:rsidRDefault="00C17E9D" w:rsidP="00A225F3">
            <w:pPr>
              <w:pStyle w:val="Lgendestandard"/>
              <w:rPr>
                <w:szCs w:val="24"/>
              </w:rPr>
            </w:pPr>
          </w:p>
          <w:p w:rsidR="00C17E9D" w:rsidRPr="00F54D75" w:rsidRDefault="00892676" w:rsidP="00A225F3">
            <w:pPr>
              <w:pStyle w:val="Lgendestandard"/>
              <w:rPr>
                <w:szCs w:val="24"/>
              </w:rPr>
            </w:pPr>
            <w:r>
              <w:t xml:space="preserve">Neue Textteile sind durch </w:t>
            </w:r>
            <w:r>
              <w:rPr>
                <w:b/>
                <w:i/>
              </w:rPr>
              <w:t>Fett- und Kursivdruck</w:t>
            </w:r>
            <w:r>
              <w:t xml:space="preserve"> gekennzeichnet. Auf Textteile, die entfallen, wird mit dem Symbol ▌hingewiesen oder diese Textteile erscheinen durchgestriche</w:t>
            </w:r>
            <w:r>
              <w:t xml:space="preserve">n. Textänderungen werden gekennzeichnet, indem der neue Text in </w:t>
            </w:r>
            <w:r>
              <w:rPr>
                <w:b/>
                <w:i/>
              </w:rPr>
              <w:t>Fett- und Kursivdruck</w:t>
            </w:r>
            <w:r>
              <w:t xml:space="preserve"> steht und der bisherige Text gelöscht oder durchgestrichen wird.</w:t>
            </w:r>
          </w:p>
          <w:p w:rsidR="00C17E9D" w:rsidRDefault="00892676" w:rsidP="00A225F3">
            <w:pPr>
              <w:pStyle w:val="Lgendestandard"/>
            </w:pPr>
            <w:r>
              <w:t>Rein technische Änderungen, die von den Dienststellen im Hinblick auf die Erstellung des endgültigen Text</w:t>
            </w:r>
            <w:r>
              <w:t>es vorgenommen werden, werden allerdings nicht gekennzeichnet.</w:t>
            </w:r>
          </w:p>
          <w:p w:rsidR="00C17E9D" w:rsidRDefault="00C17E9D" w:rsidP="0069092A">
            <w:pPr>
              <w:pStyle w:val="Lgendestandard"/>
              <w:rPr>
                <w:lang w:val="fr-FR"/>
              </w:rPr>
            </w:pPr>
          </w:p>
        </w:tc>
      </w:tr>
    </w:tbl>
    <w:p w:rsidR="00C17E9D" w:rsidRDefault="00C17E9D" w:rsidP="00894923">
      <w:pPr>
        <w:rPr>
          <w:lang w:val="fr-FR"/>
        </w:rPr>
      </w:pPr>
    </w:p>
    <w:p w:rsidR="00793EA9" w:rsidRPr="00C17E9D" w:rsidRDefault="00793EA9" w:rsidP="00012351">
      <w:pPr>
        <w:widowControl/>
        <w:tabs>
          <w:tab w:val="center" w:pos="4677"/>
        </w:tabs>
      </w:pPr>
    </w:p>
    <w:p w:rsidR="00793EA9" w:rsidRPr="00255CBF" w:rsidRDefault="00892676">
      <w:pPr>
        <w:pStyle w:val="TOCHeading"/>
      </w:pPr>
      <w:r>
        <w:br w:type="page"/>
      </w:r>
      <w:r>
        <w:lastRenderedPageBreak/>
        <w:t>INHALT</w:t>
      </w:r>
    </w:p>
    <w:p w:rsidR="00793EA9" w:rsidRPr="00255CBF" w:rsidRDefault="00892676">
      <w:pPr>
        <w:pStyle w:val="TOCPage"/>
      </w:pPr>
      <w:r>
        <w:t>Seite</w:t>
      </w:r>
    </w:p>
    <w:p w:rsidR="00892676" w:rsidRDefault="00892676">
      <w:pPr>
        <w:pStyle w:val="TOC1"/>
        <w:tabs>
          <w:tab w:val="right" w:leader="dot" w:pos="9060"/>
        </w:tabs>
        <w:rPr>
          <w:rFonts w:asciiTheme="minorHAnsi" w:eastAsiaTheme="minorEastAsia" w:hAnsiTheme="minorHAnsi" w:cstheme="minorBidi"/>
          <w:noProof/>
          <w:sz w:val="22"/>
          <w:szCs w:val="22"/>
          <w:lang w:val="en-GB"/>
        </w:rPr>
      </w:pPr>
      <w:r w:rsidRPr="00255CBF">
        <w:rPr>
          <w:b/>
        </w:rPr>
        <w:fldChar w:fldCharType="begin"/>
      </w:r>
      <w:r w:rsidRPr="00255CBF">
        <w:rPr>
          <w:b/>
        </w:rPr>
        <w:instrText xml:space="preserve"> TOC \t "PageHeading</w:instrText>
      </w:r>
      <w:r>
        <w:rPr>
          <w:b/>
        </w:rPr>
        <w:instrText>;</w:instrText>
      </w:r>
      <w:r w:rsidRPr="00255CBF">
        <w:rPr>
          <w:b/>
        </w:rPr>
        <w:instrText xml:space="preserve">1" </w:instrText>
      </w:r>
      <w:r w:rsidRPr="00255CBF">
        <w:rPr>
          <w:b/>
        </w:rPr>
        <w:fldChar w:fldCharType="separate"/>
      </w:r>
      <w:r>
        <w:rPr>
          <w:noProof/>
        </w:rPr>
        <w:t>ENTWURF EINER LEGISLATIVEN ENTSCHLIESSUNG DES EUROPÄISCHEN PARLAMENTS</w:t>
      </w:r>
      <w:r>
        <w:rPr>
          <w:noProof/>
        </w:rPr>
        <w:tab/>
      </w:r>
      <w:r>
        <w:rPr>
          <w:noProof/>
        </w:rPr>
        <w:fldChar w:fldCharType="begin"/>
      </w:r>
      <w:r>
        <w:rPr>
          <w:noProof/>
        </w:rPr>
        <w:instrText xml:space="preserve"> PAGEREF _Toc108447643 \h </w:instrText>
      </w:r>
      <w:r>
        <w:rPr>
          <w:noProof/>
        </w:rPr>
      </w:r>
      <w:r>
        <w:rPr>
          <w:noProof/>
        </w:rPr>
        <w:fldChar w:fldCharType="separate"/>
      </w:r>
      <w:r>
        <w:rPr>
          <w:noProof/>
        </w:rPr>
        <w:t>5</w:t>
      </w:r>
      <w:r>
        <w:rPr>
          <w:noProof/>
        </w:rPr>
        <w:fldChar w:fldCharType="end"/>
      </w:r>
    </w:p>
    <w:p w:rsidR="002346B0" w:rsidRPr="00255CBF" w:rsidRDefault="00892676" w:rsidP="00C23324">
      <w:r w:rsidRPr="00255CBF">
        <w:rPr>
          <w:b/>
        </w:rPr>
        <w:fldChar w:fldCharType="end"/>
      </w:r>
    </w:p>
    <w:p w:rsidR="00793EA9" w:rsidRPr="00255CBF" w:rsidRDefault="00892676">
      <w:pPr>
        <w:pStyle w:val="PageHeading"/>
      </w:pPr>
      <w:r>
        <w:br w:type="page"/>
      </w:r>
      <w:r>
        <w:lastRenderedPageBreak/>
        <w:br w:type="page"/>
      </w:r>
      <w:bookmarkStart w:id="0" w:name="_Toc108447643"/>
      <w:r>
        <w:lastRenderedPageBreak/>
        <w:t>ENTWURF EINER LEGISLATIVEN ENTSCHLIESSUNG DES EUROPÄISCHEN PARLAMENTS</w:t>
      </w:r>
      <w:bookmarkEnd w:id="0"/>
    </w:p>
    <w:p w:rsidR="00793EA9" w:rsidRPr="00255CBF" w:rsidRDefault="00892676">
      <w:pPr>
        <w:pStyle w:val="NormalBold"/>
      </w:pPr>
      <w:r>
        <w:t xml:space="preserve">zu dem Vorschlag für eine Richtlinie des Europäischen Parlaments und des Rates zur Änderung der Richtlinie (EU) 2019/1153 des Europäischen Parlaments und des Rates </w:t>
      </w:r>
      <w:r>
        <w:t>in Bezug auf den Zugang zuständiger Behörden zu zentralen Bankkontenregistern über die zentrale Zugangsstelle</w:t>
      </w:r>
    </w:p>
    <w:p w:rsidR="00793EA9" w:rsidRPr="00255CBF" w:rsidRDefault="00892676">
      <w:pPr>
        <w:pStyle w:val="NormalBold12a"/>
      </w:pPr>
      <w:r>
        <w:t>(COM(2021)0429 – C9</w:t>
      </w:r>
      <w:r>
        <w:noBreakHyphen/>
        <w:t>0000/2022 – 2021/0244(COD))</w:t>
      </w:r>
    </w:p>
    <w:p w:rsidR="00793EA9" w:rsidRPr="00255CBF" w:rsidRDefault="00892676" w:rsidP="00A910C9">
      <w:pPr>
        <w:pStyle w:val="NormalBold"/>
      </w:pPr>
      <w:r>
        <w:t>(Ordentliches Gesetzgebungsverfahren: erste Lesung)</w:t>
      </w:r>
    </w:p>
    <w:p w:rsidR="00793EA9" w:rsidRPr="00255CBF" w:rsidRDefault="00892676" w:rsidP="00A910C9">
      <w:pPr>
        <w:pStyle w:val="EPComma"/>
      </w:pPr>
      <w:r>
        <w:rPr>
          <w:i/>
        </w:rPr>
        <w:t>Das Europäische Parlament</w:t>
      </w:r>
      <w:r>
        <w:t>,</w:t>
      </w:r>
    </w:p>
    <w:p w:rsidR="00C17E9D" w:rsidRPr="00E44F7E" w:rsidRDefault="00892676" w:rsidP="00C17E9D">
      <w:pPr>
        <w:pStyle w:val="NormalHanging12a"/>
      </w:pPr>
      <w:r>
        <w:t>–</w:t>
      </w:r>
      <w:r>
        <w:tab/>
        <w:t>unter Hinweis auf</w:t>
      </w:r>
      <w:r>
        <w:t xml:space="preserve"> den Vorschlag der Kommission an das Europäische Parlament und den Rat (COM(2021)0429),</w:t>
      </w:r>
    </w:p>
    <w:p w:rsidR="00C17E9D" w:rsidRPr="00E44F7E" w:rsidRDefault="00892676" w:rsidP="00C17E9D">
      <w:pPr>
        <w:pStyle w:val="NormalHanging12a"/>
      </w:pPr>
      <w:r>
        <w:t>–</w:t>
      </w:r>
      <w:r>
        <w:tab/>
        <w:t>gestützt auf Artikel 294 Absatz 2 und Artikel 87 Absatz 2 des Vertrags über die Arbeitsweise der Europäischen Union, auf deren Grundlage ihm der Vorschlag der Kommiss</w:t>
      </w:r>
      <w:r>
        <w:t>ion unterbreitet wurde (C9</w:t>
      </w:r>
      <w:r>
        <w:noBreakHyphen/>
        <w:t>0000/2022),</w:t>
      </w:r>
    </w:p>
    <w:p w:rsidR="00C17E9D" w:rsidRPr="00E44F7E" w:rsidRDefault="00892676" w:rsidP="00C17E9D">
      <w:pPr>
        <w:pStyle w:val="NormalHanging12a"/>
      </w:pPr>
      <w:r>
        <w:t>–</w:t>
      </w:r>
      <w:r>
        <w:tab/>
        <w:t>gestützt auf Artikel 294 Absatz 3 des Vertrags über die Arbeitsweise der Europäischen Union,</w:t>
      </w:r>
    </w:p>
    <w:p w:rsidR="00C17E9D" w:rsidRPr="00E44F7E" w:rsidRDefault="00892676" w:rsidP="00C17E9D">
      <w:pPr>
        <w:pStyle w:val="NormalHanging12a"/>
      </w:pPr>
      <w:r>
        <w:t>–</w:t>
      </w:r>
      <w:r>
        <w:tab/>
        <w:t>gestützt auf Artikel 59 seiner Geschäftsordnung,</w:t>
      </w:r>
    </w:p>
    <w:p w:rsidR="00C17E9D" w:rsidRPr="00E44F7E" w:rsidRDefault="00892676" w:rsidP="00C17E9D">
      <w:pPr>
        <w:pStyle w:val="NormalHanging12a"/>
      </w:pPr>
      <w:r>
        <w:t>–</w:t>
      </w:r>
      <w:r>
        <w:tab/>
        <w:t>unter Hinweis auf die Stellungnahme des Ausschusses für Wirtschaft un</w:t>
      </w:r>
      <w:r>
        <w:t>d Währung,</w:t>
      </w:r>
    </w:p>
    <w:p w:rsidR="00C17E9D" w:rsidRPr="00E44F7E" w:rsidRDefault="00892676" w:rsidP="00C17E9D">
      <w:pPr>
        <w:pStyle w:val="NormalHanging12a"/>
      </w:pPr>
      <w:r>
        <w:t>–</w:t>
      </w:r>
      <w:r>
        <w:tab/>
        <w:t>unter Hinweis auf den Bericht des Ausschusses für bürgerliche Freiheiten, Justiz und Inneres (A9</w:t>
      </w:r>
      <w:r>
        <w:noBreakHyphen/>
        <w:t>0000/2022),</w:t>
      </w:r>
    </w:p>
    <w:p w:rsidR="00C17E9D" w:rsidRPr="00E44F7E" w:rsidRDefault="00892676" w:rsidP="00C17E9D">
      <w:pPr>
        <w:pStyle w:val="NormalHanging12a"/>
      </w:pPr>
      <w:r>
        <w:t>1.</w:t>
      </w:r>
      <w:r>
        <w:tab/>
        <w:t>legt den folgenden Standpunkt in erster Lesung fest;</w:t>
      </w:r>
    </w:p>
    <w:p w:rsidR="00C17E9D" w:rsidRPr="00E44F7E" w:rsidRDefault="00892676" w:rsidP="00C17E9D">
      <w:pPr>
        <w:pStyle w:val="NormalHanging12a"/>
      </w:pPr>
      <w:r>
        <w:t>2.</w:t>
      </w:r>
      <w:r>
        <w:tab/>
        <w:t>fordert die Kommission auf, es erneut zu befassen, falls sie ihren Vorschla</w:t>
      </w:r>
      <w:r>
        <w:t>g ersetzt, entscheidend ändert oder beabsichtigt, ihn entscheidend zu ändern;</w:t>
      </w:r>
    </w:p>
    <w:p w:rsidR="00C17E9D" w:rsidRPr="00E44F7E" w:rsidRDefault="00892676" w:rsidP="00C17E9D">
      <w:pPr>
        <w:pStyle w:val="NormalHanging12a"/>
      </w:pPr>
      <w:r>
        <w:t>3.</w:t>
      </w:r>
      <w:r>
        <w:tab/>
        <w:t>beauftragt seine Präsidenti</w:t>
      </w:r>
      <w:r>
        <w:t>n, den Standpunkt des Parlaments dem Rat und der Kommission sowie den nationalen Parlamenten zu übermitteln.</w:t>
      </w:r>
    </w:p>
    <w:p w:rsidR="00D30DE2" w:rsidRPr="00255CBF" w:rsidRDefault="00D30DE2" w:rsidP="00D30DE2"/>
    <w:p w:rsidR="00C17E9D" w:rsidRPr="00E44F7E" w:rsidRDefault="00892676" w:rsidP="00C17E9D">
      <w:pPr>
        <w:pStyle w:val="AMNumberTabs0"/>
        <w:keepNext/>
      </w:pPr>
      <w:r>
        <w:rPr>
          <w:rStyle w:val="HideTWBExt"/>
          <w:b w:val="0"/>
          <w:lang w:val="en-GB"/>
        </w:rPr>
        <w:t>&lt;RepeatBlock-Amend&gt;&lt;Amend&gt;</w:t>
      </w:r>
      <w:r>
        <w:t>Änderungsan</w:t>
      </w:r>
      <w:r>
        <w:t>trag</w:t>
      </w:r>
      <w:r>
        <w:tab/>
      </w:r>
      <w:r>
        <w:tab/>
      </w:r>
      <w:r>
        <w:rPr>
          <w:rStyle w:val="HideTWBExt"/>
          <w:b w:val="0"/>
          <w:lang w:val="en-GB"/>
        </w:rPr>
        <w:t>&lt;NumAm&gt;</w:t>
      </w:r>
      <w:r>
        <w:t>1</w:t>
      </w:r>
      <w:r>
        <w:rPr>
          <w:rStyle w:val="HideTWBExt"/>
          <w:b w:val="0"/>
          <w:lang w:val="en-GB"/>
        </w:rPr>
        <w:t>&lt;/NumAm&gt;</w:t>
      </w:r>
    </w:p>
    <w:p w:rsidR="00C17E9D" w:rsidRPr="00E44F7E" w:rsidRDefault="00892676" w:rsidP="00C17E9D">
      <w:pPr>
        <w:pStyle w:val="NormalBold12b"/>
        <w:keepNext/>
      </w:pPr>
      <w:r>
        <w:rPr>
          <w:rStyle w:val="HideTWBExt"/>
          <w:b w:val="0"/>
        </w:rPr>
        <w:t>&lt;DocAmend&gt;</w:t>
      </w:r>
      <w:r>
        <w:t>Vorschlag für eine Richtlinie</w:t>
      </w:r>
      <w:r>
        <w:rPr>
          <w:rStyle w:val="HideTWBExt"/>
          <w:b w:val="0"/>
        </w:rPr>
        <w:t>&lt;/DocAmend&gt;</w:t>
      </w:r>
    </w:p>
    <w:p w:rsidR="00C17E9D" w:rsidRPr="00E44F7E" w:rsidRDefault="00892676" w:rsidP="00C17E9D">
      <w:r>
        <w:rPr>
          <w:rStyle w:val="HideTWBExt"/>
        </w:rPr>
        <w:t>&lt;Article&gt;</w:t>
      </w:r>
      <w:r>
        <w:t>Erwägung 6 a (neu)</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40EB2" w:rsidTr="00A37546">
        <w:trPr>
          <w:jc w:val="center"/>
        </w:trPr>
        <w:tc>
          <w:tcPr>
            <w:tcW w:w="9752" w:type="dxa"/>
            <w:gridSpan w:val="2"/>
          </w:tcPr>
          <w:p w:rsidR="00C17E9D" w:rsidRPr="00E44F7E" w:rsidRDefault="00C17E9D" w:rsidP="00A37546">
            <w:pPr>
              <w:keepNext/>
            </w:pPr>
          </w:p>
        </w:tc>
      </w:tr>
      <w:tr w:rsidR="00140EB2" w:rsidTr="00A37546">
        <w:trPr>
          <w:jc w:val="center"/>
        </w:trPr>
        <w:tc>
          <w:tcPr>
            <w:tcW w:w="4876" w:type="dxa"/>
            <w:hideMark/>
          </w:tcPr>
          <w:p w:rsidR="00C17E9D" w:rsidRPr="00E44F7E" w:rsidRDefault="00892676" w:rsidP="00A37546">
            <w:pPr>
              <w:pStyle w:val="ColumnHeading"/>
              <w:keepNext/>
            </w:pPr>
            <w:r>
              <w:t>Derzeitiger Wortlaut</w:t>
            </w:r>
          </w:p>
        </w:tc>
        <w:tc>
          <w:tcPr>
            <w:tcW w:w="4876" w:type="dxa"/>
            <w:hideMark/>
          </w:tcPr>
          <w:p w:rsidR="00C17E9D" w:rsidRPr="00E44F7E" w:rsidRDefault="00892676" w:rsidP="00A37546">
            <w:pPr>
              <w:pStyle w:val="ColumnHeading"/>
              <w:keepNext/>
            </w:pPr>
            <w:r>
              <w:t>Geänderter Text</w:t>
            </w:r>
          </w:p>
        </w:tc>
      </w:tr>
      <w:tr w:rsidR="00140EB2" w:rsidTr="00A37546">
        <w:trPr>
          <w:jc w:val="center"/>
        </w:trPr>
        <w:tc>
          <w:tcPr>
            <w:tcW w:w="4876" w:type="dxa"/>
          </w:tcPr>
          <w:p w:rsidR="00C17E9D" w:rsidRPr="00E44F7E" w:rsidRDefault="00C17E9D" w:rsidP="00A37546">
            <w:pPr>
              <w:pStyle w:val="Normal6"/>
              <w:rPr>
                <w:lang w:val="en-GB"/>
              </w:rPr>
            </w:pPr>
          </w:p>
        </w:tc>
        <w:tc>
          <w:tcPr>
            <w:tcW w:w="4876" w:type="dxa"/>
            <w:hideMark/>
          </w:tcPr>
          <w:p w:rsidR="00C17E9D" w:rsidRPr="00E44F7E" w:rsidRDefault="00892676" w:rsidP="00A37546">
            <w:pPr>
              <w:pStyle w:val="Normal6"/>
              <w:rPr>
                <w:szCs w:val="24"/>
              </w:rPr>
            </w:pPr>
            <w:r>
              <w:rPr>
                <w:b/>
                <w:i/>
              </w:rPr>
              <w:t>(6a)</w:t>
            </w:r>
            <w:r>
              <w:rPr>
                <w:b/>
                <w:i/>
              </w:rPr>
              <w:tab/>
              <w:t xml:space="preserve">Der Mechanismus für den direkten grenzüberschreitenden Zugang </w:t>
            </w:r>
            <w:r>
              <w:rPr>
                <w:b/>
                <w:i/>
              </w:rPr>
              <w:lastRenderedPageBreak/>
              <w:t xml:space="preserve">der Strafverfolgungsbehörden zu </w:t>
            </w:r>
            <w:r>
              <w:rPr>
                <w:b/>
                <w:i/>
              </w:rPr>
              <w:t>zentralen Bankkontenregistern über die zentrale Zugangsstelle beruht auf dem Grundsatz des gegenseitigen Vertrauens zwischen den Mitgliedstaaten und der Vermutung, dass die Mitgliedstaaten das Unionsrecht, die Rechtsstaatlichkeit gemäß Artikel 2 EUV und in</w:t>
            </w:r>
            <w:r>
              <w:rPr>
                <w:b/>
                <w:i/>
              </w:rPr>
              <w:t>sbesondere die Grundrechte gemäß Artikel 6 EUV, wie das Recht auf Privatsphäre und Datenschutz, die wesentliche Elemente des Raums der Freiheit, der Sicherheit und des Rechts innerhalb der Union sind, einhalten.</w:t>
            </w:r>
            <w:r>
              <w:t xml:space="preserve"> </w:t>
            </w:r>
          </w:p>
        </w:tc>
      </w:tr>
    </w:tbl>
    <w:p w:rsidR="00C17E9D" w:rsidRPr="00E44F7E" w:rsidRDefault="00892676" w:rsidP="00C17E9D">
      <w:pPr>
        <w:pStyle w:val="Olang"/>
        <w:rPr>
          <w:sz w:val="24"/>
          <w:szCs w:val="24"/>
        </w:rPr>
      </w:pPr>
      <w:r w:rsidRPr="00E44F7E">
        <w:rPr>
          <w:sz w:val="24"/>
          <w:szCs w:val="24"/>
        </w:rPr>
        <w:lastRenderedPageBreak/>
        <w:t xml:space="preserve">Or. </w:t>
      </w:r>
      <w:r w:rsidRPr="00E44F7E">
        <w:rPr>
          <w:rStyle w:val="HideTWBExt"/>
        </w:rPr>
        <w:t>&lt;Original&gt;</w:t>
      </w:r>
      <w:r w:rsidRPr="00E44F7E">
        <w:rPr>
          <w:rStyle w:val="HideTWBInt"/>
          <w:sz w:val="24"/>
          <w:szCs w:val="24"/>
        </w:rPr>
        <w:t>{EN}</w:t>
      </w:r>
      <w:r w:rsidRPr="00E44F7E">
        <w:rPr>
          <w:sz w:val="24"/>
          <w:szCs w:val="24"/>
        </w:rPr>
        <w:t>en</w:t>
      </w:r>
      <w:r w:rsidRPr="00E44F7E">
        <w:rPr>
          <w:rStyle w:val="HideTWBExt"/>
        </w:rPr>
        <w:t>&lt;/Original&gt;</w:t>
      </w:r>
    </w:p>
    <w:p w:rsidR="00C17E9D" w:rsidRPr="00E44F7E" w:rsidRDefault="00892676" w:rsidP="00C17E9D">
      <w:pPr>
        <w:pStyle w:val="JustificationTitle"/>
        <w:rPr>
          <w:noProof w:val="0"/>
        </w:rPr>
      </w:pPr>
      <w:r>
        <w:rPr>
          <w:rStyle w:val="HideTWBExt"/>
          <w:i w:val="0"/>
          <w:lang w:val="en-GB"/>
        </w:rPr>
        <w:t>&lt;TitreJust&gt;</w:t>
      </w:r>
      <w:r>
        <w:t>Begründung</w:t>
      </w:r>
      <w:r>
        <w:rPr>
          <w:rStyle w:val="HideTWBExt"/>
          <w:i w:val="0"/>
          <w:lang w:val="en-GB"/>
        </w:rPr>
        <w:t>&lt;/TitreJust&gt;</w:t>
      </w:r>
    </w:p>
    <w:p w:rsidR="00C17E9D" w:rsidRPr="00E44F7E" w:rsidRDefault="00892676" w:rsidP="00C17E9D">
      <w:pPr>
        <w:pStyle w:val="Normal12Italic"/>
        <w:rPr>
          <w:noProof w:val="0"/>
        </w:rPr>
      </w:pPr>
      <w:r>
        <w:t>Für derartige grenzüberschreitende Vorschriften ist eine Grundlage im nationalen Recht im Einklang mit den Verpflichtungen aus Artikel 8 EMRK (Recht auf Privatsphäre) erforderlich. Zudem müssen diese Abfragen verhältnismäß</w:t>
      </w:r>
      <w:r>
        <w:t>ig sein und dürfen nur dann durchgeführt werden, wenn sie auch in vergleichbaren inländischen Sachverhalten anwendbar sind, damit die Wahl des günstigsten Gerichtsstands („Forum Shopping“) vermieden wird.</w:t>
      </w:r>
    </w:p>
    <w:p w:rsidR="00C17E9D" w:rsidRPr="00E44F7E" w:rsidRDefault="00892676" w:rsidP="00C17E9D">
      <w:r>
        <w:rPr>
          <w:rStyle w:val="HideTWBExt"/>
        </w:rPr>
        <w:t>&lt;/Amend&gt;</w:t>
      </w:r>
    </w:p>
    <w:p w:rsidR="00C17E9D" w:rsidRPr="00E44F7E" w:rsidRDefault="00892676" w:rsidP="00C17E9D">
      <w:pPr>
        <w:pStyle w:val="AMNumberTabs0"/>
        <w:keepNext/>
      </w:pPr>
      <w:r>
        <w:rPr>
          <w:rStyle w:val="HideTWBExt"/>
          <w:b w:val="0"/>
          <w:lang w:val="en-GB"/>
        </w:rPr>
        <w:t>&lt;Amend&gt;</w:t>
      </w:r>
      <w:r>
        <w:t>Änderungsantrag</w:t>
      </w:r>
      <w:r>
        <w:tab/>
      </w:r>
      <w:r>
        <w:tab/>
      </w:r>
      <w:r>
        <w:rPr>
          <w:rStyle w:val="HideTWBExt"/>
          <w:b w:val="0"/>
          <w:lang w:val="en-GB"/>
        </w:rPr>
        <w:t>&lt;NumAm&gt;</w:t>
      </w:r>
      <w:r>
        <w:t>2</w:t>
      </w:r>
      <w:r>
        <w:rPr>
          <w:rStyle w:val="HideTWBExt"/>
          <w:b w:val="0"/>
          <w:lang w:val="en-GB"/>
        </w:rPr>
        <w:t>&lt;/NumAm&gt;</w:t>
      </w:r>
    </w:p>
    <w:p w:rsidR="00C17E9D" w:rsidRPr="00E44F7E" w:rsidRDefault="00892676" w:rsidP="00C17E9D">
      <w:pPr>
        <w:pStyle w:val="NormalBold12b"/>
        <w:keepNext/>
      </w:pPr>
      <w:r>
        <w:rPr>
          <w:rStyle w:val="HideTWBExt"/>
          <w:b w:val="0"/>
        </w:rPr>
        <w:t>&lt;DocAmend&gt;</w:t>
      </w:r>
      <w:r>
        <w:t>Vorschlag für eine Richtlinie</w:t>
      </w:r>
      <w:r>
        <w:rPr>
          <w:rStyle w:val="HideTWBExt"/>
          <w:b w:val="0"/>
        </w:rPr>
        <w:t>&lt;/DocAmend&gt;</w:t>
      </w:r>
    </w:p>
    <w:p w:rsidR="00C17E9D" w:rsidRPr="00E44F7E" w:rsidRDefault="00892676" w:rsidP="00C17E9D">
      <w:pPr>
        <w:pStyle w:val="NormalBold"/>
      </w:pPr>
      <w:r>
        <w:rPr>
          <w:rStyle w:val="HideTWBExt"/>
          <w:b w:val="0"/>
        </w:rPr>
        <w:t>&lt;Article&gt;</w:t>
      </w:r>
      <w:r>
        <w:t>Artikel 1 – Absatz 1</w:t>
      </w:r>
      <w:r>
        <w:rPr>
          <w:rStyle w:val="HideTWBExt"/>
          <w:b w:val="0"/>
        </w:rPr>
        <w:t>&lt;/Article&gt;</w:t>
      </w:r>
    </w:p>
    <w:p w:rsidR="00C17E9D" w:rsidRPr="00E44F7E" w:rsidRDefault="00892676" w:rsidP="00C17E9D">
      <w:pPr>
        <w:keepNext/>
      </w:pPr>
      <w:r>
        <w:rPr>
          <w:rStyle w:val="HideTWBExt"/>
        </w:rPr>
        <w:t>&lt;DocAmend2&gt;</w:t>
      </w:r>
      <w:r>
        <w:t>Richtlinie (EU) 2019/1153</w:t>
      </w:r>
      <w:r>
        <w:rPr>
          <w:rStyle w:val="HideTWBExt"/>
        </w:rPr>
        <w:t>&lt;/DocAmend2&gt;</w:t>
      </w:r>
    </w:p>
    <w:p w:rsidR="00C17E9D" w:rsidRPr="00E44F7E" w:rsidRDefault="00892676" w:rsidP="00C17E9D">
      <w:r>
        <w:rPr>
          <w:rStyle w:val="HideTWBExt"/>
        </w:rPr>
        <w:t>&lt;Article2&gt;</w:t>
      </w:r>
      <w:r>
        <w:t>Artikel 4 – Absatz 1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EB2" w:rsidTr="00A37546">
        <w:trPr>
          <w:jc w:val="center"/>
        </w:trPr>
        <w:tc>
          <w:tcPr>
            <w:tcW w:w="9752" w:type="dxa"/>
            <w:gridSpan w:val="2"/>
          </w:tcPr>
          <w:p w:rsidR="00C17E9D" w:rsidRPr="00E44F7E" w:rsidRDefault="00C17E9D" w:rsidP="00A37546">
            <w:pPr>
              <w:keepNext/>
            </w:pPr>
          </w:p>
        </w:tc>
      </w:tr>
      <w:tr w:rsidR="00140EB2" w:rsidTr="00A37546">
        <w:trPr>
          <w:jc w:val="center"/>
        </w:trPr>
        <w:tc>
          <w:tcPr>
            <w:tcW w:w="4876" w:type="dxa"/>
            <w:hideMark/>
          </w:tcPr>
          <w:p w:rsidR="00C17E9D" w:rsidRPr="00E44F7E" w:rsidRDefault="00892676" w:rsidP="00A37546">
            <w:pPr>
              <w:pStyle w:val="ColumnHeading"/>
              <w:keepNext/>
            </w:pPr>
            <w:r>
              <w:t>Vorschlag der Kommission</w:t>
            </w:r>
          </w:p>
        </w:tc>
        <w:tc>
          <w:tcPr>
            <w:tcW w:w="4876" w:type="dxa"/>
            <w:hideMark/>
          </w:tcPr>
          <w:p w:rsidR="00C17E9D" w:rsidRPr="00E44F7E" w:rsidRDefault="00892676" w:rsidP="00A37546">
            <w:pPr>
              <w:pStyle w:val="ColumnHeading"/>
              <w:keepNext/>
            </w:pPr>
            <w:r>
              <w:t>Geänderter Text</w:t>
            </w:r>
          </w:p>
        </w:tc>
      </w:tr>
      <w:tr w:rsidR="00140EB2" w:rsidTr="00A37546">
        <w:trPr>
          <w:jc w:val="center"/>
        </w:trPr>
        <w:tc>
          <w:tcPr>
            <w:tcW w:w="4876" w:type="dxa"/>
            <w:hideMark/>
          </w:tcPr>
          <w:p w:rsidR="00C17E9D" w:rsidRPr="00E44F7E" w:rsidRDefault="00892676" w:rsidP="00C17E9D">
            <w:pPr>
              <w:pStyle w:val="Normal6"/>
            </w:pPr>
            <w:r>
              <w:t>(1a)</w:t>
            </w:r>
            <w:r>
              <w:tab/>
              <w:t xml:space="preserve">Die Mitgliedstaaten </w:t>
            </w:r>
            <w:r>
              <w:t>stellen sicher, dass die nach Artikel 3 Absatz 1 benannten zuständigen nationalen Behörden befugt sind, direkt und umgehend über die mit Artikel XX der Richtlinie (EU) YYYY/XX [neue Geldwäscherichtlinie] eingerichtete zentrale Zugangsstelle für Bankkontenr</w:t>
            </w:r>
            <w:r>
              <w:t xml:space="preserve">egister auf die verfügbaren Bankkontoinformationen in anderen Mitgliedstaaten zuzugreifen und diese abzufragen, wenn dies für die Wahrnehmung ihrer Aufgaben zur Verhütung, Aufdeckung, Untersuchung oder Verfolgung einer schweren Straftat </w:t>
            </w:r>
            <w:r>
              <w:lastRenderedPageBreak/>
              <w:t>oder zur Unterstütz</w:t>
            </w:r>
            <w:r>
              <w:t>ung einer strafrechtlichen Ermittlung im Zusammenhang mit einer schweren Straftat, einschließlich der Ermittlung, Rückverfolgung und Sicherstellung der mit dieser Ermittlung zusammenhängenden Vermögenswerte, erforderlich ist.</w:t>
            </w:r>
          </w:p>
        </w:tc>
        <w:tc>
          <w:tcPr>
            <w:tcW w:w="4876" w:type="dxa"/>
            <w:hideMark/>
          </w:tcPr>
          <w:p w:rsidR="00C17E9D" w:rsidRPr="00E44F7E" w:rsidRDefault="00892676" w:rsidP="00C17E9D">
            <w:pPr>
              <w:pStyle w:val="Normal6"/>
              <w:rPr>
                <w:szCs w:val="24"/>
              </w:rPr>
            </w:pPr>
            <w:r>
              <w:lastRenderedPageBreak/>
              <w:t>(1a)</w:t>
            </w:r>
            <w:r>
              <w:tab/>
              <w:t>Die Mitgliedstaaten stell</w:t>
            </w:r>
            <w:r>
              <w:t xml:space="preserve">en sicher, dass die nach Artikel 3 Absatz 1 benannten zuständigen nationalen Behörden befugt sind, </w:t>
            </w:r>
            <w:r>
              <w:rPr>
                <w:b/>
                <w:i/>
              </w:rPr>
              <w:t xml:space="preserve">im Einklang mit dem nationalen Recht </w:t>
            </w:r>
            <w:r>
              <w:t>direkt und umgehend über die mit Artikel XX der Richtlinie (EU) YYYY/XX [neue Geldwäscherichtlinie] eingerichtete zentra</w:t>
            </w:r>
            <w:r>
              <w:t xml:space="preserve">le Zugangsstelle für Bankkontenregister auf die verfügbaren Bankkontoinformationen in anderen Mitgliedstaaten zuzugreifen und diese abzufragen, wenn dies für die Wahrnehmung ihrer Aufgaben zur Verhütung, Aufdeckung, Untersuchung </w:t>
            </w:r>
            <w:r>
              <w:lastRenderedPageBreak/>
              <w:t>oder Verfolgung einer schwe</w:t>
            </w:r>
            <w:r>
              <w:t>ren Straftat oder zur Unterstützung einer strafrechtlichen Ermittlung im Zusammenhang mit einer schweren Straftat, einschließlich der Ermittlung, Rückverfolgung und Sicherstellung der mit dieser Ermittlung zusammenhängenden Vermögenswerte, erforderlich ist</w:t>
            </w:r>
            <w:r>
              <w:t>.</w:t>
            </w:r>
          </w:p>
        </w:tc>
      </w:tr>
      <w:tr w:rsidR="00140EB2" w:rsidTr="00A37546">
        <w:trPr>
          <w:jc w:val="center"/>
        </w:trPr>
        <w:tc>
          <w:tcPr>
            <w:tcW w:w="4876" w:type="dxa"/>
          </w:tcPr>
          <w:p w:rsidR="00C17E9D" w:rsidRPr="00E44F7E" w:rsidRDefault="00C17E9D" w:rsidP="00A37546">
            <w:pPr>
              <w:pStyle w:val="Normal6"/>
              <w:rPr>
                <w:lang w:val="en-GB"/>
              </w:rPr>
            </w:pPr>
          </w:p>
        </w:tc>
        <w:tc>
          <w:tcPr>
            <w:tcW w:w="4876" w:type="dxa"/>
            <w:hideMark/>
          </w:tcPr>
          <w:p w:rsidR="00C17E9D" w:rsidRPr="00E44F7E" w:rsidRDefault="00892676" w:rsidP="00A37546">
            <w:pPr>
              <w:pStyle w:val="Normal6"/>
              <w:rPr>
                <w:szCs w:val="24"/>
              </w:rPr>
            </w:pPr>
            <w:r>
              <w:rPr>
                <w:b/>
                <w:i/>
              </w:rPr>
              <w:t>Die Erhebung von Daten gemäß Unterabsatz 1 muss für die Zwecke des Verfahrens verhältnismäßig sein, wobei die Rechte der verdächtigten oder beschuldigten Person sowie die Tatsache zu berücksichtigen sind, dass die Abfrage in einem vergleichbaren inländ</w:t>
            </w:r>
            <w:r>
              <w:rPr>
                <w:b/>
                <w:i/>
              </w:rPr>
              <w:t>ischen Sachverhalt unter denselben Bedingungen möglich gewesen wäre.</w:t>
            </w:r>
            <w:r>
              <w:t xml:space="preserve"> </w:t>
            </w:r>
            <w:r>
              <w:rPr>
                <w:b/>
                <w:i/>
              </w:rPr>
              <w:t>Die erhobenen Daten dürfen nur für den Zweck verwendet werden, für den sie abgefragt wurden.</w:t>
            </w:r>
          </w:p>
        </w:tc>
      </w:tr>
      <w:tr w:rsidR="00140EB2" w:rsidTr="00A37546">
        <w:trPr>
          <w:jc w:val="center"/>
        </w:trPr>
        <w:tc>
          <w:tcPr>
            <w:tcW w:w="4876" w:type="dxa"/>
          </w:tcPr>
          <w:p w:rsidR="00C17E9D" w:rsidRPr="00E44F7E" w:rsidRDefault="00C17E9D" w:rsidP="00A37546">
            <w:pPr>
              <w:pStyle w:val="Normal6"/>
              <w:rPr>
                <w:lang w:val="en-GB"/>
              </w:rPr>
            </w:pPr>
          </w:p>
        </w:tc>
        <w:tc>
          <w:tcPr>
            <w:tcW w:w="4876" w:type="dxa"/>
            <w:hideMark/>
          </w:tcPr>
          <w:p w:rsidR="00C17E9D" w:rsidRPr="00E44F7E" w:rsidRDefault="00892676" w:rsidP="00A37546">
            <w:pPr>
              <w:pStyle w:val="Normal6"/>
              <w:rPr>
                <w:szCs w:val="24"/>
              </w:rPr>
            </w:pPr>
            <w:r>
              <w:rPr>
                <w:b/>
                <w:i/>
              </w:rPr>
              <w:t xml:space="preserve">Die Mitgliedstaaten stellen sicher, dass die von ihnen benannten zuständigen Behörden bei </w:t>
            </w:r>
            <w:r>
              <w:rPr>
                <w:b/>
                <w:i/>
              </w:rPr>
              <w:t>dem grenzüberschreitenden Zugang zu den Bankkontenregistern über die zentrale Zugangsstelle und der entsprechenden Abfrage von Informationen die Verfahrensrechte von Personen achten und die Unionsvorschriften über den Schutz personenbezogener Daten einhalt</w:t>
            </w:r>
            <w:r>
              <w:rPr>
                <w:b/>
                <w:i/>
              </w:rPr>
              <w:t>en.</w:t>
            </w:r>
          </w:p>
        </w:tc>
      </w:tr>
    </w:tbl>
    <w:p w:rsidR="00C17E9D" w:rsidRPr="00E44F7E" w:rsidRDefault="00892676" w:rsidP="00C17E9D">
      <w:pPr>
        <w:pStyle w:val="Olang"/>
        <w:rPr>
          <w:sz w:val="24"/>
          <w:szCs w:val="24"/>
        </w:rPr>
      </w:pPr>
      <w:r w:rsidRPr="00E44F7E">
        <w:rPr>
          <w:sz w:val="24"/>
          <w:szCs w:val="24"/>
        </w:rPr>
        <w:t xml:space="preserve">Or. </w:t>
      </w:r>
      <w:r w:rsidRPr="00E44F7E">
        <w:rPr>
          <w:rStyle w:val="HideTWBExt"/>
        </w:rPr>
        <w:t>&lt;Original&gt;</w:t>
      </w:r>
      <w:r w:rsidRPr="00E44F7E">
        <w:rPr>
          <w:rStyle w:val="HideTWBInt"/>
          <w:sz w:val="24"/>
          <w:szCs w:val="24"/>
        </w:rPr>
        <w:t>{EN}</w:t>
      </w:r>
      <w:r w:rsidRPr="00E44F7E">
        <w:rPr>
          <w:sz w:val="24"/>
          <w:szCs w:val="24"/>
        </w:rPr>
        <w:t>en</w:t>
      </w:r>
      <w:r w:rsidRPr="00E44F7E">
        <w:rPr>
          <w:rStyle w:val="HideTWBExt"/>
        </w:rPr>
        <w:t>&lt;/Original&gt;</w:t>
      </w:r>
    </w:p>
    <w:p w:rsidR="00C17E9D" w:rsidRPr="00E44F7E" w:rsidRDefault="00892676" w:rsidP="00C17E9D">
      <w:pPr>
        <w:pStyle w:val="JustificationTitle"/>
        <w:rPr>
          <w:noProof w:val="0"/>
        </w:rPr>
      </w:pPr>
      <w:r>
        <w:rPr>
          <w:rStyle w:val="HideTWBExt"/>
          <w:i w:val="0"/>
          <w:lang w:val="en-GB"/>
        </w:rPr>
        <w:t>&lt;TitreJust&gt;</w:t>
      </w:r>
      <w:r>
        <w:t>Begründung</w:t>
      </w:r>
      <w:r>
        <w:rPr>
          <w:rStyle w:val="HideTWBExt"/>
          <w:i w:val="0"/>
          <w:lang w:val="en-GB"/>
        </w:rPr>
        <w:t>&lt;/TitreJust&gt;</w:t>
      </w:r>
    </w:p>
    <w:p w:rsidR="00C17E9D" w:rsidRPr="00E44F7E" w:rsidRDefault="00892676" w:rsidP="00C17E9D">
      <w:pPr>
        <w:pStyle w:val="Normal12Italic"/>
        <w:rPr>
          <w:noProof w:val="0"/>
        </w:rPr>
      </w:pPr>
      <w:r>
        <w:t>Für derartige grenzüberschreitende Vorschriften ist eine Grundlage im nationalen Recht im Einklang mit den Verpflichtungen aus Artikel 8 EMRK (Recht auf Privatsphäre) erforderlich. Zude</w:t>
      </w:r>
      <w:r>
        <w:t>m müssen diese Abfragen verhältnismäßig sein und dürfen nur dann durchgeführt werden, wenn sie auch in vergleichbaren inländischen Sachverhalten anwendbar sind, damit die Wahl des günstigsten Gerichtsstands („Forum Shopping“) vermieden wird.</w:t>
      </w:r>
    </w:p>
    <w:p w:rsidR="00C17E9D" w:rsidRPr="00E44F7E" w:rsidRDefault="00892676" w:rsidP="00C17E9D">
      <w:r>
        <w:rPr>
          <w:rStyle w:val="HideTWBExt"/>
        </w:rPr>
        <w:t>&lt;/Amend&gt;</w:t>
      </w:r>
    </w:p>
    <w:p w:rsidR="002669B6" w:rsidRPr="00255CBF" w:rsidRDefault="00892676" w:rsidP="00C17E9D">
      <w:bookmarkStart w:id="1" w:name="_GoBack"/>
      <w:bookmarkEnd w:id="1"/>
      <w:r>
        <w:rPr>
          <w:rStyle w:val="HideTWBExt"/>
        </w:rPr>
        <w:t>&lt;/Rep</w:t>
      </w:r>
      <w:r>
        <w:rPr>
          <w:rStyle w:val="HideTWBExt"/>
        </w:rPr>
        <w:t>eatBlock-Amend&gt;</w:t>
      </w:r>
    </w:p>
    <w:sectPr w:rsidR="002669B6" w:rsidRPr="00255CBF" w:rsidSect="004557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92676">
      <w:r>
        <w:separator/>
      </w:r>
    </w:p>
  </w:endnote>
  <w:endnote w:type="continuationSeparator" w:id="0">
    <w:p w:rsidR="00000000" w:rsidRDefault="00892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255CBF" w:rsidRDefault="00892676" w:rsidP="00F07062">
    <w:pPr>
      <w:pStyle w:val="EPFooter"/>
    </w:pPr>
    <w:r w:rsidRPr="00255CBF">
      <w:t>PE</w:t>
    </w:r>
    <w:r w:rsidRPr="00255CBF">
      <w:rPr>
        <w:rStyle w:val="HideTWBExt"/>
        <w:noProof w:val="0"/>
      </w:rPr>
      <w:t>&lt;NoPE&gt;</w:t>
    </w:r>
    <w:r w:rsidR="00C17E9D" w:rsidRPr="00C17E9D">
      <w:t>734.352</w:t>
    </w:r>
    <w:r w:rsidRPr="00255CBF">
      <w:rPr>
        <w:rStyle w:val="HideTWBExt"/>
        <w:noProof w:val="0"/>
      </w:rPr>
      <w:t>&lt;/NoPE&gt;&lt;Version&gt;</w:t>
    </w:r>
    <w:r w:rsidR="00255CBF" w:rsidRPr="00255CBF">
      <w:t>v</w:t>
    </w:r>
    <w:r w:rsidR="00C17E9D" w:rsidRPr="00C17E9D">
      <w:t>01-00</w:t>
    </w:r>
    <w:r w:rsidRPr="00255CBF">
      <w:rPr>
        <w:rStyle w:val="HideTWBExt"/>
        <w:noProof w:val="0"/>
      </w:rPr>
      <w:t>&lt;/Version&gt;</w:t>
    </w:r>
    <w:r w:rsidRPr="00255CBF">
      <w:tab/>
    </w:r>
    <w:r w:rsidR="00914537" w:rsidRPr="00255CBF">
      <w:fldChar w:fldCharType="begin"/>
    </w:r>
    <w:r w:rsidR="00914537" w:rsidRPr="00255CBF">
      <w:instrText xml:space="preserve"> PAGE </w:instrText>
    </w:r>
    <w:r w:rsidR="00914537" w:rsidRPr="00255CBF">
      <w:fldChar w:fldCharType="separate"/>
    </w:r>
    <w:r>
      <w:rPr>
        <w:noProof/>
      </w:rPr>
      <w:t>4</w:t>
    </w:r>
    <w:r w:rsidR="00914537" w:rsidRPr="00255CBF">
      <w:fldChar w:fldCharType="end"/>
    </w:r>
    <w:r w:rsidR="00914537" w:rsidRPr="00255CBF">
      <w:t>/</w:t>
    </w:r>
    <w:r w:rsidR="00914537" w:rsidRPr="00255CBF">
      <w:rPr>
        <w:rStyle w:val="PageNumber"/>
      </w:rPr>
      <w:fldChar w:fldCharType="begin"/>
    </w:r>
    <w:r w:rsidR="00914537" w:rsidRPr="00255CBF">
      <w:rPr>
        <w:rStyle w:val="PageNumber"/>
      </w:rPr>
      <w:instrText xml:space="preserve"> NUMPAGES </w:instrText>
    </w:r>
    <w:r w:rsidR="00914537" w:rsidRPr="00255CBF">
      <w:rPr>
        <w:rStyle w:val="PageNumber"/>
      </w:rPr>
      <w:fldChar w:fldCharType="separate"/>
    </w:r>
    <w:r>
      <w:rPr>
        <w:rStyle w:val="PageNumber"/>
        <w:noProof/>
      </w:rPr>
      <w:t>7</w:t>
    </w:r>
    <w:r w:rsidR="00914537" w:rsidRPr="00255CBF">
      <w:rPr>
        <w:rStyle w:val="PageNumber"/>
      </w:rPr>
      <w:fldChar w:fldCharType="end"/>
    </w:r>
    <w:r w:rsidRPr="00255CBF">
      <w:tab/>
    </w:r>
    <w:r w:rsidRPr="00255CBF">
      <w:rPr>
        <w:rStyle w:val="HideTWBExt"/>
        <w:noProof w:val="0"/>
      </w:rPr>
      <w:t>&lt;PathFdR&gt;</w:t>
    </w:r>
    <w:r w:rsidR="00C17E9D" w:rsidRPr="00C17E9D">
      <w:t>PR\1259686DE.docx</w:t>
    </w:r>
    <w:r w:rsidRPr="00255CBF">
      <w:rPr>
        <w:rStyle w:val="HideTWBExt"/>
        <w:noProof w:val="0"/>
      </w:rPr>
      <w:t>&lt;/PathFdR&gt;</w:t>
    </w:r>
  </w:p>
  <w:p w:rsidR="00FB52FE" w:rsidRPr="00255CBF" w:rsidRDefault="00892676">
    <w:pPr>
      <w:pStyle w:val="EPFooter2"/>
    </w:pPr>
    <w:r w:rsidRPr="00255CBF">
      <w:fldChar w:fldCharType="begin"/>
    </w:r>
    <w:r w:rsidRPr="00255CBF">
      <w:instrText xml:space="preserve"> DOCPROPERTY "&lt;Extension&gt;" </w:instrText>
    </w:r>
    <w:r w:rsidRPr="00255CBF">
      <w:fldChar w:fldCharType="separate"/>
    </w:r>
    <w:r>
      <w:t>DE</w:t>
    </w:r>
    <w:r w:rsidRPr="00255CB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255CBF" w:rsidRDefault="00892676" w:rsidP="00F07062">
    <w:pPr>
      <w:pStyle w:val="EPFooter"/>
    </w:pPr>
    <w:r w:rsidRPr="00255CBF">
      <w:rPr>
        <w:rStyle w:val="HideTWBExt"/>
        <w:noProof w:val="0"/>
      </w:rPr>
      <w:t>&lt;PathFdR&gt;</w:t>
    </w:r>
    <w:r w:rsidR="00C17E9D" w:rsidRPr="00C17E9D">
      <w:t>PR\1259686DE.docx</w:t>
    </w:r>
    <w:r w:rsidRPr="00255CBF">
      <w:rPr>
        <w:rStyle w:val="HideTWBExt"/>
        <w:noProof w:val="0"/>
      </w:rPr>
      <w:t>&lt;/PathFdR&gt;</w:t>
    </w:r>
    <w:r w:rsidRPr="00255CBF">
      <w:tab/>
    </w:r>
    <w:r w:rsidR="00914537" w:rsidRPr="00255CBF">
      <w:fldChar w:fldCharType="begin"/>
    </w:r>
    <w:r w:rsidR="00914537" w:rsidRPr="00255CBF">
      <w:instrText xml:space="preserve"> PAGE </w:instrText>
    </w:r>
    <w:r w:rsidR="00914537" w:rsidRPr="00255CBF">
      <w:fldChar w:fldCharType="separate"/>
    </w:r>
    <w:r>
      <w:rPr>
        <w:noProof/>
      </w:rPr>
      <w:t>3</w:t>
    </w:r>
    <w:r w:rsidR="00914537" w:rsidRPr="00255CBF">
      <w:fldChar w:fldCharType="end"/>
    </w:r>
    <w:r w:rsidR="00914537" w:rsidRPr="00255CBF">
      <w:t>/</w:t>
    </w:r>
    <w:r w:rsidR="00914537" w:rsidRPr="00255CBF">
      <w:rPr>
        <w:rStyle w:val="PageNumber"/>
      </w:rPr>
      <w:fldChar w:fldCharType="begin"/>
    </w:r>
    <w:r w:rsidR="00914537" w:rsidRPr="00255CBF">
      <w:rPr>
        <w:rStyle w:val="PageNumber"/>
      </w:rPr>
      <w:instrText xml:space="preserve"> NUMPAGES </w:instrText>
    </w:r>
    <w:r w:rsidR="00914537" w:rsidRPr="00255CBF">
      <w:rPr>
        <w:rStyle w:val="PageNumber"/>
      </w:rPr>
      <w:fldChar w:fldCharType="separate"/>
    </w:r>
    <w:r>
      <w:rPr>
        <w:rStyle w:val="PageNumber"/>
        <w:noProof/>
      </w:rPr>
      <w:t>7</w:t>
    </w:r>
    <w:r w:rsidR="00914537" w:rsidRPr="00255CBF">
      <w:rPr>
        <w:rStyle w:val="PageNumber"/>
      </w:rPr>
      <w:fldChar w:fldCharType="end"/>
    </w:r>
    <w:r w:rsidRPr="00255CBF">
      <w:tab/>
      <w:t>PE</w:t>
    </w:r>
    <w:r w:rsidRPr="00255CBF">
      <w:rPr>
        <w:rStyle w:val="HideTWBExt"/>
        <w:noProof w:val="0"/>
      </w:rPr>
      <w:t>&lt;NoPE&gt;</w:t>
    </w:r>
    <w:r w:rsidR="00C17E9D" w:rsidRPr="00C17E9D">
      <w:t>734.352</w:t>
    </w:r>
    <w:r w:rsidRPr="00255CBF">
      <w:rPr>
        <w:rStyle w:val="HideTWBExt"/>
        <w:noProof w:val="0"/>
      </w:rPr>
      <w:t>&lt;/NoPE&gt;&lt;Version&gt;</w:t>
    </w:r>
    <w:r w:rsidR="00255CBF" w:rsidRPr="00255CBF">
      <w:t>v</w:t>
    </w:r>
    <w:r w:rsidR="00C17E9D" w:rsidRPr="00C17E9D">
      <w:t>01-00</w:t>
    </w:r>
    <w:r w:rsidRPr="00255CBF">
      <w:rPr>
        <w:rStyle w:val="HideTWBExt"/>
        <w:noProof w:val="0"/>
      </w:rPr>
      <w:t>&lt;/Version&gt;</w:t>
    </w:r>
  </w:p>
  <w:p w:rsidR="00FB52FE" w:rsidRPr="00255CBF" w:rsidRDefault="00892676">
    <w:pPr>
      <w:pStyle w:val="EPFooter2"/>
    </w:pPr>
    <w:r w:rsidRPr="00255CBF">
      <w:tab/>
    </w:r>
    <w:r w:rsidRPr="00255CBF">
      <w:tab/>
    </w:r>
    <w:fldSimple w:instr=" DOCPROPERTY &quot;&lt;Extension&gt;&quot; ">
      <w:r>
        <w:t>DE</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255CBF" w:rsidRDefault="00892676" w:rsidP="00F07062">
    <w:pPr>
      <w:pStyle w:val="EPFooter"/>
    </w:pPr>
    <w:r w:rsidRPr="00255CBF">
      <w:rPr>
        <w:rStyle w:val="HideTWBExt"/>
        <w:noProof w:val="0"/>
      </w:rPr>
      <w:t>&lt;PathFdR&gt;</w:t>
    </w:r>
    <w:r w:rsidR="00C17E9D" w:rsidRPr="00C17E9D">
      <w:t>PR\1259686DE.docx</w:t>
    </w:r>
    <w:r w:rsidRPr="00255CBF">
      <w:rPr>
        <w:rStyle w:val="HideTWBExt"/>
        <w:noProof w:val="0"/>
      </w:rPr>
      <w:t>&lt;/PathFdR&gt;</w:t>
    </w:r>
    <w:r w:rsidRPr="00255CBF">
      <w:tab/>
    </w:r>
    <w:r w:rsidRPr="00255CBF">
      <w:tab/>
      <w:t>PE</w:t>
    </w:r>
    <w:r w:rsidRPr="00255CBF">
      <w:rPr>
        <w:rStyle w:val="HideTWBExt"/>
        <w:noProof w:val="0"/>
      </w:rPr>
      <w:t>&lt;NoPE&gt;</w:t>
    </w:r>
    <w:r w:rsidR="00C17E9D" w:rsidRPr="00C17E9D">
      <w:t>734.352</w:t>
    </w:r>
    <w:r w:rsidRPr="00255CBF">
      <w:rPr>
        <w:rStyle w:val="HideTWBExt"/>
        <w:noProof w:val="0"/>
      </w:rPr>
      <w:t>&lt;/NoPE&gt;&lt;Version&gt;</w:t>
    </w:r>
    <w:r w:rsidR="00255CBF" w:rsidRPr="00255CBF">
      <w:t>v</w:t>
    </w:r>
    <w:r w:rsidR="00C17E9D" w:rsidRPr="00C17E9D">
      <w:t>01-00</w:t>
    </w:r>
    <w:r w:rsidRPr="00255CBF">
      <w:rPr>
        <w:rStyle w:val="HideTWBExt"/>
        <w:noProof w:val="0"/>
      </w:rPr>
      <w:t>&lt;/Version&gt;</w:t>
    </w:r>
  </w:p>
  <w:p w:rsidR="00FB52FE" w:rsidRPr="00255CBF" w:rsidRDefault="00892676" w:rsidP="00461601">
    <w:pPr>
      <w:pStyle w:val="EPFooter2"/>
      <w:tabs>
        <w:tab w:val="clear" w:pos="4535"/>
        <w:tab w:val="center" w:pos="4536"/>
      </w:tabs>
    </w:pPr>
    <w:r w:rsidRPr="00255CBF">
      <w:fldChar w:fldCharType="begin"/>
    </w:r>
    <w:r w:rsidRPr="00255CBF">
      <w:instrText xml:space="preserve"> DOCPROPERTY "&lt;Extension&gt;" </w:instrText>
    </w:r>
    <w:r w:rsidRPr="00255CBF">
      <w:fldChar w:fldCharType="separate"/>
    </w:r>
    <w:r>
      <w:t>DE</w:t>
    </w:r>
    <w:r w:rsidRPr="00255CBF">
      <w:fldChar w:fldCharType="end"/>
    </w:r>
    <w:r w:rsidRPr="00255CBF">
      <w:tab/>
    </w:r>
    <w:r w:rsidR="00C17E9D">
      <w:rPr>
        <w:b w:val="0"/>
        <w:i/>
        <w:color w:val="C0C0C0"/>
        <w:sz w:val="22"/>
        <w:szCs w:val="22"/>
      </w:rPr>
      <w:t>In Vielfalt geeint</w:t>
    </w:r>
    <w:r w:rsidRPr="00255CBF">
      <w:tab/>
    </w:r>
    <w:r w:rsidRPr="00255CBF">
      <w:fldChar w:fldCharType="begin"/>
    </w:r>
    <w:r w:rsidRPr="00255CBF">
      <w:instrText xml:space="preserve"> DOCPROPERTY "&lt;Extension&gt;" </w:instrText>
    </w:r>
    <w:r w:rsidRPr="00255CBF">
      <w:fldChar w:fldCharType="separate"/>
    </w:r>
    <w:r>
      <w:t>DE</w:t>
    </w:r>
    <w:r w:rsidRPr="00255CB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92676">
      <w:r>
        <w:separator/>
      </w:r>
    </w:p>
  </w:footnote>
  <w:footnote w:type="continuationSeparator" w:id="0">
    <w:p w:rsidR="00000000" w:rsidRDefault="00892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E9D" w:rsidRDefault="00C17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E9D" w:rsidRDefault="00C17E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E9D" w:rsidRDefault="00C17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1"/>
    <w:docVar w:name="COMKEY" w:val="LIBE"/>
    <w:docVar w:name="DOCMNU" w:val=" 2"/>
    <w:docVar w:name="LastEditedSection" w:val=" 1"/>
    <w:docVar w:name="RepeatBlock-Amend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839107 HideTWBExt;}{\*\cs18 \additive \v\f1\fs20\cf15 _x000d__x000a_\spriority0 \styrsid2839107 HideTWBInt;}{\s19\ql \li0\ri0\sa120\nowidctlpar\wrapdefault\aspalpha\aspnum\faauto\adjustright\rin0\lin0\itap0 \rtlch\fcs1 \af0\afs20\alang1025 \ltrch\fcs0 \fs24\lang1031\langfe2057\cgrid\langnp1031\langfenp2057 _x000d__x000a_\sbasedon0 \snext19 \spriority0 \styrsid2839107 Normal6a;}{\s20\ql \li0\ri0\nowidctlpar\wrapdefault\aspalpha\aspnum\faauto\adjustright\rin0\lin0\itap0 \rtlch\fcs1 \af0\afs20\alang1025 \ltrch\fcs0 \b\fs24\lang1031\langfe2057\cgrid\langnp1031\langfenp2057 _x000d__x000a_\sbasedon0 \snext20 \spriority0 \styrsid2839107 NormalBold;}{\s21\ql \li0\ri0\sa240\nowidctlpar\wrapdefault\aspalpha\aspnum\faauto\adjustright\rin0\lin0\itap0 \rtlch\fcs1 \af0\afs20\alang1025 \ltrch\fcs0 _x000d__x000a_\i\fs24\lang1031\langfe2057\cgrid\langnp1031\langfenp2057 \sbasedon0 \snext21 \spriority0 \styrsid2839107 AmJustText;}{\s22\qc \li0\ri0\sb240\sa240\nowidctlpar\wrapdefault\aspalpha\aspnum\faauto\adjustright\rin0\lin0\itap0 \rtlch\fcs1 _x000d__x000a_\af0\afs20\alang1025 \ltrch\fcs0 \i\fs24\lang1031\langfe2057\cgrid\langnp1031\langfenp2057 \sbasedon0 \snext22 \spriority0 \styrsid2839107 AmCrossRef;}{_x000d__x000a_\s23\qc \li0\ri0\sb240\sa240\keepn\nowidctlpar\wrapdefault\aspalpha\aspnum\faauto\adjustright\rin0\lin0\itap0 \rtlch\fcs1 \af0\afs20\alang1025 \ltrch\fcs0 \i\fs24\lang1031\langfe2057\cgrid\langnp1031\langfenp2057 _x000d__x000a_\sbasedon0 \snext21 \spriority0 \styrsid2839107 AmJustTitle;}{\s24\qr \li0\ri0\sb240\sa240\nowidctlpar\wrapdefault\aspalpha\aspnum\faauto\adjustright\rin0\lin0\itap0 \rtlch\fcs1 \af0\afs20\alang1025 \ltrch\fcs0 _x000d__x000a_\fs24\lang1031\langfe2057\cgrid\langnp1031\langfenp2057 \sbasedon0 \snext24 \spriority0 \styrsid2839107 AmOrLang;}{\s25\qc \li0\ri0\sa240\nowidctlpar\wrapdefault\aspalpha\aspnum\faauto\adjustright\rin0\lin0\itap0 \rtlch\fcs1 \af0\afs20\alang1025 _x000d__x000a_\ltrch\fcs0 \i\fs24\lang1031\langfe2057\cgrid\langnp1031\langfenp2057 \sbasedon0 \snext25 \spriority0 \styrsid28391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2839107 AmNumberTabs;}{\s27\ql \li0\ri0\sb240\nowidctlpar\wrapdefault\aspalpha\aspnum\faauto\adjustright\rin0\lin0\itap0 \rtlch\fcs1 _x000d__x000a_\af0\afs20\alang1025 \ltrch\fcs0 \b\fs24\lang1031\langfe2057\cgrid\langnp1031\langfenp2057 \sbasedon0 \snext27 \spriority0 \styrsid2839107 NormalBold12b;}}{\*\rsidtbl \rsid24658\rsid223860\rsid735077\rsid1718133\rsid2839107\rsid2892074\rsid3565327_x000d__x000a_\rsid4666813\rsid6641733\rsid7823322\rsid9636012\rsid10377208\rsid11215221\rsid11549030\rsid11872096\rsid12154954\rsid14382809\rsid14424199\rsid15204470\rsid15285974\rsid15950462\rsid16324206\rsid16662270}{\mmathPr\mmathFont34\mbrkBin0\mbrkBinSub0_x000d__x000a_\msmallFrac0\mdispDef1\mlMargin0\mrMargin0\mdefJc1\mwrapIndent1440\mintLim0\mnaryLim1}{\info{\author MUTSCH Christa}{\operator MUTSCH Christa}{\creatim\yr2022\mo7\dy5\hr14\min53}{\revtim\yr2022\mo7\dy5\hr14\min53}{\version1}{\edmins0}{\nofpages1}_x000d__x000a_{\nofwords53}{\nofchars655}{\nofcharsws70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839107\newtblstyruls\nogrowautofit\usenormstyforlist\noindnmbrts\felnbrelev\nocxsptable\indrlsweleven\noafcnsttbl\afelev\utinl\hwelev\spltpgpar\notcvasp\notbrkcnstfrctbl\notvatxbx\krnprsnet\cachedcolbal _x000d__x000a_\nouicompat \fet0{\*\wgrffmtfilter 013f}\nofeaturethrottle1\ilfomacatclnup0{\*\template C:\\Users\\cmutsch\\AppData\\Local\\Temp\\Blank1.dotx}{\*\ftnsep \ltrpar \pard\plain \ltrpar_x000d__x000a_\ql \li0\ri0\widctlpar\wrapdefault\aspalpha\aspnum\faauto\adjustright\rin0\lin0\itap0 \rtlch\fcs1 \af0\afs20\alang1025 \ltrch\fcs0 \fs24\lang2057\langfe2057\cgrid\langnp2057\langfenp2057 {\rtlch\fcs1 \af0 \ltrch\fcs0 \insrsid11872096 \chftnsep _x000d__x000a_\par }}{\*\ftnsepc \ltrpar \pard\plain \ltrpar\ql \li0\ri0\widctlpar\wrapdefault\aspalpha\aspnum\faauto\adjustright\rin0\lin0\itap0 \rtlch\fcs1 \af0\afs20\alang1025 \ltrch\fcs0 \fs24\lang2057\langfe2057\cgrid\langnp2057\langfenp2057 {\rtlch\fcs1 \af0 _x000d__x000a_\ltrch\fcs0 \insrsid11872096 \chftnsepc _x000d__x000a_\par }}{\*\aftnsep \ltrpar \pard\plain \ltrpar\ql \li0\ri0\widctlpar\wrapdefault\aspalpha\aspnum\faauto\adjustright\rin0\lin0\itap0 \rtlch\fcs1 \af0\afs20\alang1025 \ltrch\fcs0 \fs24\lang2057\langfe2057\cgrid\langnp2057\langfenp2057 {\rtlch\fcs1 \af0 _x000d__x000a_\ltrch\fcs0 \insrsid11872096 \chftnsep _x000d__x000a_\par }}{\*\aftnsepc \ltrpar \pard\plain \ltrpar\ql \li0\ri0\widctlpar\wrapdefault\aspalpha\aspnum\faauto\adjustright\rin0\lin0\itap0 \rtlch\fcs1 \af0\afs20\alang1025 \ltrch\fcs0 \fs24\lang2057\langfe2057\cgrid\langnp2057\langfenp2057 {\rtlch\fcs1 \af0 _x000d__x000a_\ltrch\fcs0 \insrsid118720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839107 \rtlch\fcs1 _x000d__x000a_\af0\afs20\alang1025 \ltrch\fcs0 \b\fs24\lang1031\langfe2057\cgrid\langnp1031\langfenp2057 {\rtlch\fcs1 \af0 \ltrch\fcs0 \cs17\b0\v\fs20\cf9\loch\af1\hich\af1\dbch\af31501\insrsid2839107\charrsid2448575 {\*\bkmkstart restart}_x000d__x000a_\hich\af1\dbch\af31501\loch\f1 &lt;Amend&gt;}{\rtlch\fcs1 \af0 \ltrch\fcs0 \insrsid2839107\charrsid2448575 \'c4nderungsantrag\tab \tab }{\rtlch\fcs1 \af0 \ltrch\fcs0 \cs17\b0\v\fs20\cf9\loch\af1\hich\af1\dbch\af31501\insrsid2839107\charrsid2448575 _x000d__x000a_\hich\af1\dbch\af31501\loch\f1 &lt;NumAm&gt;}{\rtlch\fcs1 \af0 \ltrch\fcs0 \insrsid2839107\charrsid2448575 #}{\rtlch\fcs1 \af1 \ltrch\fcs0 \cs18\v\f1\fs20\cf15\insrsid2839107\charrsid2448575 ENMIENDA@NRAM@}{\rtlch\fcs1 \af0 \ltrch\fcs0 _x000d__x000a_\insrsid2839107\charrsid2448575 #}{\rtlch\fcs1 \af0 \ltrch\fcs0 \cs17\b0\v\fs20\cf9\loch\af1\hich\af1\dbch\af31501\insrsid2839107\charrsid2448575 \hich\af1\dbch\af31501\loch\f1 &lt;/NumAm&gt;}{\rtlch\fcs1 \af0 \ltrch\fcs0 \insrsid2839107\charrsid2448575 _x000d__x000a_\par }\pard\plain \ltrpar\s27\ql \li0\ri0\sb240\keepn\nowidctlpar\wrapdefault\aspalpha\aspnum\faauto\adjustright\rin0\lin0\itap0\pararsid2839107 \rtlch\fcs1 \af0\afs20\alang1025 \ltrch\fcs0 \b\fs24\lang1031\langfe2057\cgrid\langnp1031\langfenp2057 {_x000d__x000a_\rtlch\fcs1 \af0 \ltrch\fcs0 \cs17\b0\v\fs20\cf9\loch\af1\hich\af1\dbch\af31501\insrsid2839107\charrsid2448575 \hich\af1\dbch\af31501\loch\f1 &lt;DocAmend&gt;}{\rtlch\fcs1 \af0 \ltrch\fcs0 \insrsid2839107\charrsid2448575 Vorschlag f\'fcr #}{\rtlch\fcs1 \af1 _x000d__x000a_\ltrch\fcs0 \cs18\v\f1\fs20\cf15\insrsid2839107\charrsid2448575 MNU[DOC1][DOC2][DOC3]@DOCMSG@DOCMNU}{\rtlch\fcs1 \af0 \ltrch\fcs0 \insrsid2839107\charrsid2448575 ##}{\rtlch\fcs1 \af1 \ltrch\fcs0 \cs18\v\f1\fs20\cf15\insrsid2839107\charrsid2448575 _x000d__x000a_MNU[AMACTYES][NOTAPP]@CHOICE@AMACTMNU}{\rtlch\fcs1 \af0 \ltrch\fcs0 \insrsid2839107\charrsid2448575 #}{\rtlch\fcs1 \af0 \ltrch\fcs0 \cs17\b0\v\fs20\cf9\loch\af1\hich\af1\dbch\af31501\insrsid2839107\charrsid2448575 \hich\af1\dbch\af31501\loch\f1 _x000d__x000a_&lt;/DocAmend&gt;}{\rtlch\fcs1 \af0 \ltrch\fcs0 \insrsid2839107\charrsid2448575 _x000d__x000a_\par }\pard\plain \ltrpar\s20\ql \li0\ri0\keepn\nowidctlpar\wrapdefault\aspalpha\aspnum\faauto\adjustright\rin0\lin0\itap0\pararsid2839107 \rtlch\fcs1 \af0\afs20\alang1025 \ltrch\fcs0 \b\fs24\lang1031\langfe2057\cgrid\langnp1031\langfenp2057 {\rtlch\fcs1 \af0 _x000d__x000a_\ltrch\fcs0 \cs17\b0\v\fs20\cf9\loch\af1\hich\af1\dbch\af31501\insrsid2839107\charrsid2448575 \hich\af1\dbch\af31501\loch\f1 &lt;Article&gt;}{\rtlch\fcs1 \af0 \ltrch\fcs0 \insrsid2839107\charrsid2448575 #}{\rtlch\fcs1 \af1 \ltrch\fcs0 _x000d__x000a_\cs18\v\f1\fs20\cf15\insrsid2839107\charrsid2448575 MNU[AMACTPARTYES][AMACTPARTNO]@CHOICE@AMACTMNU}{\rtlch\fcs1 \af0 \ltrch\fcs0 \insrsid2839107\charrsid2448575 #}{\rtlch\fcs1 \af0 \ltrch\fcs0 _x000d__x000a_\cs17\b0\v\fs20\cf9\loch\af1\hich\af1\dbch\af31501\insrsid2839107\charrsid2448575 \hich\af1\dbch\af31501\loch\f1 &lt;/Article&gt;}{\rtlch\fcs1 \af0 \ltrch\fcs0 \insrsid2839107\charrsid2448575 _x000d__x000a_\par }\pard\plain \ltrpar\ql \li0\ri0\keepn\widctlpar\wrapdefault\aspalpha\aspnum\faauto\adjustright\rin0\lin0\itap0\pararsid2839107 \rtlch\fcs1 \af0\afs20\alang1025 \ltrch\fcs0 \fs24\lang2057\langfe2057\cgrid\langnp2057\langfenp2057 {\rtlch\fcs1 \af0 _x000d__x000a_\ltrch\fcs0 \cs17\v\fs20\cf9\lang1031\langfe2057\loch\af1\hich\af1\dbch\af31501\langnp1031\insrsid2839107\charrsid2448575 \hich\af1\dbch\af31501\loch\f1 &lt;DocAmend2&gt;&lt;OptDel&gt;}{\rtlch\fcs1 \af0 \ltrch\fcs0 _x000d__x000a_\lang1031\langfe2057\langnp1031\insrsid2839107\charrsid2448575 #}{\rtlch\fcs1 \af1 \ltrch\fcs0 \cs18\v\f1\fs20\cf15\lang1031\langfe2057\langnp1031\insrsid2839107\charrsid2448575 MNU[OPTNRACTYES][NOTAPP]@CHOICE@AMACTMNU}{\rtlch\fcs1 \af0 \ltrch\fcs0 _x000d__x000a_\lang1031\langfe2057\langnp1031\insrsid2839107\charrsid2448575 #}{\rtlch\fcs1 \af0 \ltrch\fcs0 \cs17\v\fs20\cf9\lang1031\langfe2057\loch\af1\hich\af1\dbch\af31501\langnp1031\insrsid2839107\charrsid2448575 \hich\af1\dbch\af31501\loch\f1 _x000d__x000a_&lt;/OptDel&gt;&lt;/DocAmend2&gt;}{\rtlch\fcs1 \af0 \ltrch\fcs0 \lang1031\langfe2057\langnp1031\insrsid2839107\charrsid2448575 _x000d__x000a_\par }\pard \ltrpar\ql \li0\ri0\widctlpar\wrapdefault\aspalpha\aspnum\faauto\adjustright\rin0\lin0\itap0\pararsid2839107 {\rtlch\fcs1 \af0 \ltrch\fcs0 _x000d__x000a_\cs17\v\fs20\cf9\lang1031\langfe2057\loch\af1\hich\af1\dbch\af31501\langnp1031\insrsid2839107\charrsid2448575 \hich\af1\dbch\af31501\loch\f1 &lt;Article2&gt;&lt;OptDel&gt;}{\rtlch\fcs1 \af0 \ltrch\fcs0 \lang1031\langfe2057\langnp1031\insrsid2839107\charrsid2448575 #}_x000d__x000a_{\rtlch\fcs1 \af1 \ltrch\fcs0 \cs18\v\f1\fs20\cf15\lang1031\langfe2057\langnp1031\insrsid2839107\charrsid2448575 MNU[OPTACTPARTYES][NOTAPP]@CHOICE@AMACTMNU}{\rtlch\fcs1 \af0 \ltrch\fcs0 \lang1031\langfe2057\langnp1031\insrsid2839107\charrsid2448575 #}{_x000d__x000a_\rtlch\fcs1 \af0 \ltrch\fcs0 \cs17\v\fs20\cf9\lang1031\langfe2057\loch\af1\hich\af1\dbch\af31501\langnp1031\insrsid2839107\charrsid2448575 \hich\af1\dbch\af31501\loch\f1 &lt;/OptDel&gt;&lt;/Article2&gt;}{\rtlch\fcs1 \af0 \ltrch\fcs0 _x000d__x000a_\lang1031\langfe2057\langnp1031\insrsid2839107\charrsid2448575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1\langfe2057\langnp1031\insrsid2839107\charrsid2448575 \cell }\pard\plain \ltrpar_x000d__x000a_\ql \li0\ri0\widctlpar\intbl\wrapdefault\aspalpha\aspnum\faauto\adjustright\rin0\lin0 \rtlch\fcs1 \af0\afs20\alang1025 \ltrch\fcs0 \fs24\lang2057\langfe2057\cgrid\langnp2057\langfenp2057 {\rtlch\fcs1 \af0 \ltrch\fcs0 _x000d__x000a_\lang1031\langfe2057\langnp1031\insrsid2839107\charrsid2448575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31\langfe2057\cgrid\langnp1031\langfenp2057 {\rtlch\fcs1 \af0 \ltrch\fcs0 _x000d__x000a_\insrsid2839107\charrsid2448575 #}{\rtlch\fcs1 \af1 \ltrch\fcs0 \cs18\v\f1\fs20\cf15\insrsid2839107\charrsid2448575 MNU[OPTLEFTAMACT][LEFTPROP]@CHOICE@AMACTMNU}{\rtlch\fcs1 \af0 \ltrch\fcs0 \insrsid2839107\charrsid2448575 #\cell Ge\'e4nderter Text\cell _x000d__x000a_}\pard\plain \ltrpar\ql \li0\ri0\widctlpar\intbl\wrapdefault\aspalpha\aspnum\faauto\adjustright\rin0\lin0 \rtlch\fcs1 \af0\afs20\alang1025 \ltrch\fcs0 \fs24\lang2057\langfe2057\cgrid\langnp2057\langfenp2057 {\rtlch\fcs1 \af0 \ltrch\fcs0 _x000d__x000a_\lang1031\langfe2057\langnp1031\insrsid2839107\charrsid2448575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31\langfe2057\cgrid\langnp1031\langfenp2057 {\rtlch\fcs1 \af0 \ltrch\fcs0 _x000d__x000a_\insrsid2839107\charrsid2448575 ##\cell ##}{\rtlch\fcs1 \af0\afs24 \ltrch\fcs0 \insrsid2839107\charrsid2448575 \cell }\pard\plain \ltrpar\ql \li0\ri0\widctlpar\intbl\wrapdefault\aspalpha\aspnum\faauto\adjustright\rin0\lin0 \rtlch\fcs1 _x000d__x000a_\af0\afs20\alang1025 \ltrch\fcs0 \fs24\lang2057\langfe2057\cgrid\langnp2057\langfenp2057 {\rtlch\fcs1 \af0 \ltrch\fcs0 \lang1031\langfe2057\langnp1031\insrsid2839107\charrsid2448575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2839107 \rtlch\fcs1 \af0\afs20\alang1025 \ltrch\fcs0 \fs24\lang1031\langfe2057\cgrid\langnp1031\langfenp2057 {\rtlch\fcs1 \af0 \ltrch\fcs0 _x000d__x000a_\insrsid2839107\charrsid2448575 Or. }{\rtlch\fcs1 \af0 \ltrch\fcs0 \cs17\v\fs20\cf9\loch\af1\hich\af1\dbch\af31501\insrsid2839107\charrsid2448575 \hich\af1\dbch\af31501\loch\f1 &lt;Original&gt;}{\rtlch\fcs1 \af0 \ltrch\fcs0 \insrsid2839107\charrsid2448575 #}{_x000d__x000a_\rtlch\fcs1 \af1 \ltrch\fcs0 \cs18\v\f1\fs20\cf15\insrsid2839107\charrsid2448575 MNU[ORLANGONE][ORLANGMORE]@CHOICE@ORLANGMNU}{\rtlch\fcs1 \af0 \ltrch\fcs0 \insrsid2839107\charrsid2448575 #}{\rtlch\fcs1 \af0 \ltrch\fcs0 _x000d__x000a_\cs17\v\fs20\cf9\loch\af1\hich\af1\dbch\af31501\insrsid2839107\charrsid2448575 \hich\af1\dbch\af31501\loch\f1 &lt;/Original&gt;}{\rtlch\fcs1 \af0 \ltrch\fcs0 \insrsid2839107\charrsid2448575 _x000d__x000a_\par }\pard\plain \ltrpar\s22\qc \li0\ri0\sb240\sa240\nowidctlpar\wrapdefault\aspalpha\aspnum\faauto\adjustright\rin0\lin0\itap0\pararsid2839107 \rtlch\fcs1 \af0\afs20\alang1025 \ltrch\fcs0 \i\fs24\lang1031\langfe2057\cgrid\langnp1031\langfenp2057 {_x000d__x000a_\rtlch\fcs1 \af0 \ltrch\fcs0 \cs17\i0\v\fs20\cf9\loch\af1\hich\af1\dbch\af31501\insrsid2839107\charrsid2448575 \hich\af1\dbch\af31501\loch\f1 &lt;OptDel&gt;}{\rtlch\fcs1 \af0 \ltrch\fcs0 \insrsid2839107\charrsid2448575 #}{\rtlch\fcs1 \af1 \ltrch\fcs0 _x000d__x000a_\cs18\v\f1\fs20\cf15\insrsid2839107\charrsid2448575 MNU[CROSSREFNO][CROSSREFYES]@CHOICE@}{\rtlch\fcs1 \af0 \ltrch\fcs0 \insrsid2839107\charrsid2448575 #}{\rtlch\fcs1 \af0 \ltrch\fcs0 _x000d__x000a_\cs17\i0\v\fs20\cf9\loch\af1\hich\af1\dbch\af31501\insrsid2839107\charrsid2448575 \hich\af1\dbch\af31501\loch\f1 &lt;/OptDel&gt;}{\rtlch\fcs1 \af0 \ltrch\fcs0 \insrsid2839107\charrsid2448575 _x000d__x000a_\par }\pard\plain \ltrpar\s23\qc \li0\ri0\sb240\sa240\keepn\nowidctlpar\wrapdefault\aspalpha\aspnum\faauto\adjustright\rin0\lin0\itap0\pararsid2839107 \rtlch\fcs1 \af0\afs20\alang1025 \ltrch\fcs0 \i\fs24\lang1031\langfe2057\cgrid\langnp1031\langfenp2057 {_x000d__x000a_\rtlch\fcs1 \af0 \ltrch\fcs0 \cs17\i0\v\fs20\cf9\loch\af1\hich\af1\dbch\af31501\insrsid2839107\charrsid2448575 \hich\af1\dbch\af31501\loch\f1 &lt;TitreJust&gt;}{\rtlch\fcs1 \af0 \ltrch\fcs0 \insrsid2839107\charrsid2448575 Begr\'fcndung}{\rtlch\fcs1 \af0 _x000d__x000a_\ltrch\fcs0 \cs17\i0\v\fs20\cf9\loch\af1\hich\af1\dbch\af31501\insrsid2839107\charrsid2448575 \hich\af1\dbch\af31501\loch\f1 &lt;/TitreJust&gt;}{\rtlch\fcs1 \af0 \ltrch\fcs0 \insrsid2839107\charrsid2448575 _x000d__x000a_\par }\pard\plain \ltrpar\s21\ql \li0\ri0\sa240\nowidctlpar\wrapdefault\aspalpha\aspnum\faauto\adjustright\rin0\lin0\itap0\pararsid2839107 \rtlch\fcs1 \af0\afs20\alang1025 \ltrch\fcs0 \i\fs24\lang1031\langfe2057\cgrid\langnp1031\langfenp2057 {\rtlch\fcs1 \af0 _x000d__x000a_\ltrch\fcs0 \cs17\i0\v\fs20\cf9\loch\af1\hich\af1\dbch\af31501\insrsid2839107\charrsid2448575 \hich\af1\dbch\af31501\loch\f1 &lt;OptDelPrev&gt;}{\rtlch\fcs1 \af0 \ltrch\fcs0 \insrsid2839107\charrsid2448575 #}{\rtlch\fcs1 \af1 \ltrch\fcs0 _x000d__x000a_\cs18\v\f1\fs20\cf15\insrsid2839107\charrsid2448575 MNU[TEXTJUSTYES][TEXTJUSTNO]@CHOICE@}{\rtlch\fcs1 \af0 \ltrch\fcs0 \insrsid2839107\charrsid2448575 #}{\rtlch\fcs1 \af0 \ltrch\fcs0 _x000d__x000a_\cs17\i0\v\fs20\cf9\loch\af1\hich\af1\dbch\af31501\insrsid2839107\charrsid2448575 \hich\af1\dbch\af31501\loch\f1 &lt;/OptDelPrev&gt;}{\rtlch\fcs1 \af0 \ltrch\fcs0 \insrsid2839107\charrsid2448575 _x000d__x000a_\par }\pard\plain \ltrpar\ql \li0\ri0\widctlpar\wrapdefault\aspalpha\aspnum\faauto\adjustright\rin0\lin0\itap0\pararsid2839107 \rtlch\fcs1 \af0\afs20\alang1025 \ltrch\fcs0 \fs24\lang2057\langfe2057\cgrid\langnp2057\langfenp2057 {\rtlch\fcs1 \af0 \ltrch\fcs0 _x000d__x000a_\cs17\v\fs20\cf9\lang1031\langfe2057\loch\af1\hich\af1\dbch\af31501\langnp1031\insrsid2839107\charrsid244857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df_x000d__x000a_10476e90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59"/>
    <w:docVar w:name="TXTAUTHOR" w:val="Emil Radev"/>
    <w:docVar w:name="TXTLANGUE" w:val="DE"/>
    <w:docVar w:name="TXTLANGUEMIN" w:val="de"/>
    <w:docVar w:name="TXTNRC" w:val="0000/2022"/>
    <w:docVar w:name="TXTNRCOD" w:val="2021/0244"/>
    <w:docVar w:name="TXTNRCOM" w:val="(2021)0429"/>
    <w:docVar w:name="TXTNRPE" w:val="734.352"/>
    <w:docVar w:name="TXTPEorAP" w:val="PE"/>
    <w:docVar w:name="TXTROUTE" w:val="PR\1259686DE.docx"/>
    <w:docVar w:name="TXTTITLE" w:val="amending Directive (EU) 2019/1153 of the European Parliament and of the Council, as regards access of competent authorities to centralised bank account registries through the single access point"/>
    <w:docVar w:name="TXTVERSION" w:val="01-00"/>
  </w:docVars>
  <w:rsids>
    <w:rsidRoot w:val="00255CBF"/>
    <w:rsid w:val="00011AAB"/>
    <w:rsid w:val="00012351"/>
    <w:rsid w:val="000139E5"/>
    <w:rsid w:val="00084DD2"/>
    <w:rsid w:val="00084E89"/>
    <w:rsid w:val="000B7489"/>
    <w:rsid w:val="000F1096"/>
    <w:rsid w:val="00120948"/>
    <w:rsid w:val="00123DD5"/>
    <w:rsid w:val="001277AE"/>
    <w:rsid w:val="00140EB2"/>
    <w:rsid w:val="00142215"/>
    <w:rsid w:val="001767E2"/>
    <w:rsid w:val="00187008"/>
    <w:rsid w:val="001B3829"/>
    <w:rsid w:val="001C5592"/>
    <w:rsid w:val="001C5B44"/>
    <w:rsid w:val="001C6FFC"/>
    <w:rsid w:val="001F7C7C"/>
    <w:rsid w:val="00212B84"/>
    <w:rsid w:val="002346B0"/>
    <w:rsid w:val="00255CBF"/>
    <w:rsid w:val="002667C3"/>
    <w:rsid w:val="002669B6"/>
    <w:rsid w:val="00290BED"/>
    <w:rsid w:val="002D13EE"/>
    <w:rsid w:val="002E33EE"/>
    <w:rsid w:val="002F40BB"/>
    <w:rsid w:val="002F4B02"/>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9092A"/>
    <w:rsid w:val="006A2F5D"/>
    <w:rsid w:val="006F7907"/>
    <w:rsid w:val="00743189"/>
    <w:rsid w:val="00743D33"/>
    <w:rsid w:val="007932B3"/>
    <w:rsid w:val="00793EA9"/>
    <w:rsid w:val="007D6F68"/>
    <w:rsid w:val="00817843"/>
    <w:rsid w:val="00823E6B"/>
    <w:rsid w:val="00826780"/>
    <w:rsid w:val="00837CCD"/>
    <w:rsid w:val="008633CC"/>
    <w:rsid w:val="00865190"/>
    <w:rsid w:val="008719B9"/>
    <w:rsid w:val="00892676"/>
    <w:rsid w:val="00894923"/>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25F3"/>
    <w:rsid w:val="00A26F46"/>
    <w:rsid w:val="00A34FD3"/>
    <w:rsid w:val="00A36929"/>
    <w:rsid w:val="00A37546"/>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17E9D"/>
    <w:rsid w:val="00C20954"/>
    <w:rsid w:val="00C23324"/>
    <w:rsid w:val="00C42A41"/>
    <w:rsid w:val="00C47E74"/>
    <w:rsid w:val="00C57A72"/>
    <w:rsid w:val="00C73602"/>
    <w:rsid w:val="00C85D0F"/>
    <w:rsid w:val="00CF60C8"/>
    <w:rsid w:val="00D30DE2"/>
    <w:rsid w:val="00D32924"/>
    <w:rsid w:val="00D503A3"/>
    <w:rsid w:val="00DA6ED0"/>
    <w:rsid w:val="00DC5011"/>
    <w:rsid w:val="00E171B6"/>
    <w:rsid w:val="00E36DAF"/>
    <w:rsid w:val="00E44F7E"/>
    <w:rsid w:val="00E72695"/>
    <w:rsid w:val="00EB1753"/>
    <w:rsid w:val="00EB6CFF"/>
    <w:rsid w:val="00EE3996"/>
    <w:rsid w:val="00F07062"/>
    <w:rsid w:val="00F23CFC"/>
    <w:rsid w:val="00F433E2"/>
    <w:rsid w:val="00F54D75"/>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71AD1F"/>
  <w15:chartTrackingRefBased/>
  <w15:docId w15:val="{86249A18-6ACD-4B19-8FD9-F69B0EEC0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C17E9D"/>
    <w:pPr>
      <w:tabs>
        <w:tab w:val="right" w:pos="454"/>
        <w:tab w:val="left" w:pos="737"/>
      </w:tabs>
      <w:ind w:left="737" w:hanging="737"/>
    </w:pPr>
    <w:rPr>
      <w:snapToGrid w:val="0"/>
      <w:sz w:val="18"/>
      <w:lang w:eastAsia="en-US"/>
    </w:rPr>
  </w:style>
  <w:style w:type="paragraph" w:customStyle="1" w:styleId="Lgendetitre">
    <w:name w:val="Légende titre"/>
    <w:basedOn w:val="Normal"/>
    <w:rsid w:val="00C17E9D"/>
    <w:pPr>
      <w:spacing w:before="240" w:after="240"/>
    </w:pPr>
    <w:rPr>
      <w:b/>
      <w:i/>
      <w:snapToGrid w:val="0"/>
      <w:lang w:eastAsia="en-US"/>
    </w:rPr>
  </w:style>
  <w:style w:type="paragraph" w:customStyle="1" w:styleId="Lgendestandard">
    <w:name w:val="Légende standard"/>
    <w:basedOn w:val="Normal"/>
    <w:rsid w:val="00C17E9D"/>
    <w:rPr>
      <w:sz w:val="18"/>
    </w:rPr>
  </w:style>
  <w:style w:type="character" w:customStyle="1" w:styleId="Normal6Char">
    <w:name w:val="Normal6 Char"/>
    <w:basedOn w:val="DefaultParagraphFont"/>
    <w:link w:val="Normal6"/>
    <w:locked/>
    <w:rsid w:val="00C17E9D"/>
    <w:rPr>
      <w:sz w:val="24"/>
      <w:lang w:val="de-DE"/>
    </w:rPr>
  </w:style>
  <w:style w:type="paragraph" w:customStyle="1" w:styleId="Normal6">
    <w:name w:val="Normal6"/>
    <w:basedOn w:val="Normal"/>
    <w:link w:val="Normal6Char"/>
    <w:rsid w:val="00C17E9D"/>
    <w:pPr>
      <w:spacing w:after="120"/>
    </w:pPr>
  </w:style>
  <w:style w:type="character" w:customStyle="1" w:styleId="NormalBoldChar">
    <w:name w:val="NormalBold Char"/>
    <w:basedOn w:val="DefaultParagraphFont"/>
    <w:link w:val="NormalBold"/>
    <w:locked/>
    <w:rsid w:val="00C17E9D"/>
    <w:rPr>
      <w:b/>
      <w:sz w:val="24"/>
      <w:lang w:val="de-DE"/>
    </w:rPr>
  </w:style>
  <w:style w:type="paragraph" w:customStyle="1" w:styleId="Normal12Italic">
    <w:name w:val="Normal12Italic"/>
    <w:basedOn w:val="Normal"/>
    <w:rsid w:val="00C17E9D"/>
    <w:pPr>
      <w:spacing w:after="240"/>
    </w:pPr>
    <w:rPr>
      <w:i/>
      <w:noProof/>
    </w:rPr>
  </w:style>
  <w:style w:type="paragraph" w:customStyle="1" w:styleId="JustificationTitle">
    <w:name w:val="JustificationTitle"/>
    <w:basedOn w:val="Normal"/>
    <w:next w:val="Normal"/>
    <w:rsid w:val="00C17E9D"/>
    <w:pPr>
      <w:keepNext/>
      <w:spacing w:before="240" w:after="240"/>
      <w:jc w:val="center"/>
    </w:pPr>
    <w:rPr>
      <w:i/>
      <w:noProof/>
    </w:rPr>
  </w:style>
  <w:style w:type="paragraph" w:customStyle="1" w:styleId="ColumnHeading">
    <w:name w:val="ColumnHeading"/>
    <w:basedOn w:val="Normal"/>
    <w:rsid w:val="00C17E9D"/>
    <w:pPr>
      <w:spacing w:after="240"/>
      <w:jc w:val="center"/>
    </w:pPr>
    <w:rPr>
      <w:i/>
    </w:rPr>
  </w:style>
  <w:style w:type="paragraph" w:customStyle="1" w:styleId="AMNumberTabs0">
    <w:name w:val="AMNumberTabs"/>
    <w:basedOn w:val="Normal"/>
    <w:rsid w:val="00C17E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17E9D"/>
    <w:pPr>
      <w:jc w:val="right"/>
    </w:pPr>
  </w:style>
  <w:style w:type="paragraph" w:styleId="Footer">
    <w:name w:val="footer"/>
    <w:basedOn w:val="Normal"/>
    <w:link w:val="FooterChar"/>
    <w:semiHidden/>
    <w:rsid w:val="00C17E9D"/>
    <w:pPr>
      <w:tabs>
        <w:tab w:val="center" w:pos="4513"/>
        <w:tab w:val="right" w:pos="9026"/>
      </w:tabs>
    </w:pPr>
  </w:style>
  <w:style w:type="character" w:customStyle="1" w:styleId="FooterChar">
    <w:name w:val="Footer Char"/>
    <w:basedOn w:val="DefaultParagraphFont"/>
    <w:link w:val="Footer"/>
    <w:semiHidden/>
    <w:rsid w:val="00C17E9D"/>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537D5-E6DC-4B9D-A0EE-370D07217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1092</Words>
  <Characters>7519</Characters>
  <Application>Microsoft Office Word</Application>
  <DocSecurity>0</DocSecurity>
  <Lines>234</Lines>
  <Paragraphs>82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MUTSCH Christa</dc:creator>
  <cp:lastModifiedBy>KUSCHE Nicole</cp:lastModifiedBy>
  <cp:revision>2</cp:revision>
  <cp:lastPrinted>2004-11-04T09:41:00Z</cp:lastPrinted>
  <dcterms:created xsi:type="dcterms:W3CDTF">2022-07-11T14:00:00Z</dcterms:created>
  <dcterms:modified xsi:type="dcterms:W3CDTF">2022-07-11T14:00:00Z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1259686</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\\eiciBRUpr1\pdocep$\DocEP\TRANSFIL\DE\PR_COD_1amCom.DE(29/06/2022 10:21:08)</vt:lpwstr>
  </property>
  <property fmtid="{D5CDD505-2E9C-101B-9397-08002B2CF9AE}" pid="7" name="&lt;Type&gt;">
    <vt:lpwstr>PR</vt:lpwstr>
  </property>
  <property fmtid="{D5CDD505-2E9C-101B-9397-08002B2CF9AE}" pid="8" name="Bookout">
    <vt:lpwstr>OK - 2022/07/11 16:00</vt:lpwstr>
  </property>
  <property fmtid="{D5CDD505-2E9C-101B-9397-08002B2CF9AE}" pid="9" name="Created with">
    <vt:lpwstr>9.11.0 Build [20211103]</vt:lpwstr>
  </property>
  <property fmtid="{D5CDD505-2E9C-101B-9397-08002B2CF9AE}" pid="10" name="FooterPath">
    <vt:lpwstr>PR\1259686DE.docx</vt:lpwstr>
  </property>
  <property fmtid="{D5CDD505-2E9C-101B-9397-08002B2CF9AE}" pid="11" name="LastEdited with">
    <vt:lpwstr>9.11.0 Build [20211103]</vt:lpwstr>
  </property>
  <property fmtid="{D5CDD505-2E9C-101B-9397-08002B2CF9AE}" pid="12" name="PE number">
    <vt:lpwstr>734.352</vt:lpwstr>
  </property>
  <property fmtid="{D5CDD505-2E9C-101B-9397-08002B2CF9AE}" pid="13" name="SDLStudio">
    <vt:lpwstr/>
  </property>
</Properties>
</file>