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C63" w:rsidRPr="0015538C" w:rsidTr="00C85D0F">
        <w:trPr>
          <w:trHeight w:hRule="exact" w:val="1418"/>
        </w:trPr>
        <w:tc>
          <w:tcPr>
            <w:tcW w:w="6804" w:type="dxa"/>
            <w:shd w:val="clear" w:color="auto" w:fill="auto"/>
            <w:vAlign w:val="center"/>
          </w:tcPr>
          <w:p w:rsidR="00B13D6F" w:rsidRPr="0015538C" w:rsidRDefault="0015538C" w:rsidP="00C85D0F">
            <w:pPr>
              <w:pStyle w:val="EPName"/>
            </w:pPr>
            <w:bookmarkStart w:id="0" w:name="_GoBack"/>
            <w:bookmarkEnd w:id="0"/>
            <w:r w:rsidRPr="0015538C">
              <w:t>Parlement européen</w:t>
            </w:r>
          </w:p>
          <w:p w:rsidR="00B13D6F" w:rsidRPr="0015538C" w:rsidRDefault="0015538C" w:rsidP="00012C75">
            <w:pPr>
              <w:pStyle w:val="EPTerm"/>
            </w:pPr>
            <w:r w:rsidRPr="0015538C">
              <w:t>2019-2024</w:t>
            </w:r>
          </w:p>
        </w:tc>
        <w:tc>
          <w:tcPr>
            <w:tcW w:w="2268" w:type="dxa"/>
            <w:shd w:val="clear" w:color="auto" w:fill="auto"/>
          </w:tcPr>
          <w:p w:rsidR="00B13D6F" w:rsidRPr="0015538C" w:rsidRDefault="0015538C" w:rsidP="00C85D0F">
            <w:pPr>
              <w:pStyle w:val="EPLogo"/>
            </w:pPr>
            <w:r w:rsidRPr="001553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1724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5538C" w:rsidRDefault="00461601" w:rsidP="00461601">
      <w:pPr>
        <w:pStyle w:val="LineTop"/>
      </w:pPr>
    </w:p>
    <w:p w:rsidR="00461601" w:rsidRPr="0015538C" w:rsidRDefault="0015538C" w:rsidP="00461601">
      <w:pPr>
        <w:pStyle w:val="EPBody"/>
      </w:pPr>
      <w:r w:rsidRPr="0015538C">
        <w:rPr>
          <w:rStyle w:val="HideTWBExt"/>
        </w:rPr>
        <w:t>&lt;</w:t>
      </w:r>
      <w:r w:rsidRPr="0015538C">
        <w:rPr>
          <w:rStyle w:val="HideTWBExt"/>
          <w:i w:val="0"/>
        </w:rPr>
        <w:t>Commission</w:t>
      </w:r>
      <w:r w:rsidRPr="0015538C">
        <w:rPr>
          <w:rStyle w:val="HideTWBExt"/>
        </w:rPr>
        <w:t>&gt;</w:t>
      </w:r>
      <w:r w:rsidRPr="0015538C">
        <w:rPr>
          <w:rStyle w:val="HideTWBInt"/>
        </w:rPr>
        <w:t>{LIBE}</w:t>
      </w:r>
      <w:r w:rsidRPr="0015538C">
        <w:t>Commission des libertés civiles, de la justice et des affaires intérieures</w:t>
      </w:r>
      <w:r w:rsidRPr="0015538C">
        <w:rPr>
          <w:rStyle w:val="HideTWBExt"/>
        </w:rPr>
        <w:t>&lt;/</w:t>
      </w:r>
      <w:r w:rsidRPr="0015538C">
        <w:rPr>
          <w:rStyle w:val="HideTWBExt"/>
          <w:i w:val="0"/>
        </w:rPr>
        <w:t>Commission</w:t>
      </w:r>
      <w:r w:rsidRPr="0015538C">
        <w:rPr>
          <w:rStyle w:val="HideTWBExt"/>
        </w:rPr>
        <w:t>&gt;</w:t>
      </w:r>
    </w:p>
    <w:p w:rsidR="00461601" w:rsidRPr="0015538C" w:rsidRDefault="00461601" w:rsidP="00461601">
      <w:pPr>
        <w:pStyle w:val="LineBottom"/>
      </w:pPr>
    </w:p>
    <w:p w:rsidR="00793EA9" w:rsidRPr="0015538C" w:rsidRDefault="0015538C">
      <w:pPr>
        <w:pStyle w:val="CoverReference"/>
      </w:pPr>
      <w:r w:rsidRPr="0015538C">
        <w:rPr>
          <w:rStyle w:val="HideTWBExt"/>
          <w:b w:val="0"/>
        </w:rPr>
        <w:t>&lt;RefProc&gt;</w:t>
      </w:r>
      <w:r w:rsidRPr="0015538C">
        <w:t>2021/0244</w:t>
      </w:r>
      <w:r w:rsidRPr="0015538C">
        <w:rPr>
          <w:rStyle w:val="HideTWBExt"/>
          <w:b w:val="0"/>
        </w:rPr>
        <w:t>&lt;/RefProc&gt;&lt;RefTypeProc&gt;</w:t>
      </w:r>
      <w:r w:rsidRPr="0015538C">
        <w:t>(COD)</w:t>
      </w:r>
      <w:r w:rsidRPr="0015538C">
        <w:rPr>
          <w:rStyle w:val="HideTWBExt"/>
          <w:b w:val="0"/>
        </w:rPr>
        <w:t>&lt;/RefTypeProc&gt;</w:t>
      </w:r>
    </w:p>
    <w:p w:rsidR="00793EA9" w:rsidRPr="0015538C" w:rsidRDefault="0015538C">
      <w:pPr>
        <w:pStyle w:val="CoverDate"/>
      </w:pPr>
      <w:r w:rsidRPr="0015538C">
        <w:rPr>
          <w:rStyle w:val="HideTWBExt"/>
        </w:rPr>
        <w:t>&lt;Date&gt;</w:t>
      </w:r>
      <w:r w:rsidRPr="0015538C">
        <w:rPr>
          <w:rStyle w:val="HideTWBInt"/>
        </w:rPr>
        <w:t>{01/07/2022}</w:t>
      </w:r>
      <w:r w:rsidRPr="0015538C">
        <w:t>1.7.2022</w:t>
      </w:r>
      <w:r w:rsidRPr="0015538C">
        <w:rPr>
          <w:rStyle w:val="HideTWBExt"/>
        </w:rPr>
        <w:t>&lt;/Date&gt;</w:t>
      </w:r>
    </w:p>
    <w:p w:rsidR="00793EA9" w:rsidRPr="0015538C" w:rsidRDefault="0015538C">
      <w:pPr>
        <w:pStyle w:val="CoverDocType"/>
      </w:pPr>
      <w:r w:rsidRPr="0015538C">
        <w:rPr>
          <w:rStyle w:val="HideTWBExt"/>
          <w:b w:val="0"/>
        </w:rPr>
        <w:t>&lt;RefProcLect&gt;</w:t>
      </w:r>
      <w:r w:rsidRPr="0015538C">
        <w:t>***I</w:t>
      </w:r>
      <w:r w:rsidRPr="0015538C">
        <w:rPr>
          <w:rStyle w:val="HideTWBExt"/>
          <w:b w:val="0"/>
        </w:rPr>
        <w:t>&lt;/RefProcLect&gt;</w:t>
      </w:r>
    </w:p>
    <w:p w:rsidR="00793EA9" w:rsidRPr="0015538C" w:rsidRDefault="0015538C">
      <w:pPr>
        <w:pStyle w:val="CoverDocType24a"/>
      </w:pPr>
      <w:r w:rsidRPr="0015538C">
        <w:rPr>
          <w:rStyle w:val="HideTWBExt"/>
          <w:b w:val="0"/>
        </w:rPr>
        <w:t>&lt;TitreType&gt;</w:t>
      </w:r>
      <w:r w:rsidRPr="0015538C">
        <w:t>PROJET DE RAPPORT</w:t>
      </w:r>
      <w:r w:rsidRPr="0015538C">
        <w:rPr>
          <w:rStyle w:val="HideTWBExt"/>
          <w:b w:val="0"/>
        </w:rPr>
        <w:t>&lt;/TitreType&gt;</w:t>
      </w:r>
    </w:p>
    <w:p w:rsidR="00793EA9" w:rsidRPr="0015538C" w:rsidRDefault="0015538C">
      <w:pPr>
        <w:pStyle w:val="CoverNormal"/>
      </w:pPr>
      <w:r w:rsidRPr="0015538C">
        <w:rPr>
          <w:rStyle w:val="HideTWBExt"/>
        </w:rPr>
        <w:t>&lt;Titre&gt;</w:t>
      </w:r>
      <w:r w:rsidRPr="0015538C">
        <w:t>sur la proposition de directive du Parlement européen et du Conseil modifiant la directive (UE) 2019/1153 du Parlement européen et du Conseil en ce qui concerne l’accès des autorités compétente</w:t>
      </w:r>
      <w:r w:rsidRPr="0015538C">
        <w:t>s aux registres centralisés des comptes bancaires par l’intermédiaire du point d’accès unique</w:t>
      </w:r>
      <w:r w:rsidRPr="0015538C">
        <w:rPr>
          <w:rStyle w:val="HideTWBExt"/>
        </w:rPr>
        <w:t>&lt;/Titre&gt;</w:t>
      </w:r>
    </w:p>
    <w:p w:rsidR="00793EA9" w:rsidRPr="0015538C" w:rsidRDefault="0015538C">
      <w:pPr>
        <w:pStyle w:val="CoverNormal24a"/>
        <w:rPr>
          <w:lang w:val="pt-PT"/>
        </w:rPr>
      </w:pPr>
      <w:r w:rsidRPr="0015538C">
        <w:rPr>
          <w:rStyle w:val="HideTWBExt"/>
          <w:lang w:val="pt-PT"/>
        </w:rPr>
        <w:t>&lt;DocRef&gt;</w:t>
      </w:r>
      <w:r w:rsidRPr="0015538C">
        <w:rPr>
          <w:lang w:val="pt-PT"/>
        </w:rPr>
        <w:t>(COM(2021)0429 – C9</w:t>
      </w:r>
      <w:r w:rsidRPr="0015538C">
        <w:rPr>
          <w:lang w:val="pt-PT"/>
        </w:rPr>
        <w:noBreakHyphen/>
        <w:t>0000/2022 – 2021/0244(COD))</w:t>
      </w:r>
      <w:r w:rsidRPr="0015538C">
        <w:rPr>
          <w:rStyle w:val="HideTWBExt"/>
          <w:lang w:val="pt-PT"/>
        </w:rPr>
        <w:t>&lt;/DocRef&gt;</w:t>
      </w:r>
    </w:p>
    <w:p w:rsidR="00793EA9" w:rsidRPr="0015538C" w:rsidRDefault="0015538C">
      <w:pPr>
        <w:pStyle w:val="CoverNormal24a"/>
      </w:pPr>
      <w:r w:rsidRPr="0015538C">
        <w:rPr>
          <w:rStyle w:val="HideTWBExt"/>
        </w:rPr>
        <w:t>&lt;Commission&gt;</w:t>
      </w:r>
      <w:r w:rsidRPr="0015538C">
        <w:rPr>
          <w:rStyle w:val="HideTWBInt"/>
        </w:rPr>
        <w:t>{LIBE}</w:t>
      </w:r>
      <w:r w:rsidRPr="0015538C">
        <w:t>Commission des libertés civiles, de la justice et des affaires intérieu</w:t>
      </w:r>
      <w:r w:rsidRPr="0015538C">
        <w:t>res</w:t>
      </w:r>
      <w:r w:rsidRPr="0015538C">
        <w:rPr>
          <w:rStyle w:val="HideTWBExt"/>
        </w:rPr>
        <w:t>&lt;/Commission&gt;</w:t>
      </w:r>
    </w:p>
    <w:p w:rsidR="00793EA9" w:rsidRPr="0015538C" w:rsidRDefault="0015538C">
      <w:pPr>
        <w:pStyle w:val="CoverNormal24a"/>
      </w:pPr>
      <w:r w:rsidRPr="0015538C">
        <w:t xml:space="preserve">Rapporteur: </w:t>
      </w:r>
      <w:r w:rsidRPr="0015538C">
        <w:rPr>
          <w:rStyle w:val="HideTWBExt"/>
        </w:rPr>
        <w:t>&lt;Depute&gt;</w:t>
      </w:r>
      <w:r w:rsidRPr="0015538C">
        <w:t>Emil Radev</w:t>
      </w:r>
      <w:r w:rsidRPr="0015538C">
        <w:rPr>
          <w:rStyle w:val="HideTWBExt"/>
        </w:rPr>
        <w:t>&lt;/Depute&gt;</w:t>
      </w:r>
    </w:p>
    <w:p w:rsidR="001C5B44" w:rsidRPr="0015538C" w:rsidRDefault="001C5B44" w:rsidP="001C5B44">
      <w:pPr>
        <w:pStyle w:val="CoverNormal"/>
      </w:pPr>
    </w:p>
    <w:p w:rsidR="00012C75" w:rsidRPr="0015538C" w:rsidRDefault="0015538C" w:rsidP="00894923">
      <w:r w:rsidRPr="0015538C">
        <w:br w:type="page"/>
      </w:r>
      <w:r w:rsidR="006C2A13" w:rsidRPr="0015538C">
        <w:lastRenderedPageBreak/>
        <w:fldChar w:fldCharType="begin"/>
      </w:r>
      <w:r w:rsidRPr="0015538C">
        <w:instrText xml:space="preserve"> TITLE  \* MERGEFORMAT </w:instrText>
      </w:r>
      <w:r w:rsidR="006C2A13" w:rsidRPr="0015538C">
        <w:fldChar w:fldCharType="separate"/>
      </w:r>
      <w:r>
        <w:t>PR_COD_1amCom</w:t>
      </w:r>
      <w:r w:rsidR="006C2A13" w:rsidRPr="0015538C">
        <w:fldChar w:fldCharType="end"/>
      </w:r>
    </w:p>
    <w:p w:rsidR="00012C75" w:rsidRPr="0015538C" w:rsidRDefault="00012C75" w:rsidP="00894923"/>
    <w:p w:rsidR="00012C75" w:rsidRPr="0015538C" w:rsidRDefault="00012C75"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F4C63" w:rsidRPr="0015538C">
        <w:tc>
          <w:tcPr>
            <w:tcW w:w="5811" w:type="dxa"/>
          </w:tcPr>
          <w:p w:rsidR="00012C75" w:rsidRPr="0015538C" w:rsidRDefault="0015538C" w:rsidP="00894923">
            <w:pPr>
              <w:pStyle w:val="Lgendetitre"/>
            </w:pPr>
            <w:r w:rsidRPr="0015538C">
              <w:t>Légende des signes utilisés</w:t>
            </w:r>
          </w:p>
        </w:tc>
      </w:tr>
      <w:tr w:rsidR="004F4C63" w:rsidRPr="0015538C" w:rsidTr="00C50C36">
        <w:trPr>
          <w:cantSplit/>
          <w:trHeight w:val="1944"/>
        </w:trPr>
        <w:tc>
          <w:tcPr>
            <w:tcW w:w="5811" w:type="dxa"/>
            <w:tcBorders>
              <w:bottom w:val="single" w:sz="4" w:space="0" w:color="auto"/>
            </w:tcBorders>
          </w:tcPr>
          <w:p w:rsidR="00012C75" w:rsidRPr="0015538C" w:rsidRDefault="0015538C" w:rsidP="0069092A">
            <w:pPr>
              <w:pStyle w:val="Lgendesigne"/>
            </w:pPr>
            <w:r w:rsidRPr="0015538C">
              <w:tab/>
              <w:t>*</w:t>
            </w:r>
            <w:r w:rsidRPr="0015538C">
              <w:tab/>
              <w:t>Procédure de consultation</w:t>
            </w:r>
          </w:p>
          <w:p w:rsidR="00012C75" w:rsidRPr="0015538C" w:rsidRDefault="0015538C" w:rsidP="0069092A">
            <w:pPr>
              <w:pStyle w:val="Lgendesigne"/>
            </w:pPr>
            <w:r w:rsidRPr="0015538C">
              <w:tab/>
              <w:t>***</w:t>
            </w:r>
            <w:r w:rsidRPr="0015538C">
              <w:tab/>
              <w:t>Procédure d’approbation</w:t>
            </w:r>
          </w:p>
          <w:p w:rsidR="00012C75" w:rsidRPr="0015538C" w:rsidRDefault="0015538C" w:rsidP="0069092A">
            <w:pPr>
              <w:pStyle w:val="Lgendesigne"/>
            </w:pPr>
            <w:r w:rsidRPr="0015538C">
              <w:tab/>
              <w:t>***I</w:t>
            </w:r>
            <w:r w:rsidRPr="0015538C">
              <w:tab/>
              <w:t>Procédure législative ordinaire (première lecture)</w:t>
            </w:r>
          </w:p>
          <w:p w:rsidR="00012C75" w:rsidRPr="0015538C" w:rsidRDefault="0015538C" w:rsidP="0069092A">
            <w:pPr>
              <w:pStyle w:val="Lgendesigne"/>
            </w:pPr>
            <w:r w:rsidRPr="0015538C">
              <w:tab/>
              <w:t>***II</w:t>
            </w:r>
            <w:r w:rsidRPr="0015538C">
              <w:tab/>
            </w:r>
            <w:r w:rsidRPr="0015538C">
              <w:t>Procédure législative ordinaire (deuxième lecture)</w:t>
            </w:r>
          </w:p>
          <w:p w:rsidR="00012C75" w:rsidRPr="0015538C" w:rsidRDefault="0015538C" w:rsidP="0069092A">
            <w:pPr>
              <w:pStyle w:val="Lgendesigne"/>
            </w:pPr>
            <w:r w:rsidRPr="0015538C">
              <w:tab/>
              <w:t>***III</w:t>
            </w:r>
            <w:r w:rsidRPr="0015538C">
              <w:tab/>
              <w:t>Procédure législative ordinaire (troisième lecture)</w:t>
            </w:r>
          </w:p>
          <w:p w:rsidR="00012C75" w:rsidRPr="0015538C" w:rsidRDefault="00012C75" w:rsidP="0069092A">
            <w:pPr>
              <w:pStyle w:val="Lgendestandard"/>
            </w:pPr>
          </w:p>
          <w:p w:rsidR="00012C75" w:rsidRPr="0015538C" w:rsidRDefault="0015538C" w:rsidP="0069092A">
            <w:pPr>
              <w:pStyle w:val="Lgendestandard"/>
            </w:pPr>
            <w:r w:rsidRPr="0015538C">
              <w:t>(La procédure indiquée est fondée sur la base juridique proposée par le projet d’acte.)</w:t>
            </w:r>
          </w:p>
          <w:p w:rsidR="00012C75" w:rsidRPr="0015538C" w:rsidRDefault="00012C75" w:rsidP="00784280">
            <w:pPr>
              <w:pStyle w:val="Lgendestandard"/>
            </w:pPr>
          </w:p>
        </w:tc>
      </w:tr>
    </w:tbl>
    <w:p w:rsidR="00012C75" w:rsidRPr="0015538C" w:rsidRDefault="00012C75" w:rsidP="00894923"/>
    <w:p w:rsidR="00012C75" w:rsidRPr="0015538C" w:rsidRDefault="00012C75" w:rsidP="00894923"/>
    <w:p w:rsidR="00012C75" w:rsidRPr="0015538C" w:rsidRDefault="00012C75" w:rsidP="00894923"/>
    <w:p w:rsidR="00012C75" w:rsidRPr="0015538C" w:rsidRDefault="00012C75"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F4C63" w:rsidRPr="0015538C">
        <w:tc>
          <w:tcPr>
            <w:tcW w:w="5811" w:type="dxa"/>
          </w:tcPr>
          <w:p w:rsidR="00012C75" w:rsidRPr="0015538C" w:rsidRDefault="0015538C" w:rsidP="00894923">
            <w:pPr>
              <w:pStyle w:val="Lgendetitre"/>
            </w:pPr>
            <w:r w:rsidRPr="0015538C">
              <w:t>Amendements à un projet d’acte</w:t>
            </w:r>
          </w:p>
        </w:tc>
      </w:tr>
      <w:tr w:rsidR="004F4C63" w:rsidRPr="0015538C" w:rsidTr="00161731">
        <w:trPr>
          <w:trHeight w:val="4923"/>
        </w:trPr>
        <w:tc>
          <w:tcPr>
            <w:tcW w:w="5811" w:type="dxa"/>
          </w:tcPr>
          <w:p w:rsidR="00012C75" w:rsidRPr="0015538C" w:rsidRDefault="0015538C" w:rsidP="0069092A">
            <w:pPr>
              <w:pStyle w:val="Lgendestandard"/>
              <w:rPr>
                <w:b/>
                <w:szCs w:val="18"/>
              </w:rPr>
            </w:pPr>
            <w:r w:rsidRPr="0015538C">
              <w:rPr>
                <w:b/>
              </w:rPr>
              <w:t>Amendements du Parlement présentés en deux colonnes</w:t>
            </w:r>
          </w:p>
          <w:p w:rsidR="00012C75" w:rsidRPr="0015538C" w:rsidRDefault="00012C75" w:rsidP="0069092A">
            <w:pPr>
              <w:pStyle w:val="Lgendestandard"/>
              <w:rPr>
                <w:szCs w:val="18"/>
              </w:rPr>
            </w:pPr>
          </w:p>
          <w:p w:rsidR="00012C75" w:rsidRPr="0015538C" w:rsidRDefault="0015538C" w:rsidP="0069092A">
            <w:pPr>
              <w:pStyle w:val="Lgendestandard"/>
              <w:rPr>
                <w:szCs w:val="18"/>
              </w:rPr>
            </w:pPr>
            <w:r w:rsidRPr="0015538C">
              <w:t xml:space="preserve">Les suppressions sont signalées par des </w:t>
            </w:r>
            <w:r w:rsidRPr="0015538C">
              <w:rPr>
                <w:b/>
                <w:i/>
              </w:rPr>
              <w:t>italiques gras</w:t>
            </w:r>
            <w:r w:rsidRPr="0015538C">
              <w:t xml:space="preserve"> dans la colonne de gauche. Les remplacements sont signalés par des </w:t>
            </w:r>
            <w:r w:rsidRPr="0015538C">
              <w:rPr>
                <w:b/>
                <w:i/>
              </w:rPr>
              <w:t xml:space="preserve">italiques gras </w:t>
            </w:r>
            <w:r w:rsidRPr="0015538C">
              <w:t>dans les deux colonnes. Le texte nouveau est signalé par des</w:t>
            </w:r>
            <w:r w:rsidRPr="0015538C">
              <w:rPr>
                <w:b/>
                <w:i/>
              </w:rPr>
              <w:t xml:space="preserve"> italiques gras</w:t>
            </w:r>
            <w:r w:rsidRPr="0015538C">
              <w:t xml:space="preserve"> dans la colonne de droite.</w:t>
            </w:r>
          </w:p>
          <w:p w:rsidR="00012C75" w:rsidRPr="0015538C" w:rsidRDefault="00012C75" w:rsidP="0069092A">
            <w:pPr>
              <w:pStyle w:val="Lgendestandard"/>
            </w:pPr>
          </w:p>
          <w:p w:rsidR="00012C75" w:rsidRPr="0015538C" w:rsidRDefault="0015538C" w:rsidP="0069092A">
            <w:pPr>
              <w:pStyle w:val="Lgendestandard"/>
            </w:pPr>
            <w:r w:rsidRPr="0015538C">
              <w:t>Les première et deuxième lignes de l’en-tête de chaque amendement identifient le passage concerné dans le projet d’acte à l’examen. Si un amendement porte sur un acte existant, que le projet d’acte entend modifie</w:t>
            </w:r>
            <w:r w:rsidRPr="0015538C">
              <w:t xml:space="preserve">r, l’en-tête comporte en outre une troisième et une quatrième lignes qui identifient respectivement l’acte existant et la disposition de celui-ci qui est concernée. </w:t>
            </w:r>
          </w:p>
          <w:p w:rsidR="00012C75" w:rsidRPr="0015538C" w:rsidRDefault="00012C75" w:rsidP="0069092A">
            <w:pPr>
              <w:pStyle w:val="Lgendestandard"/>
            </w:pPr>
          </w:p>
          <w:p w:rsidR="00012C75" w:rsidRPr="0015538C" w:rsidRDefault="0015538C" w:rsidP="0069092A">
            <w:pPr>
              <w:pStyle w:val="Lgendestandard"/>
              <w:rPr>
                <w:b/>
                <w:szCs w:val="18"/>
              </w:rPr>
            </w:pPr>
            <w:r w:rsidRPr="0015538C">
              <w:rPr>
                <w:b/>
              </w:rPr>
              <w:t>Amendements du Parlement prenant la forme d’un texte consolidé</w:t>
            </w:r>
          </w:p>
          <w:p w:rsidR="00012C75" w:rsidRPr="0015538C" w:rsidRDefault="00012C75" w:rsidP="0069092A">
            <w:pPr>
              <w:pStyle w:val="Lgendestandard"/>
              <w:rPr>
                <w:szCs w:val="18"/>
              </w:rPr>
            </w:pPr>
          </w:p>
          <w:p w:rsidR="00012C75" w:rsidRPr="0015538C" w:rsidRDefault="0015538C" w:rsidP="0069092A">
            <w:pPr>
              <w:pStyle w:val="Lgendestandard"/>
              <w:rPr>
                <w:szCs w:val="18"/>
              </w:rPr>
            </w:pPr>
            <w:r w:rsidRPr="0015538C">
              <w:t>Les parties de textes nou</w:t>
            </w:r>
            <w:r w:rsidRPr="0015538C">
              <w:t xml:space="preserve">velles sont indiquées en </w:t>
            </w:r>
            <w:r w:rsidRPr="0015538C">
              <w:rPr>
                <w:b/>
                <w:i/>
              </w:rPr>
              <w:t>italiques gras</w:t>
            </w:r>
            <w:r w:rsidRPr="0015538C">
              <w:t xml:space="preserve">. Les parties de texte supprimées sont indiquées par le symbole ▌ ou barrées. Les remplacements sont signalés en indiquant en </w:t>
            </w:r>
            <w:r w:rsidRPr="0015538C">
              <w:rPr>
                <w:b/>
                <w:i/>
              </w:rPr>
              <w:t xml:space="preserve">italiques gras </w:t>
            </w:r>
            <w:r w:rsidRPr="0015538C">
              <w:t xml:space="preserve">le texte nouveau et en effaçant ou en barrant le texte remplacé. </w:t>
            </w:r>
          </w:p>
          <w:p w:rsidR="00012C75" w:rsidRPr="0015538C" w:rsidRDefault="0015538C" w:rsidP="0069092A">
            <w:pPr>
              <w:pStyle w:val="Lgendestandard"/>
            </w:pPr>
            <w:r w:rsidRPr="0015538C">
              <w:t>Par except</w:t>
            </w:r>
            <w:r w:rsidRPr="0015538C">
              <w:t>ion, les modifications de nature strictement technique apportées par les services en vue de l’élaboration du texte final ne sont pas marquées.</w:t>
            </w:r>
          </w:p>
          <w:p w:rsidR="00012C75" w:rsidRPr="0015538C" w:rsidRDefault="00012C75" w:rsidP="0069092A">
            <w:pPr>
              <w:pStyle w:val="Lgendestandard"/>
            </w:pPr>
          </w:p>
        </w:tc>
      </w:tr>
    </w:tbl>
    <w:p w:rsidR="00012C75" w:rsidRPr="0015538C" w:rsidRDefault="00012C75" w:rsidP="00894923"/>
    <w:p w:rsidR="00793EA9" w:rsidRPr="0015538C" w:rsidRDefault="00793EA9" w:rsidP="00012351">
      <w:pPr>
        <w:widowControl/>
        <w:tabs>
          <w:tab w:val="center" w:pos="4677"/>
        </w:tabs>
      </w:pPr>
    </w:p>
    <w:p w:rsidR="00793EA9" w:rsidRPr="0015538C" w:rsidRDefault="0015538C">
      <w:pPr>
        <w:pStyle w:val="TOCHeading"/>
      </w:pPr>
      <w:r w:rsidRPr="0015538C">
        <w:br w:type="page"/>
      </w:r>
      <w:r w:rsidRPr="0015538C">
        <w:lastRenderedPageBreak/>
        <w:t>SOMMAIRE</w:t>
      </w:r>
    </w:p>
    <w:p w:rsidR="00793EA9" w:rsidRPr="0015538C" w:rsidRDefault="0015538C">
      <w:pPr>
        <w:pStyle w:val="TOCPage"/>
      </w:pPr>
      <w:r w:rsidRPr="0015538C">
        <w:t>Page</w:t>
      </w:r>
    </w:p>
    <w:p w:rsidR="0015538C" w:rsidRDefault="0015538C">
      <w:pPr>
        <w:pStyle w:val="TOC1"/>
        <w:tabs>
          <w:tab w:val="right" w:leader="dot" w:pos="9060"/>
        </w:tabs>
        <w:rPr>
          <w:rFonts w:asciiTheme="minorHAnsi" w:eastAsiaTheme="minorEastAsia" w:hAnsiTheme="minorHAnsi" w:cstheme="minorBidi"/>
          <w:noProof/>
          <w:sz w:val="22"/>
          <w:szCs w:val="22"/>
          <w:lang w:val="en-GB"/>
        </w:rPr>
      </w:pPr>
      <w:r w:rsidRPr="0015538C">
        <w:rPr>
          <w:b/>
        </w:rPr>
        <w:fldChar w:fldCharType="begin"/>
      </w:r>
      <w:r w:rsidRPr="0015538C">
        <w:rPr>
          <w:b/>
        </w:rPr>
        <w:instrText xml:space="preserve"> TOC \t "PageHeading</w:instrText>
      </w:r>
      <w:r w:rsidR="00012C75" w:rsidRPr="0015538C">
        <w:rPr>
          <w:b/>
        </w:rPr>
        <w:instrText>;</w:instrText>
      </w:r>
      <w:r w:rsidRPr="0015538C">
        <w:rPr>
          <w:b/>
        </w:rPr>
        <w:instrText xml:space="preserve">1" </w:instrText>
      </w:r>
      <w:r w:rsidRPr="0015538C">
        <w:rPr>
          <w:b/>
        </w:rPr>
        <w:fldChar w:fldCharType="separate"/>
      </w:r>
      <w:r>
        <w:rPr>
          <w:noProof/>
        </w:rPr>
        <w:t>PROJET DE RÉSOLUTION LÉGISLATIVE DU PARLEMENT EUROPÉEN</w:t>
      </w:r>
      <w:r>
        <w:rPr>
          <w:noProof/>
        </w:rPr>
        <w:tab/>
      </w:r>
      <w:r>
        <w:rPr>
          <w:noProof/>
        </w:rPr>
        <w:fldChar w:fldCharType="begin"/>
      </w:r>
      <w:r>
        <w:rPr>
          <w:noProof/>
        </w:rPr>
        <w:instrText xml:space="preserve"> PAGEREF _Toc108451800 \h </w:instrText>
      </w:r>
      <w:r>
        <w:rPr>
          <w:noProof/>
        </w:rPr>
      </w:r>
      <w:r>
        <w:rPr>
          <w:noProof/>
        </w:rPr>
        <w:fldChar w:fldCharType="separate"/>
      </w:r>
      <w:r>
        <w:rPr>
          <w:noProof/>
        </w:rPr>
        <w:t>5</w:t>
      </w:r>
      <w:r>
        <w:rPr>
          <w:noProof/>
        </w:rPr>
        <w:fldChar w:fldCharType="end"/>
      </w:r>
    </w:p>
    <w:p w:rsidR="002346B0" w:rsidRPr="0015538C" w:rsidRDefault="0015538C" w:rsidP="00C23324">
      <w:r w:rsidRPr="0015538C">
        <w:rPr>
          <w:b/>
        </w:rPr>
        <w:fldChar w:fldCharType="end"/>
      </w:r>
    </w:p>
    <w:p w:rsidR="00793EA9" w:rsidRPr="0015538C" w:rsidRDefault="0015538C">
      <w:pPr>
        <w:pStyle w:val="PageHeading"/>
      </w:pPr>
      <w:r w:rsidRPr="0015538C">
        <w:br w:type="page"/>
      </w:r>
      <w:r w:rsidRPr="0015538C">
        <w:lastRenderedPageBreak/>
        <w:br w:type="page"/>
      </w:r>
      <w:bookmarkStart w:id="1" w:name="_Toc108451800"/>
      <w:r w:rsidRPr="0015538C">
        <w:lastRenderedPageBreak/>
        <w:t>PROJET DE RÉSOLUTION LÉGISLATIVE DU PARLEMENT EUROPÉEN</w:t>
      </w:r>
      <w:bookmarkEnd w:id="1"/>
    </w:p>
    <w:p w:rsidR="00012C75" w:rsidRPr="0015538C" w:rsidRDefault="0015538C" w:rsidP="00012C75">
      <w:pPr>
        <w:pStyle w:val="NormalBold"/>
      </w:pPr>
      <w:r w:rsidRPr="0015538C">
        <w:t>sur la proposition de directive du Parlement européen et du Conseil modifiant la directive (UE) 2019/1153 du Parlement européen et du Conseil en ce qui concerne l’accès des autorités compétentes aux registres centralisés des comptes bancaires par l’intermé</w:t>
      </w:r>
      <w:r w:rsidRPr="0015538C">
        <w:t>diaire du point d’accès unique</w:t>
      </w:r>
    </w:p>
    <w:p w:rsidR="00793EA9" w:rsidRPr="0015538C" w:rsidRDefault="0015538C" w:rsidP="00012C75">
      <w:pPr>
        <w:pStyle w:val="NormalBold12a"/>
      </w:pPr>
      <w:r w:rsidRPr="0015538C">
        <w:t>(COM(2021)0429 – C9</w:t>
      </w:r>
      <w:r w:rsidRPr="0015538C">
        <w:noBreakHyphen/>
        <w:t>0000/2022 – 2021/0244(COD))</w:t>
      </w:r>
    </w:p>
    <w:p w:rsidR="00793EA9" w:rsidRPr="0015538C" w:rsidRDefault="0015538C" w:rsidP="00A910C9">
      <w:pPr>
        <w:pStyle w:val="NormalBold"/>
      </w:pPr>
      <w:r w:rsidRPr="0015538C">
        <w:t>(Procédure législative ordinaire: première lecture)</w:t>
      </w:r>
    </w:p>
    <w:p w:rsidR="00793EA9" w:rsidRPr="0015538C" w:rsidRDefault="0015538C" w:rsidP="00A910C9">
      <w:pPr>
        <w:pStyle w:val="EPComma"/>
      </w:pPr>
      <w:r w:rsidRPr="0015538C">
        <w:rPr>
          <w:i/>
        </w:rPr>
        <w:t>Le Parlement européen</w:t>
      </w:r>
      <w:r w:rsidRPr="0015538C">
        <w:t>,</w:t>
      </w:r>
    </w:p>
    <w:p w:rsidR="00012C75" w:rsidRPr="0015538C" w:rsidRDefault="0015538C" w:rsidP="00012C75">
      <w:pPr>
        <w:pStyle w:val="NormalHanging12a"/>
      </w:pPr>
      <w:r w:rsidRPr="0015538C">
        <w:t>–</w:t>
      </w:r>
      <w:r w:rsidRPr="0015538C">
        <w:tab/>
        <w:t>vu la proposition de la Commission au Parlement européen et au Conseil (COM(2021)0429),</w:t>
      </w:r>
    </w:p>
    <w:p w:rsidR="00012C75" w:rsidRPr="0015538C" w:rsidRDefault="0015538C" w:rsidP="00012C75">
      <w:pPr>
        <w:pStyle w:val="NormalHanging12a"/>
      </w:pPr>
      <w:r w:rsidRPr="0015538C">
        <w:t>–</w:t>
      </w:r>
      <w:r w:rsidRPr="0015538C">
        <w:tab/>
        <w:t>vu l’artic</w:t>
      </w:r>
      <w:r w:rsidRPr="0015538C">
        <w:t>le 294, paragraphe 2, et l’article 87, paragraphe 2, du traité sur le fonctionnement de l’Union européenne, conformément auxquels la proposition lui a été présentée par la Commission (C9</w:t>
      </w:r>
      <w:r w:rsidRPr="0015538C">
        <w:noBreakHyphen/>
        <w:t>0000/2022),</w:t>
      </w:r>
    </w:p>
    <w:p w:rsidR="00012C75" w:rsidRPr="0015538C" w:rsidRDefault="0015538C" w:rsidP="00012C75">
      <w:pPr>
        <w:pStyle w:val="NormalHanging12a"/>
      </w:pPr>
      <w:r w:rsidRPr="0015538C">
        <w:t>–</w:t>
      </w:r>
      <w:r w:rsidRPr="0015538C">
        <w:tab/>
        <w:t>vu l’article 294, paragraphe 3, du traité sur le foncti</w:t>
      </w:r>
      <w:r w:rsidRPr="0015538C">
        <w:t>onnement de l’Union européenne,</w:t>
      </w:r>
    </w:p>
    <w:p w:rsidR="00012C75" w:rsidRPr="0015538C" w:rsidRDefault="0015538C" w:rsidP="00012C75">
      <w:pPr>
        <w:pStyle w:val="NormalHanging12a"/>
      </w:pPr>
      <w:r w:rsidRPr="0015538C">
        <w:t>–</w:t>
      </w:r>
      <w:r w:rsidRPr="0015538C">
        <w:tab/>
        <w:t>vu l’article 59 de son règlement intérieur,</w:t>
      </w:r>
    </w:p>
    <w:p w:rsidR="00012C75" w:rsidRPr="0015538C" w:rsidRDefault="0015538C" w:rsidP="00012C75">
      <w:pPr>
        <w:pStyle w:val="NormalHanging12a"/>
      </w:pPr>
      <w:r w:rsidRPr="0015538C">
        <w:t>–</w:t>
      </w:r>
      <w:r w:rsidRPr="0015538C">
        <w:tab/>
        <w:t>vu l’avis de la commission des affaires économiques et monétaires,</w:t>
      </w:r>
    </w:p>
    <w:p w:rsidR="00012C75" w:rsidRPr="0015538C" w:rsidRDefault="0015538C" w:rsidP="00012C75">
      <w:pPr>
        <w:pStyle w:val="NormalHanging12a"/>
      </w:pPr>
      <w:r w:rsidRPr="0015538C">
        <w:t>–</w:t>
      </w:r>
      <w:r w:rsidRPr="0015538C">
        <w:tab/>
        <w:t>vu le rapport de la commission des libertés civiles, de la justice et des affaires intérieures (A9</w:t>
      </w:r>
      <w:r w:rsidRPr="0015538C">
        <w:noBreakHyphen/>
        <w:t>0000/202</w:t>
      </w:r>
      <w:r w:rsidRPr="0015538C">
        <w:t>2),</w:t>
      </w:r>
    </w:p>
    <w:p w:rsidR="00012C75" w:rsidRPr="0015538C" w:rsidRDefault="0015538C" w:rsidP="00012C75">
      <w:pPr>
        <w:pStyle w:val="NormalHanging12a"/>
      </w:pPr>
      <w:r w:rsidRPr="0015538C">
        <w:t>1.</w:t>
      </w:r>
      <w:r w:rsidRPr="0015538C">
        <w:tab/>
        <w:t>arrête la position en première lecture figurant ci-après;</w:t>
      </w:r>
    </w:p>
    <w:p w:rsidR="00012C75" w:rsidRPr="0015538C" w:rsidRDefault="0015538C" w:rsidP="00012C75">
      <w:pPr>
        <w:pStyle w:val="NormalHanging12a"/>
      </w:pPr>
      <w:r w:rsidRPr="0015538C">
        <w:t>2.</w:t>
      </w:r>
      <w:r w:rsidRPr="0015538C">
        <w:tab/>
        <w:t>demande à la Commission de le saisir à nouveau, si elle remplace, modifie de manière substantielle ou entend modifier de manière substantielle sa proposition;</w:t>
      </w:r>
    </w:p>
    <w:p w:rsidR="00012C75" w:rsidRPr="0015538C" w:rsidRDefault="0015538C" w:rsidP="00012C75">
      <w:pPr>
        <w:pStyle w:val="NormalHanging12a"/>
      </w:pPr>
      <w:r w:rsidRPr="0015538C">
        <w:t>3.</w:t>
      </w:r>
      <w:r w:rsidRPr="0015538C">
        <w:tab/>
        <w:t>charge sa Présidente de tr</w:t>
      </w:r>
      <w:r w:rsidRPr="0015538C">
        <w:t>ansmettre la position du Parlement au Conseil et à la Commission ainsi qu’aux parlements nationaux.</w:t>
      </w:r>
    </w:p>
    <w:p w:rsidR="00012C75" w:rsidRPr="0015538C" w:rsidRDefault="00012C75" w:rsidP="00012C75">
      <w:pPr>
        <w:pStyle w:val="NormalHanging12a"/>
      </w:pPr>
    </w:p>
    <w:p w:rsidR="00012C75" w:rsidRPr="0015538C" w:rsidRDefault="0015538C" w:rsidP="00012C75">
      <w:pPr>
        <w:pStyle w:val="AMNumberTabs0"/>
        <w:keepNext/>
      </w:pPr>
      <w:r w:rsidRPr="0015538C">
        <w:rPr>
          <w:rStyle w:val="HideTWBExt"/>
          <w:b w:val="0"/>
          <w:lang w:val="fr-BE"/>
        </w:rPr>
        <w:t>&lt;RepeatBlock-Amend&gt;&lt;Amend&gt;</w:t>
      </w:r>
      <w:r w:rsidRPr="0015538C">
        <w:t>Amendement</w:t>
      </w:r>
      <w:r w:rsidRPr="0015538C">
        <w:tab/>
      </w:r>
      <w:r w:rsidRPr="0015538C">
        <w:tab/>
      </w:r>
      <w:r w:rsidRPr="0015538C">
        <w:rPr>
          <w:rStyle w:val="HideTWBExt"/>
          <w:b w:val="0"/>
          <w:lang w:val="fr-BE"/>
        </w:rPr>
        <w:t>&lt;NumAm&gt;</w:t>
      </w:r>
      <w:r w:rsidRPr="0015538C">
        <w:t>1</w:t>
      </w:r>
      <w:r w:rsidRPr="0015538C">
        <w:rPr>
          <w:rStyle w:val="HideTWBExt"/>
          <w:b w:val="0"/>
          <w:lang w:val="fr-BE"/>
        </w:rPr>
        <w:t>&lt;/NumAm&gt;</w:t>
      </w:r>
    </w:p>
    <w:p w:rsidR="00012C75" w:rsidRPr="0015538C" w:rsidRDefault="0015538C" w:rsidP="00012C75">
      <w:pPr>
        <w:pStyle w:val="NormalBold12b"/>
        <w:keepNext/>
      </w:pPr>
      <w:r w:rsidRPr="0015538C">
        <w:rPr>
          <w:rStyle w:val="HideTWBExt"/>
          <w:b w:val="0"/>
        </w:rPr>
        <w:t>&lt;DocAmend&gt;</w:t>
      </w:r>
      <w:r w:rsidRPr="0015538C">
        <w:t>Proposition de directive</w:t>
      </w:r>
      <w:r w:rsidRPr="0015538C">
        <w:rPr>
          <w:rStyle w:val="HideTWBExt"/>
          <w:b w:val="0"/>
        </w:rPr>
        <w:t>&lt;/DocAmend&gt;</w:t>
      </w:r>
    </w:p>
    <w:p w:rsidR="00012C75" w:rsidRPr="0015538C" w:rsidRDefault="0015538C" w:rsidP="00012C75">
      <w:r w:rsidRPr="0015538C">
        <w:rPr>
          <w:rStyle w:val="HideTWBExt"/>
        </w:rPr>
        <w:t>&lt;Article&gt;</w:t>
      </w:r>
      <w:r w:rsidRPr="0015538C">
        <w:t>Considérant 6 bis (nouveau)</w:t>
      </w:r>
      <w:r w:rsidRPr="0015538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F4C63" w:rsidRPr="0015538C" w:rsidTr="00E56DDE">
        <w:trPr>
          <w:jc w:val="center"/>
        </w:trPr>
        <w:tc>
          <w:tcPr>
            <w:tcW w:w="9752" w:type="dxa"/>
            <w:gridSpan w:val="2"/>
          </w:tcPr>
          <w:p w:rsidR="00012C75" w:rsidRPr="0015538C" w:rsidRDefault="00012C75" w:rsidP="00E56DDE">
            <w:pPr>
              <w:keepNext/>
            </w:pPr>
          </w:p>
        </w:tc>
      </w:tr>
      <w:tr w:rsidR="004F4C63" w:rsidRPr="0015538C" w:rsidTr="00E56DDE">
        <w:trPr>
          <w:jc w:val="center"/>
        </w:trPr>
        <w:tc>
          <w:tcPr>
            <w:tcW w:w="4876" w:type="dxa"/>
            <w:hideMark/>
          </w:tcPr>
          <w:p w:rsidR="00012C75" w:rsidRPr="0015538C" w:rsidRDefault="0015538C" w:rsidP="00E56DDE">
            <w:pPr>
              <w:pStyle w:val="ColumnHeading"/>
              <w:keepNext/>
            </w:pPr>
            <w:r w:rsidRPr="0015538C">
              <w:t>Texte en vigueur</w:t>
            </w:r>
          </w:p>
        </w:tc>
        <w:tc>
          <w:tcPr>
            <w:tcW w:w="4876" w:type="dxa"/>
            <w:hideMark/>
          </w:tcPr>
          <w:p w:rsidR="00012C75" w:rsidRPr="0015538C" w:rsidRDefault="0015538C" w:rsidP="00E56DDE">
            <w:pPr>
              <w:pStyle w:val="ColumnHeading"/>
              <w:keepNext/>
            </w:pPr>
            <w:r w:rsidRPr="0015538C">
              <w:t>Amendement</w:t>
            </w:r>
          </w:p>
        </w:tc>
      </w:tr>
      <w:tr w:rsidR="004F4C63" w:rsidRPr="0015538C" w:rsidTr="00E56DDE">
        <w:trPr>
          <w:jc w:val="center"/>
        </w:trPr>
        <w:tc>
          <w:tcPr>
            <w:tcW w:w="4876" w:type="dxa"/>
          </w:tcPr>
          <w:p w:rsidR="00012C75" w:rsidRPr="0015538C" w:rsidRDefault="00012C75" w:rsidP="00E56DDE">
            <w:pPr>
              <w:pStyle w:val="Normal6"/>
              <w:rPr>
                <w:lang w:val="en-GB"/>
              </w:rPr>
            </w:pPr>
          </w:p>
        </w:tc>
        <w:tc>
          <w:tcPr>
            <w:tcW w:w="4876" w:type="dxa"/>
            <w:hideMark/>
          </w:tcPr>
          <w:p w:rsidR="00012C75" w:rsidRPr="0015538C" w:rsidRDefault="0015538C" w:rsidP="00E56DDE">
            <w:pPr>
              <w:pStyle w:val="Normal6"/>
              <w:rPr>
                <w:szCs w:val="24"/>
              </w:rPr>
            </w:pPr>
            <w:r w:rsidRPr="0015538C">
              <w:rPr>
                <w:b/>
                <w:i/>
              </w:rPr>
              <w:t>(6 bis)</w:t>
            </w:r>
            <w:r w:rsidRPr="0015538C">
              <w:rPr>
                <w:b/>
                <w:i/>
              </w:rPr>
              <w:tab/>
              <w:t xml:space="preserve">Le mécanisme relatif à l’accès transfrontalier direct des autorités répressives aux registres centralisés des </w:t>
            </w:r>
            <w:r w:rsidRPr="0015538C">
              <w:rPr>
                <w:b/>
                <w:i/>
              </w:rPr>
              <w:lastRenderedPageBreak/>
              <w:t>comptes bancaires par l’intermédiaire du point d’accès unique repose sur le principe de la confiance mutuell</w:t>
            </w:r>
            <w:r w:rsidRPr="0015538C">
              <w:rPr>
                <w:b/>
                <w:i/>
              </w:rPr>
              <w:t>e entre les États membres et sur une présomption selon laquelle les États membres respectent le droit de l’Union, l’état de droit conformément à l’article 2 du traité sur l’Union européenne et, en particulier, les droits fondamentaux conformément à l’artic</w:t>
            </w:r>
            <w:r w:rsidRPr="0015538C">
              <w:rPr>
                <w:b/>
                <w:i/>
              </w:rPr>
              <w:t>le 6 du traité sur l’Union européenne, tels que le droit au respect de la vie privée et à la protection des données, qui sont des éléments essentiels de l’espace de liberté, de sécurité et de justice au sein de l’Union.</w:t>
            </w:r>
            <w:r w:rsidRPr="0015538C">
              <w:t xml:space="preserve"> </w:t>
            </w:r>
          </w:p>
        </w:tc>
      </w:tr>
    </w:tbl>
    <w:p w:rsidR="00012C75" w:rsidRPr="0015538C" w:rsidRDefault="0015538C" w:rsidP="00012C75">
      <w:pPr>
        <w:pStyle w:val="Olang"/>
        <w:rPr>
          <w:sz w:val="24"/>
          <w:szCs w:val="24"/>
        </w:rPr>
      </w:pPr>
      <w:r w:rsidRPr="0015538C">
        <w:rPr>
          <w:sz w:val="24"/>
          <w:szCs w:val="24"/>
        </w:rPr>
        <w:lastRenderedPageBreak/>
        <w:t xml:space="preserve">Or. </w:t>
      </w:r>
      <w:r w:rsidRPr="0015538C">
        <w:rPr>
          <w:rStyle w:val="HideTWBExt"/>
        </w:rPr>
        <w:t>&lt;Original&gt;</w:t>
      </w:r>
      <w:r w:rsidRPr="0015538C">
        <w:rPr>
          <w:rStyle w:val="HideTWBInt"/>
          <w:sz w:val="24"/>
          <w:szCs w:val="24"/>
        </w:rPr>
        <w:t>{EN}</w:t>
      </w:r>
      <w:r w:rsidRPr="0015538C">
        <w:rPr>
          <w:sz w:val="24"/>
          <w:szCs w:val="24"/>
        </w:rPr>
        <w:t>en</w:t>
      </w:r>
      <w:r w:rsidRPr="0015538C">
        <w:rPr>
          <w:rStyle w:val="HideTWBExt"/>
        </w:rPr>
        <w:t>&lt;/Original&gt;</w:t>
      </w:r>
    </w:p>
    <w:p w:rsidR="00012C75" w:rsidRPr="0015538C" w:rsidRDefault="0015538C" w:rsidP="00012C75">
      <w:pPr>
        <w:pStyle w:val="JustificationTitle"/>
        <w:rPr>
          <w:noProof w:val="0"/>
        </w:rPr>
      </w:pPr>
      <w:r w:rsidRPr="0015538C">
        <w:rPr>
          <w:rStyle w:val="HideTWBExt"/>
          <w:i w:val="0"/>
          <w:lang w:val="fr-BE"/>
        </w:rPr>
        <w:t>&lt;TitreJust&gt;</w:t>
      </w:r>
      <w:r w:rsidRPr="0015538C">
        <w:t>Justification</w:t>
      </w:r>
      <w:r w:rsidRPr="0015538C">
        <w:rPr>
          <w:rStyle w:val="HideTWBExt"/>
          <w:i w:val="0"/>
          <w:lang w:val="fr-BE"/>
        </w:rPr>
        <w:t>&lt;/TitreJust&gt;</w:t>
      </w:r>
    </w:p>
    <w:p w:rsidR="00012C75" w:rsidRPr="0015538C" w:rsidRDefault="0015538C" w:rsidP="00012C75">
      <w:pPr>
        <w:pStyle w:val="Normal12Italic"/>
        <w:rPr>
          <w:noProof w:val="0"/>
        </w:rPr>
      </w:pPr>
      <w:r w:rsidRPr="0015538C">
        <w:t>Des règles transfrontalières de ce type doivent avoir un fondement en droit national, conformément aux obligations prévues à l’article 8 de la CEDH (droit au respect de la vie privée). De même, les recherches doivent êt</w:t>
      </w:r>
      <w:r w:rsidRPr="0015538C">
        <w:t>re proportionnées et réservées aux cas où elles seraient possibles dans des situations similaires soumises au droit interne, afin d’éviter la course à la juridiction la plus favorable.</w:t>
      </w:r>
    </w:p>
    <w:p w:rsidR="00012C75" w:rsidRPr="0015538C" w:rsidRDefault="0015538C" w:rsidP="00012C75">
      <w:pPr>
        <w:rPr>
          <w:lang w:val="de-DE"/>
        </w:rPr>
      </w:pPr>
      <w:r w:rsidRPr="0015538C">
        <w:rPr>
          <w:rStyle w:val="HideTWBExt"/>
          <w:lang w:val="de-DE"/>
        </w:rPr>
        <w:t>&lt;/Amend&gt;</w:t>
      </w:r>
    </w:p>
    <w:p w:rsidR="00012C75" w:rsidRPr="0015538C" w:rsidRDefault="0015538C" w:rsidP="00012C75">
      <w:pPr>
        <w:pStyle w:val="AMNumberTabs0"/>
        <w:keepNext/>
        <w:rPr>
          <w:lang w:val="de-DE"/>
        </w:rPr>
      </w:pPr>
      <w:r w:rsidRPr="0015538C">
        <w:rPr>
          <w:rStyle w:val="HideTWBExt"/>
          <w:b w:val="0"/>
          <w:lang w:val="de-DE"/>
        </w:rPr>
        <w:t>&lt;Amend&gt;</w:t>
      </w:r>
      <w:r w:rsidRPr="0015538C">
        <w:rPr>
          <w:lang w:val="de-DE"/>
        </w:rPr>
        <w:t>Amendement</w:t>
      </w:r>
      <w:r w:rsidRPr="0015538C">
        <w:rPr>
          <w:lang w:val="de-DE"/>
        </w:rPr>
        <w:tab/>
      </w:r>
      <w:r w:rsidRPr="0015538C">
        <w:rPr>
          <w:lang w:val="de-DE"/>
        </w:rPr>
        <w:tab/>
      </w:r>
      <w:r w:rsidRPr="0015538C">
        <w:rPr>
          <w:rStyle w:val="HideTWBExt"/>
          <w:b w:val="0"/>
          <w:lang w:val="de-DE"/>
        </w:rPr>
        <w:t>&lt;NumAm&gt;</w:t>
      </w:r>
      <w:r w:rsidRPr="0015538C">
        <w:rPr>
          <w:lang w:val="de-DE"/>
        </w:rPr>
        <w:t>2</w:t>
      </w:r>
      <w:r w:rsidRPr="0015538C">
        <w:rPr>
          <w:rStyle w:val="HideTWBExt"/>
          <w:b w:val="0"/>
          <w:lang w:val="de-DE"/>
        </w:rPr>
        <w:t>&lt;/NumAm&gt;</w:t>
      </w:r>
    </w:p>
    <w:p w:rsidR="00012C75" w:rsidRPr="0015538C" w:rsidRDefault="0015538C" w:rsidP="00012C75">
      <w:pPr>
        <w:pStyle w:val="NormalBold12b"/>
        <w:keepNext/>
      </w:pPr>
      <w:r w:rsidRPr="0015538C">
        <w:rPr>
          <w:rStyle w:val="HideTWBExt"/>
          <w:b w:val="0"/>
        </w:rPr>
        <w:t>&lt;DocAmend&gt;</w:t>
      </w:r>
      <w:r w:rsidRPr="0015538C">
        <w:t>Proposition de directive</w:t>
      </w:r>
      <w:r w:rsidRPr="0015538C">
        <w:rPr>
          <w:rStyle w:val="HideTWBExt"/>
          <w:b w:val="0"/>
        </w:rPr>
        <w:t>&lt;/DocAmend&gt;</w:t>
      </w:r>
    </w:p>
    <w:p w:rsidR="00012C75" w:rsidRPr="0015538C" w:rsidRDefault="0015538C" w:rsidP="00012C75">
      <w:pPr>
        <w:pStyle w:val="NormalBold"/>
      </w:pPr>
      <w:r w:rsidRPr="0015538C">
        <w:rPr>
          <w:rStyle w:val="HideTWBExt"/>
          <w:b w:val="0"/>
        </w:rPr>
        <w:t>&lt;Article&gt;</w:t>
      </w:r>
      <w:r w:rsidRPr="0015538C">
        <w:t>Article 1 – alinéa 1</w:t>
      </w:r>
      <w:r w:rsidRPr="0015538C">
        <w:rPr>
          <w:rStyle w:val="HideTWBExt"/>
          <w:b w:val="0"/>
        </w:rPr>
        <w:t>&lt;/Article&gt;</w:t>
      </w:r>
    </w:p>
    <w:p w:rsidR="00012C75" w:rsidRPr="0015538C" w:rsidRDefault="0015538C" w:rsidP="00012C75">
      <w:pPr>
        <w:keepNext/>
      </w:pPr>
      <w:r w:rsidRPr="0015538C">
        <w:rPr>
          <w:rStyle w:val="HideTWBExt"/>
        </w:rPr>
        <w:t>&lt;DocAmend2&gt;</w:t>
      </w:r>
      <w:r w:rsidRPr="0015538C">
        <w:t>Directive (UE) 2019/1153</w:t>
      </w:r>
      <w:r w:rsidRPr="0015538C">
        <w:rPr>
          <w:rStyle w:val="HideTWBExt"/>
        </w:rPr>
        <w:t>&lt;/DocAmend2&gt;</w:t>
      </w:r>
    </w:p>
    <w:p w:rsidR="00012C75" w:rsidRPr="0015538C" w:rsidRDefault="0015538C" w:rsidP="00012C75">
      <w:r w:rsidRPr="0015538C">
        <w:rPr>
          <w:rStyle w:val="HideTWBExt"/>
        </w:rPr>
        <w:t>&lt;Article2&gt;</w:t>
      </w:r>
      <w:r w:rsidRPr="0015538C">
        <w:t>Article 4 – paragraphe 1 bis</w:t>
      </w:r>
      <w:r w:rsidRPr="0015538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4C63" w:rsidRPr="0015538C" w:rsidTr="00E56DDE">
        <w:trPr>
          <w:jc w:val="center"/>
        </w:trPr>
        <w:tc>
          <w:tcPr>
            <w:tcW w:w="9752" w:type="dxa"/>
            <w:gridSpan w:val="2"/>
          </w:tcPr>
          <w:p w:rsidR="00012C75" w:rsidRPr="0015538C" w:rsidRDefault="00012C75" w:rsidP="00E56DDE">
            <w:pPr>
              <w:keepNext/>
            </w:pPr>
          </w:p>
        </w:tc>
      </w:tr>
      <w:tr w:rsidR="004F4C63" w:rsidRPr="0015538C" w:rsidTr="00E56DDE">
        <w:trPr>
          <w:jc w:val="center"/>
        </w:trPr>
        <w:tc>
          <w:tcPr>
            <w:tcW w:w="4876" w:type="dxa"/>
            <w:hideMark/>
          </w:tcPr>
          <w:p w:rsidR="00012C75" w:rsidRPr="0015538C" w:rsidRDefault="0015538C" w:rsidP="00E56DDE">
            <w:pPr>
              <w:pStyle w:val="ColumnHeading"/>
              <w:keepNext/>
            </w:pPr>
            <w:r w:rsidRPr="0015538C">
              <w:t>Texte proposé par la Commission</w:t>
            </w:r>
          </w:p>
        </w:tc>
        <w:tc>
          <w:tcPr>
            <w:tcW w:w="4876" w:type="dxa"/>
            <w:hideMark/>
          </w:tcPr>
          <w:p w:rsidR="00012C75" w:rsidRPr="0015538C" w:rsidRDefault="0015538C" w:rsidP="00E56DDE">
            <w:pPr>
              <w:pStyle w:val="ColumnHeading"/>
              <w:keepNext/>
            </w:pPr>
            <w:r w:rsidRPr="0015538C">
              <w:t>Amendement</w:t>
            </w:r>
          </w:p>
        </w:tc>
      </w:tr>
      <w:tr w:rsidR="004F4C63" w:rsidRPr="0015538C" w:rsidTr="00E56DDE">
        <w:trPr>
          <w:jc w:val="center"/>
        </w:trPr>
        <w:tc>
          <w:tcPr>
            <w:tcW w:w="4876" w:type="dxa"/>
            <w:hideMark/>
          </w:tcPr>
          <w:p w:rsidR="00012C75" w:rsidRPr="0015538C" w:rsidRDefault="0015538C" w:rsidP="00E56DDE">
            <w:pPr>
              <w:pStyle w:val="Normal6"/>
            </w:pPr>
            <w:r w:rsidRPr="0015538C">
              <w:rPr>
                <w:b/>
                <w:i/>
              </w:rPr>
              <w:t>«</w:t>
            </w:r>
            <w:r w:rsidRPr="0015538C">
              <w:t>1 bis.</w:t>
            </w:r>
            <w:r w:rsidRPr="0015538C">
              <w:tab/>
            </w:r>
            <w:r w:rsidRPr="0015538C">
              <w:t>Les États membres veillent à ce que les autorités nationales compétentes désignées en vertu de l’article 3, paragraphe 1, soient habilitées à avoir accès aux informations relatives aux comptes bancaires dans d’autres États membres et à effectuer des recher</w:t>
            </w:r>
            <w:r w:rsidRPr="0015538C">
              <w:t xml:space="preserve">ches dans ces informations, directement et immédiatement, par l’intermédiaire du point d’accès unique des RCB mis en place en vertu de l’article XX de la directive (UE) YYYY/XX [la nouvelle directive </w:t>
            </w:r>
            <w:r w:rsidRPr="0015538C">
              <w:lastRenderedPageBreak/>
              <w:t>anti-blanchiment], lorsque cela est nécessaire à l’accom</w:t>
            </w:r>
            <w:r w:rsidRPr="0015538C">
              <w:t>plissement de leurs missions, aux fins de prévenir ou de détecter une infraction pénale grave, ou de mener des enquêtes ou des poursuites en la matière, ou d’apporter un soutien à une enquête pénale concernant une infraction pénale grave, y compris l’ident</w:t>
            </w:r>
            <w:r w:rsidRPr="0015538C">
              <w:t>ification, le dépistage et le gel des avoirs liés à cette enquête.</w:t>
            </w:r>
          </w:p>
        </w:tc>
        <w:tc>
          <w:tcPr>
            <w:tcW w:w="4876" w:type="dxa"/>
            <w:hideMark/>
          </w:tcPr>
          <w:p w:rsidR="00012C75" w:rsidRPr="0015538C" w:rsidRDefault="0015538C" w:rsidP="00E56DDE">
            <w:pPr>
              <w:pStyle w:val="Normal6"/>
              <w:rPr>
                <w:szCs w:val="24"/>
              </w:rPr>
            </w:pPr>
            <w:r w:rsidRPr="0015538C">
              <w:lastRenderedPageBreak/>
              <w:t>1 bis.</w:t>
            </w:r>
            <w:r w:rsidRPr="0015538C">
              <w:tab/>
              <w:t>Les États membres veillent à ce que les autorités nationales compétentes désignées en vertu de l’article 3, paragraphe 1, soient habilitées à avoir accès aux informations relatives a</w:t>
            </w:r>
            <w:r w:rsidRPr="0015538C">
              <w:t>ux comptes bancaires dans d’autres États membres et à effectuer des recherches dans ces informations, directement et immédiatement</w:t>
            </w:r>
            <w:r w:rsidRPr="0015538C">
              <w:rPr>
                <w:b/>
                <w:i/>
              </w:rPr>
              <w:t>, dans le respect du droit national</w:t>
            </w:r>
            <w:r w:rsidRPr="0015538C">
              <w:t>, par l’intermédiaire du point d’accès unique des RCB mis en place en vertu de l’article XX</w:t>
            </w:r>
            <w:r w:rsidRPr="0015538C">
              <w:t xml:space="preserve"> de la directive </w:t>
            </w:r>
            <w:r w:rsidRPr="0015538C">
              <w:lastRenderedPageBreak/>
              <w:t>(UE) YYYY/XX [la nouvelle directive anti-blanchiment], lorsque cela est nécessaire à l’accomplissement de leurs missions, aux fins de prévenir ou de détecter une infraction pénale grave, ou de mener des enquêtes ou des poursuites en la mat</w:t>
            </w:r>
            <w:r w:rsidRPr="0015538C">
              <w:t>ière, ou d’apporter un soutien à une enquête pénale concernant une infraction pénale grave, y compris l’identification, le dépistage et le gel des avoirs liés à cette enquête.</w:t>
            </w:r>
          </w:p>
        </w:tc>
      </w:tr>
      <w:tr w:rsidR="004F4C63" w:rsidRPr="0015538C" w:rsidTr="00E56DDE">
        <w:trPr>
          <w:jc w:val="center"/>
        </w:trPr>
        <w:tc>
          <w:tcPr>
            <w:tcW w:w="4876" w:type="dxa"/>
          </w:tcPr>
          <w:p w:rsidR="00012C75" w:rsidRPr="0015538C" w:rsidRDefault="00012C75" w:rsidP="00E56DDE">
            <w:pPr>
              <w:pStyle w:val="Normal6"/>
              <w:rPr>
                <w:lang w:val="fr-BE"/>
              </w:rPr>
            </w:pPr>
          </w:p>
        </w:tc>
        <w:tc>
          <w:tcPr>
            <w:tcW w:w="4876" w:type="dxa"/>
            <w:hideMark/>
          </w:tcPr>
          <w:p w:rsidR="00012C75" w:rsidRPr="0015538C" w:rsidRDefault="0015538C" w:rsidP="00E56DDE">
            <w:pPr>
              <w:pStyle w:val="Normal6"/>
              <w:rPr>
                <w:szCs w:val="24"/>
              </w:rPr>
            </w:pPr>
            <w:r w:rsidRPr="0015538C">
              <w:rPr>
                <w:b/>
                <w:i/>
              </w:rPr>
              <w:t xml:space="preserve">La collecte de données au titre du premier alinéa est proportionnée aux fins de la procédure, en tenant compte des droits du suspect ou de la personne poursuivie et du fait que la recherche aurait été possible dans les mêmes conditions dans le cadre d’une </w:t>
            </w:r>
            <w:r w:rsidRPr="0015538C">
              <w:rPr>
                <w:b/>
                <w:i/>
              </w:rPr>
              <w:t>procédure nationale similaire.</w:t>
            </w:r>
            <w:r w:rsidRPr="0015538C">
              <w:t xml:space="preserve"> </w:t>
            </w:r>
            <w:r w:rsidRPr="0015538C">
              <w:rPr>
                <w:b/>
                <w:i/>
              </w:rPr>
              <w:t>Les données recueillies ne sont utilisées qu’aux fins pour lesquelles elles ont été demandées.</w:t>
            </w:r>
          </w:p>
        </w:tc>
      </w:tr>
      <w:tr w:rsidR="004F4C63" w:rsidRPr="0015538C" w:rsidTr="00E56DDE">
        <w:trPr>
          <w:jc w:val="center"/>
        </w:trPr>
        <w:tc>
          <w:tcPr>
            <w:tcW w:w="4876" w:type="dxa"/>
          </w:tcPr>
          <w:p w:rsidR="00012C75" w:rsidRPr="0015538C" w:rsidRDefault="00012C75" w:rsidP="00E56DDE">
            <w:pPr>
              <w:pStyle w:val="Normal6"/>
              <w:rPr>
                <w:lang w:val="fr-BE"/>
              </w:rPr>
            </w:pPr>
          </w:p>
        </w:tc>
        <w:tc>
          <w:tcPr>
            <w:tcW w:w="4876" w:type="dxa"/>
            <w:hideMark/>
          </w:tcPr>
          <w:p w:rsidR="00012C75" w:rsidRPr="0015538C" w:rsidRDefault="0015538C" w:rsidP="00E56DDE">
            <w:pPr>
              <w:pStyle w:val="Normal6"/>
              <w:rPr>
                <w:szCs w:val="24"/>
              </w:rPr>
            </w:pPr>
            <w:r w:rsidRPr="0015538C">
              <w:rPr>
                <w:b/>
                <w:i/>
              </w:rPr>
              <w:t>Les États membres veillent à ce que les autorités compétentes qu’ils désignent respectent les droits procéduraux des personnes p</w:t>
            </w:r>
            <w:r w:rsidRPr="0015538C">
              <w:rPr>
                <w:b/>
                <w:i/>
              </w:rPr>
              <w:t>hysiques et les règles de l’Union en matière de protection des données à caractère personnel lors de l’accès transfrontalier aux registres des comptes bancaires et de la recherche d’informations par l’intermédiaire du point d’accès unique.</w:t>
            </w:r>
          </w:p>
        </w:tc>
      </w:tr>
    </w:tbl>
    <w:p w:rsidR="00012C75" w:rsidRPr="0015538C" w:rsidRDefault="0015538C" w:rsidP="00012C75">
      <w:pPr>
        <w:pStyle w:val="Olang"/>
        <w:rPr>
          <w:sz w:val="24"/>
          <w:szCs w:val="24"/>
        </w:rPr>
      </w:pPr>
      <w:r w:rsidRPr="0015538C">
        <w:rPr>
          <w:sz w:val="24"/>
          <w:szCs w:val="24"/>
        </w:rPr>
        <w:t xml:space="preserve">Or. </w:t>
      </w:r>
      <w:r w:rsidRPr="0015538C">
        <w:rPr>
          <w:rStyle w:val="HideTWBExt"/>
        </w:rPr>
        <w:t>&lt;Original&gt;</w:t>
      </w:r>
      <w:r w:rsidRPr="0015538C">
        <w:rPr>
          <w:rStyle w:val="HideTWBInt"/>
          <w:sz w:val="24"/>
          <w:szCs w:val="24"/>
        </w:rPr>
        <w:t>{</w:t>
      </w:r>
      <w:r w:rsidRPr="0015538C">
        <w:rPr>
          <w:rStyle w:val="HideTWBInt"/>
          <w:sz w:val="24"/>
          <w:szCs w:val="24"/>
        </w:rPr>
        <w:t>EN}</w:t>
      </w:r>
      <w:r w:rsidRPr="0015538C">
        <w:rPr>
          <w:sz w:val="24"/>
          <w:szCs w:val="24"/>
        </w:rPr>
        <w:t>en</w:t>
      </w:r>
      <w:r w:rsidRPr="0015538C">
        <w:rPr>
          <w:rStyle w:val="HideTWBExt"/>
        </w:rPr>
        <w:t>&lt;/Original&gt;</w:t>
      </w:r>
    </w:p>
    <w:p w:rsidR="00012C75" w:rsidRPr="0015538C" w:rsidRDefault="0015538C" w:rsidP="00012C75">
      <w:pPr>
        <w:pStyle w:val="JustificationTitle"/>
        <w:rPr>
          <w:noProof w:val="0"/>
        </w:rPr>
      </w:pPr>
      <w:r w:rsidRPr="0015538C">
        <w:rPr>
          <w:rStyle w:val="HideTWBExt"/>
          <w:i w:val="0"/>
          <w:lang w:val="fr-BE"/>
        </w:rPr>
        <w:t>&lt;TitreJust&gt;</w:t>
      </w:r>
      <w:r w:rsidRPr="0015538C">
        <w:t>Justification</w:t>
      </w:r>
      <w:r w:rsidRPr="0015538C">
        <w:rPr>
          <w:rStyle w:val="HideTWBExt"/>
          <w:i w:val="0"/>
          <w:lang w:val="fr-BE"/>
        </w:rPr>
        <w:t>&lt;/TitreJust&gt;</w:t>
      </w:r>
    </w:p>
    <w:p w:rsidR="00012C75" w:rsidRPr="0015538C" w:rsidRDefault="0015538C" w:rsidP="00012C75">
      <w:pPr>
        <w:pStyle w:val="Normal12Italic"/>
        <w:rPr>
          <w:noProof w:val="0"/>
        </w:rPr>
      </w:pPr>
      <w:r w:rsidRPr="0015538C">
        <w:t>Des règles transfrontalières de ce type doivent avoir un fondement en droit national, conformément aux obligations prévues à l’article 8 de la CEDH (droit au respect de la vie privée). De même, les rech</w:t>
      </w:r>
      <w:r w:rsidRPr="0015538C">
        <w:t>erches doivent être proportionnées et réservées aux cas où elles seraient possibles dans des situations similaires soumises au droit interne, afin d’éviter la course à la juridiction la plus favorable.</w:t>
      </w:r>
    </w:p>
    <w:p w:rsidR="00012C75" w:rsidRPr="0015538C" w:rsidRDefault="0015538C" w:rsidP="00012C75">
      <w:r w:rsidRPr="0015538C">
        <w:rPr>
          <w:rStyle w:val="HideTWBExt"/>
        </w:rPr>
        <w:t>&lt;/Amend&gt;</w:t>
      </w:r>
    </w:p>
    <w:p w:rsidR="00012C75" w:rsidRPr="0015538C" w:rsidRDefault="0015538C" w:rsidP="00012C75">
      <w:r w:rsidRPr="0015538C">
        <w:rPr>
          <w:rStyle w:val="HideTWBExt"/>
        </w:rPr>
        <w:t>&lt;/RepeatBlock-Amend&gt;</w:t>
      </w:r>
    </w:p>
    <w:p w:rsidR="00012C75" w:rsidRPr="0015538C" w:rsidRDefault="00012C75" w:rsidP="00012C75"/>
    <w:p w:rsidR="002669B6" w:rsidRPr="0015538C" w:rsidRDefault="002669B6" w:rsidP="00012C75">
      <w:pPr>
        <w:pStyle w:val="NormalHanging12a"/>
      </w:pPr>
    </w:p>
    <w:sectPr w:rsidR="002669B6" w:rsidRPr="0015538C" w:rsidSect="004557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5538C">
      <w:r>
        <w:separator/>
      </w:r>
    </w:p>
  </w:endnote>
  <w:endnote w:type="continuationSeparator" w:id="0">
    <w:p w:rsidR="00000000" w:rsidRDefault="00155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10A47" w:rsidRDefault="0015538C" w:rsidP="00F07062">
    <w:pPr>
      <w:pStyle w:val="EPFooter"/>
    </w:pPr>
    <w:r w:rsidRPr="00210A47">
      <w:t>PE</w:t>
    </w:r>
    <w:r w:rsidRPr="00210A47">
      <w:rPr>
        <w:rStyle w:val="HideTWBExt"/>
        <w:noProof w:val="0"/>
      </w:rPr>
      <w:t>&lt;NoPE&gt;</w:t>
    </w:r>
    <w:r w:rsidR="00012C75" w:rsidRPr="00012C75">
      <w:t>734.352</w:t>
    </w:r>
    <w:r w:rsidRPr="00210A47">
      <w:rPr>
        <w:rStyle w:val="HideTWBExt"/>
        <w:noProof w:val="0"/>
      </w:rPr>
      <w:t>&lt;/NoPE&gt;&lt;Version&gt;</w:t>
    </w:r>
    <w:r w:rsidR="00210A47" w:rsidRPr="00210A47">
      <w:t>v</w:t>
    </w:r>
    <w:r w:rsidR="00012C75" w:rsidRPr="00012C75">
      <w:t>01-00</w:t>
    </w:r>
    <w:r w:rsidRPr="00210A47">
      <w:rPr>
        <w:rStyle w:val="HideTWBExt"/>
        <w:noProof w:val="0"/>
      </w:rPr>
      <w:t>&lt;/Version&gt;</w:t>
    </w:r>
    <w:r w:rsidRPr="00210A47">
      <w:tab/>
    </w:r>
    <w:r w:rsidR="00914537" w:rsidRPr="00210A47">
      <w:fldChar w:fldCharType="begin"/>
    </w:r>
    <w:r w:rsidR="00914537" w:rsidRPr="00210A47">
      <w:instrText xml:space="preserve"> PAGE </w:instrText>
    </w:r>
    <w:r w:rsidR="00914537" w:rsidRPr="00210A47">
      <w:fldChar w:fldCharType="separate"/>
    </w:r>
    <w:r>
      <w:rPr>
        <w:noProof/>
      </w:rPr>
      <w:t>2</w:t>
    </w:r>
    <w:r w:rsidR="00914537" w:rsidRPr="00210A47">
      <w:fldChar w:fldCharType="end"/>
    </w:r>
    <w:r w:rsidR="00914537" w:rsidRPr="00210A47">
      <w:t>/</w:t>
    </w:r>
    <w:r w:rsidR="00914537" w:rsidRPr="00210A47">
      <w:rPr>
        <w:rStyle w:val="PageNumber"/>
      </w:rPr>
      <w:fldChar w:fldCharType="begin"/>
    </w:r>
    <w:r w:rsidR="00914537" w:rsidRPr="00210A47">
      <w:rPr>
        <w:rStyle w:val="PageNumber"/>
      </w:rPr>
      <w:instrText xml:space="preserve"> NUMPAGES </w:instrText>
    </w:r>
    <w:r w:rsidR="00914537" w:rsidRPr="00210A47">
      <w:rPr>
        <w:rStyle w:val="PageNumber"/>
      </w:rPr>
      <w:fldChar w:fldCharType="separate"/>
    </w:r>
    <w:r>
      <w:rPr>
        <w:rStyle w:val="PageNumber"/>
        <w:noProof/>
      </w:rPr>
      <w:t>7</w:t>
    </w:r>
    <w:r w:rsidR="00914537" w:rsidRPr="00210A47">
      <w:rPr>
        <w:rStyle w:val="PageNumber"/>
      </w:rPr>
      <w:fldChar w:fldCharType="end"/>
    </w:r>
    <w:r w:rsidRPr="00210A47">
      <w:tab/>
    </w:r>
    <w:r w:rsidRPr="00210A47">
      <w:rPr>
        <w:rStyle w:val="HideTWBExt"/>
        <w:noProof w:val="0"/>
      </w:rPr>
      <w:t>&lt;PathFdR&gt;</w:t>
    </w:r>
    <w:r w:rsidR="00012C75" w:rsidRPr="00012C75">
      <w:t>PR\1259686FR.docx</w:t>
    </w:r>
    <w:r w:rsidRPr="00210A47">
      <w:rPr>
        <w:rStyle w:val="HideTWBExt"/>
        <w:noProof w:val="0"/>
      </w:rPr>
      <w:t>&lt;/PathFdR&gt;</w:t>
    </w:r>
  </w:p>
  <w:p w:rsidR="00FB52FE" w:rsidRPr="00210A47" w:rsidRDefault="0015538C">
    <w:pPr>
      <w:pStyle w:val="EPFooter2"/>
    </w:pPr>
    <w:r w:rsidRPr="00210A47">
      <w:fldChar w:fldCharType="begin"/>
    </w:r>
    <w:r w:rsidRPr="00210A47">
      <w:instrText xml:space="preserve"> DOCPROPERTY "&lt;Extension&gt;" </w:instrText>
    </w:r>
    <w:r w:rsidRPr="00210A47">
      <w:fldChar w:fldCharType="separate"/>
    </w:r>
    <w:r>
      <w:t>FR</w:t>
    </w:r>
    <w:r w:rsidRPr="00210A4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10A47" w:rsidRDefault="0015538C" w:rsidP="00F07062">
    <w:pPr>
      <w:pStyle w:val="EPFooter"/>
    </w:pPr>
    <w:r w:rsidRPr="00210A47">
      <w:rPr>
        <w:rStyle w:val="HideTWBExt"/>
        <w:noProof w:val="0"/>
      </w:rPr>
      <w:t>&lt;PathFdR&gt;</w:t>
    </w:r>
    <w:r w:rsidR="00012C75" w:rsidRPr="00012C75">
      <w:t>PR\1259686FR.docx</w:t>
    </w:r>
    <w:r w:rsidRPr="00210A47">
      <w:rPr>
        <w:rStyle w:val="HideTWBExt"/>
        <w:noProof w:val="0"/>
      </w:rPr>
      <w:t>&lt;/PathFdR&gt;</w:t>
    </w:r>
    <w:r w:rsidRPr="00210A47">
      <w:tab/>
    </w:r>
    <w:r w:rsidR="00914537" w:rsidRPr="00210A47">
      <w:fldChar w:fldCharType="begin"/>
    </w:r>
    <w:r w:rsidR="00914537" w:rsidRPr="00210A47">
      <w:instrText xml:space="preserve"> PAGE </w:instrText>
    </w:r>
    <w:r w:rsidR="00914537" w:rsidRPr="00210A47">
      <w:fldChar w:fldCharType="separate"/>
    </w:r>
    <w:r>
      <w:rPr>
        <w:noProof/>
      </w:rPr>
      <w:t>3</w:t>
    </w:r>
    <w:r w:rsidR="00914537" w:rsidRPr="00210A47">
      <w:fldChar w:fldCharType="end"/>
    </w:r>
    <w:r w:rsidR="00914537" w:rsidRPr="00210A47">
      <w:t>/</w:t>
    </w:r>
    <w:r w:rsidR="00914537" w:rsidRPr="00210A47">
      <w:rPr>
        <w:rStyle w:val="PageNumber"/>
      </w:rPr>
      <w:fldChar w:fldCharType="begin"/>
    </w:r>
    <w:r w:rsidR="00914537" w:rsidRPr="00210A47">
      <w:rPr>
        <w:rStyle w:val="PageNumber"/>
      </w:rPr>
      <w:instrText xml:space="preserve"> NUMPAGES </w:instrText>
    </w:r>
    <w:r w:rsidR="00914537" w:rsidRPr="00210A47">
      <w:rPr>
        <w:rStyle w:val="PageNumber"/>
      </w:rPr>
      <w:fldChar w:fldCharType="separate"/>
    </w:r>
    <w:r>
      <w:rPr>
        <w:rStyle w:val="PageNumber"/>
        <w:noProof/>
      </w:rPr>
      <w:t>7</w:t>
    </w:r>
    <w:r w:rsidR="00914537" w:rsidRPr="00210A47">
      <w:rPr>
        <w:rStyle w:val="PageNumber"/>
      </w:rPr>
      <w:fldChar w:fldCharType="end"/>
    </w:r>
    <w:r w:rsidRPr="00210A47">
      <w:tab/>
      <w:t>PE</w:t>
    </w:r>
    <w:r w:rsidRPr="00210A47">
      <w:rPr>
        <w:rStyle w:val="HideTWBExt"/>
        <w:noProof w:val="0"/>
      </w:rPr>
      <w:t>&lt;NoPE&gt;</w:t>
    </w:r>
    <w:r w:rsidR="00012C75" w:rsidRPr="00012C75">
      <w:t>734.352</w:t>
    </w:r>
    <w:r w:rsidRPr="00210A47">
      <w:rPr>
        <w:rStyle w:val="HideTWBExt"/>
        <w:noProof w:val="0"/>
      </w:rPr>
      <w:t>&lt;/NoPE&gt;&lt;Version&gt;</w:t>
    </w:r>
    <w:r w:rsidR="00210A47" w:rsidRPr="00210A47">
      <w:t>v</w:t>
    </w:r>
    <w:r w:rsidR="00012C75" w:rsidRPr="00012C75">
      <w:t>01-00</w:t>
    </w:r>
    <w:r w:rsidRPr="00210A47">
      <w:rPr>
        <w:rStyle w:val="HideTWBExt"/>
        <w:noProof w:val="0"/>
      </w:rPr>
      <w:t>&lt;/Version&gt;</w:t>
    </w:r>
  </w:p>
  <w:p w:rsidR="00FB52FE" w:rsidRPr="00210A47" w:rsidRDefault="0015538C">
    <w:pPr>
      <w:pStyle w:val="EPFooter2"/>
    </w:pPr>
    <w:r w:rsidRPr="00210A47">
      <w:tab/>
    </w:r>
    <w:r w:rsidRPr="00210A47">
      <w:tab/>
    </w:r>
    <w:r w:rsidR="00B13D6F" w:rsidRPr="00210A47">
      <w:fldChar w:fldCharType="begin"/>
    </w:r>
    <w:r w:rsidR="00B13D6F" w:rsidRPr="00210A47">
      <w:instrText xml:space="preserve"> DOCPROPERTY "&lt;Extension&gt;" </w:instrText>
    </w:r>
    <w:r w:rsidR="00B13D6F" w:rsidRPr="00210A47">
      <w:fldChar w:fldCharType="separate"/>
    </w:r>
    <w:r>
      <w:t>FR</w:t>
    </w:r>
    <w:r w:rsidR="00B13D6F" w:rsidRPr="00210A4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210A47" w:rsidRDefault="0015538C" w:rsidP="00F07062">
    <w:pPr>
      <w:pStyle w:val="EPFooter"/>
    </w:pPr>
    <w:r w:rsidRPr="00210A47">
      <w:rPr>
        <w:rStyle w:val="HideTWBExt"/>
        <w:noProof w:val="0"/>
      </w:rPr>
      <w:t>&lt;PathFdR&gt;</w:t>
    </w:r>
    <w:r w:rsidR="00012C75" w:rsidRPr="00012C75">
      <w:t>PR\1259686FR.docx</w:t>
    </w:r>
    <w:r w:rsidRPr="00210A47">
      <w:rPr>
        <w:rStyle w:val="HideTWBExt"/>
        <w:noProof w:val="0"/>
      </w:rPr>
      <w:t>&lt;/PathFdR&gt;</w:t>
    </w:r>
    <w:r w:rsidRPr="00210A47">
      <w:tab/>
    </w:r>
    <w:r w:rsidRPr="00210A47">
      <w:tab/>
      <w:t>PE</w:t>
    </w:r>
    <w:r w:rsidRPr="00210A47">
      <w:rPr>
        <w:rStyle w:val="HideTWBExt"/>
        <w:noProof w:val="0"/>
      </w:rPr>
      <w:t>&lt;NoPE&gt;</w:t>
    </w:r>
    <w:r w:rsidR="00012C75" w:rsidRPr="00012C75">
      <w:t>734.352</w:t>
    </w:r>
    <w:r w:rsidRPr="00210A47">
      <w:rPr>
        <w:rStyle w:val="HideTWBExt"/>
        <w:noProof w:val="0"/>
      </w:rPr>
      <w:t>&lt;/NoPE&gt;&lt;Version&gt;</w:t>
    </w:r>
    <w:r w:rsidR="00210A47" w:rsidRPr="00210A47">
      <w:t>v</w:t>
    </w:r>
    <w:r w:rsidR="00012C75" w:rsidRPr="00012C75">
      <w:t>01-00</w:t>
    </w:r>
    <w:r w:rsidRPr="00210A47">
      <w:rPr>
        <w:rStyle w:val="HideTWBExt"/>
        <w:noProof w:val="0"/>
      </w:rPr>
      <w:t>&lt;/Version&gt;</w:t>
    </w:r>
  </w:p>
  <w:p w:rsidR="00FB52FE" w:rsidRPr="00210A47" w:rsidRDefault="0015538C" w:rsidP="00461601">
    <w:pPr>
      <w:pStyle w:val="EPFooter2"/>
      <w:tabs>
        <w:tab w:val="clear" w:pos="4535"/>
        <w:tab w:val="center" w:pos="4536"/>
      </w:tabs>
    </w:pPr>
    <w:r w:rsidRPr="00210A47">
      <w:fldChar w:fldCharType="begin"/>
    </w:r>
    <w:r w:rsidRPr="00210A47">
      <w:instrText xml:space="preserve"> DOCPROPERTY "&lt;Extension&gt;" </w:instrText>
    </w:r>
    <w:r w:rsidRPr="00210A47">
      <w:fldChar w:fldCharType="separate"/>
    </w:r>
    <w:r>
      <w:t>FR</w:t>
    </w:r>
    <w:r w:rsidRPr="00210A47">
      <w:fldChar w:fldCharType="end"/>
    </w:r>
    <w:r w:rsidRPr="00210A47">
      <w:tab/>
    </w:r>
    <w:r w:rsidR="00012C75">
      <w:rPr>
        <w:b w:val="0"/>
        <w:i/>
        <w:color w:val="C0C0C0"/>
        <w:sz w:val="22"/>
        <w:szCs w:val="22"/>
      </w:rPr>
      <w:t>Unie dans la diversité</w:t>
    </w:r>
    <w:r w:rsidRPr="00210A47">
      <w:tab/>
    </w:r>
    <w:r w:rsidRPr="00210A47">
      <w:fldChar w:fldCharType="begin"/>
    </w:r>
    <w:r w:rsidRPr="00210A47">
      <w:instrText xml:space="preserve"> DOCPROPERTY "&lt;Extension&gt;" </w:instrText>
    </w:r>
    <w:r w:rsidRPr="00210A47">
      <w:fldChar w:fldCharType="separate"/>
    </w:r>
    <w:r>
      <w:t>FR</w:t>
    </w:r>
    <w:r w:rsidRPr="00210A4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5538C">
      <w:r>
        <w:separator/>
      </w:r>
    </w:p>
  </w:footnote>
  <w:footnote w:type="continuationSeparator" w:id="0">
    <w:p w:rsidR="00000000" w:rsidRDefault="00155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A13" w:rsidRDefault="006C2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A13" w:rsidRDefault="006C2A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A13" w:rsidRDefault="006C2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LastEditedSection" w:val=" 1"/>
    <w:docVar w:name="RepeatBlock-Amend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3\fbidi \froman\fcharset238\fprq2 Times New Roman CE;}{\f304\fbidi \froman\fcharset204\fprq2 Times New Roman Cyr;}_x000d__x000a_{\f306\fbidi \froman\fcharset161\fprq2 Times New Roman Greek;}{\f307\fbidi \froman\fcharset162\fprq2 Times New Roman Tur;}{\f308\fbidi \froman\fcharset177\fprq2 Times New Roman (Hebrew);}{\f309\fbidi \froman\fcharset178\fprq2 Times New Roman (Arabic);}_x000d__x000a_{\f310\fbidi \froman\fcharset186\fprq2 Times New Roman Baltic;}{\f311\fbidi \froman\fcharset163\fprq2 Times New Roman (Vietnamese);}{\f313\fbidi \fswiss\fcharset238\fprq2 Arial CE;}{\f314\fbidi \fswiss\fcharset204\fprq2 Arial Cyr;}_x000d__x000a_{\f316\fbidi \fswiss\fcharset161\fprq2 Arial Greek;}{\f317\fbidi \fswiss\fcharset162\fprq2 Arial Tur;}{\f318\fbidi \fswiss\fcharset177\fprq2 Arial (Hebrew);}{\f319\fbidi \fswiss\fcharset178\fprq2 Arial (Arabic);}_x000d__x000a_{\f320\fbidi \fswiss\fcharset186\fprq2 Arial Baltic;}{\f321\fbidi \fswiss\fcharset163\fprq2 Arial (Vietnamese);}{\f643\fbidi \froman\fcharset238\fprq2 Cambria Math CE;}{\f644\fbidi \froman\fcharset204\fprq2 Cambria Math Cyr;}_x000d__x000a_{\f646\fbidi \froman\fcharset161\fprq2 Cambria Math Greek;}{\f647\fbidi \froman\fcharset162\fprq2 Cambria Math Tur;}{\f650\fbidi \froman\fcharset186\fprq2 Cambria Math Baltic;}{\f65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16554 HideTWBExt;}{\*\cs18 \additive \v\f1\fs20\cf15 _x000d__x000a_\spriority0 \styrsid9516554 HideTWBInt;}{\s19\ql \li0\ri0\sa120\nowidctlpar\wrapdefault\aspalpha\aspnum\faauto\adjustright\rin0\lin0\itap0 \rtlch\fcs1 \af0\afs20\alang1025 \ltrch\fcs0 \fs24\lang1036\langfe2057\cgrid\langnp1036\langfenp2057 _x000d__x000a_\sbasedon0 \snext19 \spriority0 \styrsid9516554 Normal6a;}{\s20\ql \li0\ri0\nowidctlpar\wrapdefault\aspalpha\aspnum\faauto\adjustright\rin0\lin0\itap0 \rtlch\fcs1 \af0\afs20\alang1025 \ltrch\fcs0 \b\fs24\lang1036\langfe2057\cgrid\langnp1036\langfenp2057 _x000d__x000a_\sbasedon0 \snext20 \spriority0 \styrsid9516554 NormalBold;}{\s21\ql \li0\ri0\sa240\nowidctlpar\wrapdefault\aspalpha\aspnum\faauto\adjustright\rin0\lin0\itap0 \rtlch\fcs1 \af0\afs20\alang1025 \ltrch\fcs0 _x000d__x000a_\i\fs24\lang1036\langfe2057\cgrid\langnp1036\langfenp2057 \sbasedon0 \snext21 \spriority0 \styrsid9516554 AmJustText;}{\s22\qc \li0\ri0\sb240\sa240\nowidctlpar\wrapdefault\aspalpha\aspnum\faauto\adjustright\rin0\lin0\itap0 \rtlch\fcs1 _x000d__x000a_\af0\afs20\alang1025 \ltrch\fcs0 \i\fs24\lang1036\langfe2057\cgrid\langnp1036\langfenp2057 \sbasedon0 \snext22 \spriority0 \styrsid9516554 AmCrossRef;}{_x000d__x000a_\s23\qc \li0\ri0\sb240\sa240\keepn\nowidctlpar\wrapdefault\aspalpha\aspnum\faauto\adjustright\rin0\lin0\itap0 \rtlch\fcs1 \af0\afs20\alang1025 \ltrch\fcs0 \i\fs24\lang1036\langfe2057\cgrid\langnp1036\langfenp2057 _x000d__x000a_\sbasedon0 \snext21 \spriority0 \styrsid9516554 AmJustTitle;}{\s24\qr \li0\ri0\sb240\sa240\nowidctlpar\wrapdefault\aspalpha\aspnum\faauto\adjustright\rin0\lin0\itap0 \rtlch\fcs1 \af0\afs20\alang1025 \ltrch\fcs0 _x000d__x000a_\fs24\lang1036\langfe2057\cgrid\langnp1036\langfenp2057 \sbasedon0 \snext24 \spriority0 \styrsid9516554 AmOrLang;}{\s25\qc \li0\ri0\sa240\nowidctlpar\wrapdefault\aspalpha\aspnum\faauto\adjustright\rin0\lin0\itap0 \rtlch\fcs1 \af0\afs20\alang1025 _x000d__x000a_\ltrch\fcs0 \i\fs24\lang1036\langfe2057\cgrid\langnp1036\langfenp2057 \sbasedon0 \snext25 \spriority0 \styrsid95165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6 \spriority0 \styrsid9516554 AmNumberTabs;}{\s27\ql \li0\ri0\sb240\nowidctlpar\wrapdefault\aspalpha\aspnum\faauto\adjustright\rin0\lin0\itap0 \rtlch\fcs1 _x000d__x000a_\af0\afs20\alang1025 \ltrch\fcs0 \b\fs24\lang1036\langfe2057\cgrid\langnp1036\langfenp2057 \sbasedon0 \snext27 \spriority0 \styrsid9516554 NormalBold12b;}}{\*\rsidtbl \rsid24658\rsid223860\rsid735077\rsid803435\rsid1718133\rsid2892074\rsid3565327_x000d__x000a_\rsid4666813\rsid6641733\rsid7823322\rsid951655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WIRKO Andrzej}{\operator CWIRKO Andrzej}{\creatim\yr2022\mo7\dy5\hr13\min55}{\revtim\yr2022\mo7\dy5\hr13\min55}{\version1}{\edmins0}{\nofpages1}_x000d__x000a_{\nofwords104}{\nofchars598}{\nofcharsws70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516554\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803435 \chftnsep _x000d__x000a_\par }}{\*\ftnsepc \ltrpar \pard\plain \ltrpar\ql \li0\ri0\widctlpar\wrapdefault\aspalpha\aspnum\faauto\adjustright\rin0\lin0\itap0 \rtlch\fcs1 \af0\afs20\alang1025 \ltrch\fcs0 \fs24\lang2057\langfe2057\cgrid\langnp2057\langfenp2057 {\rtlch\fcs1 \af0 _x000d__x000a_\ltrch\fcs0 \insrsid803435 \chftnsepc _x000d__x000a_\par }}{\*\aftnsep \ltrpar \pard\plain \ltrpar\ql \li0\ri0\widctlpar\wrapdefault\aspalpha\aspnum\faauto\adjustright\rin0\lin0\itap0 \rtlch\fcs1 \af0\afs20\alang1025 \ltrch\fcs0 \fs24\lang2057\langfe2057\cgrid\langnp2057\langfenp2057 {\rtlch\fcs1 \af0 _x000d__x000a_\ltrch\fcs0 \insrsid803435 \chftnsep _x000d__x000a_\par }}{\*\aftnsepc \ltrpar \pard\plain \ltrpar\ql \li0\ri0\widctlpar\wrapdefault\aspalpha\aspnum\faauto\adjustright\rin0\lin0\itap0 \rtlch\fcs1 \af0\afs20\alang1025 \ltrch\fcs0 \fs24\lang2057\langfe2057\cgrid\langnp2057\langfenp2057 {\rtlch\fcs1 \af0 _x000d__x000a_\ltrch\fcs0 \insrsid8034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16554 \rtlch\fcs1 _x000d__x000a_\af0\afs20\alang1025 \ltrch\fcs0 \b\fs24\lang1036\langfe2057\cgrid\langnp1036\langfenp2057 {\rtlch\fcs1 \af0 \ltrch\fcs0 \cs17\b0\v\fs20\cf9\loch\af1\hich\af1\dbch\af31501\insrsid9516554\charrsid2165319 {\*\bkmkstart restart}_x000d__x000a_\hich\af1\dbch\af31501\loch\f1 &lt;Amend&gt;}{\rtlch\fcs1 \af0 \ltrch\fcs0 \insrsid9516554\charrsid2165319 Amendement\tab \tab }{\rtlch\fcs1 \af0 \ltrch\fcs0 \cs17\b0\v\fs20\cf9\loch\af1\hich\af1\dbch\af31501\insrsid9516554\charrsid2165319 _x000d__x000a_\hich\af1\dbch\af31501\loch\f1 &lt;NumAm&gt;}{\rtlch\fcs1 \af0 \ltrch\fcs0 \insrsid9516554\charrsid2165319 #}{\rtlch\fcs1 \af1 \ltrch\fcs0 \cs18\v\f1\fs20\cf15\insrsid9516554\charrsid2165319 ENMIENDA@NRAM@}{\rtlch\fcs1 \af0 \ltrch\fcs0 _x000d__x000a_\insrsid9516554\charrsid2165319 #}{\rtlch\fcs1 \af0 \ltrch\fcs0 \cs17\b0\v\fs20\cf9\loch\af1\hich\af1\dbch\af31501\insrsid9516554\charrsid2165319 \hich\af1\dbch\af31501\loch\f1 &lt;/NumAm&gt;}{\rtlch\fcs1 \af0 \ltrch\fcs0 \insrsid9516554\charrsid2165319 _x000d__x000a_\par }\pard\plain \ltrpar\s27\ql \li0\ri0\sb240\keepn\nowidctlpar\wrapdefault\aspalpha\aspnum\faauto\adjustright\rin0\lin0\itap0\pararsid9516554 \rtlch\fcs1 \af0\afs20\alang1025 \ltrch\fcs0 \b\fs24\lang1036\langfe2057\cgrid\langnp1036\langfenp2057 {_x000d__x000a_\rtlch\fcs1 \af0 \ltrch\fcs0 \cs17\b0\v\fs20\cf9\loch\af1\hich\af1\dbch\af31501\insrsid9516554\charrsid2165319 \hich\af1\dbch\af31501\loch\f1 &lt;DocAmend&gt;}{\rtlch\fcs1 \af0 \ltrch\fcs0 \insrsid9516554\charrsid2165319 Proposition de #}{\rtlch\fcs1 \af1 _x000d__x000a_\ltrch\fcs0 \cs18\v\f1\fs20\cf15\insrsid9516554\charrsid2165319 MNU[DOC1][DOC2][DOC3]@DOCMSG@DOCMNU}{\rtlch\fcs1 \af0 \ltrch\fcs0 \insrsid9516554\charrsid2165319 ##}{\rtlch\fcs1 \af1 \ltrch\fcs0 \cs18\v\f1\fs20\cf15\insrsid9516554\charrsid2165319 _x000d__x000a_MNU[AMACTYES][NOTAPP]@CHOICE@AMACTMNU}{\rtlch\fcs1 \af0 \ltrch\fcs0 \insrsid9516554\charrsid2165319 #}{\rtlch\fcs1 \af0 \ltrch\fcs0 \cs17\b0\v\fs20\cf9\loch\af1\hich\af1\dbch\af31501\insrsid9516554\charrsid2165319 \hich\af1\dbch\af31501\loch\f1 _x000d__x000a_&lt;/DocAmend&gt;}{\rtlch\fcs1 \af0 \ltrch\fcs0 \insrsid9516554\charrsid2165319 _x000d__x000a_\par }\pard\plain \ltrpar\s20\ql \li0\ri0\keepn\nowidctlpar\wrapdefault\aspalpha\aspnum\faauto\adjustright\rin0\lin0\itap0\pararsid9516554 \rtlch\fcs1 \af0\afs20\alang1025 \ltrch\fcs0 \b\fs24\lang1036\langfe2057\cgrid\langnp1036\langfenp2057 {\rtlch\fcs1 \af0 _x000d__x000a_\ltrch\fcs0 \cs17\b0\v\fs20\cf9\loch\af1\hich\af1\dbch\af31501\insrsid9516554\charrsid2165319 \hich\af1\dbch\af31501\loch\f1 &lt;Article&gt;}{\rtlch\fcs1 \af0 \ltrch\fcs0 \insrsid9516554\charrsid2165319 #}{\rtlch\fcs1 \af1 \ltrch\fcs0 _x000d__x000a_\cs18\v\f1\fs20\cf15\insrsid9516554\charrsid2165319 MNU[AMACTPARTYES][AMACTPARTNO]@CHOICE@AMACTMNU}{\rtlch\fcs1 \af0 \ltrch\fcs0 \insrsid9516554\charrsid2165319 #}{\rtlch\fcs1 \af0 \ltrch\fcs0 _x000d__x000a_\cs17\b0\v\fs20\cf9\loch\af1\hich\af1\dbch\af31501\insrsid9516554\charrsid2165319 \hich\af1\dbch\af31501\loch\f1 &lt;/Article&gt;}{\rtlch\fcs1 \af0 \ltrch\fcs0 \insrsid9516554\charrsid2165319 _x000d__x000a_\par }\pard\plain \ltrpar\ql \li0\ri0\keepn\widctlpar\wrapdefault\aspalpha\aspnum\faauto\adjustright\rin0\lin0\itap0\pararsid9516554 \rtlch\fcs1 \af0\afs20\alang1025 \ltrch\fcs0 \fs24\lang2057\langfe2057\cgrid\langnp2057\langfenp2057 {\rtlch\fcs1 \af0 _x000d__x000a_\ltrch\fcs0 \cs17\v\fs20\cf9\lang1036\langfe2057\loch\af1\hich\af1\dbch\af31501\langnp1036\insrsid9516554\charrsid2165319 \hich\af1\dbch\af31501\loch\f1 &lt;DocAmend2&gt;&lt;OptDel&gt;}{\rtlch\fcs1 \af0 \ltrch\fcs0 _x000d__x000a_\lang1036\langfe2057\langnp1036\insrsid9516554\charrsid2165319 #}{\rtlch\fcs1 \af1 \ltrch\fcs0 \cs18\v\f1\fs20\cf15\lang1036\langfe2057\langnp1036\insrsid9516554\charrsid2165319 MNU[OPTNRACTYES][NOTAPP]@CHOICE@AMACTMNU}{\rtlch\fcs1 \af0 \ltrch\fcs0 _x000d__x000a_\lang1036\langfe2057\langnp1036\insrsid9516554\charrsid2165319 #}{\rtlch\fcs1 \af0 \ltrch\fcs0 \cs17\v\fs20\cf9\lang1036\langfe2057\loch\af1\hich\af1\dbch\af31501\langnp1036\insrsid9516554\charrsid2165319 \hich\af1\dbch\af31501\loch\f1 _x000d__x000a_&lt;/OptDel&gt;&lt;/DocAmend2&gt;}{\rtlch\fcs1 \af0 \ltrch\fcs0 \lang1036\langfe2057\langnp1036\insrsid9516554\charrsid2165319 _x000d__x000a_\par }\pard \ltrpar\ql \li0\ri0\widctlpar\wrapdefault\aspalpha\aspnum\faauto\adjustright\rin0\lin0\itap0\pararsid9516554 {\rtlch\fcs1 \af0 \ltrch\fcs0 _x000d__x000a_\cs17\v\fs20\cf9\lang1036\langfe2057\loch\af1\hich\af1\dbch\af31501\langnp1036\insrsid9516554\charrsid2165319 \hich\af1\dbch\af31501\loch\f1 &lt;Article2&gt;&lt;OptDel&gt;}{\rtlch\fcs1 \af0 \ltrch\fcs0 \lang1036\langfe2057\langnp1036\insrsid9516554\charrsid2165319 #}_x000d__x000a_{\rtlch\fcs1 \af1 \ltrch\fcs0 \cs18\v\f1\fs20\cf15\lang1036\langfe2057\langnp1036\insrsid9516554\charrsid2165319 MNU[OPTACTPARTYES][NOTAPP]@CHOICE@AMACTMNU}{\rtlch\fcs1 \af0 \ltrch\fcs0 \lang1036\langfe2057\langnp1036\insrsid9516554\charrsid2165319 #}{_x000d__x000a_\rtlch\fcs1 \af0 \ltrch\fcs0 \cs17\v\fs20\cf9\lang1036\langfe2057\loch\af1\hich\af1\dbch\af31501\langnp1036\insrsid9516554\charrsid2165319 \hich\af1\dbch\af31501\loch\f1 &lt;/OptDel&gt;&lt;/Article2&gt;}{\rtlch\fcs1 \af0 \ltrch\fcs0 _x000d__x000a_\lang1036\langfe2057\langnp1036\insrsid9516554\charrsid216531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9516554\charrsid2165319 \cell }\pard\plain \ltrpar_x000d__x000a_\ql \li0\ri0\widctlpar\intbl\wrapdefault\aspalpha\aspnum\faauto\adjustright\rin0\lin0 \rtlch\fcs1 \af0\afs20\alang1025 \ltrch\fcs0 \fs24\lang2057\langfe2057\cgrid\langnp2057\langfenp2057 {\rtlch\fcs1 \af0 \ltrch\fcs0 _x000d__x000a_\lang1036\langfe2057\langnp1036\insrsid9516554\charrsid2165319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6\langfe2057\cgrid\langnp1036\langfenp2057 {\rtlch\fcs1 \af0 \ltrch\fcs0 _x000d__x000a_\insrsid9516554\charrsid2165319 #}{\rtlch\fcs1 \af1 \ltrch\fcs0 \cs18\v\f1\fs20\cf15\insrsid9516554\charrsid2165319 MNU[OPTLEFTAMACT][LEFTPROP]@CHOICE@AMACTMNU}{\rtlch\fcs1 \af0 \ltrch\fcs0 \insrsid9516554\charrsid2165319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9516554\charrsid2165319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6\langfe2057\cgrid\langnp1036\langfenp2057 {\rtlch\fcs1 \af0 \ltrch\fcs0 _x000d__x000a_\insrsid9516554\charrsid2165319 ##\cell ##}{\rtlch\fcs1 \af0\afs24 \ltrch\fcs0 \insrsid9516554\charrsid2165319 \cell }\pard\plain \ltrpar\ql \li0\ri0\widctlpar\intbl\wrapdefault\aspalpha\aspnum\faauto\adjustright\rin0\lin0 \rtlch\fcs1 _x000d__x000a_\af0\afs20\alang1025 \ltrch\fcs0 \fs24\lang2057\langfe2057\cgrid\langnp2057\langfenp2057 {\rtlch\fcs1 \af0 \ltrch\fcs0 \lang1036\langfe2057\langnp1036\insrsid9516554\charrsid2165319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516554 \rtlch\fcs1 \af0\afs20\alang1025 \ltrch\fcs0 \fs24\lang1036\langfe2057\cgrid\langnp1036\langfenp2057 {\rtlch\fcs1 \af0 \ltrch\fcs0 _x000d__x000a_\insrsid9516554\charrsid2165319 Or. }{\rtlch\fcs1 \af0 \ltrch\fcs0 \cs17\v\fs20\cf9\loch\af1\hich\af1\dbch\af31501\insrsid9516554\charrsid2165319 \hich\af1\dbch\af31501\loch\f1 &lt;Original&gt;}{\rtlch\fcs1 \af0 \ltrch\fcs0 \insrsid9516554\charrsid2165319 #}{_x000d__x000a_\rtlch\fcs1 \af1 \ltrch\fcs0 \cs18\v\f1\fs20\cf15\insrsid9516554\charrsid2165319 MNU[ORLANGONE][ORLANGMORE]@CHOICE@ORLANGMNU}{\rtlch\fcs1 \af0 \ltrch\fcs0 \insrsid9516554\charrsid2165319 #}{\rtlch\fcs1 \af0 \ltrch\fcs0 _x000d__x000a_\cs17\v\fs20\cf9\loch\af1\hich\af1\dbch\af31501\insrsid9516554\charrsid2165319 \hich\af1\dbch\af31501\loch\f1 &lt;/Original&gt;}{\rtlch\fcs1 \af0 \ltrch\fcs0 \insrsid9516554\charrsid2165319 _x000d__x000a_\par }\pard\plain \ltrpar\s22\qc \li0\ri0\sb240\sa240\nowidctlpar\wrapdefault\aspalpha\aspnum\faauto\adjustright\rin0\lin0\itap0\pararsid9516554 \rtlch\fcs1 \af0\afs20\alang1025 \ltrch\fcs0 \i\fs24\lang1036\langfe2057\cgrid\langnp1036\langfenp2057 {_x000d__x000a_\rtlch\fcs1 \af0 \ltrch\fcs0 \cs17\i0\v\fs20\cf9\loch\af1\hich\af1\dbch\af31501\insrsid9516554\charrsid2165319 \hich\af1\dbch\af31501\loch\f1 &lt;OptDel&gt;}{\rtlch\fcs1 \af0 \ltrch\fcs0 \insrsid9516554\charrsid2165319 #}{\rtlch\fcs1 \af1 \ltrch\fcs0 _x000d__x000a_\cs18\v\f1\fs20\cf15\insrsid9516554\charrsid2165319 MNU[CROSSREFNO][CROSSREFYES]@CHOICE@}{\rtlch\fcs1 \af0 \ltrch\fcs0 \insrsid9516554\charrsid2165319 #}{\rtlch\fcs1 \af0 \ltrch\fcs0 _x000d__x000a_\cs17\i0\v\fs20\cf9\loch\af1\hich\af1\dbch\af31501\insrsid9516554\charrsid2165319 \hich\af1\dbch\af31501\loch\f1 &lt;/OptDel&gt;}{\rtlch\fcs1 \af0 \ltrch\fcs0 \insrsid9516554\charrsid2165319 _x000d__x000a_\par }\pard\plain \ltrpar\s23\qc \li0\ri0\sb240\sa240\keepn\nowidctlpar\wrapdefault\aspalpha\aspnum\faauto\adjustright\rin0\lin0\itap0\pararsid9516554 \rtlch\fcs1 \af0\afs20\alang1025 \ltrch\fcs0 \i\fs24\lang1036\langfe2057\cgrid\langnp1036\langfenp2057 {_x000d__x000a_\rtlch\fcs1 \af0 \ltrch\fcs0 \cs17\i0\v\fs20\cf9\loch\af1\hich\af1\dbch\af31501\insrsid9516554\charrsid2165319 \hich\af1\dbch\af31501\loch\f1 &lt;TitreJust&gt;}{\rtlch\fcs1 \af0 \ltrch\fcs0 \insrsid9516554\charrsid2165319 Justification}{\rtlch\fcs1 \af0 _x000d__x000a_\ltrch\fcs0 \cs17\i0\v\fs20\cf9\loch\af1\hich\af1\dbch\af31501\insrsid9516554\charrsid2165319 \hich\af1\dbch\af31501\loch\f1 &lt;/TitreJust&gt;}{\rtlch\fcs1 \af0 \ltrch\fcs0 \insrsid9516554\charrsid2165319 _x000d__x000a_\par }\pard\plain \ltrpar\s21\ql \li0\ri0\sa240\nowidctlpar\wrapdefault\aspalpha\aspnum\faauto\adjustright\rin0\lin0\itap0\pararsid9516554 \rtlch\fcs1 \af0\afs20\alang1025 \ltrch\fcs0 \i\fs24\lang1036\langfe2057\cgrid\langnp1036\langfenp2057 {\rtlch\fcs1 \af0 _x000d__x000a_\ltrch\fcs0 \cs17\i0\v\fs20\cf9\loch\af1\hich\af1\dbch\af31501\insrsid9516554\charrsid2165319 \hich\af1\dbch\af31501\loch\f1 &lt;OptDelPrev&gt;}{\rtlch\fcs1 \af0 \ltrch\fcs0 \insrsid9516554\charrsid2165319 #}{\rtlch\fcs1 \af1 \ltrch\fcs0 _x000d__x000a_\cs18\v\f1\fs20\cf15\insrsid9516554\charrsid2165319 MNU[TEXTJUSTYES][TEXTJUSTNO]@CHOICE@}{\rtlch\fcs1 \af0 \ltrch\fcs0 \insrsid9516554\charrsid2165319 #}{\rtlch\fcs1 \af0 \ltrch\fcs0 _x000d__x000a_\cs17\i0\v\fs20\cf9\loch\af1\hich\af1\dbch\af31501\insrsid9516554\charrsid2165319 \hich\af1\dbch\af31501\loch\f1 &lt;/OptDelPrev&gt;}{\rtlch\fcs1 \af0 \ltrch\fcs0 \insrsid9516554\charrsid2165319 _x000d__x000a_\par }\pard\plain \ltrpar\ql \li0\ri0\widctlpar\wrapdefault\aspalpha\aspnum\faauto\adjustright\rin0\lin0\itap0\pararsid9516554 \rtlch\fcs1 \af0\afs20\alang1025 \ltrch\fcs0 \fs24\lang2057\langfe2057\cgrid\langnp2057\langfenp2057 {\rtlch\fcs1 \af0 \ltrch\fcs0 _x000d__x000a_\cs17\v\fs20\cf9\lang1036\langfe2057\loch\af1\hich\af1\dbch\af31501\langnp1036\insrsid9516554\charrsid216531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a7_x000d__x000a_d20e6690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9"/>
    <w:docVar w:name="TXTAUTHOR" w:val="Emil Radev"/>
    <w:docVar w:name="TXTLANGUE" w:val="FR"/>
    <w:docVar w:name="TXTLANGUEMIN" w:val="fr"/>
    <w:docVar w:name="TXTNRC" w:val="0000/2022"/>
    <w:docVar w:name="TXTNRCOD" w:val="2021/0244"/>
    <w:docVar w:name="TXTNRCOM" w:val="(2021)0429"/>
    <w:docVar w:name="TXTNRPE" w:val="734.352"/>
    <w:docVar w:name="TXTPEorAP" w:val="PE"/>
    <w:docVar w:name="TXTROUTE" w:val="PR\1259686FR.docx"/>
    <w:docVar w:name="TXTVERSION" w:val="01-00"/>
  </w:docVars>
  <w:rsids>
    <w:rsidRoot w:val="00210A47"/>
    <w:rsid w:val="00011AAB"/>
    <w:rsid w:val="00012351"/>
    <w:rsid w:val="00012C75"/>
    <w:rsid w:val="000139E5"/>
    <w:rsid w:val="00084DD2"/>
    <w:rsid w:val="00084E89"/>
    <w:rsid w:val="000B7489"/>
    <w:rsid w:val="000C31E2"/>
    <w:rsid w:val="000F1096"/>
    <w:rsid w:val="00120948"/>
    <w:rsid w:val="00123DD5"/>
    <w:rsid w:val="001277AE"/>
    <w:rsid w:val="00142215"/>
    <w:rsid w:val="0015538C"/>
    <w:rsid w:val="001767E2"/>
    <w:rsid w:val="00187008"/>
    <w:rsid w:val="001B3829"/>
    <w:rsid w:val="001C5592"/>
    <w:rsid w:val="001C5B44"/>
    <w:rsid w:val="001C6FFC"/>
    <w:rsid w:val="001F7C7C"/>
    <w:rsid w:val="00210A47"/>
    <w:rsid w:val="00212B84"/>
    <w:rsid w:val="002346B0"/>
    <w:rsid w:val="002667C3"/>
    <w:rsid w:val="002669B6"/>
    <w:rsid w:val="00290BED"/>
    <w:rsid w:val="002D13EE"/>
    <w:rsid w:val="002E33EE"/>
    <w:rsid w:val="002F40BB"/>
    <w:rsid w:val="002F4B02"/>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4F4C63"/>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C2A13"/>
    <w:rsid w:val="006F7907"/>
    <w:rsid w:val="00743189"/>
    <w:rsid w:val="00743D33"/>
    <w:rsid w:val="00784280"/>
    <w:rsid w:val="007932B3"/>
    <w:rsid w:val="00793EA9"/>
    <w:rsid w:val="007D6F68"/>
    <w:rsid w:val="00817843"/>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97BE0"/>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B7F45"/>
    <w:rsid w:val="00CF60C8"/>
    <w:rsid w:val="00D30DE2"/>
    <w:rsid w:val="00D32924"/>
    <w:rsid w:val="00D503A3"/>
    <w:rsid w:val="00DA6ED0"/>
    <w:rsid w:val="00DC5011"/>
    <w:rsid w:val="00E171B6"/>
    <w:rsid w:val="00E44F7E"/>
    <w:rsid w:val="00E56DDE"/>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40D84F5-5255-4D7F-AD23-220A9A385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12C75"/>
    <w:pPr>
      <w:tabs>
        <w:tab w:val="right" w:pos="454"/>
        <w:tab w:val="left" w:pos="737"/>
      </w:tabs>
      <w:ind w:left="737" w:hanging="737"/>
    </w:pPr>
    <w:rPr>
      <w:snapToGrid w:val="0"/>
      <w:sz w:val="18"/>
      <w:lang w:eastAsia="en-US"/>
    </w:rPr>
  </w:style>
  <w:style w:type="paragraph" w:customStyle="1" w:styleId="Lgendetitre">
    <w:name w:val="Légende titre"/>
    <w:basedOn w:val="Normal"/>
    <w:rsid w:val="00012C75"/>
    <w:pPr>
      <w:spacing w:before="240" w:after="240"/>
    </w:pPr>
    <w:rPr>
      <w:b/>
      <w:i/>
      <w:snapToGrid w:val="0"/>
      <w:lang w:eastAsia="en-US"/>
    </w:rPr>
  </w:style>
  <w:style w:type="paragraph" w:customStyle="1" w:styleId="Lgendestandard">
    <w:name w:val="Légende standard"/>
    <w:basedOn w:val="Normal"/>
    <w:rsid w:val="00012C75"/>
    <w:rPr>
      <w:sz w:val="18"/>
    </w:rPr>
  </w:style>
  <w:style w:type="character" w:customStyle="1" w:styleId="NormalBoldChar">
    <w:name w:val="NormalBold Char"/>
    <w:basedOn w:val="DefaultParagraphFont"/>
    <w:link w:val="NormalBold"/>
    <w:locked/>
    <w:rsid w:val="00012C75"/>
    <w:rPr>
      <w:b/>
      <w:sz w:val="24"/>
      <w:lang w:val="fr-FR"/>
    </w:rPr>
  </w:style>
  <w:style w:type="character" w:customStyle="1" w:styleId="Normal6Char">
    <w:name w:val="Normal6 Char"/>
    <w:basedOn w:val="DefaultParagraphFont"/>
    <w:link w:val="Normal6"/>
    <w:locked/>
    <w:rsid w:val="00012C75"/>
    <w:rPr>
      <w:sz w:val="24"/>
      <w:lang w:val="fr-FR"/>
    </w:rPr>
  </w:style>
  <w:style w:type="paragraph" w:customStyle="1" w:styleId="Normal6">
    <w:name w:val="Normal6"/>
    <w:basedOn w:val="Normal"/>
    <w:link w:val="Normal6Char"/>
    <w:rsid w:val="00012C75"/>
    <w:pPr>
      <w:spacing w:after="120"/>
    </w:pPr>
  </w:style>
  <w:style w:type="paragraph" w:customStyle="1" w:styleId="Normal12Italic">
    <w:name w:val="Normal12Italic"/>
    <w:basedOn w:val="Normal"/>
    <w:rsid w:val="00012C75"/>
    <w:pPr>
      <w:spacing w:after="240"/>
    </w:pPr>
    <w:rPr>
      <w:i/>
      <w:noProof/>
    </w:rPr>
  </w:style>
  <w:style w:type="paragraph" w:customStyle="1" w:styleId="JustificationTitle">
    <w:name w:val="JustificationTitle"/>
    <w:basedOn w:val="Normal"/>
    <w:next w:val="Normal"/>
    <w:rsid w:val="00012C75"/>
    <w:pPr>
      <w:keepNext/>
      <w:spacing w:before="240" w:after="240"/>
      <w:jc w:val="center"/>
    </w:pPr>
    <w:rPr>
      <w:i/>
      <w:noProof/>
    </w:rPr>
  </w:style>
  <w:style w:type="paragraph" w:customStyle="1" w:styleId="ColumnHeading">
    <w:name w:val="ColumnHeading"/>
    <w:basedOn w:val="Normal"/>
    <w:rsid w:val="00012C75"/>
    <w:pPr>
      <w:spacing w:after="240"/>
      <w:jc w:val="center"/>
    </w:pPr>
    <w:rPr>
      <w:i/>
    </w:rPr>
  </w:style>
  <w:style w:type="paragraph" w:customStyle="1" w:styleId="AMNumberTabs0">
    <w:name w:val="AMNumberTabs"/>
    <w:basedOn w:val="Normal"/>
    <w:rsid w:val="00012C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12C75"/>
    <w:pPr>
      <w:jc w:val="right"/>
    </w:pPr>
  </w:style>
  <w:style w:type="paragraph" w:styleId="Footer">
    <w:name w:val="footer"/>
    <w:basedOn w:val="Normal"/>
    <w:link w:val="FooterChar"/>
    <w:semiHidden/>
    <w:rsid w:val="00012C75"/>
    <w:pPr>
      <w:tabs>
        <w:tab w:val="center" w:pos="4513"/>
        <w:tab w:val="right" w:pos="9026"/>
      </w:tabs>
    </w:pPr>
  </w:style>
  <w:style w:type="character" w:customStyle="1" w:styleId="FooterChar">
    <w:name w:val="Footer Char"/>
    <w:basedOn w:val="DefaultParagraphFont"/>
    <w:link w:val="Footer"/>
    <w:semiHidden/>
    <w:rsid w:val="00012C7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03C54-6336-43E4-8C38-1DEBAA61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1287</Words>
  <Characters>7312</Characters>
  <Application>Microsoft Office Word</Application>
  <DocSecurity>0</DocSecurity>
  <Lines>235</Lines>
  <Paragraphs>84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CWIRKO Andrzej</dc:creator>
  <cp:lastModifiedBy>AUCHET-BOURCIER Helene</cp:lastModifiedBy>
  <cp:revision>2</cp:revision>
  <cp:lastPrinted>2004-11-04T09:41:00Z</cp:lastPrinted>
  <dcterms:created xsi:type="dcterms:W3CDTF">2022-07-11T15:09:00Z</dcterms:created>
  <dcterms:modified xsi:type="dcterms:W3CDTF">2022-07-11T15:09:00Z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1259686</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\\eiciLUXpr1\pdocep$\DocEP\TRANSFIL\FR\PR_COD_1amCom.FR(29/06/2022 10:22:48)</vt:lpwstr>
  </property>
  <property fmtid="{D5CDD505-2E9C-101B-9397-08002B2CF9AE}" pid="7" name="&lt;Type&gt;">
    <vt:lpwstr>PR</vt:lpwstr>
  </property>
  <property fmtid="{D5CDD505-2E9C-101B-9397-08002B2CF9AE}" pid="8" name="Bookout">
    <vt:lpwstr>OK - 2022/07/11 17:09</vt:lpwstr>
  </property>
  <property fmtid="{D5CDD505-2E9C-101B-9397-08002B2CF9AE}" pid="9" name="Created with">
    <vt:lpwstr>9.11.0 Build [20211103]</vt:lpwstr>
  </property>
  <property fmtid="{D5CDD505-2E9C-101B-9397-08002B2CF9AE}" pid="10" name="FooterPath">
    <vt:lpwstr>PR\1259686FR.docx</vt:lpwstr>
  </property>
  <property fmtid="{D5CDD505-2E9C-101B-9397-08002B2CF9AE}" pid="11" name="LastEdited with">
    <vt:lpwstr>9.11.0 Build [20211103]</vt:lpwstr>
  </property>
  <property fmtid="{D5CDD505-2E9C-101B-9397-08002B2CF9AE}" pid="12" name="PE number">
    <vt:lpwstr>734.352</vt:lpwstr>
  </property>
  <property fmtid="{D5CDD505-2E9C-101B-9397-08002B2CF9AE}" pid="13" name="SDLStudio">
    <vt:lpwstr/>
  </property>
</Properties>
</file>