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B10B9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CF0C5D" w:rsidRDefault="007B08AD" w:rsidP="00C85D0F">
            <w:pPr>
              <w:pStyle w:val="EPName"/>
            </w:pPr>
            <w:r>
              <w:t>Europski parlament</w:t>
            </w:r>
          </w:p>
          <w:p w:rsidR="00B13D6F" w:rsidRPr="00D019E3" w:rsidRDefault="007B08AD" w:rsidP="00D019E3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CF0C5D" w:rsidRDefault="007B08AD" w:rsidP="00C85D0F">
            <w:pPr>
              <w:pStyle w:val="EPLogo"/>
            </w:pPr>
            <w:r w:rsidRPr="00CF0C5D">
              <w:rPr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312683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CF0C5D" w:rsidRDefault="00461601" w:rsidP="00461601">
      <w:pPr>
        <w:pStyle w:val="LineTop"/>
      </w:pPr>
    </w:p>
    <w:p w:rsidR="00461601" w:rsidRPr="00CF0C5D" w:rsidRDefault="007B08AD" w:rsidP="00461601">
      <w:pPr>
        <w:pStyle w:val="EPBody"/>
      </w:pPr>
      <w:r>
        <w:rPr>
          <w:rStyle w:val="HideTWBExt"/>
          <w:noProof w:val="0"/>
        </w:rPr>
        <w:t>&lt;</w:t>
      </w:r>
      <w:r>
        <w:rPr>
          <w:rStyle w:val="HideTWBExt"/>
          <w:i w:val="0"/>
          <w:noProof w:val="0"/>
        </w:rPr>
        <w:t>Commission</w:t>
      </w:r>
      <w:r>
        <w:rPr>
          <w:rStyle w:val="HideTWBExt"/>
          <w:noProof w:val="0"/>
        </w:rPr>
        <w:t>&gt;</w:t>
      </w:r>
      <w:r>
        <w:rPr>
          <w:rStyle w:val="HideTWBInt"/>
          <w:color w:val="0000F0"/>
        </w:rPr>
        <w:t>{LIBE}</w:t>
      </w:r>
      <w:r>
        <w:rPr>
          <w:color w:val="0000F0"/>
        </w:rPr>
        <w:t>Odbor za građanske slobode, pravosuđe i unutarnje poslove</w:t>
      </w:r>
      <w:r>
        <w:rPr>
          <w:rStyle w:val="HideTWBExt"/>
          <w:noProof w:val="0"/>
        </w:rPr>
        <w:t>&lt;/</w:t>
      </w:r>
      <w:r>
        <w:rPr>
          <w:rStyle w:val="HideTWBExt"/>
          <w:i w:val="0"/>
          <w:noProof w:val="0"/>
        </w:rPr>
        <w:t>Commission</w:t>
      </w:r>
      <w:r>
        <w:rPr>
          <w:rStyle w:val="HideTWBExt"/>
          <w:noProof w:val="0"/>
        </w:rPr>
        <w:t>&gt;</w:t>
      </w:r>
    </w:p>
    <w:p w:rsidR="00461601" w:rsidRPr="00CF0C5D" w:rsidRDefault="00461601" w:rsidP="00461601">
      <w:pPr>
        <w:pStyle w:val="LineBottom"/>
      </w:pPr>
    </w:p>
    <w:p w:rsidR="00793EA9" w:rsidRPr="00CF0C5D" w:rsidRDefault="007B08AD">
      <w:pPr>
        <w:pStyle w:val="CoverReference"/>
      </w:pPr>
      <w:r>
        <w:rPr>
          <w:rStyle w:val="HideTWBExt"/>
          <w:b w:val="0"/>
          <w:noProof w:val="0"/>
        </w:rPr>
        <w:t>&lt;RefProc&gt;</w:t>
      </w:r>
      <w:r>
        <w:rPr>
          <w:color w:val="0000F0"/>
        </w:rPr>
        <w:t>2021/0244</w:t>
      </w:r>
      <w:r>
        <w:rPr>
          <w:rStyle w:val="HideTWBExt"/>
          <w:b w:val="0"/>
          <w:noProof w:val="0"/>
        </w:rPr>
        <w:t>&lt;/RefProc&gt;&lt;RefTypeProc&gt;</w:t>
      </w:r>
      <w:r>
        <w:rPr>
          <w:color w:val="0000F0"/>
        </w:rPr>
        <w:t>(COD)</w:t>
      </w:r>
      <w:r>
        <w:rPr>
          <w:rStyle w:val="HideTWBExt"/>
          <w:b w:val="0"/>
          <w:noProof w:val="0"/>
        </w:rPr>
        <w:t>&lt;/RefTypeProc&gt;</w:t>
      </w:r>
    </w:p>
    <w:p w:rsidR="00793EA9" w:rsidRPr="00CF0C5D" w:rsidRDefault="007B08AD">
      <w:pPr>
        <w:pStyle w:val="CoverDate"/>
      </w:pPr>
      <w:r>
        <w:rPr>
          <w:rStyle w:val="HideTWBExt"/>
          <w:noProof w:val="0"/>
        </w:rPr>
        <w:t>&lt;Date&gt;</w:t>
      </w:r>
      <w:r>
        <w:rPr>
          <w:rStyle w:val="HideTWBInt"/>
          <w:color w:val="0000F0"/>
        </w:rPr>
        <w:t>{01/07/2022}</w:t>
      </w:r>
      <w:r>
        <w:rPr>
          <w:color w:val="0000F0"/>
        </w:rPr>
        <w:t>1.7.2022</w:t>
      </w:r>
      <w:r>
        <w:rPr>
          <w:rStyle w:val="HideTWBExt"/>
          <w:noProof w:val="0"/>
        </w:rPr>
        <w:t>&lt;/Date&gt;</w:t>
      </w:r>
    </w:p>
    <w:p w:rsidR="00793EA9" w:rsidRPr="00CF0C5D" w:rsidRDefault="007B08AD">
      <w:pPr>
        <w:pStyle w:val="CoverDocType"/>
      </w:pPr>
      <w:r>
        <w:rPr>
          <w:rStyle w:val="HideTWBExt"/>
          <w:b w:val="0"/>
          <w:noProof w:val="0"/>
        </w:rPr>
        <w:t>&lt;RefProcLect&gt;</w:t>
      </w:r>
      <w:r>
        <w:t>***I</w:t>
      </w:r>
      <w:r>
        <w:rPr>
          <w:rStyle w:val="HideTWBExt"/>
          <w:b w:val="0"/>
          <w:noProof w:val="0"/>
        </w:rPr>
        <w:t>&lt;/RefProcLect&gt;</w:t>
      </w:r>
    </w:p>
    <w:p w:rsidR="00793EA9" w:rsidRPr="00CF0C5D" w:rsidRDefault="007B08AD">
      <w:pPr>
        <w:pStyle w:val="CoverDocType24a"/>
      </w:pPr>
      <w:r>
        <w:rPr>
          <w:rStyle w:val="HideTWBExt"/>
          <w:b w:val="0"/>
          <w:noProof w:val="0"/>
        </w:rPr>
        <w:t>&lt;TitreType&gt;</w:t>
      </w:r>
      <w:r>
        <w:rPr>
          <w:color w:val="0000F0"/>
        </w:rPr>
        <w:t>NACRT IZVJEŠĆA</w:t>
      </w:r>
      <w:r>
        <w:rPr>
          <w:rStyle w:val="HideTWBExt"/>
          <w:b w:val="0"/>
          <w:noProof w:val="0"/>
        </w:rPr>
        <w:t>&lt;/TitreType&gt;</w:t>
      </w:r>
    </w:p>
    <w:p w:rsidR="00793EA9" w:rsidRPr="00CF0C5D" w:rsidRDefault="007B08AD">
      <w:pPr>
        <w:pStyle w:val="CoverNormal"/>
      </w:pPr>
      <w:r>
        <w:rPr>
          <w:rStyle w:val="HideTWBExt"/>
          <w:noProof w:val="0"/>
        </w:rPr>
        <w:t>&lt;Titre&gt;</w:t>
      </w:r>
      <w:r>
        <w:rPr>
          <w:color w:val="0000F0"/>
        </w:rPr>
        <w:t>o Prijedlogu direktive Europskog parlamenta i Vijeća</w:t>
      </w:r>
      <w:r>
        <w:rPr>
          <w:color w:val="0000F0"/>
        </w:rPr>
        <w:tab/>
        <w:t>o izmjeni Direktive (EU) 2019/1153 Europskog parlamenta i Vijeća u pogledu pristupa nadležnih tijela centraliziranim registrima bankovnih računa putem jedinstvene pristupne točke</w:t>
      </w:r>
      <w:r>
        <w:rPr>
          <w:rStyle w:val="HideTWBExt"/>
          <w:noProof w:val="0"/>
        </w:rPr>
        <w:t>&lt;/Titre&gt;</w:t>
      </w:r>
    </w:p>
    <w:p w:rsidR="00793EA9" w:rsidRPr="00CF0C5D" w:rsidRDefault="007B08AD">
      <w:pPr>
        <w:pStyle w:val="CoverNormal24a"/>
      </w:pPr>
      <w:r>
        <w:rPr>
          <w:rStyle w:val="HideTWBExt"/>
          <w:noProof w:val="0"/>
        </w:rPr>
        <w:t>&lt;DocRef&gt;</w:t>
      </w:r>
      <w:r>
        <w:rPr>
          <w:color w:val="0000F0"/>
        </w:rPr>
        <w:t>(COM(2021)0429 – C9</w:t>
      </w:r>
      <w:r>
        <w:rPr>
          <w:color w:val="0000F0"/>
        </w:rPr>
        <w:noBreakHyphen/>
        <w:t>0000/2022 – 2021/0244(COD))</w:t>
      </w:r>
      <w:r>
        <w:rPr>
          <w:rStyle w:val="HideTWBExt"/>
          <w:noProof w:val="0"/>
        </w:rPr>
        <w:t>&lt;/DocRef&gt;</w:t>
      </w:r>
    </w:p>
    <w:p w:rsidR="00793EA9" w:rsidRPr="00CF0C5D" w:rsidRDefault="007B08AD">
      <w:pPr>
        <w:pStyle w:val="CoverNormal24a"/>
      </w:pPr>
      <w:r>
        <w:rPr>
          <w:rStyle w:val="HideTWBExt"/>
          <w:noProof w:val="0"/>
        </w:rPr>
        <w:t>&lt;Commission&gt;</w:t>
      </w:r>
      <w:r>
        <w:rPr>
          <w:rStyle w:val="HideTWBInt"/>
          <w:color w:val="0000F0"/>
        </w:rPr>
        <w:t>{LIBE}</w:t>
      </w:r>
      <w:r>
        <w:rPr>
          <w:color w:val="0000F0"/>
        </w:rPr>
        <w:t>Odbor za građanske slobode, pravosuđe i unutarnje poslove</w:t>
      </w:r>
      <w:r>
        <w:rPr>
          <w:rStyle w:val="HideTWBExt"/>
          <w:noProof w:val="0"/>
        </w:rPr>
        <w:t>&lt;/Commission&gt;</w:t>
      </w:r>
    </w:p>
    <w:p w:rsidR="00793EA9" w:rsidRPr="00CF0C5D" w:rsidRDefault="007B08AD">
      <w:pPr>
        <w:pStyle w:val="CoverNormal24a"/>
      </w:pPr>
      <w:r>
        <w:t xml:space="preserve">Izvjestitelj: </w:t>
      </w:r>
      <w:r>
        <w:rPr>
          <w:rStyle w:val="HideTWBExt"/>
          <w:noProof w:val="0"/>
        </w:rPr>
        <w:t>&lt;Depute&gt;</w:t>
      </w:r>
      <w:r>
        <w:t>Emil Radev</w:t>
      </w:r>
      <w:r>
        <w:rPr>
          <w:rStyle w:val="HideTWBExt"/>
          <w:noProof w:val="0"/>
        </w:rPr>
        <w:t>&lt;/Depute&gt;</w:t>
      </w:r>
    </w:p>
    <w:p w:rsidR="001C5B44" w:rsidRPr="00CF0C5D" w:rsidRDefault="001C5B44" w:rsidP="001C5B44">
      <w:pPr>
        <w:pStyle w:val="CoverNormal"/>
      </w:pPr>
    </w:p>
    <w:p w:rsidR="00D019E3" w:rsidRDefault="007B08AD" w:rsidP="00894923">
      <w:r>
        <w:br w:type="page"/>
      </w:r>
      <w:fldSimple w:instr=" TITLE  \* MERGEFORMAT ">
        <w:r w:rsidR="003C492D">
          <w:t>PR_COD_1amCom</w:t>
        </w:r>
      </w:fldSimple>
    </w:p>
    <w:p w:rsidR="00D019E3" w:rsidRPr="007B08AD" w:rsidRDefault="00D019E3" w:rsidP="00894923"/>
    <w:p w:rsidR="00D019E3" w:rsidRPr="007B08AD" w:rsidRDefault="00D019E3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DB10B9">
        <w:tc>
          <w:tcPr>
            <w:tcW w:w="5811" w:type="dxa"/>
          </w:tcPr>
          <w:p w:rsidR="00D019E3" w:rsidRDefault="007B08AD" w:rsidP="00894923">
            <w:pPr>
              <w:pStyle w:val="Lgendetitre"/>
            </w:pPr>
            <w:r>
              <w:t>Oznake postupaka</w:t>
            </w:r>
          </w:p>
        </w:tc>
      </w:tr>
      <w:tr w:rsidR="00DB10B9" w:rsidTr="00EA5F34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D019E3" w:rsidRDefault="007B08AD" w:rsidP="00806BB7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Postupak savjetovanja</w:t>
            </w:r>
          </w:p>
          <w:p w:rsidR="00D019E3" w:rsidRDefault="007B08AD" w:rsidP="00806BB7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Postupak suglasnosti</w:t>
            </w:r>
          </w:p>
          <w:p w:rsidR="00D019E3" w:rsidRDefault="007B08AD" w:rsidP="00806BB7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Redovni zakonodavni postupak (prvo čitanje)</w:t>
            </w:r>
          </w:p>
          <w:p w:rsidR="00D019E3" w:rsidRDefault="007B08AD" w:rsidP="00806BB7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Redovni zakonodavni postupak (drugo čitanje)</w:t>
            </w:r>
          </w:p>
          <w:p w:rsidR="00D019E3" w:rsidRDefault="007B08AD" w:rsidP="00806BB7">
            <w:pPr>
              <w:pStyle w:val="Lgendesigne"/>
            </w:pPr>
            <w:r>
              <w:tab/>
              <w:t>***III</w:t>
            </w:r>
            <w:r>
              <w:tab/>
              <w:t>Redovni zakonodavni postupak (treće čitanje)</w:t>
            </w:r>
          </w:p>
          <w:p w:rsidR="00D019E3" w:rsidRDefault="00D019E3" w:rsidP="00806BB7">
            <w:pPr>
              <w:pStyle w:val="Lgendestandard"/>
            </w:pPr>
          </w:p>
          <w:p w:rsidR="00D019E3" w:rsidRDefault="007B08AD" w:rsidP="00806BB7">
            <w:pPr>
              <w:pStyle w:val="Lgendestandard"/>
            </w:pPr>
            <w:r>
              <w:t>(Navedeni se postupak temelji na pravnoj osnovi predloženoj u nacrtu akta.)</w:t>
            </w:r>
          </w:p>
          <w:p w:rsidR="00D019E3" w:rsidRPr="007B08AD" w:rsidRDefault="00D019E3" w:rsidP="00EA5F34">
            <w:pPr>
              <w:pStyle w:val="Lgendestandard"/>
            </w:pPr>
          </w:p>
        </w:tc>
      </w:tr>
    </w:tbl>
    <w:p w:rsidR="00D019E3" w:rsidRPr="007B08AD" w:rsidRDefault="00D019E3" w:rsidP="00894923"/>
    <w:p w:rsidR="00D019E3" w:rsidRPr="007B08AD" w:rsidRDefault="00D019E3" w:rsidP="00894923"/>
    <w:p w:rsidR="00D019E3" w:rsidRPr="007B08AD" w:rsidRDefault="00D019E3" w:rsidP="00894923"/>
    <w:p w:rsidR="00D019E3" w:rsidRPr="007B08AD" w:rsidRDefault="00D019E3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DB10B9">
        <w:tc>
          <w:tcPr>
            <w:tcW w:w="5811" w:type="dxa"/>
          </w:tcPr>
          <w:p w:rsidR="00D019E3" w:rsidRPr="00817843" w:rsidRDefault="007B08AD" w:rsidP="00894923">
            <w:pPr>
              <w:pStyle w:val="Lgendetitre"/>
            </w:pPr>
            <w:r>
              <w:t>Izmjene nacrta akta</w:t>
            </w:r>
          </w:p>
        </w:tc>
      </w:tr>
      <w:tr w:rsidR="00DB10B9" w:rsidTr="00397B4C">
        <w:trPr>
          <w:trHeight w:val="4496"/>
        </w:trPr>
        <w:tc>
          <w:tcPr>
            <w:tcW w:w="5811" w:type="dxa"/>
          </w:tcPr>
          <w:p w:rsidR="00D019E3" w:rsidRDefault="007B08AD" w:rsidP="00EA5F34">
            <w:pPr>
              <w:pStyle w:val="Lgendestandard"/>
            </w:pPr>
            <w:r>
              <w:rPr>
                <w:b/>
              </w:rPr>
              <w:t>Amandmani Parlamenta u obliku dvaju stupaca</w:t>
            </w:r>
          </w:p>
          <w:p w:rsidR="00D019E3" w:rsidRDefault="00D019E3" w:rsidP="00EA5F34">
            <w:pPr>
              <w:pStyle w:val="Lgendestandard"/>
            </w:pPr>
          </w:p>
          <w:p w:rsidR="00D019E3" w:rsidRDefault="007B08AD" w:rsidP="00EA5F34">
            <w:pPr>
              <w:pStyle w:val="Lgendestandard"/>
            </w:pPr>
            <w:r>
              <w:t xml:space="preserve">Brisanja su označena </w:t>
            </w:r>
            <w:r>
              <w:rPr>
                <w:b/>
                <w:i/>
              </w:rPr>
              <w:t>podebljanim kurzivom</w:t>
            </w:r>
            <w:r>
              <w:t xml:space="preserve"> u lijevom stupcu. Izmjene su označene </w:t>
            </w:r>
            <w:r>
              <w:rPr>
                <w:b/>
                <w:i/>
              </w:rPr>
              <w:t>podebljanim kurzivom</w:t>
            </w:r>
            <w:r>
              <w:t xml:space="preserve"> u obama stupcima. Novi tekst označen je </w:t>
            </w:r>
            <w:r>
              <w:rPr>
                <w:b/>
                <w:i/>
              </w:rPr>
              <w:t>podebljanim kurzivom</w:t>
            </w:r>
            <w:r>
              <w:t xml:space="preserve"> u desnom stupcu.</w:t>
            </w:r>
          </w:p>
          <w:p w:rsidR="00D019E3" w:rsidRDefault="00D019E3" w:rsidP="00EA5F34">
            <w:pPr>
              <w:pStyle w:val="Lgendestandard"/>
            </w:pPr>
          </w:p>
          <w:p w:rsidR="00D019E3" w:rsidRDefault="007B08AD" w:rsidP="00EA5F34">
            <w:pPr>
              <w:pStyle w:val="Lgendestandard"/>
            </w:pPr>
            <w:r>
              <w:t xml:space="preserve">U prvom i drugom retku zaglavlja svakog amandmana naznačen je predmetni odlomak iz nacrta akta koji se razmatra. Ako se amandman odnosi na postojeći akt koji se želi izmijeniti nacrtom akta, zaglavlje sadrži i treći redak u kojem se navodi postojeći akt te četvrti redak u kojem se navodi odredba akta na koju se izmjena odnosi. </w:t>
            </w:r>
          </w:p>
          <w:p w:rsidR="00D019E3" w:rsidRDefault="00D019E3" w:rsidP="00EA5F34">
            <w:pPr>
              <w:pStyle w:val="Lgendestandard"/>
            </w:pPr>
          </w:p>
          <w:p w:rsidR="00D019E3" w:rsidRDefault="007B08AD" w:rsidP="00EA5F34">
            <w:pPr>
              <w:pStyle w:val="Lgendestandard"/>
              <w:rPr>
                <w:b/>
                <w:bCs/>
              </w:rPr>
            </w:pPr>
            <w:r>
              <w:rPr>
                <w:b/>
              </w:rPr>
              <w:t>Amandmani Parlamenta u obliku pročišćenog teksta</w:t>
            </w:r>
          </w:p>
          <w:p w:rsidR="00D019E3" w:rsidRDefault="00D019E3" w:rsidP="00EA5F34">
            <w:pPr>
              <w:pStyle w:val="Lgendestandard"/>
            </w:pPr>
          </w:p>
          <w:p w:rsidR="00D019E3" w:rsidRDefault="007B08AD" w:rsidP="00EA5F34">
            <w:pPr>
              <w:pStyle w:val="Lgendestandard"/>
            </w:pPr>
            <w:r>
              <w:t xml:space="preserve">Novi dijelovi teksta označuju se </w:t>
            </w:r>
            <w:r>
              <w:rPr>
                <w:b/>
                <w:i/>
              </w:rPr>
              <w:t>podebljanim kurzivom</w:t>
            </w:r>
            <w:r>
              <w:t xml:space="preserve">. Brisani dijelovi teksta označuju se oznakom ▌ ili su precrtani. Izmjene se naznačuju tako da se novi tekst označi </w:t>
            </w:r>
            <w:r>
              <w:rPr>
                <w:b/>
                <w:i/>
              </w:rPr>
              <w:t>podebljanim kurzivom</w:t>
            </w:r>
            <w:r>
              <w:t xml:space="preserve">, a da se zamijenjeni tekst izbriše ili precrta. </w:t>
            </w:r>
          </w:p>
          <w:p w:rsidR="00D019E3" w:rsidRDefault="007B08AD" w:rsidP="00EA5F34">
            <w:pPr>
              <w:pStyle w:val="Lgendestandard"/>
            </w:pPr>
            <w:r>
              <w:t>Iznimno, izmjene strogo tehničke prirode koje unesu nadležne službe prilikom izrade konačnog teksta ne označuju se.</w:t>
            </w:r>
          </w:p>
          <w:p w:rsidR="00D019E3" w:rsidRPr="007B08AD" w:rsidRDefault="00D019E3" w:rsidP="0069092A">
            <w:pPr>
              <w:pStyle w:val="Lgendestandard"/>
            </w:pPr>
          </w:p>
        </w:tc>
      </w:tr>
    </w:tbl>
    <w:p w:rsidR="00D019E3" w:rsidRPr="007B08AD" w:rsidRDefault="00D019E3" w:rsidP="00894923"/>
    <w:p w:rsidR="00793EA9" w:rsidRPr="00D019E3" w:rsidRDefault="00793EA9" w:rsidP="00012351">
      <w:pPr>
        <w:widowControl/>
        <w:tabs>
          <w:tab w:val="center" w:pos="4677"/>
        </w:tabs>
      </w:pPr>
    </w:p>
    <w:p w:rsidR="00793EA9" w:rsidRPr="00CF0C5D" w:rsidRDefault="007B08AD">
      <w:pPr>
        <w:pStyle w:val="TOCHeading"/>
      </w:pPr>
      <w:r>
        <w:br w:type="page"/>
        <w:t>SADRŽAJ</w:t>
      </w:r>
    </w:p>
    <w:p w:rsidR="00793EA9" w:rsidRPr="00CF0C5D" w:rsidRDefault="007B08AD">
      <w:pPr>
        <w:pStyle w:val="TOCPage"/>
      </w:pPr>
      <w:r>
        <w:t>Stranica</w:t>
      </w:r>
    </w:p>
    <w:p w:rsidR="003C492D" w:rsidRDefault="007B08A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F0C5D">
        <w:rPr>
          <w:b/>
        </w:rPr>
        <w:fldChar w:fldCharType="begin"/>
      </w:r>
      <w:r w:rsidRPr="00CF0C5D">
        <w:rPr>
          <w:b/>
        </w:rPr>
        <w:instrText xml:space="preserve"> TOC \t "PageHeading</w:instrText>
      </w:r>
      <w:r w:rsidR="003C492D">
        <w:rPr>
          <w:b/>
        </w:rPr>
        <w:instrText>;</w:instrText>
      </w:r>
      <w:r w:rsidRPr="00CF0C5D">
        <w:rPr>
          <w:b/>
        </w:rPr>
        <w:instrText xml:space="preserve">1" </w:instrText>
      </w:r>
      <w:r w:rsidRPr="00CF0C5D">
        <w:rPr>
          <w:b/>
        </w:rPr>
        <w:fldChar w:fldCharType="separate"/>
      </w:r>
      <w:r w:rsidR="003C492D">
        <w:rPr>
          <w:noProof/>
        </w:rPr>
        <w:t>NACRT ZAKONODAVNE REZOLUCIJE EUROPSKOG PARLAMENTA</w:t>
      </w:r>
      <w:r w:rsidR="003C492D">
        <w:rPr>
          <w:noProof/>
        </w:rPr>
        <w:tab/>
      </w:r>
      <w:r w:rsidR="003C492D">
        <w:rPr>
          <w:noProof/>
        </w:rPr>
        <w:fldChar w:fldCharType="begin"/>
      </w:r>
      <w:r w:rsidR="003C492D">
        <w:rPr>
          <w:noProof/>
        </w:rPr>
        <w:instrText xml:space="preserve"> PAGEREF _Toc108097175 \h </w:instrText>
      </w:r>
      <w:r w:rsidR="003C492D">
        <w:rPr>
          <w:noProof/>
        </w:rPr>
      </w:r>
      <w:r w:rsidR="003C492D">
        <w:rPr>
          <w:noProof/>
        </w:rPr>
        <w:fldChar w:fldCharType="separate"/>
      </w:r>
      <w:r w:rsidR="003C492D">
        <w:rPr>
          <w:noProof/>
        </w:rPr>
        <w:t>5</w:t>
      </w:r>
      <w:r w:rsidR="003C492D">
        <w:rPr>
          <w:noProof/>
        </w:rPr>
        <w:fldChar w:fldCharType="end"/>
      </w:r>
    </w:p>
    <w:p w:rsidR="002346B0" w:rsidRPr="00CF0C5D" w:rsidRDefault="007B08AD" w:rsidP="00C23324">
      <w:r w:rsidRPr="00CF0C5D">
        <w:rPr>
          <w:b/>
        </w:rPr>
        <w:fldChar w:fldCharType="end"/>
      </w:r>
    </w:p>
    <w:p w:rsidR="00793EA9" w:rsidRPr="00CF0C5D" w:rsidRDefault="007B08AD">
      <w:pPr>
        <w:pStyle w:val="PageHeading"/>
      </w:pPr>
      <w:r>
        <w:br w:type="page"/>
      </w:r>
      <w:r>
        <w:br w:type="page"/>
      </w:r>
      <w:bookmarkStart w:id="0" w:name="_Toc108097175"/>
      <w:r>
        <w:t>NACRT ZAKONODAVNE RE</w:t>
      </w:r>
      <w:bookmarkStart w:id="1" w:name="_GoBack"/>
      <w:bookmarkEnd w:id="1"/>
      <w:r>
        <w:t>ZOLUCIJE EUROPSKOG PARLAMENTA</w:t>
      </w:r>
      <w:bookmarkEnd w:id="0"/>
    </w:p>
    <w:p w:rsidR="00793EA9" w:rsidRPr="00CF0C5D" w:rsidRDefault="007B08AD">
      <w:pPr>
        <w:pStyle w:val="NormalBold"/>
      </w:pPr>
      <w:r>
        <w:t>o Prijedlogu direktive Europskog parlamenta i Vijeća o izmjeni Direktive (EU) 2019/1153 Europskog parlamenta i Vijeća u pogledu pristupa nadležnih tijela centraliziranim registrima bankovnih računa putem jedinstvene pristupne točke</w:t>
      </w:r>
    </w:p>
    <w:p w:rsidR="00793EA9" w:rsidRPr="00CF0C5D" w:rsidRDefault="007B08AD">
      <w:pPr>
        <w:pStyle w:val="NormalBold12a"/>
      </w:pPr>
      <w:r>
        <w:t>(COM(2021)0429 – C9</w:t>
      </w:r>
      <w:r>
        <w:noBreakHyphen/>
        <w:t>0000/2022 – 2021/0244(COD))</w:t>
      </w:r>
    </w:p>
    <w:p w:rsidR="00793EA9" w:rsidRPr="00CF0C5D" w:rsidRDefault="007B08AD" w:rsidP="00A910C9">
      <w:pPr>
        <w:pStyle w:val="NormalBold"/>
      </w:pPr>
      <w:r>
        <w:t>(Redovni zakonodavni postupak: prvo čitanje)</w:t>
      </w:r>
    </w:p>
    <w:p w:rsidR="00793EA9" w:rsidRPr="00CF0C5D" w:rsidRDefault="007B08AD" w:rsidP="00A910C9">
      <w:pPr>
        <w:pStyle w:val="EPComma"/>
      </w:pPr>
      <w:r>
        <w:rPr>
          <w:i/>
        </w:rPr>
        <w:t>Europski parlament</w:t>
      </w:r>
      <w:r>
        <w:t>,</w:t>
      </w:r>
    </w:p>
    <w:p w:rsidR="00793EA9" w:rsidRPr="00CF0C5D" w:rsidRDefault="007B08AD">
      <w:pPr>
        <w:pStyle w:val="NormalHanging12a"/>
      </w:pPr>
      <w:r>
        <w:t>–</w:t>
      </w:r>
      <w:r>
        <w:tab/>
        <w:t>uzimajući u obzir Prijedlog Komisije upućen Europskom parlamentu i Vijeću (COM(2021)0429),</w:t>
      </w:r>
    </w:p>
    <w:p w:rsidR="00793EA9" w:rsidRPr="00CF0C5D" w:rsidRDefault="007B08AD">
      <w:pPr>
        <w:pStyle w:val="NormalHanging12a"/>
      </w:pPr>
      <w:r>
        <w:t>–</w:t>
      </w:r>
      <w:r>
        <w:tab/>
        <w:t>uzimajući u obzir članak 294. stavak 2. i članak 87. stavak 2. Ugovora o funkcioniranju Europske unije, u skladu s kojima je Komisija podnijela Prijedlog Parlamentu (C9</w:t>
      </w:r>
      <w:r>
        <w:noBreakHyphen/>
        <w:t>0000/2022),</w:t>
      </w:r>
    </w:p>
    <w:p w:rsidR="00A26F46" w:rsidRPr="00CF0C5D" w:rsidRDefault="007B08AD" w:rsidP="00A26F46">
      <w:pPr>
        <w:pStyle w:val="NormalHanging12a"/>
      </w:pPr>
      <w:r>
        <w:t>–</w:t>
      </w:r>
      <w:r>
        <w:tab/>
        <w:t>uzimajući u obzir članak 294. stavak 3. Ugovora o funkcioniranju Europske unije,</w:t>
      </w:r>
    </w:p>
    <w:p w:rsidR="00793EA9" w:rsidRPr="00CF0C5D" w:rsidRDefault="007B08AD">
      <w:pPr>
        <w:pStyle w:val="NormalHanging12a"/>
      </w:pPr>
      <w:r>
        <w:t>–</w:t>
      </w:r>
      <w:r>
        <w:tab/>
        <w:t>uzimajući u obzir članak 59. Poslovnika,</w:t>
      </w:r>
    </w:p>
    <w:p w:rsidR="006A2F5D" w:rsidRPr="00CF0C5D" w:rsidRDefault="007B08AD" w:rsidP="006A2F5D">
      <w:pPr>
        <w:pStyle w:val="NormalHanging12a"/>
      </w:pPr>
      <w:r>
        <w:t>–</w:t>
      </w:r>
      <w:r>
        <w:tab/>
        <w:t>uzimajući u obzir mišljenje Odbora za ekonomsku i monetarnu politiku,</w:t>
      </w:r>
    </w:p>
    <w:p w:rsidR="006A2F5D" w:rsidRPr="00CF0C5D" w:rsidRDefault="007B08AD" w:rsidP="006A2F5D">
      <w:pPr>
        <w:pStyle w:val="NormalHanging12a"/>
      </w:pPr>
      <w:r>
        <w:t>–</w:t>
      </w:r>
      <w:r>
        <w:tab/>
        <w:t>uzimajući u obzir izvješće Odbora za građanske slobode, pravosuđe i unutarnje poslove (A9</w:t>
      </w:r>
      <w:r>
        <w:noBreakHyphen/>
        <w:t>0000/2022),</w:t>
      </w:r>
    </w:p>
    <w:p w:rsidR="009F6C2F" w:rsidRPr="00CF0C5D" w:rsidRDefault="007B08AD" w:rsidP="009F6C2F">
      <w:pPr>
        <w:pStyle w:val="NormalHanging12a"/>
      </w:pPr>
      <w:r>
        <w:t>1.</w:t>
      </w:r>
      <w:r>
        <w:tab/>
        <w:t>usvaja sljedeće stajalište u prvom čitanju;</w:t>
      </w:r>
    </w:p>
    <w:p w:rsidR="009F6C2F" w:rsidRPr="00CF0C5D" w:rsidRDefault="007B08AD" w:rsidP="009F6C2F">
      <w:pPr>
        <w:pStyle w:val="NormalHanging12a"/>
      </w:pPr>
      <w:r>
        <w:t>2.</w:t>
      </w:r>
      <w:r>
        <w:tab/>
        <w:t>poziva Komisiju da predmet ponovno uputi Parlamentu ako zamijeni, bitno izmijeni ili namjerava bitno izmijeniti svoj Prijedlog;</w:t>
      </w:r>
    </w:p>
    <w:p w:rsidR="009F6C2F" w:rsidRDefault="007B08AD" w:rsidP="009F6C2F">
      <w:pPr>
        <w:pStyle w:val="NormalHanging12a"/>
      </w:pPr>
      <w:r>
        <w:t>3.</w:t>
      </w:r>
      <w:r>
        <w:tab/>
        <w:t>nalaže svojoj predsjednici da stajalište Parlamenta proslijedi Vijeću, Komisiji i nacionalnim parlamentima.</w:t>
      </w:r>
    </w:p>
    <w:p w:rsidR="00D019E3" w:rsidRPr="00CF0C5D" w:rsidRDefault="00D019E3" w:rsidP="009F6C2F">
      <w:pPr>
        <w:pStyle w:val="NormalHanging12a"/>
      </w:pPr>
    </w:p>
    <w:p w:rsidR="00D019E3" w:rsidRPr="00E44F7E" w:rsidRDefault="007B08AD" w:rsidP="00D019E3">
      <w:pPr>
        <w:pStyle w:val="AMNumberTabs0"/>
        <w:keepNext/>
      </w:pPr>
      <w:r w:rsidRPr="007B08AD">
        <w:rPr>
          <w:rStyle w:val="HideTWBExt"/>
          <w:b w:val="0"/>
          <w:noProof w:val="0"/>
        </w:rPr>
        <w:t>&lt;RepeatBlock-Amend&gt;&lt;Amend&gt;</w:t>
      </w:r>
      <w:r>
        <w:rPr>
          <w:color w:val="0000F0"/>
        </w:rPr>
        <w:t>Amandman</w:t>
      </w:r>
      <w:r>
        <w:rPr>
          <w:color w:val="0000F0"/>
        </w:rPr>
        <w:tab/>
      </w:r>
      <w:r>
        <w:rPr>
          <w:color w:val="0000F0"/>
        </w:rPr>
        <w:tab/>
      </w:r>
      <w:r w:rsidRPr="007B08AD">
        <w:rPr>
          <w:rStyle w:val="HideTWBExt"/>
          <w:b w:val="0"/>
          <w:noProof w:val="0"/>
        </w:rPr>
        <w:t>&lt;NumAm&gt;</w:t>
      </w:r>
      <w:r>
        <w:rPr>
          <w:color w:val="0000F0"/>
        </w:rPr>
        <w:t>1</w:t>
      </w:r>
      <w:r w:rsidRPr="007B08AD">
        <w:rPr>
          <w:rStyle w:val="HideTWBExt"/>
          <w:b w:val="0"/>
          <w:noProof w:val="0"/>
        </w:rPr>
        <w:t>&lt;/NumAm&gt;</w:t>
      </w:r>
    </w:p>
    <w:p w:rsidR="00D019E3" w:rsidRPr="00E44F7E" w:rsidRDefault="007B08AD" w:rsidP="00D019E3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rPr>
          <w:color w:val="0000F0"/>
        </w:rPr>
        <w:t>Prijedlog direktive</w:t>
      </w:r>
      <w:r>
        <w:rPr>
          <w:rStyle w:val="HideTWBExt"/>
          <w:b w:val="0"/>
          <w:noProof w:val="0"/>
        </w:rPr>
        <w:t>&lt;/DocAmend&gt;</w:t>
      </w:r>
    </w:p>
    <w:p w:rsidR="00D019E3" w:rsidRPr="00E44F7E" w:rsidRDefault="007B08AD" w:rsidP="00D019E3">
      <w:r>
        <w:rPr>
          <w:rStyle w:val="HideTWBExt"/>
          <w:noProof w:val="0"/>
        </w:rPr>
        <w:t>&lt;Article&gt;</w:t>
      </w:r>
      <w:r>
        <w:rPr>
          <w:color w:val="0000F0"/>
        </w:rPr>
        <w:t>Uvodna izjava 6.a (nova)</w:t>
      </w:r>
      <w:r>
        <w:rPr>
          <w:rStyle w:val="HideTWBExt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10B9" w:rsidTr="00A5482A">
        <w:trPr>
          <w:jc w:val="center"/>
        </w:trPr>
        <w:tc>
          <w:tcPr>
            <w:tcW w:w="9752" w:type="dxa"/>
            <w:gridSpan w:val="2"/>
          </w:tcPr>
          <w:p w:rsidR="00D019E3" w:rsidRPr="00E44F7E" w:rsidRDefault="00D019E3" w:rsidP="00A5482A">
            <w:pPr>
              <w:keepNext/>
            </w:pPr>
          </w:p>
        </w:tc>
      </w:tr>
      <w:tr w:rsidR="00DB10B9" w:rsidTr="00A5482A">
        <w:trPr>
          <w:jc w:val="center"/>
        </w:trPr>
        <w:tc>
          <w:tcPr>
            <w:tcW w:w="4876" w:type="dxa"/>
            <w:hideMark/>
          </w:tcPr>
          <w:p w:rsidR="00D019E3" w:rsidRPr="00E44F7E" w:rsidRDefault="007B08AD" w:rsidP="00A5482A">
            <w:pPr>
              <w:pStyle w:val="ColumnHeading"/>
              <w:keepNext/>
            </w:pPr>
            <w:r>
              <w:rPr>
                <w:color w:val="0000FA"/>
              </w:rPr>
              <w:t>Tekst na snazi</w:t>
            </w:r>
          </w:p>
        </w:tc>
        <w:tc>
          <w:tcPr>
            <w:tcW w:w="4876" w:type="dxa"/>
            <w:hideMark/>
          </w:tcPr>
          <w:p w:rsidR="00D019E3" w:rsidRPr="00E44F7E" w:rsidRDefault="007B08AD" w:rsidP="00A5482A">
            <w:pPr>
              <w:pStyle w:val="ColumnHeading"/>
              <w:keepNext/>
            </w:pPr>
            <w:r>
              <w:rPr>
                <w:color w:val="0000F5"/>
              </w:rPr>
              <w:t>Izmjena</w:t>
            </w:r>
          </w:p>
        </w:tc>
      </w:tr>
      <w:tr w:rsidR="00DB10B9" w:rsidTr="00A5482A">
        <w:trPr>
          <w:jc w:val="center"/>
        </w:trPr>
        <w:tc>
          <w:tcPr>
            <w:tcW w:w="4876" w:type="dxa"/>
          </w:tcPr>
          <w:p w:rsidR="00D019E3" w:rsidRPr="00E44F7E" w:rsidRDefault="00D019E3" w:rsidP="00A5482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D019E3" w:rsidRPr="00E44F7E" w:rsidRDefault="007B08AD" w:rsidP="00A5482A">
            <w:pPr>
              <w:pStyle w:val="Normal6"/>
              <w:rPr>
                <w:szCs w:val="24"/>
              </w:rPr>
            </w:pPr>
            <w:r>
              <w:rPr>
                <w:b/>
                <w:i/>
                <w:color w:val="000005"/>
              </w:rPr>
              <w:t>(6.a)</w:t>
            </w:r>
            <w:r>
              <w:rPr>
                <w:b/>
                <w:i/>
                <w:color w:val="000005"/>
              </w:rPr>
              <w:tab/>
              <w:t>Mehanizam za izravan prekogranični pristup tijela kaznenog progona centraliziranim registrima bankovnih računa putem jedinstvene pristupne točke temelji se na načelu uzajamnog povjerenja među državama članicama i pretpostavci da države članice poštuju pravo Unije, vladavinu prava u skladu s člankom 2. UEU-a, a posebno temeljna prava u skladu s člankom 6. UEU-a, kao što su pravo na privatnost i zaštitu podataka, koji su ključni elementi područja slobode, sigurnosti i pravde unutar Unije.</w:t>
            </w:r>
            <w:r>
              <w:rPr>
                <w:color w:val="000005"/>
              </w:rPr>
              <w:t xml:space="preserve"> </w:t>
            </w:r>
          </w:p>
        </w:tc>
      </w:tr>
    </w:tbl>
    <w:p w:rsidR="00D019E3" w:rsidRPr="00E44F7E" w:rsidRDefault="007B08AD" w:rsidP="00D019E3">
      <w:pPr>
        <w:pStyle w:val="Olang"/>
        <w:rPr>
          <w:sz w:val="24"/>
          <w:szCs w:val="24"/>
        </w:rPr>
      </w:pPr>
      <w:r w:rsidRPr="00E44F7E">
        <w:rPr>
          <w:color w:val="0000F0"/>
          <w:sz w:val="24"/>
          <w:szCs w:val="24"/>
        </w:rPr>
        <w:t xml:space="preserve">Or. </w:t>
      </w:r>
      <w:r w:rsidRPr="00E44F7E">
        <w:rPr>
          <w:rStyle w:val="HideTWBExt"/>
          <w:noProof w:val="0"/>
        </w:rPr>
        <w:t>&lt;Original&gt;</w:t>
      </w:r>
      <w:r w:rsidRPr="00E44F7E">
        <w:rPr>
          <w:rStyle w:val="HideTWBInt"/>
          <w:sz w:val="24"/>
          <w:szCs w:val="24"/>
        </w:rPr>
        <w:t>{EN}</w:t>
      </w:r>
      <w:r w:rsidRPr="00E44F7E">
        <w:rPr>
          <w:color w:val="0000F0"/>
          <w:sz w:val="24"/>
          <w:szCs w:val="24"/>
        </w:rPr>
        <w:t>en</w:t>
      </w:r>
      <w:r w:rsidRPr="00E44F7E">
        <w:rPr>
          <w:rStyle w:val="HideTWBExt"/>
          <w:noProof w:val="0"/>
        </w:rPr>
        <w:t>&lt;/Original&gt;</w:t>
      </w:r>
    </w:p>
    <w:p w:rsidR="00D019E3" w:rsidRPr="00E44F7E" w:rsidRDefault="007B08AD" w:rsidP="00D019E3">
      <w:pPr>
        <w:pStyle w:val="JustificationTitle"/>
        <w:rPr>
          <w:noProof w:val="0"/>
        </w:rPr>
      </w:pPr>
      <w:r w:rsidRPr="007B08AD">
        <w:rPr>
          <w:rStyle w:val="HideTWBExt"/>
          <w:i w:val="0"/>
          <w:noProof w:val="0"/>
        </w:rPr>
        <w:t>&lt;TitreJust&gt;</w:t>
      </w:r>
      <w:r>
        <w:rPr>
          <w:noProof w:val="0"/>
          <w:color w:val="0000F0"/>
        </w:rPr>
        <w:t>Obrazloženje</w:t>
      </w:r>
      <w:r w:rsidRPr="007B08AD">
        <w:rPr>
          <w:rStyle w:val="HideTWBExt"/>
          <w:i w:val="0"/>
          <w:noProof w:val="0"/>
        </w:rPr>
        <w:t>&lt;/TitreJust&gt;</w:t>
      </w:r>
    </w:p>
    <w:p w:rsidR="00D019E3" w:rsidRPr="00E44F7E" w:rsidRDefault="007B08AD" w:rsidP="00D019E3">
      <w:pPr>
        <w:pStyle w:val="Normal12Italic"/>
        <w:rPr>
          <w:noProof w:val="0"/>
        </w:rPr>
      </w:pPr>
      <w:r>
        <w:rPr>
          <w:noProof w:val="0"/>
        </w:rPr>
        <w:t>Takva prekogranična pravila trebaju se temeljiti na nacionalnom pravu u skladu s obvezama iz članka 8. Europske konvencije o ljudskim pravima (pravo na privatnost), a takva pretraživanja su proporcionalna i upotrebljavaju se samo ako su primjenjiva u sličnim domaćim situacijama kako bi se spriječilo biranje najpovoljnije jurisdikcije.</w:t>
      </w:r>
    </w:p>
    <w:p w:rsidR="00D019E3" w:rsidRPr="00E44F7E" w:rsidRDefault="007B08AD" w:rsidP="00D019E3">
      <w:r>
        <w:rPr>
          <w:rStyle w:val="HideTWBExt"/>
          <w:noProof w:val="0"/>
        </w:rPr>
        <w:t>&lt;/Amend&gt;</w:t>
      </w:r>
    </w:p>
    <w:p w:rsidR="00D019E3" w:rsidRPr="00E44F7E" w:rsidRDefault="007B08AD" w:rsidP="00D019E3">
      <w:pPr>
        <w:pStyle w:val="AMNumberTabs0"/>
        <w:keepNext/>
      </w:pPr>
      <w:r w:rsidRPr="007B08AD">
        <w:rPr>
          <w:rStyle w:val="HideTWBExt"/>
          <w:b w:val="0"/>
          <w:noProof w:val="0"/>
          <w:lang w:val="da-DK"/>
        </w:rPr>
        <w:t>&lt;Amend&gt;</w:t>
      </w:r>
      <w:r>
        <w:rPr>
          <w:color w:val="0000F0"/>
        </w:rPr>
        <w:t>Amandman</w:t>
      </w:r>
      <w:r>
        <w:rPr>
          <w:color w:val="0000F0"/>
        </w:rPr>
        <w:tab/>
      </w:r>
      <w:r>
        <w:rPr>
          <w:color w:val="0000F0"/>
        </w:rPr>
        <w:tab/>
      </w:r>
      <w:r w:rsidRPr="007B08AD">
        <w:rPr>
          <w:rStyle w:val="HideTWBExt"/>
          <w:b w:val="0"/>
          <w:noProof w:val="0"/>
          <w:lang w:val="da-DK"/>
        </w:rPr>
        <w:t>&lt;NumAm&gt;</w:t>
      </w:r>
      <w:r>
        <w:rPr>
          <w:color w:val="0000F0"/>
        </w:rPr>
        <w:t>2</w:t>
      </w:r>
      <w:r w:rsidRPr="007B08AD">
        <w:rPr>
          <w:rStyle w:val="HideTWBExt"/>
          <w:b w:val="0"/>
          <w:noProof w:val="0"/>
          <w:lang w:val="da-DK"/>
        </w:rPr>
        <w:t>&lt;/NumAm&gt;</w:t>
      </w:r>
    </w:p>
    <w:p w:rsidR="00D019E3" w:rsidRPr="00E44F7E" w:rsidRDefault="007B08AD" w:rsidP="00D019E3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rPr>
          <w:color w:val="0000F0"/>
        </w:rPr>
        <w:t>Prijedlog direktive</w:t>
      </w:r>
      <w:r>
        <w:rPr>
          <w:rStyle w:val="HideTWBExt"/>
          <w:b w:val="0"/>
          <w:noProof w:val="0"/>
        </w:rPr>
        <w:t>&lt;/DocAmend&gt;</w:t>
      </w:r>
    </w:p>
    <w:p w:rsidR="00D019E3" w:rsidRPr="00E44F7E" w:rsidRDefault="007B08AD" w:rsidP="00D019E3">
      <w:pPr>
        <w:pStyle w:val="NormalBold"/>
      </w:pPr>
      <w:r>
        <w:rPr>
          <w:rStyle w:val="HideTWBExt"/>
          <w:b w:val="0"/>
          <w:noProof w:val="0"/>
        </w:rPr>
        <w:t>&lt;Article&gt;</w:t>
      </w:r>
      <w:r>
        <w:rPr>
          <w:color w:val="0000F0"/>
        </w:rPr>
        <w:t>Članak 1. – stavak 1.</w:t>
      </w:r>
      <w:r>
        <w:rPr>
          <w:rStyle w:val="HideTWBExt"/>
          <w:b w:val="0"/>
          <w:noProof w:val="0"/>
        </w:rPr>
        <w:t>&lt;/Article&gt;</w:t>
      </w:r>
    </w:p>
    <w:p w:rsidR="00D019E3" w:rsidRPr="00E44F7E" w:rsidRDefault="007B08AD" w:rsidP="00D019E3">
      <w:pPr>
        <w:keepNext/>
      </w:pPr>
      <w:r>
        <w:rPr>
          <w:rStyle w:val="HideTWBExt"/>
          <w:noProof w:val="0"/>
        </w:rPr>
        <w:t>&lt;DocAmend2&gt;</w:t>
      </w:r>
      <w:r>
        <w:rPr>
          <w:color w:val="0000F0"/>
        </w:rPr>
        <w:t>Direktiva (EU) 2019/1153</w:t>
      </w:r>
      <w:r>
        <w:rPr>
          <w:rStyle w:val="HideTWBExt"/>
          <w:noProof w:val="0"/>
        </w:rPr>
        <w:t>&lt;/DocAmend2&gt;</w:t>
      </w:r>
    </w:p>
    <w:p w:rsidR="00D019E3" w:rsidRPr="00E44F7E" w:rsidRDefault="007B08AD" w:rsidP="00D019E3">
      <w:r>
        <w:rPr>
          <w:rStyle w:val="HideTWBExt"/>
          <w:noProof w:val="0"/>
        </w:rPr>
        <w:t>&lt;Article2&gt;</w:t>
      </w:r>
      <w:r>
        <w:rPr>
          <w:color w:val="0000F0"/>
        </w:rPr>
        <w:t>Članak 4. – stavak 1.a</w:t>
      </w:r>
      <w:r>
        <w:rPr>
          <w:rStyle w:val="HideTWBExt"/>
          <w:noProof w:val="0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10B9" w:rsidTr="00A5482A">
        <w:trPr>
          <w:jc w:val="center"/>
        </w:trPr>
        <w:tc>
          <w:tcPr>
            <w:tcW w:w="9752" w:type="dxa"/>
            <w:gridSpan w:val="2"/>
          </w:tcPr>
          <w:p w:rsidR="00D019E3" w:rsidRPr="00E44F7E" w:rsidRDefault="00D019E3" w:rsidP="00A5482A">
            <w:pPr>
              <w:keepNext/>
            </w:pPr>
          </w:p>
        </w:tc>
      </w:tr>
      <w:tr w:rsidR="00DB10B9" w:rsidTr="00A5482A">
        <w:trPr>
          <w:jc w:val="center"/>
        </w:trPr>
        <w:tc>
          <w:tcPr>
            <w:tcW w:w="4876" w:type="dxa"/>
            <w:hideMark/>
          </w:tcPr>
          <w:p w:rsidR="00D019E3" w:rsidRPr="00E44F7E" w:rsidRDefault="007B08AD" w:rsidP="00A5482A">
            <w:pPr>
              <w:pStyle w:val="ColumnHeading"/>
              <w:keepNext/>
            </w:pPr>
            <w:r>
              <w:rPr>
                <w:color w:val="0000FA"/>
              </w:rPr>
              <w:t>Tekst koji je predložila Komisija</w:t>
            </w:r>
          </w:p>
        </w:tc>
        <w:tc>
          <w:tcPr>
            <w:tcW w:w="4876" w:type="dxa"/>
            <w:hideMark/>
          </w:tcPr>
          <w:p w:rsidR="00D019E3" w:rsidRPr="00E44F7E" w:rsidRDefault="007B08AD" w:rsidP="00A5482A">
            <w:pPr>
              <w:pStyle w:val="ColumnHeading"/>
              <w:keepNext/>
            </w:pPr>
            <w:r>
              <w:rPr>
                <w:color w:val="0000F5"/>
              </w:rPr>
              <w:t>Izmjena</w:t>
            </w:r>
          </w:p>
        </w:tc>
      </w:tr>
      <w:tr w:rsidR="00DB10B9" w:rsidTr="00A5482A">
        <w:trPr>
          <w:jc w:val="center"/>
        </w:trPr>
        <w:tc>
          <w:tcPr>
            <w:tcW w:w="4876" w:type="dxa"/>
            <w:hideMark/>
          </w:tcPr>
          <w:p w:rsidR="00D019E3" w:rsidRPr="00E44F7E" w:rsidRDefault="007B08AD" w:rsidP="00A5482A">
            <w:pPr>
              <w:pStyle w:val="Normal6"/>
            </w:pPr>
            <w:r>
              <w:rPr>
                <w:color w:val="0000FA"/>
              </w:rPr>
              <w:t>1.a</w:t>
            </w:r>
            <w:r>
              <w:rPr>
                <w:color w:val="0000FA"/>
              </w:rPr>
              <w:tab/>
              <w:t>Države članice osiguravaju da nadležna nacionalna tijela imenovana u skladu s člankom 3. stavkom 1. imaju ovlast za izravan i trenutačan pristup informacijama o bankovnim računima u drugim državama članicama i njihovo pretraživanje putem jedinstvenih pristupnih točaka registara bankovnih računa (RBR-ova) uspostavljenih u skladu s člankom XX. Direktive (EU) GGGG/XX [nova direktiva o sprečavanju pranja novca] radi obavljanja svojih zadaća u svrhu sprečavanja, otkrivanja, istrage ili progona teškog kaznenog djela ili pružanja potpore kaznenoj istrazi teškog kaznenog djela, što uključuje identifikaciju, praćenje i zamrzavanje imovine povezane s takvom istragom.</w:t>
            </w:r>
          </w:p>
        </w:tc>
        <w:tc>
          <w:tcPr>
            <w:tcW w:w="4876" w:type="dxa"/>
            <w:hideMark/>
          </w:tcPr>
          <w:p w:rsidR="00D019E3" w:rsidRPr="00E44F7E" w:rsidRDefault="007B08AD" w:rsidP="00A5482A">
            <w:pPr>
              <w:pStyle w:val="Normal6"/>
              <w:rPr>
                <w:szCs w:val="24"/>
              </w:rPr>
            </w:pPr>
            <w:r>
              <w:rPr>
                <w:color w:val="000005"/>
              </w:rPr>
              <w:t>1.a</w:t>
            </w:r>
            <w:r>
              <w:rPr>
                <w:color w:val="000005"/>
              </w:rPr>
              <w:tab/>
              <w:t>Države članice osiguravaju da nadležna nacionalna tijela imenovana u skladu s člankom 3. stavkom 1. imaju ovlast</w:t>
            </w:r>
            <w:r>
              <w:rPr>
                <w:b/>
                <w:i/>
                <w:color w:val="000005"/>
              </w:rPr>
              <w:t>, u skladu s nacionalnim zakonodavstvom,</w:t>
            </w:r>
            <w:r>
              <w:rPr>
                <w:color w:val="000005"/>
              </w:rPr>
              <w:t xml:space="preserve"> za izravan i trenutačan pristup informacijama o bankovnim računima u drugim državama članicama i njihovo pretraživanje putem jedinstvenih pristupnih točaka registara bankovnih računa (RBR-ova) uspostavljenih u skladu s člankom XX. Direktive (EU) GGGG/XX [nova direktiva o sprečavanju pranja novca] radi obavljanja svojih zadaća u svrhu sprečavanja, otkrivanja, istrage ili progona teškog kaznenog djela ili pružanja potpore kaznenoj istrazi teškog kaznenog djela, što uključuje identifikaciju, praćenje i zamrzavanje imovine povezane s takvom istragom.</w:t>
            </w:r>
          </w:p>
        </w:tc>
      </w:tr>
      <w:tr w:rsidR="00DB10B9" w:rsidTr="00A5482A">
        <w:trPr>
          <w:jc w:val="center"/>
        </w:trPr>
        <w:tc>
          <w:tcPr>
            <w:tcW w:w="4876" w:type="dxa"/>
          </w:tcPr>
          <w:p w:rsidR="00D019E3" w:rsidRPr="007B08AD" w:rsidRDefault="00D019E3" w:rsidP="00A5482A">
            <w:pPr>
              <w:pStyle w:val="Normal6"/>
            </w:pPr>
          </w:p>
        </w:tc>
        <w:tc>
          <w:tcPr>
            <w:tcW w:w="4876" w:type="dxa"/>
            <w:hideMark/>
          </w:tcPr>
          <w:p w:rsidR="00D019E3" w:rsidRPr="00E44F7E" w:rsidRDefault="007B08AD" w:rsidP="00A5482A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  <w:color w:val="000005"/>
              </w:rPr>
              <w:t>Prikupljanje podataka iz prvog podstavka razmjerno je svrsi postupka te uzima u obzir prava osumnjičenika ili optuženika i poštuje činjenicu da bi pretraživanje bilo moguće pod istim uvjetima u sličnom domaćem slučaju.</w:t>
            </w:r>
            <w:r>
              <w:rPr>
                <w:color w:val="000005"/>
              </w:rPr>
              <w:t xml:space="preserve"> </w:t>
            </w:r>
            <w:r>
              <w:rPr>
                <w:b/>
                <w:i/>
                <w:color w:val="000005"/>
              </w:rPr>
              <w:t>Prikupljeni podaci upotrebljavaju se isključivo u svrhu za koju su zatraženi.</w:t>
            </w:r>
          </w:p>
        </w:tc>
      </w:tr>
      <w:tr w:rsidR="00DB10B9" w:rsidTr="00A5482A">
        <w:trPr>
          <w:jc w:val="center"/>
        </w:trPr>
        <w:tc>
          <w:tcPr>
            <w:tcW w:w="4876" w:type="dxa"/>
          </w:tcPr>
          <w:p w:rsidR="00D019E3" w:rsidRPr="007B08AD" w:rsidRDefault="00D019E3" w:rsidP="00A5482A">
            <w:pPr>
              <w:pStyle w:val="Normal6"/>
            </w:pPr>
          </w:p>
        </w:tc>
        <w:tc>
          <w:tcPr>
            <w:tcW w:w="4876" w:type="dxa"/>
            <w:hideMark/>
          </w:tcPr>
          <w:p w:rsidR="00D019E3" w:rsidRPr="00E44F7E" w:rsidRDefault="007B08AD" w:rsidP="00A5482A">
            <w:pPr>
              <w:pStyle w:val="Normal6"/>
              <w:rPr>
                <w:szCs w:val="24"/>
              </w:rPr>
            </w:pPr>
            <w:r>
              <w:rPr>
                <w:b/>
                <w:i/>
                <w:color w:val="000005"/>
              </w:rPr>
              <w:t>Države članice osiguravaju da pri prekograničnom pristupu i traženju informacija putem jedinstvene točke pristupa registrima bankovnih računa nadležna tijela koja su odredile poštuju postupovna prava pojedinaca i pravila Unije o zaštiti osobnih podataka.</w:t>
            </w:r>
          </w:p>
        </w:tc>
      </w:tr>
    </w:tbl>
    <w:p w:rsidR="00D019E3" w:rsidRPr="00E44F7E" w:rsidRDefault="007B08AD" w:rsidP="00D019E3">
      <w:pPr>
        <w:pStyle w:val="Olang"/>
        <w:rPr>
          <w:sz w:val="24"/>
          <w:szCs w:val="24"/>
        </w:rPr>
      </w:pPr>
      <w:r w:rsidRPr="00E44F7E">
        <w:rPr>
          <w:color w:val="0000F0"/>
          <w:sz w:val="24"/>
          <w:szCs w:val="24"/>
        </w:rPr>
        <w:t xml:space="preserve">Or. </w:t>
      </w:r>
      <w:r w:rsidRPr="00E44F7E">
        <w:rPr>
          <w:rStyle w:val="HideTWBExt"/>
          <w:noProof w:val="0"/>
        </w:rPr>
        <w:t>&lt;Original&gt;</w:t>
      </w:r>
      <w:r w:rsidRPr="00E44F7E">
        <w:rPr>
          <w:rStyle w:val="HideTWBInt"/>
          <w:sz w:val="24"/>
          <w:szCs w:val="24"/>
        </w:rPr>
        <w:t>{EN}</w:t>
      </w:r>
      <w:r w:rsidRPr="00E44F7E">
        <w:rPr>
          <w:color w:val="0000F0"/>
          <w:sz w:val="24"/>
          <w:szCs w:val="24"/>
        </w:rPr>
        <w:t>en</w:t>
      </w:r>
      <w:r w:rsidRPr="00E44F7E">
        <w:rPr>
          <w:rStyle w:val="HideTWBExt"/>
          <w:noProof w:val="0"/>
        </w:rPr>
        <w:t>&lt;/Original&gt;</w:t>
      </w:r>
    </w:p>
    <w:p w:rsidR="00D019E3" w:rsidRPr="00E44F7E" w:rsidRDefault="007B08AD" w:rsidP="00D019E3">
      <w:pPr>
        <w:pStyle w:val="JustificationTitle"/>
        <w:rPr>
          <w:noProof w:val="0"/>
        </w:rPr>
      </w:pPr>
      <w:r w:rsidRPr="007B08AD">
        <w:rPr>
          <w:rStyle w:val="HideTWBExt"/>
          <w:i w:val="0"/>
          <w:noProof w:val="0"/>
        </w:rPr>
        <w:t>&lt;TitreJust&gt;</w:t>
      </w:r>
      <w:r>
        <w:rPr>
          <w:noProof w:val="0"/>
          <w:color w:val="0000F0"/>
        </w:rPr>
        <w:t>Obrazloženje</w:t>
      </w:r>
      <w:r w:rsidRPr="007B08AD">
        <w:rPr>
          <w:rStyle w:val="HideTWBExt"/>
          <w:i w:val="0"/>
          <w:noProof w:val="0"/>
        </w:rPr>
        <w:t>&lt;/TitreJust&gt;</w:t>
      </w:r>
    </w:p>
    <w:p w:rsidR="00D019E3" w:rsidRPr="00E44F7E" w:rsidRDefault="007B08AD" w:rsidP="00D019E3">
      <w:pPr>
        <w:pStyle w:val="Normal12Italic"/>
        <w:rPr>
          <w:noProof w:val="0"/>
        </w:rPr>
      </w:pPr>
      <w:r>
        <w:rPr>
          <w:noProof w:val="0"/>
        </w:rPr>
        <w:t>Takva prekogranična pravila trebaju se temeljiti na nacionalnom pravu u skladu s obvezama iz članka 8. Europske konvencije o ljudskim pravima (pravo na privatnost), a takva pretraživanja su proporcionalna i upotrebljavaju se samo ako su primjenjiva u sličnim domaćim situacijama kako bi se spriječilo biranje najpovoljnije jurisdikcije.</w:t>
      </w:r>
    </w:p>
    <w:p w:rsidR="00D019E3" w:rsidRPr="00E44F7E" w:rsidRDefault="007B08AD" w:rsidP="00D019E3">
      <w:r>
        <w:rPr>
          <w:rStyle w:val="HideTWBExt"/>
          <w:noProof w:val="0"/>
        </w:rPr>
        <w:t>&lt;/Amend&gt;</w:t>
      </w:r>
    </w:p>
    <w:p w:rsidR="00D30DE2" w:rsidRPr="00CF0C5D" w:rsidRDefault="007B08AD" w:rsidP="00D019E3">
      <w:r>
        <w:rPr>
          <w:rStyle w:val="HideTWBExt"/>
          <w:noProof w:val="0"/>
        </w:rPr>
        <w:t>&lt;/RepeatBlock-Amend&gt;</w:t>
      </w:r>
    </w:p>
    <w:p w:rsidR="002669B6" w:rsidRPr="00CF0C5D" w:rsidRDefault="002669B6" w:rsidP="002669B6"/>
    <w:p w:rsidR="002669B6" w:rsidRPr="00CF0C5D" w:rsidRDefault="002669B6" w:rsidP="002669B6"/>
    <w:sectPr w:rsidR="002669B6" w:rsidRPr="00CF0C5D" w:rsidSect="004557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FDF" w:rsidRDefault="007B08AD">
      <w:r>
        <w:separator/>
      </w:r>
    </w:p>
  </w:endnote>
  <w:endnote w:type="continuationSeparator" w:id="0">
    <w:p w:rsidR="00910FDF" w:rsidRDefault="007B0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CF0C5D" w:rsidRDefault="007B08AD" w:rsidP="00F07062">
    <w:pPr>
      <w:pStyle w:val="EPFooter"/>
    </w:pPr>
    <w:r w:rsidRPr="00CF0C5D">
      <w:t>PE</w:t>
    </w:r>
    <w:r w:rsidRPr="00CF0C5D">
      <w:rPr>
        <w:rStyle w:val="HideTWBExt"/>
        <w:noProof w:val="0"/>
      </w:rPr>
      <w:t>&lt;NoPE&gt;</w:t>
    </w:r>
    <w:r w:rsidR="00D019E3" w:rsidRPr="00D019E3">
      <w:t>734.352</w:t>
    </w:r>
    <w:r w:rsidRPr="00CF0C5D">
      <w:rPr>
        <w:rStyle w:val="HideTWBExt"/>
        <w:noProof w:val="0"/>
      </w:rPr>
      <w:t>&lt;/NoPE&gt;&lt;Version&gt;</w:t>
    </w:r>
    <w:r w:rsidR="00CF0C5D" w:rsidRPr="00CF0C5D">
      <w:t>v</w:t>
    </w:r>
    <w:r w:rsidR="00D019E3" w:rsidRPr="00D019E3">
      <w:t>01-00</w:t>
    </w:r>
    <w:r w:rsidRPr="00CF0C5D">
      <w:rPr>
        <w:rStyle w:val="HideTWBExt"/>
        <w:noProof w:val="0"/>
      </w:rPr>
      <w:t>&lt;/Version&gt;</w:t>
    </w:r>
    <w:r w:rsidRPr="00CF0C5D">
      <w:tab/>
    </w:r>
    <w:r w:rsidR="00914537" w:rsidRPr="00CF0C5D">
      <w:fldChar w:fldCharType="begin"/>
    </w:r>
    <w:r w:rsidR="00914537" w:rsidRPr="00CF0C5D">
      <w:instrText xml:space="preserve"> PAGE </w:instrText>
    </w:r>
    <w:r w:rsidR="00914537" w:rsidRPr="00CF0C5D">
      <w:fldChar w:fldCharType="separate"/>
    </w:r>
    <w:r w:rsidR="003C492D">
      <w:rPr>
        <w:noProof/>
      </w:rPr>
      <w:t>4</w:t>
    </w:r>
    <w:r w:rsidR="00914537" w:rsidRPr="00CF0C5D">
      <w:fldChar w:fldCharType="end"/>
    </w:r>
    <w:r w:rsidR="00914537" w:rsidRPr="00CF0C5D">
      <w:t>/</w:t>
    </w:r>
    <w:r w:rsidR="00914537" w:rsidRPr="00CF0C5D">
      <w:rPr>
        <w:rStyle w:val="PageNumber"/>
      </w:rPr>
      <w:fldChar w:fldCharType="begin"/>
    </w:r>
    <w:r w:rsidR="00914537" w:rsidRPr="00CF0C5D">
      <w:rPr>
        <w:rStyle w:val="PageNumber"/>
      </w:rPr>
      <w:instrText xml:space="preserve"> NUMPAGES </w:instrText>
    </w:r>
    <w:r w:rsidR="00914537" w:rsidRPr="00CF0C5D">
      <w:rPr>
        <w:rStyle w:val="PageNumber"/>
      </w:rPr>
      <w:fldChar w:fldCharType="separate"/>
    </w:r>
    <w:r w:rsidR="003C492D">
      <w:rPr>
        <w:rStyle w:val="PageNumber"/>
        <w:noProof/>
      </w:rPr>
      <w:t>7</w:t>
    </w:r>
    <w:r w:rsidR="00914537" w:rsidRPr="00CF0C5D">
      <w:rPr>
        <w:rStyle w:val="PageNumber"/>
      </w:rPr>
      <w:fldChar w:fldCharType="end"/>
    </w:r>
    <w:r w:rsidRPr="00CF0C5D">
      <w:tab/>
    </w:r>
    <w:r w:rsidRPr="00CF0C5D">
      <w:rPr>
        <w:rStyle w:val="HideTWBExt"/>
        <w:noProof w:val="0"/>
      </w:rPr>
      <w:t>&lt;PathFdR&gt;</w:t>
    </w:r>
    <w:r w:rsidR="00D019E3" w:rsidRPr="00D019E3">
      <w:t>PR\1259686HR.docx</w:t>
    </w:r>
    <w:r w:rsidRPr="00CF0C5D">
      <w:rPr>
        <w:rStyle w:val="HideTWBExt"/>
        <w:noProof w:val="0"/>
      </w:rPr>
      <w:t>&lt;/PathFdR&gt;</w:t>
    </w:r>
  </w:p>
  <w:p w:rsidR="00FB52FE" w:rsidRPr="00CF0C5D" w:rsidRDefault="007B08AD">
    <w:pPr>
      <w:pStyle w:val="EPFooter2"/>
    </w:pPr>
    <w:fldSimple w:instr=" DOCPROPERTY &quot;&lt;Extension&gt;&quot; ">
      <w:r w:rsidR="003C492D">
        <w:t>HR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CF0C5D" w:rsidRDefault="007B08AD" w:rsidP="00F07062">
    <w:pPr>
      <w:pStyle w:val="EPFooter"/>
    </w:pPr>
    <w:r w:rsidRPr="00CF0C5D">
      <w:rPr>
        <w:rStyle w:val="HideTWBExt"/>
        <w:noProof w:val="0"/>
      </w:rPr>
      <w:t>&lt;PathFdR&gt;</w:t>
    </w:r>
    <w:r w:rsidR="00D019E3" w:rsidRPr="00D019E3">
      <w:t>PR\1259686HR.docx</w:t>
    </w:r>
    <w:r w:rsidRPr="00CF0C5D">
      <w:rPr>
        <w:rStyle w:val="HideTWBExt"/>
        <w:noProof w:val="0"/>
      </w:rPr>
      <w:t>&lt;/PathFdR&gt;</w:t>
    </w:r>
    <w:r w:rsidRPr="00CF0C5D">
      <w:tab/>
    </w:r>
    <w:r w:rsidR="00914537" w:rsidRPr="00CF0C5D">
      <w:fldChar w:fldCharType="begin"/>
    </w:r>
    <w:r w:rsidR="00914537" w:rsidRPr="00CF0C5D">
      <w:instrText xml:space="preserve"> PAGE </w:instrText>
    </w:r>
    <w:r w:rsidR="00914537" w:rsidRPr="00CF0C5D">
      <w:fldChar w:fldCharType="separate"/>
    </w:r>
    <w:r w:rsidR="003C492D">
      <w:rPr>
        <w:noProof/>
      </w:rPr>
      <w:t>5</w:t>
    </w:r>
    <w:r w:rsidR="00914537" w:rsidRPr="00CF0C5D">
      <w:fldChar w:fldCharType="end"/>
    </w:r>
    <w:r w:rsidR="00914537" w:rsidRPr="00CF0C5D">
      <w:t>/</w:t>
    </w:r>
    <w:r w:rsidR="00914537" w:rsidRPr="00CF0C5D">
      <w:rPr>
        <w:rStyle w:val="PageNumber"/>
      </w:rPr>
      <w:fldChar w:fldCharType="begin"/>
    </w:r>
    <w:r w:rsidR="00914537" w:rsidRPr="00CF0C5D">
      <w:rPr>
        <w:rStyle w:val="PageNumber"/>
      </w:rPr>
      <w:instrText xml:space="preserve"> NUMPAGES </w:instrText>
    </w:r>
    <w:r w:rsidR="00914537" w:rsidRPr="00CF0C5D">
      <w:rPr>
        <w:rStyle w:val="PageNumber"/>
      </w:rPr>
      <w:fldChar w:fldCharType="separate"/>
    </w:r>
    <w:r w:rsidR="003C492D">
      <w:rPr>
        <w:rStyle w:val="PageNumber"/>
        <w:noProof/>
      </w:rPr>
      <w:t>7</w:t>
    </w:r>
    <w:r w:rsidR="00914537" w:rsidRPr="00CF0C5D">
      <w:rPr>
        <w:rStyle w:val="PageNumber"/>
      </w:rPr>
      <w:fldChar w:fldCharType="end"/>
    </w:r>
    <w:r w:rsidRPr="00CF0C5D">
      <w:tab/>
      <w:t>PE</w:t>
    </w:r>
    <w:r w:rsidRPr="00CF0C5D">
      <w:rPr>
        <w:rStyle w:val="HideTWBExt"/>
        <w:noProof w:val="0"/>
      </w:rPr>
      <w:t>&lt;NoPE&gt;</w:t>
    </w:r>
    <w:r w:rsidR="00D019E3" w:rsidRPr="00D019E3">
      <w:t>734.352</w:t>
    </w:r>
    <w:r w:rsidRPr="00CF0C5D">
      <w:rPr>
        <w:rStyle w:val="HideTWBExt"/>
        <w:noProof w:val="0"/>
      </w:rPr>
      <w:t>&lt;/NoPE&gt;&lt;Version&gt;</w:t>
    </w:r>
    <w:r w:rsidR="00CF0C5D" w:rsidRPr="00CF0C5D">
      <w:t>v</w:t>
    </w:r>
    <w:r w:rsidR="00D019E3" w:rsidRPr="00D019E3">
      <w:t>01-00</w:t>
    </w:r>
    <w:r w:rsidRPr="00CF0C5D">
      <w:rPr>
        <w:rStyle w:val="HideTWBExt"/>
        <w:noProof w:val="0"/>
      </w:rPr>
      <w:t>&lt;/Version&gt;</w:t>
    </w:r>
  </w:p>
  <w:p w:rsidR="00FB52FE" w:rsidRPr="00CF0C5D" w:rsidRDefault="007B08AD">
    <w:pPr>
      <w:pStyle w:val="EPFooter2"/>
    </w:pPr>
    <w:r w:rsidRPr="00CF0C5D">
      <w:tab/>
    </w:r>
    <w:r w:rsidRPr="00CF0C5D">
      <w:tab/>
    </w:r>
    <w:r w:rsidR="003C492D">
      <w:fldChar w:fldCharType="begin"/>
    </w:r>
    <w:r w:rsidR="003C492D">
      <w:instrText xml:space="preserve"> DOCPROPERTY "&lt;Extension&gt;" </w:instrText>
    </w:r>
    <w:r w:rsidR="003C492D">
      <w:fldChar w:fldCharType="separate"/>
    </w:r>
    <w:r w:rsidR="003C492D">
      <w:t>HR</w:t>
    </w:r>
    <w:r w:rsidR="003C492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CF0C5D" w:rsidRDefault="007B08AD" w:rsidP="00F07062">
    <w:pPr>
      <w:pStyle w:val="EPFooter"/>
    </w:pPr>
    <w:r w:rsidRPr="00CF0C5D">
      <w:rPr>
        <w:rStyle w:val="HideTWBExt"/>
        <w:noProof w:val="0"/>
      </w:rPr>
      <w:t>&lt;PathFdR&gt;</w:t>
    </w:r>
    <w:r w:rsidR="00D019E3" w:rsidRPr="00D019E3">
      <w:t>PR\1259686HR.docx</w:t>
    </w:r>
    <w:r w:rsidRPr="00CF0C5D">
      <w:rPr>
        <w:rStyle w:val="HideTWBExt"/>
        <w:noProof w:val="0"/>
      </w:rPr>
      <w:t>&lt;/PathFdR&gt;</w:t>
    </w:r>
    <w:r w:rsidRPr="00CF0C5D">
      <w:tab/>
    </w:r>
    <w:r w:rsidRPr="00CF0C5D">
      <w:tab/>
      <w:t>PE</w:t>
    </w:r>
    <w:r w:rsidRPr="00CF0C5D">
      <w:rPr>
        <w:rStyle w:val="HideTWBExt"/>
        <w:noProof w:val="0"/>
      </w:rPr>
      <w:t>&lt;NoPE&gt;</w:t>
    </w:r>
    <w:r w:rsidR="00D019E3" w:rsidRPr="00D019E3">
      <w:t>734.352</w:t>
    </w:r>
    <w:r w:rsidRPr="00CF0C5D">
      <w:rPr>
        <w:rStyle w:val="HideTWBExt"/>
        <w:noProof w:val="0"/>
      </w:rPr>
      <w:t>&lt;/NoPE&gt;&lt;Version&gt;</w:t>
    </w:r>
    <w:r w:rsidR="00CF0C5D" w:rsidRPr="00CF0C5D">
      <w:t>v</w:t>
    </w:r>
    <w:r w:rsidR="00D019E3" w:rsidRPr="00D019E3">
      <w:t>01-00</w:t>
    </w:r>
    <w:r w:rsidRPr="00CF0C5D">
      <w:rPr>
        <w:rStyle w:val="HideTWBExt"/>
        <w:noProof w:val="0"/>
      </w:rPr>
      <w:t>&lt;/Version&gt;</w:t>
    </w:r>
  </w:p>
  <w:p w:rsidR="00FB52FE" w:rsidRPr="00CF0C5D" w:rsidRDefault="007B08AD" w:rsidP="00461601">
    <w:pPr>
      <w:pStyle w:val="EPFooter2"/>
      <w:tabs>
        <w:tab w:val="clear" w:pos="4535"/>
        <w:tab w:val="center" w:pos="4536"/>
      </w:tabs>
    </w:pPr>
    <w:fldSimple w:instr=" DOCPROPERTY &quot;&lt;Extension&gt;&quot; ">
      <w:r w:rsidR="003C492D">
        <w:t>HR</w:t>
      </w:r>
    </w:fldSimple>
    <w:r w:rsidRPr="00CF0C5D">
      <w:tab/>
    </w:r>
    <w:r w:rsidR="00D019E3">
      <w:rPr>
        <w:b w:val="0"/>
        <w:i/>
        <w:color w:val="C0C0C0"/>
        <w:sz w:val="22"/>
        <w:szCs w:val="22"/>
      </w:rPr>
      <w:t>Ujedinjena u raznolikosti</w:t>
    </w:r>
    <w:r w:rsidRPr="00CF0C5D">
      <w:tab/>
    </w:r>
    <w:fldSimple w:instr=" DOCPROPERTY &quot;&lt;Extension&gt;&quot; ">
      <w:r w:rsidR="003C492D">
        <w:t>HR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FDF" w:rsidRDefault="007B08AD">
      <w:r>
        <w:separator/>
      </w:r>
    </w:p>
  </w:footnote>
  <w:footnote w:type="continuationSeparator" w:id="0">
    <w:p w:rsidR="00910FDF" w:rsidRDefault="007B0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9E3" w:rsidRDefault="00D019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9E3" w:rsidRDefault="00D019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9E3" w:rsidRDefault="00D019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NU" w:val=" 1"/>
    <w:docVar w:name="CJMNU" w:val="1"/>
    <w:docVar w:name="COMKEY" w:val="LIBE"/>
    <w:docVar w:name="DOCMNU" w:val=" 2"/>
    <w:docVar w:name="EPSTATMNU" w:val=" 5"/>
    <w:docVar w:name="INSTITUTIONSMNU" w:val=" 2"/>
    <w:docVar w:name="JURI1MNU" w:val=" 2"/>
    <w:docVar w:name="JURI2MNU" w:val=" 2"/>
    <w:docVar w:name="LastEditedSection" w:val=" 2"/>
    <w:docVar w:name="OTHERSTATMNU" w:val=" 4"/>
    <w:docVar w:name="PARLIAMENTSMNU" w:val=" 2"/>
    <w:docVar w:name="RepeatBlock-AmendHR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0000000000000000000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0000000000000000000}Calibri;}_x000d__x000a_{\fbiminor\f31507\fbidi \fswiss\fcharset0\fprq2 DokChampa{\*\falt Leelawadee UI};}{\f303\fbidi \froman\fcharset238\fprq2 Times New Roman CE;}{\f304\fbidi \froman\fcharset204\fprq2 Times New Roman Cyr;}_x000d__x000a_{\f306\fbidi \froman\fcharset161\fprq2 Times New Roman Greek;}{\f307\fbidi \froman\fcharset162\fprq2 Times New Roman Tur;}{\f308\fbidi \froman\fcharset177\fprq2 Times New Roman (Hebrew);}{\f309\fbidi \froman\fcharset178\fprq2 Times New Roman (Arabic);}_x000d__x000a_{\f310\fbidi \froman\fcharset186\fprq2 Times New Roman Baltic;}{\f311\fbidi \froman\fcharset163\fprq2 Times New Roman (Vietnamese);}{\f313\fbidi \fswiss\fcharset238\fprq2 Arial CE;}{\f314\fbidi \fswiss\fcharset204\fprq2 Arial Cyr;}_x000d__x000a_{\f316\fbidi \fswiss\fcharset161\fprq2 Arial Greek;}{\f317\fbidi \fswiss\fcharset162\fprq2 Arial Tur;}{\f318\fbidi \fswiss\fcharset177\fprq2 Arial (Hebrew);}{\f319\fbidi \fswiss\fcharset178\fprq2 Arial (Arabic);}_x000d__x000a_{\f320\fbidi \fswiss\fcharset186\fprq2 Arial Baltic;}{\f321\fbidi \fswiss\fcharset163\fprq2 Arial (Vietnamese);}{\f643\fbidi \froman\fcharset238\fprq2 Cambria Math CE;}{\f644\fbidi \froman\fcharset204\fprq2 Cambria Math Cyr;}_x000d__x000a_{\f646\fbidi \froman\fcharset161\fprq2 Cambria Math Greek;}{\f647\fbidi \froman\fcharset162\fprq2 Cambria Math Tur;}{\f650\fbidi \froman\fcharset186\fprq2 Cambria Math Baltic;}{\f65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205987 HideTWBExt;}{\*\cs18 \additive \v\f1\fs20\cf15 _x000d__x000a_\spriority0 \styrsid8205987 HideTWBInt;}{\s19\ql \li0\ri0\sa120\nowidctlpar\wrapdefault\aspalpha\aspnum\faauto\adjustright\rin0\lin0\itap0 \rtlch\fcs1 \af0\afs20\alang1025 \ltrch\fcs0 \fs24\lang1050\langfe2057\cgrid\langnp1050\langfenp2057 _x000d__x000a_\sbasedon0 \snext19 \spriority0 \styrsid8205987 Normal6a;}{\s20\ql \li0\ri0\nowidctlpar\wrapdefault\aspalpha\aspnum\faauto\adjustright\rin0\lin0\itap0 \rtlch\fcs1 \af0\afs20\alang1025 \ltrch\fcs0 \b\fs24\lang1050\langfe2057\cgrid\langnp1050\langfenp2057 _x000d__x000a_\sbasedon0 \snext20 \spriority0 \styrsid8205987 NormalBold;}{\s21\ql \li0\ri0\sa240\nowidctlpar\wrapdefault\aspalpha\aspnum\faauto\adjustright\rin0\lin0\itap0 \rtlch\fcs1 \af0\afs20\alang1025 \ltrch\fcs0 _x000d__x000a_\i\fs24\lang1050\langfe2057\cgrid\langnp1050\langfenp2057 \sbasedon0 \snext21 \spriority0 \styrsid8205987 AmJustText;}{\s22\qc \li0\ri0\sb240\sa240\nowidctlpar\wrapdefault\aspalpha\aspnum\faauto\adjustright\rin0\lin0\itap0 \rtlch\fcs1 _x000d__x000a_\af0\afs20\alang1025 \ltrch\fcs0 \i\fs24\lang1050\langfe2057\cgrid\langnp1050\langfenp2057 \sbasedon0 \snext22 \spriority0 \styrsid8205987 AmCrossRef;}{_x000d__x000a_\s23\qc \li0\ri0\sb240\sa240\keepn\nowidctlpar\wrapdefault\aspalpha\aspnum\faauto\adjustright\rin0\lin0\itap0 \rtlch\fcs1 \af0\afs20\alang1025 \ltrch\fcs0 \i\fs24\lang1050\langfe2057\cgrid\langnp1050\langfenp2057 _x000d__x000a_\sbasedon0 \snext21 \spriority0 \styrsid8205987 AmJustTitle;}{\s24\qr \li0\ri0\sb240\sa240\nowidctlpar\wrapdefault\aspalpha\aspnum\faauto\adjustright\rin0\lin0\itap0 \rtlch\fcs1 \af0\afs20\alang1025 \ltrch\fcs0 _x000d__x000a_\fs24\lang1050\langfe2057\cgrid\langnp1050\langfenp2057 \sbasedon0 \snext24 \spriority0 \styrsid8205987 AmOrLang;}{\s25\qc \li0\ri0\sa240\nowidctlpar\wrapdefault\aspalpha\aspnum\faauto\adjustright\rin0\lin0\itap0 \rtlch\fcs1 \af0\afs20\alang1025 _x000d__x000a_\ltrch\fcs0 \i\fs24\lang1050\langfe2057\cgrid\langnp1050\langfenp2057 \sbasedon0 \snext25 \spriority0 \styrsid82059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50\langfe2057\cgrid\langnp1050\langfenp2057 \sbasedon0 \snext26 \spriority0 \styrsid8205987 AmNumberTabs;}{\s27\ql \li0\ri0\sb240\nowidctlpar\wrapdefault\aspalpha\aspnum\faauto\adjustright\rin0\lin0\itap0 \rtlch\fcs1 _x000d__x000a_\af0\afs20\alang1025 \ltrch\fcs0 \b\fs24\lang1050\langfe2057\cgrid\langnp1050\langfenp2057 \sbasedon0 \snext27 \spriority0 \styrsid8205987 NormalBold12b;}}{\*\rsidtbl \rsid24658\rsid223860\rsid735077\rsid1718133\rsid2892074\rsid3565327\rsid4666813_x000d__x000a_\rsid5000685\rsid6641733\rsid7823322\rsid8205987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upr{\author VUKSAN KNE\'8eEVI? Maja}{\*\ud\uc0{\author VUKSAN KNE\'8eEVI{\uc1\u262 C Maja}}}}{\upr{\operator VUKSAN KNE\'8eEVI? Maja}_x000d__x000a_{\*\ud\uc0{\operator VUKSAN KNE\'8eEVI{\uc1\u262 C Maja}}}}{\creatim\yr2022\mo7\dy5\hr16\min32}{\revtim\yr2022\mo7\dy5\hr16\min32}{\version1}{\edmins0}{\nofpages1}{\nofwords106}{\nofchars599}{\nofcharsws697}{\vern107}}{\*\xmlnstbl {\xmlns1 http://schemas._x000d__x000a_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82059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VUKS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00068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00068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00068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00068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205987 \rtlch\fcs1 _x000d__x000a_\af0\afs20\alang1025 \ltrch\fcs0 \b\fs24\lang1050\langfe2057\cgrid\langnp1050\langfenp2057 {\rtlch\fcs1 \af0 \ltrch\fcs0 \cs17\b0\v\fs20\cf9\loch\af1\hich\af1\dbch\af31501\insrsid8205987\charrsid13569117 {\*\bkmkstart restart}_x000d__x000a_\hich\af1\dbch\af31501\loch\f1 &lt;Amend&gt;}{\rtlch\fcs1 \af0 \ltrch\fcs0 \insrsid8205987\charrsid13569117 Amandman\tab \tab }{\rtlch\fcs1 \af0 \ltrch\fcs0 \cs17\b0\v\fs20\cf9\loch\af1\hich\af1\dbch\af31501\insrsid8205987\charrsid13569117 _x000d__x000a_\hich\af1\dbch\af31501\loch\f1 &lt;NumAm&gt;}{\rtlch\fcs1 \af0 \ltrch\fcs0 \insrsid8205987\charrsid13569117 #}{\rtlch\fcs1 \af1 \ltrch\fcs0 \cs18\v\f1\fs20\cf15\insrsid8205987\charrsid13569117 ENMIENDA@NRAM@}{\rtlch\fcs1 \af0 \ltrch\fcs0 _x000d__x000a_\insrsid8205987\charrsid13569117 #}{\rtlch\fcs1 \af0 \ltrch\fcs0 \cs17\b0\v\fs20\cf9\loch\af1\hich\af1\dbch\af31501\insrsid8205987\charrsid13569117 \hich\af1\dbch\af31501\loch\f1 &lt;/NumAm&gt;}{\rtlch\fcs1 \af0 \ltrch\fcs0 \insrsid8205987\charrsid13569117 _x000d__x000a__x000d__x000a_\par }\pard\plain \ltrpar\s27\ql \li0\ri0\sb240\keepn\nowidctlpar\wrapdefault\aspalpha\aspnum\faauto\adjustright\rin0\lin0\itap0\pararsid8205987 \rtlch\fcs1 \af0\afs20\alang1025 \ltrch\fcs0 \b\fs24\lang1050\langfe2057\cgrid\langnp1050\langfenp2057 {_x000d__x000a_\rtlch\fcs1 \af0 \ltrch\fcs0 \cs17\b0\v\fs20\cf9\loch\af1\hich\af1\dbch\af31501\insrsid8205987\charrsid13569117 \hich\af1\dbch\af31501\loch\f1 &lt;DocAmend&gt;}{\rtlch\fcs1 \af0 \ltrch\fcs0 \insrsid8205987\charrsid13569117 Prijedlog #}{\rtlch\fcs1 \af1 _x000d__x000a_\ltrch\fcs0 \cs18\v\f1\fs20\cf15\insrsid8205987\charrsid13569117 MNU[DOC1][DOC2][DOC3]@DOCMSG@DOCMNU}{\rtlch\fcs1 \af0 \ltrch\fcs0 \insrsid8205987\charrsid13569117 ##}{\rtlch\fcs1 \af1 \ltrch\fcs0 \cs18\v\f1\fs20\cf15\insrsid8205987\charrsid13569117 _x000d__x000a_MNU[AMACTYES][NOTAPP]@CHOICE@AMACTMNU}{\rtlch\fcs1 \af0 \ltrch\fcs0 \insrsid8205987\charrsid13569117 #}{\rtlch\fcs1 \af0 \ltrch\fcs0 \cs17\b0\v\fs20\cf9\loch\af1\hich\af1\dbch\af31501\insrsid8205987\charrsid13569117 \hich\af1\dbch\af31501\loch\f1 _x000d__x000a_&lt;/DocAmend&gt;}{\rtlch\fcs1 \af0 \ltrch\fcs0 \insrsid8205987\charrsid13569117 _x000d__x000a_\par }\pard\plain \ltrpar\s20\ql \li0\ri0\keepn\nowidctlpar\wrapdefault\aspalpha\aspnum\faauto\adjustright\rin0\lin0\itap0\pararsid8205987 \rtlch\fcs1 \af0\afs20\alang1025 \ltrch\fcs0 \b\fs24\lang1050\langfe2057\cgrid\langnp1050\langfenp2057 {\rtlch\fcs1 \af0 _x000d__x000a_\ltrch\fcs0 \cs17\b0\v\fs20\cf9\loch\af1\hich\af1\dbch\af31501\insrsid8205987\charrsid13569117 \hich\af1\dbch\af31501\loch\f1 &lt;Article&gt;}{\rtlch\fcs1 \af0 \ltrch\fcs0 \insrsid8205987\charrsid13569117 #}{\rtlch\fcs1 \af1 \ltrch\fcs0 _x000d__x000a_\cs18\v\f1\fs20\cf15\insrsid8205987\charrsid13569117 MNU[AMACTPARTYES][AMACTPARTNO]@CHOICE@AMACTMNU}{\rtlch\fcs1 \af0 \ltrch\fcs0 \insrsid8205987\charrsid13569117 #}{\rtlch\fcs1 \af0 \ltrch\fcs0 _x000d__x000a_\cs17\b0\v\fs20\cf9\loch\af1\hich\af1\dbch\af31501\insrsid8205987\charrsid13569117 \hich\af1\dbch\af31501\loch\f1 &lt;/Article&gt;}{\rtlch\fcs1 \af0 \ltrch\fcs0 \insrsid8205987\charrsid13569117 _x000d__x000a_\par }\pard\plain \ltrpar\ql \li0\ri0\keepn\widctlpar\wrapdefault\aspalpha\aspnum\faauto\adjustright\rin0\lin0\itap0\pararsid8205987 \rtlch\fcs1 \af0\afs20\alang1025 \ltrch\fcs0 \fs24\lang2057\langfe2057\cgrid\langnp2057\langfenp2057 {\rtlch\fcs1 \af0 _x000d__x000a_\ltrch\fcs0 \cs17\v\fs20\cf9\lang1050\langfe2057\loch\af1\hich\af1\dbch\af31501\langnp1050\insrsid8205987\charrsid13569117 \hich\af1\dbch\af31501\loch\f1 &lt;DocAmend2&gt;&lt;OptDel&gt;}{\rtlch\fcs1 \af0 \ltrch\fcs0 _x000d__x000a_\lang1050\langfe2057\langnp1050\insrsid8205987\charrsid13569117 #}{\rtlch\fcs1 \af1 \ltrch\fcs0 \cs18\v\f1\fs20\cf15\lang1050\langfe2057\langnp1050\insrsid8205987\charrsid13569117 MNU[OPTNRACTYES][NOTAPP]@CHOICE@AMACTMNU}{\rtlch\fcs1 \af0 \ltrch\fcs0 _x000d__x000a_\lang1050\langfe2057\langnp1050\insrsid8205987\charrsid13569117 #}{\rtlch\fcs1 \af0 \ltrch\fcs0 \cs17\v\fs20\cf9\lang1050\langfe2057\loch\af1\hich\af1\dbch\af31501\langnp1050\insrsid8205987\charrsid13569117 \hich\af1\dbch\af31501\loch\f1 _x000d__x000a_&lt;/OptDel&gt;&lt;/DocAmend2&gt;}{\rtlch\fcs1 \af0 \ltrch\fcs0 \lang1050\langfe2057\langnp1050\insrsid8205987\charrsid13569117 _x000d__x000a_\par }\pard \ltrpar\ql \li0\ri0\widctlpar\wrapdefault\aspalpha\aspnum\faauto\adjustright\rin0\lin0\itap0\pararsid8205987 {\rtlch\fcs1 \af0 \ltrch\fcs0 _x000d__x000a_\cs17\v\fs20\cf9\lang1050\langfe2057\loch\af1\hich\af1\dbch\af31501\langnp1050\insrsid8205987\charrsid13569117 \hich\af1\dbch\af31501\loch\f1 &lt;Article2&gt;&lt;OptDel&gt;}{\rtlch\fcs1 \af0 \ltrch\fcs0 \lang1050\langfe2057\langnp1050\insrsid8205987\charrsid13569117 _x000d__x000a_#}{\rtlch\fcs1 \af1 \ltrch\fcs0 \cs18\v\f1\fs20\cf15\lang1050\langfe2057\langnp1050\insrsid8205987\charrsid13569117 MNU[OPTACTPARTYES][NOTAPP]@CHOICE@AMACTMNU}{\rtlch\fcs1 \af0 \ltrch\fcs0 \lang1050\langfe2057\langnp1050\insrsid8205987\charrsid13569117 #}_x000d__x000a_{\rtlch\fcs1 \af0 \ltrch\fcs0 \cs17\v\fs20\cf9\lang1050\langfe2057\loch\af1\hich\af1\dbch\af31501\langnp1050\insrsid8205987\charrsid13569117 \hich\af1\dbch\af31501\loch\f1 &lt;/OptDel&gt;&lt;/Article2&gt;}{\rtlch\fcs1 \af0 \ltrch\fcs0 _x000d__x000a_\lang1050\langfe2057\langnp1050\insrsid8205987\charrsid13569117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50\langfe2057\langnp1050\insrsid8205987\charrsid1356911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50\langfe2057\langnp1050\insrsid8205987\charrsid13569117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1050\langfe2057\cgrid\langnp1050\langfenp2057 {\rtlch\fcs1 \af0 \ltrch\fcs0 _x000d__x000a_\insrsid8205987\charrsid13569117 #}{\rtlch\fcs1 \af1 \ltrch\fcs0 \cs18\v\f1\fs20\cf15\insrsid8205987\charrsid13569117 MNU[OPTLEFTAMACT][LEFTPROP]@CHOICE@AMACTMNU}{\rtlch\fcs1 \af0 \ltrch\fcs0 \insrsid8205987\charrsid13569117 #\cell Izmjena\cell _x000d__x000a_}\pard\plain \ltrpar\ql \li0\ri0\widctlpar\intbl\wrapdefault\aspalpha\aspnum\faauto\adjustright\rin0\lin0 \rtlch\fcs1 \af0\afs20\alang1025 \ltrch\fcs0 \fs24\lang2057\langfe2057\cgrid\langnp2057\langfenp2057 {\rtlch\fcs1 \af0 \ltrch\fcs0 _x000d__x000a_\lang1050\langfe2057\langnp1050\insrsid8205987\charrsid13569117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2517430 \rtlch\fcs1 \af0\afs20\alang1025 \ltrch\fcs0 \fs24\lang1050\langfe2057\cgrid\langnp1050\langfenp2057 {\rtlch\fcs1 \af0 \ltrch\fcs0 _x000d__x000a_\insrsid8205987\charrsid13569117 #}{\rtlch\fcs1 \af1 \ltrch\fcs0 \cs18\v\f1\fs20\cf15\insrsid8205987\charrsid13569117 TEXTMSG}{\rtlch\fcs1 \af0 \ltrch\fcs0 \insrsid8205987\charrsid13569117 #\cell #}{\rtlch\fcs1 \af1 \ltrch\fcs0 _x000d__x000a_\cs18\v\f1\fs20\cf15\insrsid8205987\charrsid13569117 TEXTMSG}{\rtlch\fcs1 \af0 \ltrch\fcs0 \insrsid8205987\charrsid13569117 #}{\rtlch\fcs1 \af0\afs24 \ltrch\fcs0 \insrsid8205987\charrsid1356911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50\langfe2057\langnp1050\insrsid8205987\charrsid13569117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8205987 \rtlch\fcs1 \af0\afs20\alang1025 \ltrch\fcs0 \fs24\lang1050\langfe2057\cgrid\langnp1050\langfenp2057 {\rtlch\fcs1 \af0 \ltrch\fcs0 _x000d__x000a_\insrsid8205987\charrsid13569117 Or. }{\rtlch\fcs1 \af0 \ltrch\fcs0 \cs17\v\fs20\cf9\loch\af1\hich\af1\dbch\af31501\insrsid8205987\charrsid13569117 \hich\af1\dbch\af31501\loch\f1 &lt;Original&gt;}{\rtlch\fcs1 \af0 \ltrch\fcs0 \insrsid8205987\charrsid13569117 #}_x000d__x000a_{\rtlch\fcs1 \af1 \ltrch\fcs0 \cs18\v\f1\fs20\cf15\insrsid8205987\charrsid13569117 MNU[ORLANGONE][ORLANGMORE]@CHOICE@ORLANGMNU}{\rtlch\fcs1 \af0 \ltrch\fcs0 \insrsid8205987\charrsid13569117 #}{\rtlch\fcs1 \af0 \ltrch\fcs0 _x000d__x000a_\cs17\v\fs20\cf9\loch\af1\hich\af1\dbch\af31501\insrsid8205987\charrsid13569117 \hich\af1\dbch\af31501\loch\f1 &lt;/Original&gt;}{\rtlch\fcs1 \af0 \ltrch\fcs0 \insrsid8205987\charrsid13569117 _x000d__x000a_\par }\pard\plain \ltrpar\s22\qc \li0\ri0\sb240\sa240\nowidctlpar\wrapdefault\aspalpha\aspnum\faauto\adjustright\rin0\lin0\itap0\pararsid8205987 \rtlch\fcs1 \af0\afs20\alang1025 \ltrch\fcs0 \i\fs24\lang1050\langfe2057\cgrid\langnp1050\langfenp2057 {_x000d__x000a_\rtlch\fcs1 \af0 \ltrch\fcs0 \cs17\i0\v\fs20\cf9\loch\af1\hich\af1\dbch\af31501\insrsid8205987\charrsid13569117 \hich\af1\dbch\af31501\loch\f1 &lt;OptDel&gt;}{\rtlch\fcs1 \af0 \ltrch\fcs0 \insrsid8205987\charrsid13569117 #}{\rtlch\fcs1 \af1 \ltrch\fcs0 _x000d__x000a_\cs18\v\f1\fs20\cf15\insrsid8205987\charrsid13569117 MNU[CROSSREFNO][CROSSREFYES]@CHOICE@}{\rtlch\fcs1 \af0 \ltrch\fcs0 \insrsid8205987\charrsid13569117 #}{\rtlch\fcs1 \af0 \ltrch\fcs0 _x000d__x000a_\cs17\i0\v\fs20\cf9\loch\af1\hich\af1\dbch\af31501\insrsid8205987\charrsid13569117 \hich\af1\dbch\af31501\loch\f1 &lt;/OptDel&gt;}{\rtlch\fcs1 \af0 \ltrch\fcs0 \insrsid8205987\charrsid13569117 _x000d__x000a_\par }\pard\plain \ltrpar\s23\qc \li0\ri0\sb240\sa240\keepn\nowidctlpar\wrapdefault\aspalpha\aspnum\faauto\adjustright\rin0\lin0\itap0\pararsid8205987 \rtlch\fcs1 \af0\afs20\alang1025 \ltrch\fcs0 \i\fs24\lang1050\langfe2057\cgrid\langnp1050\langfenp2057 {_x000d__x000a_\rtlch\fcs1 \af0 \ltrch\fcs0 \cs17\i0\v\fs20\cf9\loch\af1\hich\af1\dbch\af31501\insrsid8205987\charrsid13569117 \hich\af1\dbch\af31501\loch\f1 &lt;TitreJust&gt;}{\rtlch\fcs1 \af0 \ltrch\fcs0 \insrsid8205987\charrsid13569117 Obrazlo\'9eenje}{\rtlch\fcs1 \af0 _x000d__x000a_\ltrch\fcs0 \cs17\i0\v\fs20\cf9\loch\af1\hich\af1\dbch\af31501\insrsid8205987\charrsid13569117 \hich\af1\dbch\af31501\loch\f1 &lt;/TitreJust&gt;}{\rtlch\fcs1 \af0 \ltrch\fcs0 \insrsid8205987\charrsid13569117 _x000d__x000a_\par }\pard\plain \ltrpar\s21\ql \li0\ri0\sa240\nowidctlpar\wrapdefault\aspalpha\aspnum\faauto\adjustright\rin0\lin0\itap0\pararsid8205987 \rtlch\fcs1 \af0\afs20\alang1025 \ltrch\fcs0 \i\fs24\lang1050\langfe2057\cgrid\langnp1050\langfenp2057 {\rtlch\fcs1 \af0 _x000d__x000a_\ltrch\fcs0 \cs17\i0\v\fs20\cf9\loch\af1\hich\af1\dbch\af31501\insrsid8205987\charrsid13569117 \hich\af1\dbch\af31501\loch\f1 &lt;OptDelPrev&gt;}{\rtlch\fcs1 \af0 \ltrch\fcs0 \insrsid8205987\charrsid13569117 #}{\rtlch\fcs1 \af1 \ltrch\fcs0 _x000d__x000a_\cs18\v\f1\fs20\cf15\insrsid8205987\charrsid13569117 MNU[TEXTJUSTYES][TEXTJUSTNO]@CHOICE@}{\rtlch\fcs1 \af0 \ltrch\fcs0 \insrsid8205987\charrsid13569117 #}{\rtlch\fcs1 \af0 \ltrch\fcs0 _x000d__x000a_\cs17\i0\v\fs20\cf9\loch\af1\hich\af1\dbch\af31501\insrsid8205987\charrsid13569117 \hich\af1\dbch\af31501\loch\f1 &lt;/OptDelPrev&gt;}{\rtlch\fcs1 \af0 \ltrch\fcs0 \insrsid8205987\charrsid13569117 _x000d__x000a_\par }\pard\plain \ltrpar\ql \li0\ri0\widctlpar\wrapdefault\aspalpha\aspnum\faauto\adjustright\rin0\lin0\itap0\pararsid8205987 \rtlch\fcs1 \af0\afs20\alang1025 \ltrch\fcs0 \fs24\lang2057\langfe2057\cgrid\langnp2057\langfenp2057 {\rtlch\fcs1 \af0 \ltrch\fcs0 _x000d__x000a_\cs17\v\fs20\cf9\lang1050\langfe2057\loch\af1\hich\af1\dbch\af31501\langnp1050\insrsid8205987\charrsid13569117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c_x000d__x000a_c3117c90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59"/>
    <w:docVar w:name="TXTAUTHOR" w:val="Emil Radev"/>
    <w:docVar w:name="TXTLANGUE" w:val="HR"/>
    <w:docVar w:name="TXTLANGUEMIN" w:val="hr"/>
    <w:docVar w:name="TXTNRC" w:val="0000/2022"/>
    <w:docVar w:name="TXTNRCOD" w:val="2021/0244"/>
    <w:docVar w:name="TXTNRCOM" w:val="(2021)0429"/>
    <w:docVar w:name="TXTNRPE" w:val="734.352"/>
    <w:docVar w:name="TXTPEorAP" w:val="PE"/>
    <w:docVar w:name="TXTROUTE" w:val="PR\1259686HR.docx"/>
    <w:docVar w:name="TXTTITLE" w:val="amending Directive (EU) 2019/1153 of the European Parliament and of the Council, as regards access of competent authorities to centralised bank account registries through the single access point"/>
    <w:docVar w:name="TXTVERSION" w:val="01-00"/>
  </w:docVars>
  <w:rsids>
    <w:rsidRoot w:val="00CF0C5D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3C492D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71F90"/>
    <w:rsid w:val="0069092A"/>
    <w:rsid w:val="006A2F5D"/>
    <w:rsid w:val="006F7907"/>
    <w:rsid w:val="00743189"/>
    <w:rsid w:val="00743D33"/>
    <w:rsid w:val="007932B3"/>
    <w:rsid w:val="00793EA9"/>
    <w:rsid w:val="007B08AD"/>
    <w:rsid w:val="007D6F68"/>
    <w:rsid w:val="00806BB7"/>
    <w:rsid w:val="0081784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0FDF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5482A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472C3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0C5D"/>
    <w:rsid w:val="00CF60C8"/>
    <w:rsid w:val="00D019E3"/>
    <w:rsid w:val="00D30DE2"/>
    <w:rsid w:val="00D32924"/>
    <w:rsid w:val="00D503A3"/>
    <w:rsid w:val="00DA6ED0"/>
    <w:rsid w:val="00DB10B9"/>
    <w:rsid w:val="00DC5011"/>
    <w:rsid w:val="00E171B6"/>
    <w:rsid w:val="00E44F7E"/>
    <w:rsid w:val="00E72695"/>
    <w:rsid w:val="00EA5F34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3F2D5-F6CD-46FA-BA19-952F082B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D019E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019E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019E3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D019E3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D019E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019E3"/>
    <w:rPr>
      <w:b/>
      <w:sz w:val="24"/>
      <w:lang w:val="hr-HR"/>
    </w:rPr>
  </w:style>
  <w:style w:type="paragraph" w:customStyle="1" w:styleId="Normal12Italic">
    <w:name w:val="Normal12Italic"/>
    <w:basedOn w:val="Normal"/>
    <w:rsid w:val="00D019E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D019E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D019E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019E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019E3"/>
    <w:pPr>
      <w:jc w:val="right"/>
    </w:pPr>
  </w:style>
  <w:style w:type="paragraph" w:styleId="Footer">
    <w:name w:val="footer"/>
    <w:basedOn w:val="Normal"/>
    <w:link w:val="FooterChar"/>
    <w:semiHidden/>
    <w:rsid w:val="00D01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019E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C6E36-B613-4795-A18E-984E7CB67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976</Words>
  <Characters>6191</Characters>
  <Application>Microsoft Office Word</Application>
  <DocSecurity>0</DocSecurity>
  <Lines>213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VUKSAN KNEŽEVIĆ Maja</dc:creator>
  <cp:lastModifiedBy>ZAJEC Morana</cp:lastModifiedBy>
  <cp:revision>2</cp:revision>
  <cp:lastPrinted>2004-11-04T09:41:00Z</cp:lastPrinted>
  <dcterms:created xsi:type="dcterms:W3CDTF">2022-07-07T12:39:00Z</dcterms:created>
  <dcterms:modified xsi:type="dcterms:W3CDTF">2022-07-07T12:39:00Z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1259686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\\eiciBRUpr1\pdocep$\DocEP\TRANSFIL\HR\PR_COD_1amCom.HR(29/06/2022 10:23:31)</vt:lpwstr>
  </property>
  <property fmtid="{D5CDD505-2E9C-101B-9397-08002B2CF9AE}" pid="7" name="&lt;Type&gt;">
    <vt:lpwstr>PR</vt:lpwstr>
  </property>
  <property fmtid="{D5CDD505-2E9C-101B-9397-08002B2CF9AE}" pid="8" name="Bookout">
    <vt:lpwstr>OK - 2022/07/07 14:39</vt:lpwstr>
  </property>
  <property fmtid="{D5CDD505-2E9C-101B-9397-08002B2CF9AE}" pid="9" name="Created with">
    <vt:lpwstr>9.11.0 Build [20211103]</vt:lpwstr>
  </property>
  <property fmtid="{D5CDD505-2E9C-101B-9397-08002B2CF9AE}" pid="10" name="FooterPath">
    <vt:lpwstr>PR\1259686HR.docx</vt:lpwstr>
  </property>
  <property fmtid="{D5CDD505-2E9C-101B-9397-08002B2CF9AE}" pid="11" name="LastEdited with">
    <vt:lpwstr>9.11.0 Build [20211103]</vt:lpwstr>
  </property>
  <property fmtid="{D5CDD505-2E9C-101B-9397-08002B2CF9AE}" pid="12" name="PE number">
    <vt:lpwstr>734.352</vt:lpwstr>
  </property>
  <property fmtid="{D5CDD505-2E9C-101B-9397-08002B2CF9AE}" pid="13" name="SDLStudio">
    <vt:lpwstr/>
  </property>
</Properties>
</file>