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F39E1" w:rsidRPr="00A121F2" w:rsidTr="00C85D0F">
        <w:trPr>
          <w:trHeight w:hRule="exact" w:val="1418"/>
        </w:trPr>
        <w:tc>
          <w:tcPr>
            <w:tcW w:w="6804" w:type="dxa"/>
            <w:shd w:val="clear" w:color="auto" w:fill="auto"/>
            <w:vAlign w:val="center"/>
          </w:tcPr>
          <w:p w:rsidR="00B13D6F" w:rsidRPr="00A121F2" w:rsidRDefault="004660B6" w:rsidP="00C85D0F">
            <w:pPr>
              <w:pStyle w:val="EPName"/>
            </w:pPr>
            <w:r w:rsidRPr="00A121F2">
              <w:t>Parlamento europeo</w:t>
            </w:r>
          </w:p>
          <w:p w:rsidR="00B13D6F" w:rsidRPr="00A121F2" w:rsidRDefault="004660B6" w:rsidP="00EF6AA3">
            <w:pPr>
              <w:pStyle w:val="EPTerm"/>
            </w:pPr>
            <w:r w:rsidRPr="00A121F2">
              <w:t>2019-2024</w:t>
            </w:r>
          </w:p>
        </w:tc>
        <w:tc>
          <w:tcPr>
            <w:tcW w:w="2268" w:type="dxa"/>
            <w:shd w:val="clear" w:color="auto" w:fill="auto"/>
          </w:tcPr>
          <w:p w:rsidR="00B13D6F" w:rsidRPr="00A121F2" w:rsidRDefault="004660B6" w:rsidP="00C85D0F">
            <w:pPr>
              <w:pStyle w:val="EPLogo"/>
            </w:pPr>
            <w:r w:rsidRPr="00A121F2">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10596"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A121F2" w:rsidRDefault="00461601" w:rsidP="00461601">
      <w:pPr>
        <w:pStyle w:val="LineTop"/>
      </w:pPr>
    </w:p>
    <w:p w:rsidR="00461601" w:rsidRPr="00A121F2" w:rsidRDefault="004660B6" w:rsidP="00461601">
      <w:pPr>
        <w:pStyle w:val="EPBody"/>
      </w:pPr>
      <w:r w:rsidRPr="00A121F2">
        <w:rPr>
          <w:rStyle w:val="HideTWBExt"/>
          <w:noProof w:val="0"/>
          <w:color w:val="auto"/>
        </w:rPr>
        <w:t>&lt;</w:t>
      </w:r>
      <w:r w:rsidRPr="00A121F2">
        <w:rPr>
          <w:rStyle w:val="HideTWBExt"/>
          <w:i w:val="0"/>
          <w:noProof w:val="0"/>
          <w:color w:val="auto"/>
        </w:rPr>
        <w:t>Commission</w:t>
      </w:r>
      <w:r w:rsidRPr="00A121F2">
        <w:rPr>
          <w:rStyle w:val="HideTWBExt"/>
          <w:noProof w:val="0"/>
          <w:color w:val="auto"/>
        </w:rPr>
        <w:t>&gt;</w:t>
      </w:r>
      <w:r w:rsidRPr="00A121F2">
        <w:rPr>
          <w:rStyle w:val="HideTWBInt"/>
          <w:color w:val="auto"/>
        </w:rPr>
        <w:t>{LIBE}</w:t>
      </w:r>
      <w:r w:rsidRPr="00A121F2">
        <w:t>Commissione per le libertà civili, la giustizia e gli affari interni</w:t>
      </w:r>
      <w:r w:rsidRPr="00A121F2">
        <w:rPr>
          <w:rStyle w:val="HideTWBExt"/>
          <w:noProof w:val="0"/>
          <w:color w:val="auto"/>
        </w:rPr>
        <w:t>&lt;/</w:t>
      </w:r>
      <w:r w:rsidRPr="00A121F2">
        <w:rPr>
          <w:rStyle w:val="HideTWBExt"/>
          <w:i w:val="0"/>
          <w:noProof w:val="0"/>
          <w:color w:val="auto"/>
        </w:rPr>
        <w:t>Commission</w:t>
      </w:r>
      <w:r w:rsidRPr="00A121F2">
        <w:rPr>
          <w:rStyle w:val="HideTWBExt"/>
          <w:noProof w:val="0"/>
          <w:color w:val="auto"/>
        </w:rPr>
        <w:t>&gt;</w:t>
      </w:r>
    </w:p>
    <w:p w:rsidR="00461601" w:rsidRPr="00A121F2" w:rsidRDefault="00461601" w:rsidP="00461601">
      <w:pPr>
        <w:pStyle w:val="LineBottom"/>
      </w:pPr>
    </w:p>
    <w:p w:rsidR="00793EA9" w:rsidRPr="00A121F2" w:rsidRDefault="004660B6">
      <w:pPr>
        <w:pStyle w:val="CoverReference"/>
      </w:pPr>
      <w:r w:rsidRPr="00A121F2">
        <w:rPr>
          <w:rStyle w:val="HideTWBExt"/>
          <w:b w:val="0"/>
          <w:noProof w:val="0"/>
          <w:color w:val="auto"/>
        </w:rPr>
        <w:t>&lt;RefProc&gt;</w:t>
      </w:r>
      <w:r w:rsidRPr="00A121F2">
        <w:t>2021/0410</w:t>
      </w:r>
      <w:r w:rsidRPr="00A121F2">
        <w:rPr>
          <w:rStyle w:val="HideTWBExt"/>
          <w:b w:val="0"/>
          <w:noProof w:val="0"/>
          <w:color w:val="auto"/>
        </w:rPr>
        <w:t>&lt;/RefProc&gt;&lt;RefTypeProc&gt;</w:t>
      </w:r>
      <w:r w:rsidRPr="00A121F2">
        <w:t>(COD)</w:t>
      </w:r>
      <w:r w:rsidRPr="00A121F2">
        <w:rPr>
          <w:rStyle w:val="HideTWBExt"/>
          <w:b w:val="0"/>
          <w:noProof w:val="0"/>
          <w:color w:val="auto"/>
        </w:rPr>
        <w:t>&lt;/RefTypeProc&gt;</w:t>
      </w:r>
    </w:p>
    <w:p w:rsidR="00793EA9" w:rsidRPr="00A121F2" w:rsidRDefault="004660B6">
      <w:pPr>
        <w:pStyle w:val="CoverDate"/>
      </w:pPr>
      <w:r w:rsidRPr="00A121F2">
        <w:rPr>
          <w:rStyle w:val="HideTWBExt"/>
          <w:noProof w:val="0"/>
          <w:color w:val="auto"/>
        </w:rPr>
        <w:t>&lt;Date&gt;</w:t>
      </w:r>
      <w:r w:rsidRPr="00A121F2">
        <w:rPr>
          <w:rStyle w:val="HideTWBInt"/>
          <w:color w:val="auto"/>
        </w:rPr>
        <w:t>{19/09/2022}</w:t>
      </w:r>
      <w:r w:rsidRPr="00A121F2">
        <w:t>19.9.2022</w:t>
      </w:r>
      <w:r w:rsidRPr="00A121F2">
        <w:rPr>
          <w:rStyle w:val="HideTWBExt"/>
          <w:noProof w:val="0"/>
          <w:color w:val="auto"/>
        </w:rPr>
        <w:t>&lt;/Date&gt;</w:t>
      </w:r>
    </w:p>
    <w:p w:rsidR="00793EA9" w:rsidRPr="00A121F2" w:rsidRDefault="004660B6">
      <w:pPr>
        <w:pStyle w:val="CoverDocType"/>
      </w:pPr>
      <w:r w:rsidRPr="00A121F2">
        <w:rPr>
          <w:rStyle w:val="HideTWBExt"/>
          <w:b w:val="0"/>
          <w:noProof w:val="0"/>
          <w:color w:val="auto"/>
        </w:rPr>
        <w:t>&lt;RefProcLect&gt;</w:t>
      </w:r>
      <w:r w:rsidRPr="00A121F2">
        <w:t>***I</w:t>
      </w:r>
      <w:r w:rsidRPr="00A121F2">
        <w:rPr>
          <w:rStyle w:val="HideTWBExt"/>
          <w:b w:val="0"/>
          <w:noProof w:val="0"/>
          <w:color w:val="auto"/>
        </w:rPr>
        <w:t>&lt;/RefProcLect&gt;</w:t>
      </w:r>
    </w:p>
    <w:p w:rsidR="00793EA9" w:rsidRPr="00A121F2" w:rsidRDefault="004660B6">
      <w:pPr>
        <w:pStyle w:val="CoverDocType24a"/>
      </w:pPr>
      <w:r w:rsidRPr="00A121F2">
        <w:rPr>
          <w:rStyle w:val="HideTWBExt"/>
          <w:b w:val="0"/>
          <w:noProof w:val="0"/>
          <w:color w:val="auto"/>
        </w:rPr>
        <w:t>&lt;TitreType&gt;</w:t>
      </w:r>
      <w:r w:rsidRPr="00A121F2">
        <w:t>PROGETTO DI RELAZIONE</w:t>
      </w:r>
      <w:r w:rsidRPr="00A121F2">
        <w:rPr>
          <w:rStyle w:val="HideTWBExt"/>
          <w:b w:val="0"/>
          <w:noProof w:val="0"/>
          <w:color w:val="auto"/>
        </w:rPr>
        <w:t>&lt;/TitreType&gt;</w:t>
      </w:r>
    </w:p>
    <w:p w:rsidR="00793EA9" w:rsidRPr="00A121F2" w:rsidRDefault="004660B6">
      <w:pPr>
        <w:pStyle w:val="CoverNormal"/>
      </w:pPr>
      <w:r w:rsidRPr="00A121F2">
        <w:rPr>
          <w:rStyle w:val="HideTWBExt"/>
          <w:noProof w:val="0"/>
          <w:color w:val="auto"/>
        </w:rPr>
        <w:t>&lt;Titre&gt;</w:t>
      </w:r>
      <w:r w:rsidRPr="00A121F2">
        <w:t>sulla proposta di regolamento del Parlamento europeo e del Consiglio sullo scambio automatizzato di dati per la cooperazione di polizia ("Prüm II"), che modifica le decisioni 2008/615/GAI e</w:t>
      </w:r>
      <w:r w:rsidRPr="00A121F2">
        <w:t xml:space="preserve"> 2008/616/GAI del Consiglio e i regolamenti (UE) 2018/1726, (UE) 2019/817 e (UE) 2019/818 del Parlamento europeo e del Consiglio</w:t>
      </w:r>
      <w:r w:rsidRPr="00A121F2">
        <w:rPr>
          <w:rStyle w:val="HideTWBExt"/>
          <w:noProof w:val="0"/>
          <w:color w:val="auto"/>
        </w:rPr>
        <w:t>&lt;/Titre&gt;</w:t>
      </w:r>
    </w:p>
    <w:p w:rsidR="00793EA9" w:rsidRPr="00A121F2" w:rsidRDefault="004660B6">
      <w:pPr>
        <w:pStyle w:val="CoverNormal24a"/>
      </w:pPr>
      <w:r w:rsidRPr="00A121F2">
        <w:rPr>
          <w:rStyle w:val="HideTWBExt"/>
          <w:noProof w:val="0"/>
          <w:color w:val="auto"/>
        </w:rPr>
        <w:t>&lt;DocRef&gt;</w:t>
      </w:r>
      <w:r w:rsidRPr="00A121F2">
        <w:t>(COM(2021)0784 – C9</w:t>
      </w:r>
      <w:r w:rsidRPr="00A121F2">
        <w:noBreakHyphen/>
        <w:t>0455/2021 – 2021/0410(COD))</w:t>
      </w:r>
      <w:r w:rsidRPr="00A121F2">
        <w:rPr>
          <w:rStyle w:val="HideTWBExt"/>
          <w:noProof w:val="0"/>
          <w:color w:val="auto"/>
        </w:rPr>
        <w:t>&lt;/DocRef&gt;</w:t>
      </w:r>
    </w:p>
    <w:p w:rsidR="00793EA9" w:rsidRPr="00A121F2" w:rsidRDefault="004660B6">
      <w:pPr>
        <w:pStyle w:val="CoverNormal24a"/>
      </w:pPr>
      <w:r w:rsidRPr="00A121F2">
        <w:rPr>
          <w:rStyle w:val="HideTWBExt"/>
          <w:noProof w:val="0"/>
          <w:color w:val="auto"/>
        </w:rPr>
        <w:t>&lt;Commission&gt;</w:t>
      </w:r>
      <w:r w:rsidRPr="00A121F2">
        <w:rPr>
          <w:rStyle w:val="HideTWBInt"/>
          <w:color w:val="auto"/>
        </w:rPr>
        <w:t>{LIBE}</w:t>
      </w:r>
      <w:r w:rsidRPr="00A121F2">
        <w:t>Commissione per le libertà civili, l</w:t>
      </w:r>
      <w:r w:rsidRPr="00A121F2">
        <w:t>a giustizia e gli affari interni</w:t>
      </w:r>
      <w:r w:rsidRPr="00A121F2">
        <w:rPr>
          <w:rStyle w:val="HideTWBExt"/>
          <w:noProof w:val="0"/>
          <w:color w:val="auto"/>
        </w:rPr>
        <w:t>&lt;/Commission&gt;</w:t>
      </w:r>
    </w:p>
    <w:p w:rsidR="00793EA9" w:rsidRPr="00A121F2" w:rsidRDefault="004660B6">
      <w:pPr>
        <w:pStyle w:val="CoverNormal24a"/>
      </w:pPr>
      <w:r w:rsidRPr="00A121F2">
        <w:t xml:space="preserve">Relatore: </w:t>
      </w:r>
      <w:r w:rsidRPr="00A121F2">
        <w:rPr>
          <w:rStyle w:val="HideTWBExt"/>
          <w:noProof w:val="0"/>
          <w:color w:val="auto"/>
        </w:rPr>
        <w:t>&lt;Depute&gt;</w:t>
      </w:r>
      <w:r w:rsidRPr="00A121F2">
        <w:t>Paulo Rangel</w:t>
      </w:r>
      <w:r w:rsidRPr="00A121F2">
        <w:rPr>
          <w:rStyle w:val="HideTWBExt"/>
          <w:noProof w:val="0"/>
          <w:color w:val="auto"/>
        </w:rPr>
        <w:t>&lt;/Depute&gt;</w:t>
      </w:r>
    </w:p>
    <w:p w:rsidR="001C5B44" w:rsidRPr="00A121F2" w:rsidRDefault="001C5B44" w:rsidP="001C5B44">
      <w:pPr>
        <w:pStyle w:val="CoverNormal"/>
      </w:pPr>
    </w:p>
    <w:p w:rsidR="00EF6AA3" w:rsidRPr="00A121F2" w:rsidRDefault="004660B6" w:rsidP="00894923">
      <w:r w:rsidRPr="00A121F2">
        <w:br w:type="page"/>
      </w:r>
      <w:r w:rsidR="00CF7292" w:rsidRPr="00A121F2">
        <w:lastRenderedPageBreak/>
        <w:fldChar w:fldCharType="begin"/>
      </w:r>
      <w:r w:rsidRPr="00A121F2">
        <w:instrText xml:space="preserve"> TITLE  \* MERGEFORMAT </w:instrText>
      </w:r>
      <w:r w:rsidR="00CF7292" w:rsidRPr="00A121F2">
        <w:fldChar w:fldCharType="separate"/>
      </w:r>
      <w:r>
        <w:t>PR_COD_1amCom</w:t>
      </w:r>
      <w:r w:rsidR="00CF7292" w:rsidRPr="00A121F2">
        <w:fldChar w:fldCharType="end"/>
      </w:r>
    </w:p>
    <w:p w:rsidR="00EF6AA3" w:rsidRPr="00A121F2" w:rsidRDefault="00EF6AA3" w:rsidP="00894923"/>
    <w:p w:rsidR="00EF6AA3" w:rsidRPr="00A121F2" w:rsidRDefault="00EF6AA3"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AF580A" w:rsidRPr="00A121F2">
        <w:tc>
          <w:tcPr>
            <w:tcW w:w="5811" w:type="dxa"/>
          </w:tcPr>
          <w:p w:rsidR="00EF6AA3" w:rsidRPr="00A121F2" w:rsidRDefault="004660B6" w:rsidP="00894923">
            <w:pPr>
              <w:pStyle w:val="Lgendetitre"/>
            </w:pPr>
            <w:r w:rsidRPr="00A121F2">
              <w:t>Significato dei simboli utilizzati</w:t>
            </w:r>
          </w:p>
        </w:tc>
      </w:tr>
      <w:tr w:rsidR="002F39E1" w:rsidRPr="00A121F2" w:rsidTr="00C50C36">
        <w:trPr>
          <w:cantSplit/>
          <w:trHeight w:val="1944"/>
        </w:trPr>
        <w:tc>
          <w:tcPr>
            <w:tcW w:w="5811" w:type="dxa"/>
            <w:tcBorders>
              <w:bottom w:val="single" w:sz="4" w:space="0" w:color="auto"/>
            </w:tcBorders>
          </w:tcPr>
          <w:p w:rsidR="00EF6AA3" w:rsidRPr="00A121F2" w:rsidRDefault="004660B6" w:rsidP="00275D31">
            <w:pPr>
              <w:pStyle w:val="Lgendesigne"/>
            </w:pPr>
            <w:r w:rsidRPr="00A121F2">
              <w:tab/>
              <w:t>*</w:t>
            </w:r>
            <w:r w:rsidRPr="00A121F2">
              <w:tab/>
              <w:t>Procedura di consultazione</w:t>
            </w:r>
          </w:p>
          <w:p w:rsidR="00EF6AA3" w:rsidRPr="00A121F2" w:rsidRDefault="004660B6" w:rsidP="00275D31">
            <w:pPr>
              <w:pStyle w:val="Lgendesigne"/>
            </w:pPr>
            <w:r w:rsidRPr="00A121F2">
              <w:tab/>
              <w:t>***</w:t>
            </w:r>
            <w:r w:rsidRPr="00A121F2">
              <w:tab/>
              <w:t>Procedura di approvazione</w:t>
            </w:r>
          </w:p>
          <w:p w:rsidR="00EF6AA3" w:rsidRPr="00A121F2" w:rsidRDefault="004660B6" w:rsidP="00275D31">
            <w:pPr>
              <w:pStyle w:val="Lgendesigne"/>
            </w:pPr>
            <w:r w:rsidRPr="00A121F2">
              <w:tab/>
              <w:t>***I</w:t>
            </w:r>
            <w:r w:rsidRPr="00A121F2">
              <w:tab/>
            </w:r>
            <w:r w:rsidRPr="00A121F2">
              <w:t>Procedura legislativa ordinaria (prima lettura)</w:t>
            </w:r>
          </w:p>
          <w:p w:rsidR="00EF6AA3" w:rsidRPr="00A121F2" w:rsidRDefault="004660B6" w:rsidP="00275D31">
            <w:pPr>
              <w:pStyle w:val="Lgendesigne"/>
            </w:pPr>
            <w:r w:rsidRPr="00A121F2">
              <w:tab/>
              <w:t>***II</w:t>
            </w:r>
            <w:r w:rsidRPr="00A121F2">
              <w:tab/>
              <w:t>Procedura legislativa ordinaria (seconda lettura)</w:t>
            </w:r>
          </w:p>
          <w:p w:rsidR="00EF6AA3" w:rsidRPr="00A121F2" w:rsidRDefault="004660B6" w:rsidP="00275D31">
            <w:pPr>
              <w:pStyle w:val="Lgendesigne"/>
            </w:pPr>
            <w:r w:rsidRPr="00A121F2">
              <w:tab/>
              <w:t>***III</w:t>
            </w:r>
            <w:r w:rsidRPr="00A121F2">
              <w:tab/>
              <w:t>Procedura legislativa ordinaria (terza lettura)</w:t>
            </w:r>
          </w:p>
          <w:p w:rsidR="00EF6AA3" w:rsidRPr="00A121F2" w:rsidRDefault="00EF6AA3" w:rsidP="00275D31">
            <w:pPr>
              <w:pStyle w:val="Lgendestandard"/>
            </w:pPr>
          </w:p>
          <w:p w:rsidR="00EF6AA3" w:rsidRPr="00A121F2" w:rsidRDefault="004660B6" w:rsidP="00275D31">
            <w:pPr>
              <w:pStyle w:val="Lgendestandard"/>
            </w:pPr>
            <w:r w:rsidRPr="00A121F2">
              <w:t>(La procedura indicata dipende dalla base giuridica proposta nel progetto di atto.)</w:t>
            </w:r>
          </w:p>
          <w:p w:rsidR="00EF6AA3" w:rsidRPr="00A121F2" w:rsidRDefault="00EF6AA3" w:rsidP="00894923"/>
        </w:tc>
      </w:tr>
    </w:tbl>
    <w:p w:rsidR="00EF6AA3" w:rsidRPr="00A121F2" w:rsidRDefault="00EF6AA3" w:rsidP="00894923"/>
    <w:p w:rsidR="00EF6AA3" w:rsidRPr="00A121F2" w:rsidRDefault="00EF6AA3" w:rsidP="00894923"/>
    <w:p w:rsidR="00EF6AA3" w:rsidRPr="00A121F2" w:rsidRDefault="00EF6AA3" w:rsidP="00894923"/>
    <w:p w:rsidR="00EF6AA3" w:rsidRPr="00A121F2" w:rsidRDefault="00EF6AA3"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AF580A" w:rsidRPr="00A121F2">
        <w:tc>
          <w:tcPr>
            <w:tcW w:w="5811" w:type="dxa"/>
          </w:tcPr>
          <w:p w:rsidR="00EF6AA3" w:rsidRPr="00A121F2" w:rsidRDefault="004660B6" w:rsidP="00894923">
            <w:pPr>
              <w:pStyle w:val="Lgendetitre"/>
            </w:pPr>
            <w:r w:rsidRPr="00A121F2">
              <w:t>Emendamenti a un progetto di atto</w:t>
            </w:r>
          </w:p>
        </w:tc>
      </w:tr>
      <w:tr w:rsidR="002F39E1" w:rsidRPr="00A121F2" w:rsidTr="005E290D">
        <w:trPr>
          <w:trHeight w:val="4923"/>
        </w:trPr>
        <w:tc>
          <w:tcPr>
            <w:tcW w:w="5811" w:type="dxa"/>
          </w:tcPr>
          <w:p w:rsidR="00EF6AA3" w:rsidRPr="00A121F2" w:rsidRDefault="004660B6" w:rsidP="0073251B">
            <w:pPr>
              <w:pStyle w:val="Lgendestandard"/>
              <w:rPr>
                <w:b/>
              </w:rPr>
            </w:pPr>
            <w:r w:rsidRPr="00A121F2">
              <w:rPr>
                <w:b/>
              </w:rPr>
              <w:t>Emendamenti del Parlamento presentati su due colonne</w:t>
            </w:r>
          </w:p>
          <w:p w:rsidR="00EF6AA3" w:rsidRPr="00A121F2" w:rsidRDefault="00EF6AA3" w:rsidP="0073251B">
            <w:pPr>
              <w:pStyle w:val="Lgendestandard"/>
            </w:pPr>
          </w:p>
          <w:p w:rsidR="00EF6AA3" w:rsidRPr="00A121F2" w:rsidRDefault="004660B6" w:rsidP="0073251B">
            <w:pPr>
              <w:pStyle w:val="Lgendestandard"/>
            </w:pPr>
            <w:r w:rsidRPr="00A121F2">
              <w:t xml:space="preserve">Le soppressioni sono evidenziate in </w:t>
            </w:r>
            <w:r w:rsidRPr="00A121F2">
              <w:rPr>
                <w:b/>
                <w:i/>
              </w:rPr>
              <w:t xml:space="preserve">corsivo grassetto </w:t>
            </w:r>
            <w:r w:rsidRPr="00A121F2">
              <w:t xml:space="preserve">nella colonna di sinistra. Le sostituzioni sono evidenziate in </w:t>
            </w:r>
            <w:r w:rsidRPr="00A121F2">
              <w:rPr>
                <w:b/>
                <w:i/>
              </w:rPr>
              <w:t xml:space="preserve">corsivo grassetto </w:t>
            </w:r>
            <w:r w:rsidRPr="00A121F2">
              <w:t xml:space="preserve">nelle due colonne. </w:t>
            </w:r>
            <w:r w:rsidRPr="00A121F2">
              <w:t xml:space="preserve">Il testo nuovo è evidenziato in </w:t>
            </w:r>
            <w:r w:rsidRPr="00A121F2">
              <w:rPr>
                <w:b/>
                <w:i/>
              </w:rPr>
              <w:t xml:space="preserve">corsivo grassetto </w:t>
            </w:r>
            <w:r w:rsidRPr="00A121F2">
              <w:t>nella colonna di destra.</w:t>
            </w:r>
          </w:p>
          <w:p w:rsidR="00EF6AA3" w:rsidRPr="00A121F2" w:rsidRDefault="00EF6AA3" w:rsidP="0073251B">
            <w:pPr>
              <w:pStyle w:val="Lgendestandard"/>
            </w:pPr>
          </w:p>
          <w:p w:rsidR="00EF6AA3" w:rsidRPr="00A121F2" w:rsidRDefault="004660B6" w:rsidP="0073251B">
            <w:pPr>
              <w:pStyle w:val="Lgendestandard"/>
            </w:pPr>
            <w:r w:rsidRPr="00A121F2">
              <w:t>La prima e la seconda riga del blocco d'informazione di ogni emendamento identificano la parte di testo interessata del progetto di atto in esame. Se un emendamento verte su un att</w:t>
            </w:r>
            <w:r w:rsidRPr="00A121F2">
              <w:t xml:space="preserve">o esistente che il progetto di atto intende modificare, il blocco d'informazione comprende anche una terza e una quarta riga che identificano rispettivamente l'atto esistente e la disposizione interessata di quest'ultimo. </w:t>
            </w:r>
          </w:p>
          <w:p w:rsidR="00EF6AA3" w:rsidRPr="00A121F2" w:rsidRDefault="00EF6AA3" w:rsidP="0073251B">
            <w:pPr>
              <w:pStyle w:val="Lgendestandard"/>
            </w:pPr>
          </w:p>
          <w:p w:rsidR="00EF6AA3" w:rsidRPr="00A121F2" w:rsidRDefault="004660B6" w:rsidP="0073251B">
            <w:pPr>
              <w:pStyle w:val="Lgendestandard"/>
              <w:rPr>
                <w:b/>
              </w:rPr>
            </w:pPr>
            <w:r w:rsidRPr="00A121F2">
              <w:rPr>
                <w:b/>
              </w:rPr>
              <w:t>Emendamenti del Parlamento prese</w:t>
            </w:r>
            <w:r w:rsidRPr="00A121F2">
              <w:rPr>
                <w:b/>
              </w:rPr>
              <w:t>ntati in forma di testo consolidato</w:t>
            </w:r>
          </w:p>
          <w:p w:rsidR="00EF6AA3" w:rsidRPr="00A121F2" w:rsidRDefault="00EF6AA3" w:rsidP="0073251B">
            <w:pPr>
              <w:pStyle w:val="Lgendestandard"/>
              <w:rPr>
                <w:b/>
              </w:rPr>
            </w:pPr>
          </w:p>
          <w:p w:rsidR="00EF6AA3" w:rsidRPr="00A121F2" w:rsidRDefault="004660B6" w:rsidP="0073251B">
            <w:pPr>
              <w:pStyle w:val="Lgendestandard"/>
              <w:rPr>
                <w:szCs w:val="18"/>
              </w:rPr>
            </w:pPr>
            <w:r w:rsidRPr="00A121F2">
              <w:t xml:space="preserve">Le parti di testo nuove sono evidenziate in </w:t>
            </w:r>
            <w:r w:rsidRPr="00A121F2">
              <w:rPr>
                <w:b/>
                <w:i/>
              </w:rPr>
              <w:t>corsivo grassetto</w:t>
            </w:r>
            <w:r w:rsidRPr="00A121F2">
              <w:t xml:space="preserve">. Le parti di testo soppresse sono indicate con il simbolo ▌ o sono barrate. Le sostituzioni sono segnalate evidenziando in </w:t>
            </w:r>
            <w:r w:rsidRPr="00A121F2">
              <w:rPr>
                <w:b/>
                <w:i/>
              </w:rPr>
              <w:t xml:space="preserve">corsivo grassetto </w:t>
            </w:r>
            <w:r w:rsidRPr="00A121F2">
              <w:t>il testo nuovo e</w:t>
            </w:r>
            <w:r w:rsidRPr="00A121F2">
              <w:t>d eliminando o barrando il testo sostituito.</w:t>
            </w:r>
          </w:p>
          <w:p w:rsidR="00EF6AA3" w:rsidRPr="00A121F2" w:rsidRDefault="004660B6" w:rsidP="0073251B">
            <w:pPr>
              <w:pStyle w:val="Lgendestandard"/>
            </w:pPr>
            <w:r w:rsidRPr="00A121F2">
              <w:t>A titolo di eccezione, le modifiche di carattere strettamente tecnico apportate dai servizi in vista dell'elaborazione del testo finale non sono evidenziate.</w:t>
            </w:r>
          </w:p>
          <w:p w:rsidR="00EF6AA3" w:rsidRPr="00A121F2" w:rsidRDefault="00EF6AA3" w:rsidP="0069092A">
            <w:pPr>
              <w:pStyle w:val="Lgendestandard"/>
            </w:pPr>
          </w:p>
        </w:tc>
      </w:tr>
    </w:tbl>
    <w:p w:rsidR="00EF6AA3" w:rsidRPr="00A121F2" w:rsidRDefault="00EF6AA3" w:rsidP="00894923"/>
    <w:p w:rsidR="00793EA9" w:rsidRPr="00A121F2" w:rsidRDefault="00793EA9" w:rsidP="00012351">
      <w:pPr>
        <w:widowControl/>
        <w:tabs>
          <w:tab w:val="center" w:pos="4677"/>
        </w:tabs>
      </w:pPr>
    </w:p>
    <w:p w:rsidR="00793EA9" w:rsidRPr="00A121F2" w:rsidRDefault="004660B6">
      <w:pPr>
        <w:pStyle w:val="TOCHeading"/>
      </w:pPr>
      <w:r w:rsidRPr="00A121F2">
        <w:br w:type="page"/>
      </w:r>
      <w:r w:rsidRPr="00A121F2">
        <w:lastRenderedPageBreak/>
        <w:t>INDICE</w:t>
      </w:r>
    </w:p>
    <w:p w:rsidR="00793EA9" w:rsidRPr="00A121F2" w:rsidRDefault="004660B6">
      <w:pPr>
        <w:pStyle w:val="TOCPage"/>
      </w:pPr>
      <w:r w:rsidRPr="00A121F2">
        <w:t>Pagina</w:t>
      </w:r>
    </w:p>
    <w:p w:rsidR="004660B6" w:rsidRDefault="004660B6">
      <w:pPr>
        <w:pStyle w:val="TOC1"/>
        <w:tabs>
          <w:tab w:val="right" w:leader="dot" w:pos="9060"/>
        </w:tabs>
        <w:rPr>
          <w:rFonts w:asciiTheme="minorHAnsi" w:eastAsiaTheme="minorEastAsia" w:hAnsiTheme="minorHAnsi" w:cstheme="minorBidi"/>
          <w:noProof/>
          <w:sz w:val="22"/>
          <w:szCs w:val="22"/>
          <w:lang w:val="en-GB"/>
        </w:rPr>
      </w:pPr>
      <w:r w:rsidRPr="00A121F2">
        <w:rPr>
          <w:b/>
        </w:rPr>
        <w:fldChar w:fldCharType="begin"/>
      </w:r>
      <w:r w:rsidRPr="00A121F2">
        <w:rPr>
          <w:b/>
        </w:rPr>
        <w:instrText xml:space="preserve"> TOC \t "PageHeading</w:instrText>
      </w:r>
      <w:r w:rsidR="00AF580A" w:rsidRPr="00A121F2">
        <w:rPr>
          <w:b/>
        </w:rPr>
        <w:instrText>;</w:instrText>
      </w:r>
      <w:r w:rsidRPr="00A121F2">
        <w:rPr>
          <w:b/>
        </w:rPr>
        <w:instrText xml:space="preserve">1" </w:instrText>
      </w:r>
      <w:r w:rsidRPr="00A121F2">
        <w:rPr>
          <w:b/>
        </w:rPr>
        <w:fldChar w:fldCharType="separate"/>
      </w:r>
      <w:r>
        <w:rPr>
          <w:noProof/>
        </w:rPr>
        <w:t>PROGETTO DI RISOLUZIONE LEGISLATIVA DEL PARLAMENTO EUROPEO</w:t>
      </w:r>
      <w:r>
        <w:rPr>
          <w:noProof/>
        </w:rPr>
        <w:tab/>
      </w:r>
      <w:r>
        <w:rPr>
          <w:noProof/>
        </w:rPr>
        <w:fldChar w:fldCharType="begin"/>
      </w:r>
      <w:r>
        <w:rPr>
          <w:noProof/>
        </w:rPr>
        <w:instrText xml:space="preserve"> PAGEREF _Toc116026691 \h </w:instrText>
      </w:r>
      <w:r>
        <w:rPr>
          <w:noProof/>
        </w:rPr>
      </w:r>
      <w:r>
        <w:rPr>
          <w:noProof/>
        </w:rPr>
        <w:fldChar w:fldCharType="separate"/>
      </w:r>
      <w:r>
        <w:rPr>
          <w:noProof/>
        </w:rPr>
        <w:t>5</w:t>
      </w:r>
      <w:r>
        <w:rPr>
          <w:noProof/>
        </w:rPr>
        <w:fldChar w:fldCharType="end"/>
      </w:r>
    </w:p>
    <w:p w:rsidR="002346B0" w:rsidRPr="00A121F2" w:rsidRDefault="004660B6" w:rsidP="00C23324">
      <w:r w:rsidRPr="00A121F2">
        <w:rPr>
          <w:b/>
        </w:rPr>
        <w:fldChar w:fldCharType="end"/>
      </w:r>
    </w:p>
    <w:p w:rsidR="00793EA9" w:rsidRPr="00A121F2" w:rsidRDefault="004660B6">
      <w:pPr>
        <w:pStyle w:val="PageHeading"/>
      </w:pPr>
      <w:r w:rsidRPr="00A121F2">
        <w:br w:type="page"/>
      </w:r>
      <w:r w:rsidRPr="00A121F2">
        <w:lastRenderedPageBreak/>
        <w:br w:type="page"/>
      </w:r>
      <w:bookmarkStart w:id="0" w:name="_Toc116026691"/>
      <w:r w:rsidRPr="00A121F2">
        <w:lastRenderedPageBreak/>
        <w:t>PROGETTO DI RISOLUZIONE LEGISLATIVA DEL PARLAMENTO EUROPEO</w:t>
      </w:r>
      <w:bookmarkEnd w:id="0"/>
    </w:p>
    <w:p w:rsidR="00793EA9" w:rsidRPr="00A121F2" w:rsidRDefault="004660B6">
      <w:pPr>
        <w:pStyle w:val="NormalBold"/>
      </w:pPr>
      <w:r w:rsidRPr="00A121F2">
        <w:t>sulla proposta di regolamento del Parlamento europeo e del Consiglio sullo scambio automatizzato di dati per la cooperazione di polizia ("Prüm II"), che modifica le decisioni 2008/615/GAI e 2008/616/GAI del Consiglio e i regolamenti (UE) 2018/1726, (UE) 20</w:t>
      </w:r>
      <w:r w:rsidRPr="00A121F2">
        <w:t>19/817 e (UE) 2019/818 del Parlamento europeo e del Consiglio</w:t>
      </w:r>
    </w:p>
    <w:p w:rsidR="00793EA9" w:rsidRPr="00A121F2" w:rsidRDefault="004660B6">
      <w:pPr>
        <w:pStyle w:val="NormalBold12a"/>
      </w:pPr>
      <w:r w:rsidRPr="00A121F2">
        <w:t>(COM(2021)0784 – C9</w:t>
      </w:r>
      <w:r w:rsidRPr="00A121F2">
        <w:noBreakHyphen/>
        <w:t>0455/2021 – 2021/0410(COD))</w:t>
      </w:r>
    </w:p>
    <w:p w:rsidR="00793EA9" w:rsidRPr="00A121F2" w:rsidRDefault="004660B6" w:rsidP="00A910C9">
      <w:pPr>
        <w:pStyle w:val="NormalBold"/>
      </w:pPr>
      <w:r w:rsidRPr="00A121F2">
        <w:t>(Procedura legislativa ordinaria: prima lettura)</w:t>
      </w:r>
    </w:p>
    <w:p w:rsidR="00EF6AA3" w:rsidRPr="00A121F2" w:rsidRDefault="004660B6" w:rsidP="00EF6AA3">
      <w:pPr>
        <w:pStyle w:val="EPComma"/>
      </w:pPr>
      <w:r w:rsidRPr="00A121F2">
        <w:rPr>
          <w:i/>
        </w:rPr>
        <w:t>Il Parlamento europeo</w:t>
      </w:r>
      <w:r w:rsidRPr="00A121F2">
        <w:t>,</w:t>
      </w:r>
    </w:p>
    <w:p w:rsidR="00EF6AA3" w:rsidRPr="00A121F2" w:rsidRDefault="004660B6" w:rsidP="00EF6AA3">
      <w:pPr>
        <w:pStyle w:val="NormalHanging12a"/>
      </w:pPr>
      <w:r w:rsidRPr="00A121F2">
        <w:t>–</w:t>
      </w:r>
      <w:r w:rsidRPr="00A121F2">
        <w:tab/>
      </w:r>
      <w:r w:rsidRPr="00A121F2">
        <w:t>vista la proposta della Commissione al Parlamento europeo e al Consiglio (COM(2021)0784),</w:t>
      </w:r>
    </w:p>
    <w:p w:rsidR="00EF6AA3" w:rsidRPr="00A121F2" w:rsidRDefault="004660B6" w:rsidP="00EF6AA3">
      <w:pPr>
        <w:pStyle w:val="NormalHanging12a"/>
      </w:pPr>
      <w:r w:rsidRPr="00A121F2">
        <w:t>–</w:t>
      </w:r>
      <w:r w:rsidRPr="00A121F2">
        <w:tab/>
        <w:t>visti l'articolo 294, paragrafo 2, e gli articoli 2, paragrafo 2, 87, paragrafo 2, 88, paragrafo 2, lettera b) del trattato sul funzionamento dell'Unione europea, a</w:t>
      </w:r>
      <w:r w:rsidRPr="00A121F2">
        <w:t xml:space="preserve"> norma dei quali la proposta gli è stata presentata dalla Commissione (C9</w:t>
      </w:r>
      <w:r w:rsidRPr="00A121F2">
        <w:noBreakHyphen/>
        <w:t>0455/2021),</w:t>
      </w:r>
    </w:p>
    <w:p w:rsidR="00EF6AA3" w:rsidRPr="00A121F2" w:rsidRDefault="004660B6" w:rsidP="00EF6AA3">
      <w:pPr>
        <w:pStyle w:val="NormalHanging12a"/>
      </w:pPr>
      <w:r w:rsidRPr="00A121F2">
        <w:t>–</w:t>
      </w:r>
      <w:r w:rsidRPr="00A121F2">
        <w:tab/>
        <w:t>visto l'articolo 294, paragrafo 3, del trattato sul funzionamento dell'Unione europea,</w:t>
      </w:r>
    </w:p>
    <w:p w:rsidR="00EF6AA3" w:rsidRPr="00A121F2" w:rsidRDefault="004660B6" w:rsidP="00EF6AA3">
      <w:pPr>
        <w:pStyle w:val="NormalHanging12a"/>
      </w:pPr>
      <w:r w:rsidRPr="00A121F2">
        <w:t>–</w:t>
      </w:r>
      <w:r w:rsidRPr="00A121F2">
        <w:tab/>
        <w:t>visto l'articolo 59 del suo regolamento,</w:t>
      </w:r>
    </w:p>
    <w:p w:rsidR="00EF6AA3" w:rsidRPr="00A121F2" w:rsidRDefault="004660B6" w:rsidP="00EF6AA3">
      <w:pPr>
        <w:pStyle w:val="NormalHanging12a"/>
      </w:pPr>
      <w:r w:rsidRPr="00A121F2">
        <w:t>–</w:t>
      </w:r>
      <w:r w:rsidRPr="00A121F2">
        <w:tab/>
        <w:t>vista la relazione della commissione</w:t>
      </w:r>
      <w:r w:rsidRPr="00A121F2">
        <w:t xml:space="preserve"> per le libertà civili, la giustizia e gli affari interni (A9</w:t>
      </w:r>
      <w:r w:rsidRPr="00A121F2">
        <w:noBreakHyphen/>
        <w:t>0000/2022),</w:t>
      </w:r>
    </w:p>
    <w:p w:rsidR="00EF6AA3" w:rsidRPr="00A121F2" w:rsidRDefault="004660B6" w:rsidP="00EF6AA3">
      <w:pPr>
        <w:pStyle w:val="NormalHanging12a"/>
      </w:pPr>
      <w:r w:rsidRPr="00A121F2">
        <w:t>1.</w:t>
      </w:r>
      <w:r w:rsidRPr="00A121F2">
        <w:tab/>
        <w:t>adotta la posizione in prima lettura figurante in appresso;</w:t>
      </w:r>
    </w:p>
    <w:p w:rsidR="00EF6AA3" w:rsidRPr="00A121F2" w:rsidRDefault="004660B6" w:rsidP="00EF6AA3">
      <w:pPr>
        <w:pStyle w:val="NormalHanging12a"/>
      </w:pPr>
      <w:r w:rsidRPr="00A121F2">
        <w:t>2.</w:t>
      </w:r>
      <w:r w:rsidRPr="00A121F2">
        <w:tab/>
        <w:t xml:space="preserve">chiede alla Commissione di presentargli nuovamente la proposta qualora la sostituisca, la modifichi sostanzialmente </w:t>
      </w:r>
      <w:r w:rsidRPr="00A121F2">
        <w:t>o intenda modificarla sostanzialmente;</w:t>
      </w:r>
    </w:p>
    <w:p w:rsidR="00EF6AA3" w:rsidRPr="00A121F2" w:rsidRDefault="004660B6" w:rsidP="00EF6AA3">
      <w:pPr>
        <w:pStyle w:val="NormalHanging12a"/>
      </w:pPr>
      <w:r w:rsidRPr="00A121F2">
        <w:t>3.</w:t>
      </w:r>
      <w:r w:rsidRPr="00A121F2">
        <w:tab/>
        <w:t>incarica il suo Presidente di trasmettere la posizione del Parlamento al Consiglio e alla Commissione nonché ai parlamenti nazionali.</w:t>
      </w:r>
    </w:p>
    <w:p w:rsidR="00EF6AA3" w:rsidRPr="00A121F2" w:rsidRDefault="00EF6AA3" w:rsidP="00EF6AA3"/>
    <w:p w:rsidR="00EF6AA3" w:rsidRPr="00A121F2" w:rsidRDefault="004660B6" w:rsidP="00EF6AA3">
      <w:pPr>
        <w:pStyle w:val="AmNumberTabs"/>
        <w:keepNext/>
      </w:pPr>
      <w:r w:rsidRPr="00A121F2">
        <w:rPr>
          <w:rStyle w:val="HideTWBExt"/>
          <w:b w:val="0"/>
          <w:noProof w:val="0"/>
          <w:color w:val="auto"/>
        </w:rPr>
        <w:t>&lt;RepeatBlock-Amend&gt;</w:t>
      </w:r>
      <w:bookmarkStart w:id="1" w:name="restart"/>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w:t>
      </w:r>
      <w:r w:rsidRPr="00A121F2">
        <w:rPr>
          <w:rStyle w:val="HideTWBExt"/>
          <w:b w:val="0"/>
          <w:noProof w:val="0"/>
          <w:color w:val="auto"/>
        </w:rPr>
        <w:t>&lt;/NumAm&gt;</w:t>
      </w:r>
    </w:p>
    <w:bookmarkEnd w:id="1"/>
    <w:p w:rsidR="00EF6AA3" w:rsidRPr="00A121F2" w:rsidRDefault="004660B6" w:rsidP="00EF6AA3">
      <w:pPr>
        <w:pStyle w:val="NormalBold12b"/>
        <w:keepNext/>
      </w:pPr>
      <w:r w:rsidRPr="00A121F2">
        <w:rPr>
          <w:rStyle w:val="HideTWBExt"/>
          <w:b w:val="0"/>
          <w:noProof w:val="0"/>
          <w:color w:val="auto"/>
        </w:rPr>
        <w:t>&lt;DocAmend&gt;</w:t>
      </w:r>
      <w:r w:rsidRPr="00A121F2">
        <w:t>Proposta di r</w:t>
      </w:r>
      <w:r w:rsidRPr="00A121F2">
        <w:t>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Visto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visto il parere del Comitato economico e sociale europeo</w:t>
            </w:r>
            <w:r w:rsidRPr="00A121F2">
              <w:rPr>
                <w:vertAlign w:val="superscript"/>
              </w:rPr>
              <w:t>28</w:t>
            </w:r>
            <w:r w:rsidRPr="00A121F2">
              <w:t>,</w:t>
            </w:r>
          </w:p>
        </w:tc>
        <w:tc>
          <w:tcPr>
            <w:tcW w:w="4876" w:type="dxa"/>
          </w:tcPr>
          <w:p w:rsidR="00EF6AA3" w:rsidRPr="00A121F2" w:rsidRDefault="004660B6" w:rsidP="003777C3">
            <w:pPr>
              <w:pStyle w:val="Normal6"/>
              <w:rPr>
                <w:szCs w:val="24"/>
              </w:rPr>
            </w:pPr>
            <w:r w:rsidRPr="00A121F2">
              <w:t>visto il parere del Comitato economico e sociale europeo</w:t>
            </w:r>
            <w:r w:rsidRPr="00A121F2">
              <w:rPr>
                <w:vertAlign w:val="superscript"/>
              </w:rPr>
              <w:t>28</w:t>
            </w:r>
            <w:r w:rsidRPr="00A121F2">
              <w:t>,</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28</w:t>
            </w:r>
            <w:r w:rsidRPr="00A121F2">
              <w:t xml:space="preserve"> GU C […] del […], pag. […].</w:t>
            </w:r>
          </w:p>
        </w:tc>
        <w:tc>
          <w:tcPr>
            <w:tcW w:w="4876" w:type="dxa"/>
          </w:tcPr>
          <w:p w:rsidR="00EF6AA3" w:rsidRPr="00A121F2" w:rsidRDefault="004660B6" w:rsidP="003777C3">
            <w:pPr>
              <w:pStyle w:val="Normal6"/>
              <w:rPr>
                <w:szCs w:val="24"/>
              </w:rPr>
            </w:pPr>
            <w:r w:rsidRPr="00A121F2">
              <w:rPr>
                <w:vertAlign w:val="superscript"/>
              </w:rPr>
              <w:t>28</w:t>
            </w:r>
            <w:r w:rsidRPr="00A121F2">
              <w:t xml:space="preserve"> GU C </w:t>
            </w:r>
            <w:r w:rsidRPr="00A121F2">
              <w:rPr>
                <w:b/>
                <w:bCs/>
                <w:i/>
                <w:iCs/>
              </w:rPr>
              <w:t>323</w:t>
            </w:r>
            <w:r w:rsidRPr="00A121F2">
              <w:t xml:space="preserve"> del </w:t>
            </w:r>
            <w:r w:rsidRPr="00A121F2">
              <w:rPr>
                <w:b/>
                <w:bCs/>
                <w:i/>
                <w:iCs/>
              </w:rPr>
              <w:t>26.8.2022</w:t>
            </w:r>
            <w:r w:rsidRPr="00A121F2">
              <w:t>, pag. </w:t>
            </w:r>
            <w:r w:rsidRPr="00A121F2">
              <w:rPr>
                <w:b/>
                <w:bCs/>
                <w:i/>
                <w:iCs/>
              </w:rPr>
              <w:t>69</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lastRenderedPageBreak/>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Visto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rPr>
                <w:b/>
                <w:i/>
              </w:rPr>
              <w:t>visto il parere del Comitato delle regioni</w:t>
            </w:r>
            <w:r w:rsidRPr="00A121F2">
              <w:rPr>
                <w:b/>
                <w:i/>
                <w:vertAlign w:val="superscript"/>
              </w:rPr>
              <w:t>29</w:t>
            </w:r>
            <w:r w:rsidRPr="00A121F2">
              <w:rPr>
                <w:b/>
                <w:i/>
              </w:rPr>
              <w:t>,</w:t>
            </w:r>
          </w:p>
        </w:tc>
        <w:tc>
          <w:tcPr>
            <w:tcW w:w="4876" w:type="dxa"/>
          </w:tcPr>
          <w:p w:rsidR="00EF6AA3" w:rsidRPr="00A121F2" w:rsidRDefault="004660B6" w:rsidP="003777C3">
            <w:pPr>
              <w:pStyle w:val="Normal6"/>
              <w:rPr>
                <w:szCs w:val="24"/>
              </w:rPr>
            </w:pPr>
            <w:r w:rsidRPr="00A121F2">
              <w:rPr>
                <w:b/>
                <w:i/>
              </w:rPr>
              <w:t>soppresso</w:t>
            </w:r>
          </w:p>
        </w:tc>
      </w:tr>
      <w:tr w:rsidR="00AF580A" w:rsidRPr="00A121F2" w:rsidTr="003777C3">
        <w:trPr>
          <w:jc w:val="center"/>
        </w:trPr>
        <w:tc>
          <w:tcPr>
            <w:tcW w:w="4876" w:type="dxa"/>
          </w:tcPr>
          <w:p w:rsidR="00EF6AA3" w:rsidRPr="00A121F2" w:rsidRDefault="004660B6" w:rsidP="003777C3">
            <w:pPr>
              <w:pStyle w:val="Normal6"/>
            </w:pPr>
            <w:r w:rsidRPr="00A121F2">
              <w:rPr>
                <w:b/>
                <w:i/>
              </w:rPr>
              <w:t>__________________</w:t>
            </w:r>
          </w:p>
        </w:tc>
        <w:tc>
          <w:tcPr>
            <w:tcW w:w="4876" w:type="dxa"/>
          </w:tcPr>
          <w:p w:rsidR="00EF6AA3" w:rsidRPr="00A121F2" w:rsidRDefault="00EF6AA3" w:rsidP="003777C3">
            <w:pPr>
              <w:pStyle w:val="Normal6"/>
              <w:rPr>
                <w:szCs w:val="24"/>
              </w:rPr>
            </w:pPr>
          </w:p>
        </w:tc>
      </w:tr>
      <w:tr w:rsidR="00AF580A" w:rsidRPr="00A121F2" w:rsidTr="003777C3">
        <w:trPr>
          <w:jc w:val="center"/>
        </w:trPr>
        <w:tc>
          <w:tcPr>
            <w:tcW w:w="4876" w:type="dxa"/>
          </w:tcPr>
          <w:p w:rsidR="00EF6AA3" w:rsidRPr="00A121F2" w:rsidRDefault="004660B6" w:rsidP="003777C3">
            <w:pPr>
              <w:pStyle w:val="Normal6"/>
            </w:pPr>
            <w:r w:rsidRPr="00A121F2">
              <w:rPr>
                <w:b/>
                <w:i/>
                <w:vertAlign w:val="superscript"/>
              </w:rPr>
              <w:t>29</w:t>
            </w:r>
            <w:r w:rsidRPr="00A121F2">
              <w:rPr>
                <w:b/>
                <w:i/>
              </w:rPr>
              <w:t xml:space="preserve"> GU C […] del […], pag. […].</w:t>
            </w:r>
          </w:p>
        </w:tc>
        <w:tc>
          <w:tcPr>
            <w:tcW w:w="4876" w:type="dxa"/>
          </w:tcPr>
          <w:p w:rsidR="00EF6AA3" w:rsidRPr="00A121F2" w:rsidRDefault="00EF6AA3" w:rsidP="003777C3">
            <w:pPr>
              <w:pStyle w:val="Normal6"/>
              <w:rPr>
                <w:szCs w:val="24"/>
              </w:rPr>
            </w:pP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(3)</w:t>
            </w:r>
            <w:r w:rsidRPr="00A121F2">
              <w:tab/>
              <w:t xml:space="preserve">Il presente regolamento ha quindi come obiettivo migliorare, semplificare e facilitare lo scambio di informazioni </w:t>
            </w:r>
            <w:r w:rsidRPr="00A121F2">
              <w:rPr>
                <w:b/>
                <w:i/>
              </w:rPr>
              <w:t>in materia penale</w:t>
            </w:r>
            <w:r w:rsidRPr="00A121F2">
              <w:t xml:space="preserve"> tra le autorità di contrasto degli Stati membri, ma anche con l'Agenzia dell'Unione europea per la cooperazione nell'attività di contrasto (Europol) istituita dal regolamento (UE) 2016/794 del Parlamento e del Consiglio</w:t>
            </w:r>
            <w:r w:rsidRPr="00A121F2">
              <w:rPr>
                <w:vertAlign w:val="superscript"/>
              </w:rPr>
              <w:t>30</w:t>
            </w:r>
            <w:r w:rsidRPr="00A121F2">
              <w:t xml:space="preserve"> come polo dell'Unione per lo scam</w:t>
            </w:r>
            <w:r w:rsidRPr="00A121F2">
              <w:t>bio di informazioni sulla criminalità.</w:t>
            </w:r>
          </w:p>
        </w:tc>
        <w:tc>
          <w:tcPr>
            <w:tcW w:w="4876" w:type="dxa"/>
          </w:tcPr>
          <w:p w:rsidR="00EF6AA3" w:rsidRPr="00A121F2" w:rsidRDefault="004660B6" w:rsidP="003777C3">
            <w:pPr>
              <w:pStyle w:val="Normal6"/>
              <w:rPr>
                <w:szCs w:val="24"/>
              </w:rPr>
            </w:pPr>
            <w:r w:rsidRPr="00A121F2">
              <w:t>(3)</w:t>
            </w:r>
            <w:r w:rsidRPr="00A121F2">
              <w:tab/>
              <w:t xml:space="preserve">Il presente regolamento ha quindi come obiettivo migliorare, semplificare e facilitare lo scambio di informazioni </w:t>
            </w:r>
            <w:r w:rsidRPr="00A121F2">
              <w:rPr>
                <w:b/>
                <w:i/>
              </w:rPr>
              <w:t>non solo</w:t>
            </w:r>
            <w:r w:rsidRPr="00A121F2">
              <w:t xml:space="preserve"> tra le autorità di contrasto </w:t>
            </w:r>
            <w:r w:rsidRPr="00A121F2">
              <w:rPr>
                <w:b/>
                <w:i/>
              </w:rPr>
              <w:t xml:space="preserve">competenti </w:t>
            </w:r>
            <w:r w:rsidRPr="00A121F2">
              <w:t>degli Stati membri</w:t>
            </w:r>
            <w:r w:rsidRPr="00A121F2">
              <w:rPr>
                <w:b/>
                <w:i/>
              </w:rPr>
              <w:t xml:space="preserve"> al fine di prevenire, accertare</w:t>
            </w:r>
            <w:r w:rsidRPr="00A121F2">
              <w:rPr>
                <w:b/>
                <w:i/>
              </w:rPr>
              <w:t xml:space="preserve"> e indagare reati</w:t>
            </w:r>
            <w:r w:rsidRPr="00A121F2">
              <w:t>, ma anche con l'Agenzia dell'Unione europea per la cooperazione nell'attività di contrasto (Europol) istituita dal regolamento (UE) 2016/794 del Parlamento e del Consiglio</w:t>
            </w:r>
            <w:r w:rsidRPr="00A121F2">
              <w:rPr>
                <w:vertAlign w:val="superscript"/>
              </w:rPr>
              <w:t>30</w:t>
            </w:r>
            <w:r w:rsidRPr="00A121F2">
              <w:t xml:space="preserve"> come polo dell'Unione per lo scambio di informazioni sulla crimi</w:t>
            </w:r>
            <w:r w:rsidRPr="00A121F2">
              <w:t xml:space="preserve">nalità. </w:t>
            </w:r>
            <w:r w:rsidRPr="00A121F2">
              <w:rPr>
                <w:b/>
                <w:i/>
              </w:rPr>
              <w:t>Inoltre, l'obiettivo del presente regolamento è di consentire a tali autorità competenti di cercare le persone scomparse e identificare i resti umani non identificati.</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30 </w:t>
            </w:r>
            <w:r w:rsidRPr="00A121F2">
              <w:t>Regolamento (UE) 2016/794 del Parlame</w:t>
            </w:r>
            <w:r w:rsidRPr="00A121F2">
              <w:t xml:space="preserve">nto europeo e del Consiglio, dell'11 maggio 2016, che istituisce l'Agenzia dell'Unione europea per la cooperazione nell'attività di contrasto (Europol) e sostituisce e abroga le decisioni del Consiglio 2009/371/GAI, 2009/934/GAI, 2009/935/GAI, </w:t>
            </w:r>
            <w:r w:rsidRPr="00A121F2">
              <w:lastRenderedPageBreak/>
              <w:t>2009/936/GAI</w:t>
            </w:r>
            <w:r w:rsidRPr="00A121F2">
              <w:t xml:space="preserve"> e 2009/968/GAI (GU L 135 del 24.5.2016, pag. 53).</w:t>
            </w:r>
          </w:p>
        </w:tc>
        <w:tc>
          <w:tcPr>
            <w:tcW w:w="4876" w:type="dxa"/>
          </w:tcPr>
          <w:p w:rsidR="00EF6AA3" w:rsidRPr="00A121F2" w:rsidRDefault="004660B6" w:rsidP="003777C3">
            <w:pPr>
              <w:pStyle w:val="Normal6"/>
              <w:rPr>
                <w:szCs w:val="24"/>
              </w:rPr>
            </w:pPr>
            <w:r w:rsidRPr="00A121F2">
              <w:rPr>
                <w:vertAlign w:val="superscript"/>
              </w:rPr>
              <w:lastRenderedPageBreak/>
              <w:t xml:space="preserve">30 </w:t>
            </w:r>
            <w:r w:rsidRPr="00A121F2">
              <w:t>Regolamento (UE) 2016/794 del Parlamento europeo e del Consiglio, dell'11 maggio 2016, che istituisce l'Agenzia dell'Unione europea per la cooperazione nell'attività di contrasto (Europol) e sostituisce</w:t>
            </w:r>
            <w:r w:rsidRPr="00A121F2">
              <w:t xml:space="preserve"> e abroga le decisioni del Consiglio 2009/371/GAI, 2009/934/GAI, 2009/935/GAI, </w:t>
            </w:r>
            <w:r w:rsidRPr="00A121F2">
              <w:lastRenderedPageBreak/>
              <w:t>2009/936/GAI e 2009/968/GAI (GU L 135 del 24.5.2016, pag. 53).</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(4)</w:t>
            </w:r>
            <w:r w:rsidRPr="00A121F2">
              <w:tab/>
              <w:t>Le decisioni 2008/615/GAI</w:t>
            </w:r>
            <w:r w:rsidRPr="00A121F2">
              <w:rPr>
                <w:vertAlign w:val="superscript"/>
              </w:rPr>
              <w:t>31</w:t>
            </w:r>
            <w:r w:rsidRPr="00A121F2">
              <w:t xml:space="preserve"> e 2008/616/GAI</w:t>
            </w:r>
            <w:r w:rsidRPr="00A121F2">
              <w:rPr>
                <w:vertAlign w:val="superscript"/>
              </w:rPr>
              <w:t>32</w:t>
            </w:r>
            <w:r w:rsidRPr="00A121F2">
              <w:t xml:space="preserve"> del Consiglio, che stabiliscono norme per lo scambio di informazioni tra le autorità competenti per la prevenzione dei reati e le indagini penali, disponendo il trasferimento automatizzato di profili DNA, dati dattiloscopici e determinati dati di immatric</w:t>
            </w:r>
            <w:r w:rsidRPr="00A121F2">
              <w:t>olazione dei veicoli, si sono rivelate importanti per combattere il terrorismo e la criminalità transfrontaliera.</w:t>
            </w:r>
          </w:p>
        </w:tc>
        <w:tc>
          <w:tcPr>
            <w:tcW w:w="4876" w:type="dxa"/>
          </w:tcPr>
          <w:p w:rsidR="00EF6AA3" w:rsidRPr="00A121F2" w:rsidRDefault="004660B6" w:rsidP="003777C3">
            <w:pPr>
              <w:pStyle w:val="Normal6"/>
              <w:rPr>
                <w:szCs w:val="24"/>
              </w:rPr>
            </w:pPr>
            <w:r w:rsidRPr="00A121F2">
              <w:t>(4)</w:t>
            </w:r>
            <w:r w:rsidRPr="00A121F2">
              <w:tab/>
              <w:t>Le decisioni 2008/615/GAI</w:t>
            </w:r>
            <w:r w:rsidRPr="00A121F2">
              <w:rPr>
                <w:vertAlign w:val="superscript"/>
              </w:rPr>
              <w:t>31</w:t>
            </w:r>
            <w:r w:rsidRPr="00A121F2">
              <w:t xml:space="preserve"> e 2008/616/GAI</w:t>
            </w:r>
            <w:r w:rsidRPr="00A121F2">
              <w:rPr>
                <w:vertAlign w:val="superscript"/>
              </w:rPr>
              <w:t>32</w:t>
            </w:r>
            <w:r w:rsidRPr="00A121F2">
              <w:t xml:space="preserve"> del Consiglio, che stabiliscono norme per lo scambio di informazioni tra le autorità competen</w:t>
            </w:r>
            <w:r w:rsidRPr="00A121F2">
              <w:t>ti per la prevenzione dei reati e le indagini penali, disponendo il trasferimento automatizzato di profili DNA, dati dattiloscopici e determinati dati di immatricolazione dei veicoli, si sono rivelate importanti per combattere il terrorismo e la criminalit</w:t>
            </w:r>
            <w:r w:rsidRPr="00A121F2">
              <w:t>à transfrontaliera</w:t>
            </w:r>
            <w:r w:rsidRPr="00A121F2">
              <w:rPr>
                <w:b/>
                <w:i/>
              </w:rPr>
              <w:t>, proteggendo così la sicurezza interna dell'Unione e la sicurezza dei suoi cittadini</w:t>
            </w:r>
            <w:r w:rsidRPr="00A121F2">
              <w:t>.</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31 </w:t>
            </w:r>
            <w:r w:rsidRPr="00A121F2">
              <w:t>Decisione 2008/615/GAI del Consiglio, del 23 giugno 2008, sul potenziamento della cooperazione transfrontali</w:t>
            </w:r>
            <w:r w:rsidRPr="00A121F2">
              <w:t>era, soprattutto nella lotta al terrorismo e alla criminalità transfrontaliera (GU L 210 del 6.8.2008, pag. 1).</w:t>
            </w:r>
          </w:p>
        </w:tc>
        <w:tc>
          <w:tcPr>
            <w:tcW w:w="4876" w:type="dxa"/>
          </w:tcPr>
          <w:p w:rsidR="00EF6AA3" w:rsidRPr="00A121F2" w:rsidRDefault="004660B6" w:rsidP="003777C3">
            <w:pPr>
              <w:pStyle w:val="Normal6"/>
              <w:rPr>
                <w:szCs w:val="24"/>
              </w:rPr>
            </w:pPr>
            <w:r w:rsidRPr="00A121F2">
              <w:rPr>
                <w:vertAlign w:val="superscript"/>
              </w:rPr>
              <w:t xml:space="preserve">31 </w:t>
            </w:r>
            <w:r w:rsidRPr="00A121F2">
              <w:t>Decisione 2008/615/GAI del Consiglio, del 23 giugno 2008, sul potenziamento della cooperazione transfrontaliera, soprattutto nella lotta al t</w:t>
            </w:r>
            <w:r w:rsidRPr="00A121F2">
              <w:t>errorismo e alla criminalità transfrontaliera (GU L 210 del 6.8.2008, pag. 1).</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32 </w:t>
            </w:r>
            <w:r w:rsidRPr="00A121F2">
              <w:t>Decisione 2008/616/GAI del Consiglio, del 23 giugno 2008, relativa all'attuazione della decisione 2008/615/GAI sul potenziamento della cooperazione transfrontaliera, sopratt</w:t>
            </w:r>
            <w:r w:rsidRPr="00A121F2">
              <w:t>utto nella lotta al terrorismo e alla criminalità transfrontaliera (GU L 210 del 6.8.2008, pag. 12).</w:t>
            </w:r>
          </w:p>
        </w:tc>
        <w:tc>
          <w:tcPr>
            <w:tcW w:w="4876" w:type="dxa"/>
          </w:tcPr>
          <w:p w:rsidR="00EF6AA3" w:rsidRPr="00A121F2" w:rsidRDefault="004660B6" w:rsidP="003777C3">
            <w:pPr>
              <w:pStyle w:val="Normal6"/>
              <w:rPr>
                <w:szCs w:val="24"/>
              </w:rPr>
            </w:pPr>
            <w:r w:rsidRPr="00A121F2">
              <w:rPr>
                <w:vertAlign w:val="superscript"/>
              </w:rPr>
              <w:t xml:space="preserve">32 </w:t>
            </w:r>
            <w:r w:rsidRPr="00A121F2">
              <w:t>Decisione 2008/616/GAI del Consiglio, del 23 giugno 2008, relativa all'attuazione della decisione 2008/615/GAI sul potenziamento della cooperazione transfrontaliera, soprattutto nella lotta al terrorismo e alla criminalità transfrontaliera (GU L 210 del 6.</w:t>
            </w:r>
            <w:r w:rsidRPr="00A121F2">
              <w:t>8.2008, pag. 12).</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lastRenderedPageBreak/>
        <w:t>&lt;Amend&gt;</w:t>
      </w:r>
      <w:r w:rsidRPr="00A121F2">
        <w:t>Emendamento</w:t>
      </w:r>
      <w:r w:rsidRPr="00A121F2">
        <w:tab/>
      </w:r>
      <w:r w:rsidRPr="00A121F2">
        <w:tab/>
      </w:r>
      <w:r w:rsidRPr="00A121F2">
        <w:rPr>
          <w:rStyle w:val="HideTWBExt"/>
          <w:b w:val="0"/>
          <w:noProof w:val="0"/>
          <w:color w:val="auto"/>
        </w:rPr>
        <w:t>&lt;NumAm&gt;</w:t>
      </w:r>
      <w:r w:rsidRPr="00A121F2">
        <w:t>5</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(5)</w:t>
            </w:r>
            <w:r w:rsidRPr="00A121F2">
              <w:tab/>
            </w:r>
            <w:r w:rsidRPr="00A121F2">
              <w:t xml:space="preserve">Il presente regolamento dovrebbe definire le condizioni e le procedure per </w:t>
            </w:r>
            <w:r w:rsidRPr="00A121F2">
              <w:rPr>
                <w:b/>
                <w:i/>
              </w:rPr>
              <w:t>il trasferimento automatizzato</w:t>
            </w:r>
            <w:r w:rsidRPr="00A121F2">
              <w:t xml:space="preserve"> di </w:t>
            </w:r>
            <w:r w:rsidRPr="00A121F2">
              <w:rPr>
                <w:b/>
                <w:i/>
              </w:rPr>
              <w:t>profili DNA,</w:t>
            </w:r>
            <w:r w:rsidRPr="00A121F2">
              <w:t xml:space="preserve"> dati </w:t>
            </w:r>
            <w:r w:rsidRPr="00A121F2">
              <w:rPr>
                <w:b/>
                <w:i/>
              </w:rPr>
              <w:t>dattiloscopici</w:t>
            </w:r>
            <w:r w:rsidRPr="00A121F2">
              <w:t>, dati di immatricolazione dei veicoli</w:t>
            </w:r>
            <w:r w:rsidRPr="00A121F2">
              <w:rPr>
                <w:b/>
                <w:i/>
              </w:rPr>
              <w:t>, immagini del volto</w:t>
            </w:r>
            <w:r w:rsidRPr="00A121F2">
              <w:t xml:space="preserve"> ed estratti del casellario giudiziale. Ciò non dovrebbe </w:t>
            </w:r>
            <w:r w:rsidRPr="00A121F2">
              <w:t>pregiudicare il trattamento di tali dati nel sistema d'informazione Schengen (SIS), né lo scambio di informazioni supplementari ad essi connesse tramite gli uffici SIRENE, né i diritti delle persone i cui dati sono trattati in tali contesti.</w:t>
            </w:r>
          </w:p>
        </w:tc>
        <w:tc>
          <w:tcPr>
            <w:tcW w:w="4876" w:type="dxa"/>
          </w:tcPr>
          <w:p w:rsidR="00EF6AA3" w:rsidRPr="00A121F2" w:rsidRDefault="004660B6" w:rsidP="003777C3">
            <w:pPr>
              <w:pStyle w:val="Normal6"/>
              <w:rPr>
                <w:szCs w:val="24"/>
              </w:rPr>
            </w:pPr>
            <w:r w:rsidRPr="00A121F2">
              <w:t>(5)</w:t>
            </w:r>
            <w:r w:rsidRPr="00A121F2">
              <w:tab/>
              <w:t>Il present</w:t>
            </w:r>
            <w:r w:rsidRPr="00A121F2">
              <w:t xml:space="preserve">e regolamento dovrebbe definire le condizioni e le procedure per </w:t>
            </w:r>
            <w:r w:rsidRPr="00A121F2">
              <w:rPr>
                <w:b/>
                <w:i/>
              </w:rPr>
              <w:t>la ricerca e lo scambio automatizzati</w:t>
            </w:r>
            <w:r w:rsidRPr="00A121F2">
              <w:t xml:space="preserve"> di </w:t>
            </w:r>
            <w:r w:rsidRPr="00A121F2">
              <w:rPr>
                <w:b/>
                <w:i/>
              </w:rPr>
              <w:t>dati biometrici contenuti nelle banche</w:t>
            </w:r>
            <w:r w:rsidRPr="00A121F2">
              <w:t xml:space="preserve"> dati </w:t>
            </w:r>
            <w:r w:rsidRPr="00A121F2">
              <w:rPr>
                <w:b/>
                <w:i/>
              </w:rPr>
              <w:t>istituite al fine di prevenire</w:t>
            </w:r>
            <w:r w:rsidRPr="00A121F2">
              <w:t xml:space="preserve">, </w:t>
            </w:r>
            <w:r w:rsidRPr="00A121F2">
              <w:rPr>
                <w:b/>
                <w:i/>
              </w:rPr>
              <w:t xml:space="preserve">accertare e indagare reati e </w:t>
            </w:r>
            <w:r w:rsidRPr="00A121F2">
              <w:t>dati di immatricolazione dei veicoli ed estra</w:t>
            </w:r>
            <w:r w:rsidRPr="00A121F2">
              <w:t>tti del casellario giudiziale. Ciò non dovrebbe pregiudicare il trattamento di tali dati nel sistema d'informazione Schengen (SIS), né lo scambio di informazioni supplementari ad essi connesse tramite gli uffici SIRENE</w:t>
            </w:r>
            <w:r w:rsidRPr="00A121F2">
              <w:rPr>
                <w:b/>
                <w:i/>
              </w:rPr>
              <w:t>, ai sensi del regolamento (UE) 2018/1</w:t>
            </w:r>
            <w:r w:rsidRPr="00A121F2">
              <w:rPr>
                <w:b/>
                <w:i/>
              </w:rPr>
              <w:t>862 del Parlamento europeo e del Consiglio1bis</w:t>
            </w:r>
            <w:r w:rsidRPr="00A121F2">
              <w:t>, né i diritti delle persone i cui dati sono trattati in tali contesti.</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vertAlign w:val="superscript"/>
              </w:rPr>
              <w:t xml:space="preserve">1 bis </w:t>
            </w:r>
            <w:r w:rsidRPr="00A121F2">
              <w:rPr>
                <w:b/>
                <w:i/>
              </w:rPr>
              <w:t>Regolamento (UE) 2018/1862 del Parlamento europeo e del Consiglio, del 28 novembre 2018, sull'istituzione, l'esercizio e l'uso del sistema d'informazione Schengen (SIS) nel settore della cooperazione di polizia e della cooperazione giudiziaria in materia p</w:t>
            </w:r>
            <w:r w:rsidRPr="00A121F2">
              <w:rPr>
                <w:b/>
                <w:i/>
              </w:rPr>
              <w:t>enale, che modifica e abroga la decisione 2007/533/GAI del Consiglio e che abroga il regolamento (CE) n. 1986/2006 del Parlamento europeo e del Consiglio e la decisione 2010/261/UE della Commissione (GU L 312 del 7.12.2018, pag. 56).</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w:t>
      </w:r>
      <w:r w:rsidRPr="00A121F2">
        <w:rPr>
          <w:rStyle w:val="HideTWBExt"/>
          <w:noProof w:val="0"/>
          <w:color w:val="auto"/>
        </w:rPr>
        <w: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6</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(6)</w:t>
            </w:r>
            <w:r w:rsidRPr="00A121F2">
              <w:tab/>
            </w:r>
            <w:r w:rsidRPr="00A121F2">
              <w:rPr>
                <w:b/>
                <w:i/>
              </w:rPr>
              <w:t>Il</w:t>
            </w:r>
            <w:r w:rsidRPr="00A121F2">
              <w:t xml:space="preserve"> trattamento e lo scambio di dati personali ai fini del presente regolamento non dovrebbero dare luogo ad alcuna forma di discriminazione nei confronti delle persone. Tali attività dovrebbero rispettare pienamente la dignità e l'integrità umana nonché altr</w:t>
            </w:r>
            <w:r w:rsidRPr="00A121F2">
              <w:t>i diritti fondamentali, compreso il diritto al rispetto della vita privata e alla protezione dei dati personali, conformemente alla Carta dei diritti fondamentali dell'Unione europea.</w:t>
            </w:r>
          </w:p>
        </w:tc>
        <w:tc>
          <w:tcPr>
            <w:tcW w:w="4876" w:type="dxa"/>
          </w:tcPr>
          <w:p w:rsidR="00EF6AA3" w:rsidRPr="00A121F2" w:rsidRDefault="004660B6" w:rsidP="003777C3">
            <w:pPr>
              <w:pStyle w:val="Normal6"/>
              <w:rPr>
                <w:szCs w:val="24"/>
              </w:rPr>
            </w:pPr>
            <w:r w:rsidRPr="00A121F2">
              <w:t>(6)</w:t>
            </w:r>
            <w:r w:rsidRPr="00A121F2">
              <w:tab/>
            </w:r>
            <w:r w:rsidRPr="00A121F2">
              <w:rPr>
                <w:b/>
                <w:i/>
              </w:rPr>
              <w:t>Qualsiasi trattamento e lo scambio di dati personali ai fini del pre</w:t>
            </w:r>
            <w:r w:rsidRPr="00A121F2">
              <w:rPr>
                <w:b/>
                <w:i/>
              </w:rPr>
              <w:t>sente regolamento dovrebbe essere effettuato in conformità del capo 6 del presente regolamento e, se del caso, della direttiva (UE) 2016/680 del Parlamento europeo e del Consiglio1bis, del regolamento (UE) 2018/1725 del Parlamento europeo e del Consiglio1t</w:t>
            </w:r>
            <w:r w:rsidRPr="00A121F2">
              <w:rPr>
                <w:b/>
                <w:i/>
              </w:rPr>
              <w:t>er e del regolamento (UE) 2016/794. Il</w:t>
            </w:r>
            <w:r w:rsidRPr="00A121F2">
              <w:t xml:space="preserve"> trattamento e lo scambio di dati personali ai fini del presente regolamento non dovrebbero dare luogo ad alcuna forma di discriminazione nei confronti delle persone. Tali attività dovrebbero rispettare pienamente la d</w:t>
            </w:r>
            <w:r w:rsidRPr="00A121F2">
              <w:t>ignità e l'integrità umana nonché altri diritti fondamentali, compreso il diritto al rispetto della vita privata e alla protezione dei dati personali, conformemente alla Carta dei diritti fondamentali dell'Unione europea.</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vertAlign w:val="superscript"/>
              </w:rPr>
              <w:t xml:space="preserve">1 bis </w:t>
            </w:r>
            <w:r w:rsidRPr="00A121F2">
              <w:rPr>
                <w:b/>
                <w:i/>
              </w:rPr>
              <w:t>Diret</w:t>
            </w:r>
            <w:r w:rsidRPr="00A121F2">
              <w:rPr>
                <w:b/>
                <w:i/>
              </w:rPr>
              <w:t xml:space="preserve">tiva (UE) 2016/680 del Parlamento europeo e del Consiglio, del 27 aprile 2016, relativa alla protezione delle persone fisiche con riguardo al trattamento dei dati personali da parte delle autorità competenti a fini di prevenzione, indagine, accertamento e </w:t>
            </w:r>
            <w:r w:rsidRPr="00A121F2">
              <w:rPr>
                <w:b/>
                <w:i/>
              </w:rPr>
              <w:t xml:space="preserve">perseguimento di reati o esecuzione di sanzioni penali, nonché alla libera circolazione di tali dati e che abroga la decisione quadro 2008/977/GAI del Consiglio (GU L 119 del 4.5.2016, pag. 89). </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vertAlign w:val="superscript"/>
              </w:rPr>
              <w:t xml:space="preserve">1 ter </w:t>
            </w:r>
            <w:r w:rsidRPr="00A121F2">
              <w:rPr>
                <w:b/>
                <w:i/>
              </w:rPr>
              <w:t xml:space="preserve">Regolamento (UE) 2018/1725 del Parlamento europeo e del Consiglio, del 23 ottobre 2018, sulla tutela delle persone fisiche in relazione al trattamento dei dati personali da parte delle istituzioni, degli organi e degli organismi dell'Unione e sulla libera </w:t>
            </w:r>
            <w:r w:rsidRPr="00A121F2">
              <w:rPr>
                <w:b/>
                <w:i/>
              </w:rPr>
              <w:t xml:space="preserve">circolazione di tali dati, e che abroga il regolamento (CE) n. 45/2001 e la decisione n. 1247/2002/CE (GU L 295 del 21.11.2018, pag. 39). </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7</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(7)</w:t>
            </w:r>
            <w:r w:rsidRPr="00A121F2">
              <w:tab/>
              <w:t xml:space="preserve">Prevedendo la consultazione automatizzata </w:t>
            </w:r>
            <w:r w:rsidRPr="00A121F2">
              <w:rPr>
                <w:b/>
                <w:i/>
              </w:rPr>
              <w:t xml:space="preserve">o il confronto automatizzato </w:t>
            </w:r>
            <w:r w:rsidRPr="00A121F2">
              <w:t>di profili DNA, dati dattiloscopici, dati di immatricolazione dei veicoli, immagini del volto ed</w:t>
            </w:r>
            <w:r w:rsidRPr="00A121F2">
              <w:t xml:space="preserve"> estratti del casellario giudiziale, il presente regolamento mira altresì a consentire la ricerca di persone scomparse e resti umani non identificati. Ciò non dovrebbe pregiudicare l'inserimento nel SIS di segnalazioni di persone scomparse e lo scambio di </w:t>
            </w:r>
            <w:r w:rsidRPr="00A121F2">
              <w:t>informazioni supplementari su tali segnalazioni a norma del regolamento (UE) 2018/1862 del Parlamento europeo e del Consiglio</w:t>
            </w:r>
            <w:r w:rsidRPr="00A121F2">
              <w:rPr>
                <w:b/>
                <w:i/>
                <w:vertAlign w:val="superscript"/>
              </w:rPr>
              <w:t>33</w:t>
            </w:r>
            <w:r w:rsidRPr="00A121F2">
              <w:t>.</w:t>
            </w:r>
          </w:p>
        </w:tc>
        <w:tc>
          <w:tcPr>
            <w:tcW w:w="4876" w:type="dxa"/>
          </w:tcPr>
          <w:p w:rsidR="00EF6AA3" w:rsidRPr="00A121F2" w:rsidRDefault="004660B6" w:rsidP="003777C3">
            <w:pPr>
              <w:pStyle w:val="Normal6"/>
              <w:rPr>
                <w:szCs w:val="24"/>
              </w:rPr>
            </w:pPr>
            <w:r w:rsidRPr="00A121F2">
              <w:t>(7)</w:t>
            </w:r>
            <w:r w:rsidRPr="00A121F2">
              <w:tab/>
              <w:t xml:space="preserve">Prevedendo la consultazione automatizzata di profili DNA, dati dattiloscopici, </w:t>
            </w:r>
            <w:r w:rsidRPr="00A121F2">
              <w:rPr>
                <w:b/>
                <w:i/>
              </w:rPr>
              <w:t xml:space="preserve">taluni </w:t>
            </w:r>
            <w:r w:rsidRPr="00A121F2">
              <w:t>dati di immatricolazione dei veicoli,</w:t>
            </w:r>
            <w:r w:rsidRPr="00A121F2">
              <w:t xml:space="preserve"> immagini del volto ed estratti del casellario giudiziale, il presente regolamento mira altresì a consentire la ricerca di persone scomparse e </w:t>
            </w:r>
            <w:r w:rsidRPr="00A121F2">
              <w:rPr>
                <w:b/>
                <w:i/>
              </w:rPr>
              <w:t xml:space="preserve">l’identificazione di </w:t>
            </w:r>
            <w:r w:rsidRPr="00A121F2">
              <w:t>resti umani non identificati.</w:t>
            </w:r>
            <w:r w:rsidRPr="00A121F2">
              <w:rPr>
                <w:b/>
                <w:i/>
              </w:rPr>
              <w:t xml:space="preserve"> </w:t>
            </w:r>
            <w:r w:rsidRPr="00A121F2">
              <w:t xml:space="preserve"> </w:t>
            </w:r>
            <w:r w:rsidRPr="00A121F2">
              <w:t>Ciò non dovrebbe pregiudicare l'inserimento nel SIS di segnalazioni di persone scomparse e lo scambio di informazioni supplementari su tali segnalazioni a norma del regolamento (UE) 2018/1862 del Parlamento europeo e del Consiglio.</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EF6AA3" w:rsidP="003777C3">
            <w:pPr>
              <w:pStyle w:val="Normal6"/>
              <w:rPr>
                <w:szCs w:val="24"/>
              </w:rPr>
            </w:pPr>
          </w:p>
        </w:tc>
      </w:tr>
      <w:tr w:rsidR="00AF580A" w:rsidRPr="00A121F2" w:rsidTr="003777C3">
        <w:trPr>
          <w:jc w:val="center"/>
        </w:trPr>
        <w:tc>
          <w:tcPr>
            <w:tcW w:w="4876" w:type="dxa"/>
          </w:tcPr>
          <w:p w:rsidR="00EF6AA3" w:rsidRPr="00A121F2" w:rsidRDefault="004660B6" w:rsidP="003777C3">
            <w:pPr>
              <w:pStyle w:val="Normal6"/>
            </w:pPr>
            <w:r w:rsidRPr="00A121F2">
              <w:rPr>
                <w:b/>
                <w:i/>
                <w:vertAlign w:val="superscript"/>
              </w:rPr>
              <w:t xml:space="preserve">33 </w:t>
            </w:r>
            <w:r w:rsidRPr="00A121F2">
              <w:rPr>
                <w:b/>
                <w:i/>
              </w:rPr>
              <w:t>Regolamento (UE) 2018/1862 del Parlamento europeo e del Consiglio, del 28 novembre 2018, sull'istituzione, l'esercizio e l'uso del sistema d'informazione Schengen (SIS) nel settore della cooperazione di polizia e della cooperazione giudiziaria in materi</w:t>
            </w:r>
            <w:r w:rsidRPr="00A121F2">
              <w:rPr>
                <w:b/>
                <w:i/>
              </w:rPr>
              <w:t>a penale, che modifica e abroga la decisione 2007/533/GAI del Consiglio e che abroga il regolamento (CE) n. 1986/2006 del Parlamento europeo e del Consiglio e la decisione 2010/261/UE della Commissione (GU L 312 del 7.12.2018, pag. 56).</w:t>
            </w:r>
          </w:p>
        </w:tc>
        <w:tc>
          <w:tcPr>
            <w:tcW w:w="4876" w:type="dxa"/>
          </w:tcPr>
          <w:p w:rsidR="00EF6AA3" w:rsidRPr="00A121F2" w:rsidRDefault="00EF6AA3" w:rsidP="003777C3">
            <w:pPr>
              <w:pStyle w:val="Normal6"/>
              <w:rPr>
                <w:szCs w:val="24"/>
              </w:rPr>
            </w:pP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rStyle w:val="HideTWBInt"/>
          <w:noProof w:val="0"/>
          <w:color w:val="auto"/>
        </w:rPr>
        <w:t>}</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lastRenderedPageBreak/>
        <w:t>&lt;Amend&gt;</w:t>
      </w:r>
      <w:r w:rsidRPr="00A121F2">
        <w:t>Emendamento</w:t>
      </w:r>
      <w:r w:rsidRPr="00A121F2">
        <w:tab/>
      </w:r>
      <w:r w:rsidRPr="00A121F2">
        <w:tab/>
      </w:r>
      <w:r w:rsidRPr="00A121F2">
        <w:rPr>
          <w:rStyle w:val="HideTWBExt"/>
          <w:b w:val="0"/>
          <w:noProof w:val="0"/>
          <w:color w:val="auto"/>
        </w:rPr>
        <w:t>&lt;NumAm&gt;</w:t>
      </w:r>
      <w:r w:rsidRPr="00A121F2">
        <w:t>8</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(8)</w:t>
            </w:r>
            <w:r w:rsidRPr="00A121F2">
              <w:tab/>
            </w:r>
            <w:r w:rsidRPr="00A121F2">
              <w:t>La direttiva (UE) …/… [sullo scambio di informazioni tra autorità di contrasto degli Stati membri] fornisce un quadro giuridico coerente dell'Unione per garantire che le autorità di contrasto dispongano di un accesso equivalente alle informazioni in posses</w:t>
            </w:r>
            <w:r w:rsidRPr="00A121F2">
              <w:t xml:space="preserve">so di altri Stati membri quando ne hanno bisogno per combattere la criminalità e il terrorismo. Per intensificare lo scambio di informazioni, tale direttiva formalizza e chiarisce le procedure di condivisione delle informazioni tra </w:t>
            </w:r>
            <w:r w:rsidRPr="00A121F2">
              <w:rPr>
                <w:b/>
                <w:i/>
              </w:rPr>
              <w:t>gli</w:t>
            </w:r>
            <w:r w:rsidRPr="00A121F2">
              <w:t xml:space="preserve"> Stati membri, in par</w:t>
            </w:r>
            <w:r w:rsidRPr="00A121F2">
              <w:t>ticolare a fini di indagine, specificando il ruolo del "punto di contatto unico" e usando appieno il canale di scambio di informazioni di Europol SIENA. Qualsiasi scambio di informazioni che vada al di là di quanto previsto dal presente regolamento dovrebb</w:t>
            </w:r>
            <w:r w:rsidRPr="00A121F2">
              <w:t>e essere disciplinato dalla direttiva (UE) …/… [sullo scambio di informazioni tra autorità di contrasto degli Stati membri].</w:t>
            </w:r>
          </w:p>
        </w:tc>
        <w:tc>
          <w:tcPr>
            <w:tcW w:w="4876" w:type="dxa"/>
          </w:tcPr>
          <w:p w:rsidR="00EF6AA3" w:rsidRPr="00A121F2" w:rsidRDefault="004660B6" w:rsidP="003777C3">
            <w:pPr>
              <w:pStyle w:val="Normal6"/>
              <w:rPr>
                <w:szCs w:val="24"/>
              </w:rPr>
            </w:pPr>
            <w:r w:rsidRPr="00A121F2">
              <w:t>(8)</w:t>
            </w:r>
            <w:r w:rsidRPr="00A121F2">
              <w:tab/>
              <w:t>La direttiva (UE) …/… [sullo scambio di informazioni tra autorità di contrasto degli Stati membri] fornisce un quadro giuridico</w:t>
            </w:r>
            <w:r w:rsidRPr="00A121F2">
              <w:t xml:space="preserve"> coerente dell'Unione per garantire che le </w:t>
            </w:r>
            <w:r w:rsidRPr="00A121F2">
              <w:rPr>
                <w:b/>
                <w:i/>
              </w:rPr>
              <w:t xml:space="preserve">competenti </w:t>
            </w:r>
            <w:r w:rsidRPr="00A121F2">
              <w:t>autorità di contrasto dispongano di un accesso equivalente alle informazioni in possesso di altri Stati membri quando ne hanno bisogno per combattere la criminalità e il terrorismo. Per intensificare lo</w:t>
            </w:r>
            <w:r w:rsidRPr="00A121F2">
              <w:t xml:space="preserve"> scambio di informazioni, tale direttiva formalizza e chiarisce le </w:t>
            </w:r>
            <w:r w:rsidRPr="00A121F2">
              <w:rPr>
                <w:b/>
                <w:i/>
              </w:rPr>
              <w:t xml:space="preserve">norme e le </w:t>
            </w:r>
            <w:r w:rsidRPr="00A121F2">
              <w:t xml:space="preserve">procedure di condivisione delle informazioni tra </w:t>
            </w:r>
            <w:r w:rsidRPr="00A121F2">
              <w:rPr>
                <w:b/>
                <w:i/>
              </w:rPr>
              <w:t>le autorità di contrasto competenti degli</w:t>
            </w:r>
            <w:r w:rsidRPr="00A121F2">
              <w:t xml:space="preserve"> Stati membri, in particolare a fini di indagine, specificando il ruolo del "punto di co</w:t>
            </w:r>
            <w:r w:rsidRPr="00A121F2">
              <w:t xml:space="preserve">ntatto unico" e usando appieno il canale di scambio di informazioni di Europol SIENA. Qualsiasi scambio di informazioni </w:t>
            </w:r>
            <w:r w:rsidRPr="00A121F2">
              <w:rPr>
                <w:b/>
                <w:i/>
              </w:rPr>
              <w:t xml:space="preserve">tra le autorità di contrasto competenti </w:t>
            </w:r>
            <w:r w:rsidRPr="00A121F2">
              <w:t>che vada al di là di quanto previsto dal presente regolamento</w:t>
            </w:r>
            <w:r w:rsidRPr="00A121F2">
              <w:rPr>
                <w:b/>
                <w:i/>
              </w:rPr>
              <w:t>, segnatamente la consultazione automatizzata di dati biometrici, determinati dati di immatricolazione dei veicoli ed estratti del casellario giudiziale e lo scambio di dati di base a seguito di una corrispondenza confermata,</w:t>
            </w:r>
            <w:r w:rsidRPr="00A121F2">
              <w:t xml:space="preserve"> dovrebbe essere disciplinato d</w:t>
            </w:r>
            <w:r w:rsidRPr="00A121F2">
              <w:t>alla direttiva (UE) …/… [sullo scambio di informazioni tra autorità di contrasto degli Stati membri].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9</w:t>
      </w:r>
      <w:r w:rsidRPr="00A121F2">
        <w:rPr>
          <w:rStyle w:val="HideTWBExt"/>
          <w:b w:val="0"/>
          <w:noProof w:val="0"/>
          <w:color w:val="auto"/>
        </w:rPr>
        <w:t>&lt;/Artic</w:t>
      </w:r>
      <w:r w:rsidRPr="00A121F2">
        <w:rPr>
          <w:rStyle w:val="HideTWBExt"/>
          <w:b w:val="0"/>
          <w:noProof w:val="0"/>
          <w:color w:val="auto"/>
        </w:rPr>
        <w:t>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(9)</w:t>
            </w:r>
            <w:r w:rsidRPr="00A121F2">
              <w:tab/>
            </w:r>
            <w:r w:rsidRPr="00A121F2">
              <w:t>Per la consultazione automatizzata dei dati di immatricolazione dei veicoli, gli Stati membri dovrebbero utilizzare il sistema europeo d'informazione sui veicoli e le patenti di guida (Eucaris) istituito dal trattato relativo a un sistema europeo d'informa</w:t>
            </w:r>
            <w:r w:rsidRPr="00A121F2">
              <w:t>zione sui veicoli e le patenti di guida (trattato EUCARIS) concepito a tal fine</w:t>
            </w:r>
            <w:r w:rsidRPr="00A121F2">
              <w:rPr>
                <w:b/>
                <w:i/>
              </w:rPr>
              <w:t>. Eucaris dovrebbe collegare</w:t>
            </w:r>
            <w:r w:rsidRPr="00A121F2">
              <w:t xml:space="preserve"> tutti gli Stati membri partecipanti in una rete. Non è necessaria una componente centrale per stabilire la comunicazione, dato che ciascuno Stato me</w:t>
            </w:r>
            <w:r w:rsidRPr="00A121F2">
              <w:t>mbro comunica direttamente con gli altri Stati membri collegati.</w:t>
            </w:r>
          </w:p>
        </w:tc>
        <w:tc>
          <w:tcPr>
            <w:tcW w:w="4876" w:type="dxa"/>
          </w:tcPr>
          <w:p w:rsidR="00EF6AA3" w:rsidRPr="00A121F2" w:rsidRDefault="004660B6" w:rsidP="003777C3">
            <w:pPr>
              <w:pStyle w:val="Normal6"/>
              <w:rPr>
                <w:szCs w:val="24"/>
              </w:rPr>
            </w:pPr>
            <w:r w:rsidRPr="00A121F2">
              <w:t>(9)</w:t>
            </w:r>
            <w:r w:rsidRPr="00A121F2">
              <w:tab/>
              <w:t xml:space="preserve">Per la consultazione automatizzata dei dati di immatricolazione dei veicoli, gli Stati membri </w:t>
            </w:r>
            <w:r w:rsidRPr="00A121F2">
              <w:rPr>
                <w:b/>
                <w:i/>
              </w:rPr>
              <w:t xml:space="preserve">ed Europol </w:t>
            </w:r>
            <w:r w:rsidRPr="00A121F2">
              <w:t>dovrebbero utilizzare il sistema europeo d'informazione sui veicoli e le patenti d</w:t>
            </w:r>
            <w:r w:rsidRPr="00A121F2">
              <w:t>i guida (Eucaris) istituito dal trattato relativo a un sistema europeo d'informazione sui veicoli e le patenti di guida (trattato EUCARIS) concepito a tal fine</w:t>
            </w:r>
            <w:r w:rsidRPr="00A121F2">
              <w:rPr>
                <w:b/>
                <w:i/>
              </w:rPr>
              <w:t>, che collega</w:t>
            </w:r>
            <w:r w:rsidRPr="00A121F2">
              <w:t xml:space="preserve"> tutti gli Stati membri partecipanti in una rete. Non è necessaria una componente ce</w:t>
            </w:r>
            <w:r w:rsidRPr="00A121F2">
              <w:t>ntrale per stabilire la comunicazione, dato che ciascuno Stato membro comunica direttamente con gli altri</w:t>
            </w:r>
            <w:r w:rsidRPr="00A121F2">
              <w:rPr>
                <w:b/>
                <w:i/>
              </w:rPr>
              <w:t xml:space="preserve"> Stati membri collegati ed Europol comunica direttamente agli</w:t>
            </w:r>
            <w:r w:rsidRPr="00A121F2">
              <w:t xml:space="preserve"> Stati membri collegati.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10</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(10)</w:t>
            </w:r>
            <w:r w:rsidRPr="00A121F2">
              <w:tab/>
              <w:t xml:space="preserve">L'identificazione dell'autore del reato è essenziale per il buon esito delle indagini e delle azioni penali. </w:t>
            </w:r>
            <w:r w:rsidRPr="00A121F2">
              <w:t xml:space="preserve">La consultazione automatizzata </w:t>
            </w:r>
            <w:r w:rsidRPr="00A121F2">
              <w:rPr>
                <w:b/>
                <w:i/>
              </w:rPr>
              <w:t>delle</w:t>
            </w:r>
            <w:r w:rsidRPr="00A121F2">
              <w:t xml:space="preserve"> immagini del volto di </w:t>
            </w:r>
            <w:r w:rsidRPr="00A121F2">
              <w:rPr>
                <w:b/>
                <w:i/>
              </w:rPr>
              <w:t>indagati</w:t>
            </w:r>
            <w:r w:rsidRPr="00A121F2">
              <w:t xml:space="preserve"> e </w:t>
            </w:r>
            <w:r w:rsidRPr="00A121F2">
              <w:rPr>
                <w:b/>
                <w:i/>
              </w:rPr>
              <w:t>condannati</w:t>
            </w:r>
            <w:r w:rsidRPr="00A121F2">
              <w:t xml:space="preserve"> dovrebbe fornire informazioni aggiuntive che permettano di identificare gli autori dei reati e combattere la criminalità.</w:t>
            </w:r>
          </w:p>
        </w:tc>
        <w:tc>
          <w:tcPr>
            <w:tcW w:w="4876" w:type="dxa"/>
          </w:tcPr>
          <w:p w:rsidR="00EF6AA3" w:rsidRPr="00A121F2" w:rsidRDefault="004660B6" w:rsidP="003777C3">
            <w:pPr>
              <w:pStyle w:val="Normal6"/>
              <w:rPr>
                <w:szCs w:val="24"/>
              </w:rPr>
            </w:pPr>
            <w:r w:rsidRPr="00A121F2">
              <w:t>(10)</w:t>
            </w:r>
            <w:r w:rsidRPr="00A121F2">
              <w:tab/>
              <w:t>L'identificazione dell'autore del reato è essenz</w:t>
            </w:r>
            <w:r w:rsidRPr="00A121F2">
              <w:t xml:space="preserve">iale per il buon esito delle indagini e delle azioni penali. La consultazione automatizzata </w:t>
            </w:r>
            <w:r w:rsidRPr="00A121F2">
              <w:rPr>
                <w:b/>
                <w:i/>
              </w:rPr>
              <w:t>di</w:t>
            </w:r>
            <w:r w:rsidRPr="00A121F2">
              <w:t xml:space="preserve"> immagini del volto di </w:t>
            </w:r>
            <w:r w:rsidRPr="00A121F2">
              <w:rPr>
                <w:b/>
                <w:i/>
              </w:rPr>
              <w:t>persone indagate e condannate, raccolta conformemente al diritto nazionale nelle banche dati nazionali istituite a fini di prevenzione, acc</w:t>
            </w:r>
            <w:r w:rsidRPr="00A121F2">
              <w:rPr>
                <w:b/>
                <w:i/>
              </w:rPr>
              <w:t>ertamento</w:t>
            </w:r>
            <w:r w:rsidRPr="00A121F2">
              <w:t xml:space="preserve"> e </w:t>
            </w:r>
            <w:r w:rsidRPr="00A121F2">
              <w:rPr>
                <w:b/>
                <w:i/>
              </w:rPr>
              <w:t>indagine di reati,</w:t>
            </w:r>
            <w:r w:rsidRPr="00A121F2">
              <w:t xml:space="preserve"> dovrebbe fornire informazioni aggiuntive che permettano di identificare gli autori dei reati e combattere la criminalità.</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lastRenderedPageBreak/>
        <w:t>&lt;Amend&gt;</w:t>
      </w:r>
      <w:r w:rsidRPr="00A121F2">
        <w:t>Emendamento</w:t>
      </w:r>
      <w:r w:rsidRPr="00A121F2">
        <w:tab/>
      </w:r>
      <w:r w:rsidRPr="00A121F2">
        <w:tab/>
      </w:r>
      <w:r w:rsidRPr="00A121F2">
        <w:rPr>
          <w:rStyle w:val="HideTWBExt"/>
          <w:b w:val="0"/>
          <w:noProof w:val="0"/>
          <w:color w:val="auto"/>
        </w:rPr>
        <w:t>&lt;NumAm&gt;</w:t>
      </w:r>
      <w:r w:rsidRPr="00A121F2">
        <w:t>11</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w:t>
      </w:r>
      <w:r w:rsidRPr="00A121F2">
        <w:t>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rPr>
                <w:b/>
                <w:i/>
              </w:rPr>
              <w:t>(11)</w:t>
            </w:r>
            <w:r w:rsidRPr="00A121F2">
              <w:rPr>
                <w:b/>
                <w:i/>
              </w:rPr>
              <w:tab/>
            </w:r>
            <w:r w:rsidRPr="00A121F2">
              <w:rPr>
                <w:b/>
                <w:i/>
              </w:rPr>
              <w:t xml:space="preserve">La consultazione o il confronto automatizzati di dati biometrici (profili DNA, dati dattiloscopici e immagini del volto) tra le autorità responsabili della prevenzione, dell'accertamento e dell'indagine di reati a norma del presente regolamento dovrebbero </w:t>
            </w:r>
            <w:r w:rsidRPr="00A121F2">
              <w:rPr>
                <w:b/>
                <w:i/>
              </w:rPr>
              <w:t>riguardare esclusivamente i dati contenuti nelle banche dati istituite a fini di prevenzione, accertamento e indagine di reati.</w:t>
            </w:r>
          </w:p>
        </w:tc>
        <w:tc>
          <w:tcPr>
            <w:tcW w:w="4876" w:type="dxa"/>
          </w:tcPr>
          <w:p w:rsidR="00EF6AA3" w:rsidRPr="00A121F2" w:rsidRDefault="004660B6" w:rsidP="003777C3">
            <w:pPr>
              <w:pStyle w:val="Normal6"/>
              <w:rPr>
                <w:szCs w:val="24"/>
              </w:rPr>
            </w:pPr>
            <w:r w:rsidRPr="00A121F2">
              <w:rPr>
                <w:b/>
                <w:i/>
              </w:rPr>
              <w:t>soppresso</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(12)</w:t>
            </w:r>
            <w:r w:rsidRPr="00A121F2">
              <w:tab/>
              <w:t xml:space="preserve">La partecipazione allo scambio di estratti del casellario giudiziale dovrebbe rimanere volontaria. Laddove gli Stati membri decidano di partecipare, </w:t>
            </w:r>
            <w:r w:rsidRPr="00A121F2">
              <w:rPr>
                <w:b/>
                <w:i/>
              </w:rPr>
              <w:t>in uno spirito</w:t>
            </w:r>
            <w:r w:rsidRPr="00A121F2">
              <w:t xml:space="preserve"> d</w:t>
            </w:r>
            <w:r w:rsidRPr="00A121F2">
              <w:t xml:space="preserve">i </w:t>
            </w:r>
            <w:r w:rsidRPr="00A121F2">
              <w:rPr>
                <w:b/>
                <w:i/>
              </w:rPr>
              <w:t>reciprocità</w:t>
            </w:r>
            <w:r w:rsidRPr="00A121F2">
              <w:t xml:space="preserve">, </w:t>
            </w:r>
            <w:r w:rsidRPr="00A121F2">
              <w:rPr>
                <w:b/>
                <w:i/>
              </w:rPr>
              <w:t>non</w:t>
            </w:r>
            <w:r w:rsidRPr="00A121F2">
              <w:t xml:space="preserve"> dovrebbe essere </w:t>
            </w:r>
            <w:r w:rsidRPr="00A121F2">
              <w:rPr>
                <w:b/>
                <w:i/>
              </w:rPr>
              <w:t>loro possibile interrogare le banche dati</w:t>
            </w:r>
            <w:r w:rsidRPr="00A121F2">
              <w:t xml:space="preserve"> di </w:t>
            </w:r>
            <w:r w:rsidRPr="00A121F2">
              <w:rPr>
                <w:b/>
                <w:i/>
              </w:rPr>
              <w:t>altri</w:t>
            </w:r>
            <w:r w:rsidRPr="00A121F2">
              <w:t xml:space="preserve"> Stati membri </w:t>
            </w:r>
            <w:r w:rsidRPr="00A121F2">
              <w:rPr>
                <w:b/>
                <w:i/>
              </w:rPr>
              <w:t>se non mettono</w:t>
            </w:r>
            <w:r w:rsidRPr="00A121F2">
              <w:t xml:space="preserve"> a </w:t>
            </w:r>
            <w:r w:rsidRPr="00A121F2">
              <w:rPr>
                <w:b/>
                <w:i/>
              </w:rPr>
              <w:t>disposizione i propri</w:t>
            </w:r>
            <w:r w:rsidRPr="00A121F2">
              <w:t xml:space="preserve"> dati </w:t>
            </w:r>
            <w:r w:rsidRPr="00A121F2">
              <w:rPr>
                <w:b/>
                <w:i/>
              </w:rPr>
              <w:t>per interrogazioni</w:t>
            </w:r>
            <w:r w:rsidRPr="00A121F2">
              <w:t xml:space="preserve"> da parte di altri Stati membri.</w:t>
            </w:r>
          </w:p>
        </w:tc>
        <w:tc>
          <w:tcPr>
            <w:tcW w:w="4876" w:type="dxa"/>
          </w:tcPr>
          <w:p w:rsidR="00EF6AA3" w:rsidRPr="00A121F2" w:rsidRDefault="004660B6" w:rsidP="003777C3">
            <w:pPr>
              <w:pStyle w:val="Normal6"/>
              <w:rPr>
                <w:szCs w:val="24"/>
              </w:rPr>
            </w:pPr>
            <w:r w:rsidRPr="00A121F2">
              <w:t>(12)</w:t>
            </w:r>
            <w:r w:rsidRPr="00A121F2">
              <w:tab/>
              <w:t xml:space="preserve">La partecipazione </w:t>
            </w:r>
            <w:r w:rsidRPr="00A121F2">
              <w:rPr>
                <w:b/>
                <w:i/>
              </w:rPr>
              <w:t xml:space="preserve">alla ricerca e </w:t>
            </w:r>
            <w:r w:rsidRPr="00A121F2">
              <w:t>allo scambio</w:t>
            </w:r>
            <w:r w:rsidRPr="00A121F2">
              <w:rPr>
                <w:b/>
                <w:i/>
              </w:rPr>
              <w:t xml:space="preserve"> automatizzati</w:t>
            </w:r>
            <w:r w:rsidRPr="00A121F2">
              <w:t xml:space="preserve"> di estratti del casellario giudiziale dovrebbe rimanere volontaria. Laddove gli Stati membri decidano di partecipare, </w:t>
            </w:r>
            <w:r w:rsidRPr="00A121F2">
              <w:rPr>
                <w:b/>
                <w:i/>
              </w:rPr>
              <w:t>dovrebbero garantire la disponibilità di indici di estratti del casellario giudiziale nazionale contenenti serie di dati an</w:t>
            </w:r>
            <w:r w:rsidRPr="00A121F2">
              <w:rPr>
                <w:b/>
                <w:i/>
              </w:rPr>
              <w:t>agrafici di persone sospettate e condannate a partire dalle banche dati nazionali istituite a fini</w:t>
            </w:r>
            <w:r w:rsidRPr="00A121F2">
              <w:t xml:space="preserve"> di </w:t>
            </w:r>
            <w:r w:rsidRPr="00A121F2">
              <w:rPr>
                <w:b/>
                <w:i/>
              </w:rPr>
              <w:t>prevenzione</w:t>
            </w:r>
            <w:r w:rsidRPr="00A121F2">
              <w:t xml:space="preserve">, </w:t>
            </w:r>
            <w:r w:rsidRPr="00A121F2">
              <w:rPr>
                <w:b/>
                <w:i/>
              </w:rPr>
              <w:t xml:space="preserve">accertamento e indagine di reati. </w:t>
            </w:r>
            <w:r w:rsidRPr="00A121F2">
              <w:rPr>
                <w:b/>
                <w:i/>
              </w:rPr>
              <w:t>Data la sensibilità dei dati in questione,</w:t>
            </w:r>
            <w:r w:rsidRPr="00A121F2">
              <w:rPr>
                <w:b/>
                <w:i/>
              </w:rPr>
              <w:t xml:space="preserve"> dovrebbe essere </w:t>
            </w:r>
            <w:r w:rsidRPr="00A121F2">
              <w:rPr>
                <w:b/>
                <w:i/>
              </w:rPr>
              <w:t>possibile effettuare ricerche e scambio automati</w:t>
            </w:r>
            <w:r w:rsidRPr="00A121F2">
              <w:rPr>
                <w:b/>
                <w:i/>
              </w:rPr>
              <w:t>zzati di estratti del casellario giudiziale relativi a persone sospettate di aver commesso reati, o condannate per gli stessi,</w:t>
            </w:r>
            <w:r w:rsidRPr="00A121F2">
              <w:rPr>
                <w:b/>
                <w:i/>
              </w:rPr>
              <w:t xml:space="preserve"> di </w:t>
            </w:r>
            <w:r w:rsidRPr="00A121F2">
              <w:rPr>
                <w:b/>
                <w:i/>
              </w:rPr>
              <w:t>cui all'articolo 3 del regolamento (UE) 2016/794 o all'articolo 2, paragrafo 2, della decisione quadro 2002/584/JHA1a del Cons</w:t>
            </w:r>
            <w:r w:rsidRPr="00A121F2">
              <w:rPr>
                <w:b/>
                <w:i/>
              </w:rPr>
              <w:t>iglio</w:t>
            </w:r>
            <w:r w:rsidRPr="00A121F2">
              <w:rPr>
                <w:b/>
                <w:i/>
                <w:vertAlign w:val="superscript"/>
              </w:rPr>
              <w:t>1bis</w:t>
            </w:r>
            <w:r w:rsidRPr="00A121F2">
              <w:rPr>
                <w:b/>
                <w:i/>
              </w:rPr>
              <w:t>.</w:t>
            </w:r>
            <w:r w:rsidRPr="00A121F2">
              <w:rPr>
                <w:b/>
                <w:i/>
              </w:rPr>
              <w:t xml:space="preserve"> Nel </w:t>
            </w:r>
            <w:r w:rsidRPr="00A121F2">
              <w:rPr>
                <w:b/>
                <w:i/>
              </w:rPr>
              <w:lastRenderedPageBreak/>
              <w:t>creare indici di estratti del casellario giudiziale nazionale, è importante che gli</w:t>
            </w:r>
            <w:r w:rsidRPr="00A121F2">
              <w:t xml:space="preserve"> Stati membri </w:t>
            </w:r>
            <w:r w:rsidRPr="00A121F2">
              <w:rPr>
                <w:b/>
                <w:i/>
              </w:rPr>
              <w:t>utilizzino i dati provenienti dalle banche dati nazionali istituite</w:t>
            </w:r>
            <w:r w:rsidRPr="00A121F2">
              <w:t xml:space="preserve"> a </w:t>
            </w:r>
            <w:r w:rsidRPr="00A121F2">
              <w:rPr>
                <w:b/>
                <w:i/>
              </w:rPr>
              <w:t>fini di contrasto.</w:t>
            </w:r>
            <w:r w:rsidRPr="00A121F2">
              <w:t xml:space="preserve"> </w:t>
            </w:r>
            <w:r w:rsidRPr="00A121F2">
              <w:rPr>
                <w:b/>
                <w:i/>
              </w:rPr>
              <w:t>Le autorità di contrasto degli Stati membri controllera</w:t>
            </w:r>
            <w:r w:rsidRPr="00A121F2">
              <w:rPr>
                <w:b/>
                <w:i/>
              </w:rPr>
              <w:t>nno tali</w:t>
            </w:r>
            <w:r w:rsidRPr="00A121F2">
              <w:t xml:space="preserve"> dati </w:t>
            </w:r>
            <w:r w:rsidRPr="00A121F2">
              <w:rPr>
                <w:b/>
                <w:i/>
              </w:rPr>
              <w:t>negli indici di estratti del casellario giudiziale nazionale al ricevimento di richieste di informazioni</w:t>
            </w:r>
            <w:r w:rsidRPr="00A121F2">
              <w:t xml:space="preserve"> da parte </w:t>
            </w:r>
            <w:r w:rsidRPr="00A121F2">
              <w:rPr>
                <w:b/>
                <w:i/>
              </w:rPr>
              <w:t xml:space="preserve">delle autorità di contrasto competenti </w:t>
            </w:r>
            <w:r w:rsidRPr="00A121F2">
              <w:t xml:space="preserve">di altri Stati membri. </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vertAlign w:val="superscript"/>
              </w:rPr>
              <w:t xml:space="preserve">1 bis </w:t>
            </w:r>
            <w:r w:rsidRPr="00A121F2">
              <w:rPr>
                <w:b/>
                <w:i/>
              </w:rPr>
              <w:t>Decisione quadro 2002/584/GAI del Consiglio, del 13 giugno 2002, relativa al mandato d'arresto europeo e alle procedure di consegna tra Stati membri (GU L 190 del 18.7.2002, pag. 1).</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12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rPr>
              <w:t>(12 bis)</w:t>
            </w:r>
            <w:r w:rsidRPr="00A121F2">
              <w:rPr>
                <w:b/>
                <w:i/>
              </w:rPr>
              <w:tab/>
            </w:r>
            <w:r w:rsidRPr="00A121F2">
              <w:rPr>
                <w:b/>
                <w:i/>
              </w:rPr>
              <w:t>Gli Stati membri dovrebbero garantire che i dati inclusi nell'indice di estratti del casellario giudiziale nazionale siano esatti, completi e aggiornati e dovrebbero attuare garanzie, in particolare la pseudonimizzazione, per proteggere i dati personali in</w:t>
            </w:r>
            <w:r w:rsidRPr="00A121F2">
              <w:rPr>
                <w:b/>
                <w:i/>
              </w:rPr>
              <w:t>terrogati. In uno spirito di reciprocità, uno Stato membro non dovrebbe poter interrogare le banche dati di altri Stati membri se non mette a disposizione i propri indici di estratti del casellario giudiziale nazionale per le interrogazioni da parte di alt</w:t>
            </w:r>
            <w:r w:rsidRPr="00A121F2">
              <w:rPr>
                <w:b/>
                <w:i/>
              </w:rPr>
              <w:t>ri Stati membri.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lastRenderedPageBreak/>
        <w:t>&lt;Amend&gt;</w:t>
      </w:r>
      <w:r w:rsidRPr="00A121F2">
        <w:t>Emendamento</w:t>
      </w:r>
      <w:r w:rsidRPr="00A121F2">
        <w:tab/>
      </w:r>
      <w:r w:rsidRPr="00A121F2">
        <w:tab/>
      </w:r>
      <w:r w:rsidRPr="00A121F2">
        <w:rPr>
          <w:rStyle w:val="HideTWBExt"/>
          <w:b w:val="0"/>
          <w:noProof w:val="0"/>
          <w:color w:val="auto"/>
        </w:rPr>
        <w:t>&lt;NumAm&gt;</w:t>
      </w:r>
      <w:r w:rsidRPr="00A121F2">
        <w:t>14</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(13)</w:t>
            </w:r>
            <w:r w:rsidRPr="00A121F2">
              <w:tab/>
            </w:r>
            <w:r w:rsidRPr="00A121F2">
              <w:t xml:space="preserve">Negli ultimi anni Europol ha ricevuto </w:t>
            </w:r>
            <w:r w:rsidRPr="00A121F2">
              <w:rPr>
                <w:b/>
                <w:i/>
              </w:rPr>
              <w:t xml:space="preserve">da vari paesi terzi </w:t>
            </w:r>
            <w:r w:rsidRPr="00A121F2">
              <w:t>una grande quantità di dati biometrici di terroristi e criminali, o persone indagate per tali reati. Includere i dati provenienti da paesi terzi conservati presso Europol nel quadro Prüm, e quindi m</w:t>
            </w:r>
            <w:r w:rsidRPr="00A121F2">
              <w:t>etterli a disposizione delle autorità di contrasto, è necessario per migliorare la prevenzione dei reati e le indagini penali  e contribuisce a creare sinergie tra diversi strumenti di contrasto.</w:t>
            </w:r>
          </w:p>
        </w:tc>
        <w:tc>
          <w:tcPr>
            <w:tcW w:w="4876" w:type="dxa"/>
          </w:tcPr>
          <w:p w:rsidR="00EF6AA3" w:rsidRPr="00A121F2" w:rsidRDefault="004660B6" w:rsidP="003777C3">
            <w:pPr>
              <w:pStyle w:val="Normal6"/>
              <w:rPr>
                <w:szCs w:val="24"/>
              </w:rPr>
            </w:pPr>
            <w:r w:rsidRPr="00A121F2">
              <w:t>(13)</w:t>
            </w:r>
            <w:r w:rsidRPr="00A121F2">
              <w:tab/>
            </w:r>
            <w:r w:rsidRPr="00A121F2">
              <w:t>Negli ultimi anni Europol ha ricevuto una grande quantità di dati biometrici di terroristi e criminali, o persone indagate per tali reati</w:t>
            </w:r>
            <w:r w:rsidRPr="00A121F2">
              <w:rPr>
                <w:b/>
                <w:i/>
              </w:rPr>
              <w:t xml:space="preserve"> dalle autorità di paesi terzi, in particolare informazioni del campo di battaglia da zone di guerra. Spesso non è stat</w:t>
            </w:r>
            <w:r w:rsidRPr="00A121F2">
              <w:rPr>
                <w:b/>
                <w:i/>
              </w:rPr>
              <w:t>o possibile utilizzare appieno tali dati perché non sempre sono a disposizione delle autorità di contrasto competenti degli Stati membri</w:t>
            </w:r>
            <w:r w:rsidRPr="00A121F2">
              <w:t>. Includere i dati provenienti da paesi terzi conservati presso Europol nel quadro Prüm, e quindi metterli a disposizion</w:t>
            </w:r>
            <w:r w:rsidRPr="00A121F2">
              <w:t>e delle autorità di contrasto</w:t>
            </w:r>
            <w:r w:rsidRPr="00A121F2">
              <w:rPr>
                <w:b/>
                <w:i/>
              </w:rPr>
              <w:t xml:space="preserve"> competenti</w:t>
            </w:r>
            <w:r w:rsidRPr="00A121F2">
              <w:t>, è necessario per migliorare la prevenzione dei reati e le indagini penali e contribuisce a creare sinergie tra diversi strumenti di contrasto</w:t>
            </w:r>
            <w:r w:rsidRPr="00A121F2">
              <w:rPr>
                <w:b/>
                <w:i/>
              </w:rPr>
              <w:t xml:space="preserve"> e garantisce che i dati siano utilizzati nel modo più efficiente possibi</w:t>
            </w:r>
            <w:r w:rsidRPr="00A121F2">
              <w:rPr>
                <w:b/>
                <w:i/>
              </w:rPr>
              <w:t>le</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(14)</w:t>
            </w:r>
            <w:r w:rsidRPr="00A121F2">
              <w:tab/>
            </w:r>
            <w:r w:rsidRPr="00A121F2">
              <w:t xml:space="preserve">Europol dovrebbe essere in grado di consultare le banche dati degli Stati membri nel contesto del quadro Prüm con i dati ricevuti </w:t>
            </w:r>
            <w:r w:rsidRPr="00A121F2">
              <w:rPr>
                <w:b/>
                <w:i/>
              </w:rPr>
              <w:t>da</w:t>
            </w:r>
            <w:r w:rsidRPr="00A121F2">
              <w:t xml:space="preserve"> paesi terzi al fine di stabilire collegamenti transfrontalieri tra casi di rilevanza penale. La possibilità di utilizzare i</w:t>
            </w:r>
            <w:r w:rsidRPr="00A121F2">
              <w:t xml:space="preserve"> dati Prüm, unitamente ad altre banche dati a disposizione di Europol, dovrebbe consentire di effettuare un'analisi più completa e informata</w:t>
            </w:r>
            <w:r w:rsidRPr="00A121F2">
              <w:rPr>
                <w:b/>
                <w:i/>
              </w:rPr>
              <w:t xml:space="preserve"> delle indagini penali e dovrebbe permettere</w:t>
            </w:r>
            <w:r w:rsidRPr="00A121F2">
              <w:t xml:space="preserve"> a Europol di </w:t>
            </w:r>
            <w:r w:rsidRPr="00A121F2">
              <w:lastRenderedPageBreak/>
              <w:t>fornire un sostegno migliore alle autorità di contrasto de</w:t>
            </w:r>
            <w:r w:rsidRPr="00A121F2">
              <w:t xml:space="preserve">gli Stati membri. In caso di corrispondenza tra i dati utilizzati per la ricerca e quelli conservati nelle banche dati degli Stati membri, questi ultimi </w:t>
            </w:r>
            <w:r w:rsidRPr="00A121F2">
              <w:rPr>
                <w:b/>
                <w:i/>
              </w:rPr>
              <w:t>possono</w:t>
            </w:r>
            <w:r w:rsidRPr="00A121F2">
              <w:t xml:space="preserve"> fornire a Europol le informazioni necessarie allo svolgimento dei suoi compiti.</w:t>
            </w:r>
          </w:p>
        </w:tc>
        <w:tc>
          <w:tcPr>
            <w:tcW w:w="4876" w:type="dxa"/>
          </w:tcPr>
          <w:p w:rsidR="00EF6AA3" w:rsidRPr="00A121F2" w:rsidRDefault="004660B6" w:rsidP="003777C3">
            <w:pPr>
              <w:pStyle w:val="Normal6"/>
              <w:rPr>
                <w:szCs w:val="24"/>
              </w:rPr>
            </w:pPr>
            <w:r w:rsidRPr="00A121F2">
              <w:lastRenderedPageBreak/>
              <w:t>(14)</w:t>
            </w:r>
            <w:r w:rsidRPr="00A121F2">
              <w:tab/>
              <w:t>Europol do</w:t>
            </w:r>
            <w:r w:rsidRPr="00A121F2">
              <w:t xml:space="preserve">vrebbe essere in grado di consultare le banche dati degli Stati membri nel contesto del quadro Prüm con i dati ricevuti </w:t>
            </w:r>
            <w:r w:rsidRPr="00A121F2">
              <w:rPr>
                <w:b/>
                <w:i/>
              </w:rPr>
              <w:t>dalle autorità di</w:t>
            </w:r>
            <w:r w:rsidRPr="00A121F2">
              <w:t xml:space="preserve"> paesi terzi</w:t>
            </w:r>
            <w:r w:rsidRPr="00A121F2">
              <w:rPr>
                <w:b/>
                <w:i/>
              </w:rPr>
              <w:t>, nel pieno rispetto delle norme e delle condizioni di cui al regolamento (UE) 2016/794,</w:t>
            </w:r>
            <w:r w:rsidRPr="00A121F2">
              <w:t xml:space="preserve"> al fine di stabili</w:t>
            </w:r>
            <w:r w:rsidRPr="00A121F2">
              <w:t xml:space="preserve">re collegamenti transfrontalieri tra casi di rilevanza penale. La possibilità di utilizzare i dati Prüm, unitamente ad altre banche dati a disposizione di Europol, dovrebbe </w:t>
            </w:r>
            <w:r w:rsidRPr="00A121F2">
              <w:lastRenderedPageBreak/>
              <w:t>consentire di effettuare un'analisi più completa e informata</w:t>
            </w:r>
            <w:r w:rsidRPr="00A121F2">
              <w:rPr>
                <w:b/>
                <w:i/>
              </w:rPr>
              <w:t>, permettendo così</w:t>
            </w:r>
            <w:r w:rsidRPr="00A121F2">
              <w:t xml:space="preserve"> a Eu</w:t>
            </w:r>
            <w:r w:rsidRPr="00A121F2">
              <w:t xml:space="preserve">ropol di fornire un sostegno migliore alle autorità di contrasto </w:t>
            </w:r>
            <w:r w:rsidRPr="00A121F2">
              <w:rPr>
                <w:b/>
                <w:i/>
              </w:rPr>
              <w:t xml:space="preserve">competenti </w:t>
            </w:r>
            <w:r w:rsidRPr="00A121F2">
              <w:t>degli Stati membri</w:t>
            </w:r>
            <w:r w:rsidRPr="00A121F2">
              <w:rPr>
                <w:b/>
                <w:i/>
              </w:rPr>
              <w:t xml:space="preserve"> nella conduzione di indagini penali</w:t>
            </w:r>
            <w:r w:rsidRPr="00A121F2">
              <w:t>. In caso di corrispondenza tra i dati utilizzati per la ricerca e quelli conservati nelle banche dati degli Stati membri, que</w:t>
            </w:r>
            <w:r w:rsidRPr="00A121F2">
              <w:t xml:space="preserve">sti ultimi </w:t>
            </w:r>
            <w:r w:rsidRPr="00A121F2">
              <w:rPr>
                <w:b/>
                <w:i/>
              </w:rPr>
              <w:t>dovrebbero poter</w:t>
            </w:r>
            <w:r w:rsidRPr="00A121F2">
              <w:t xml:space="preserve"> fornire a Europol le informazioni necessarie allo svolgimento dei suoi compiti.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(15)</w:t>
            </w:r>
            <w:r w:rsidRPr="00A121F2">
              <w:tab/>
              <w:t xml:space="preserve">Le decisioni 2008/615/GAI e 2008/616/GAI stabiliscono una rete di connessioni bilaterali tra le banche dati nazionali degli Stati membri. </w:t>
            </w:r>
            <w:r w:rsidRPr="00A121F2">
              <w:t xml:space="preserve">Da tale architettura tecnica consegue che ogni Stato membro </w:t>
            </w:r>
            <w:r w:rsidRPr="00A121F2">
              <w:rPr>
                <w:b/>
                <w:i/>
              </w:rPr>
              <w:t>dovrebbe</w:t>
            </w:r>
            <w:r w:rsidRPr="00A121F2">
              <w:t xml:space="preserve"> stabilire almeno 26 connessioni, vale a dire una connessione con ciascuno Stato membro</w:t>
            </w:r>
            <w:r w:rsidRPr="00A121F2">
              <w:rPr>
                <w:b/>
                <w:i/>
              </w:rPr>
              <w:t>,</w:t>
            </w:r>
            <w:r w:rsidRPr="00A121F2">
              <w:t xml:space="preserve"> per ciascuna categoria di dati. Il router e l'indice europeo dei casellari giudiziali (EPRIS) istit</w:t>
            </w:r>
            <w:r w:rsidRPr="00A121F2">
              <w:t xml:space="preserve">uiti dal presente regolamento </w:t>
            </w:r>
            <w:r w:rsidRPr="00A121F2">
              <w:rPr>
                <w:b/>
                <w:i/>
              </w:rPr>
              <w:t>dovrebbero semplificare</w:t>
            </w:r>
            <w:r w:rsidRPr="00A121F2">
              <w:t xml:space="preserve"> l'architettura tecnica del quadro Prüm e fungere da punti di connessione tra tutti gli Stati membri. Il router dovrebbe richiedere una connessione unica per Stato membro in relazione ai dati biometrici,</w:t>
            </w:r>
            <w:r w:rsidRPr="00A121F2">
              <w:t xml:space="preserve"> mentre EPRIS dovrebbe richiedere una connessione unica per Stato membro in relazione ai casellari giudiziali.</w:t>
            </w:r>
          </w:p>
        </w:tc>
        <w:tc>
          <w:tcPr>
            <w:tcW w:w="4876" w:type="dxa"/>
          </w:tcPr>
          <w:p w:rsidR="00EF6AA3" w:rsidRPr="00A121F2" w:rsidRDefault="004660B6" w:rsidP="003777C3">
            <w:pPr>
              <w:pStyle w:val="Normal6"/>
              <w:rPr>
                <w:szCs w:val="24"/>
              </w:rPr>
            </w:pPr>
            <w:r w:rsidRPr="00A121F2">
              <w:t>(15)</w:t>
            </w:r>
            <w:r w:rsidRPr="00A121F2">
              <w:tab/>
              <w:t>Le decisioni 2008/615/GAI e 2008/616/GAI stabiliscono una rete di connessioni bilaterali tra le banche dati nazionali degli Stati membri. Da</w:t>
            </w:r>
            <w:r w:rsidRPr="00A121F2">
              <w:t xml:space="preserve"> tale architettura tecnica consegue che ogni Stato membro </w:t>
            </w:r>
            <w:r w:rsidRPr="00A121F2">
              <w:rPr>
                <w:b/>
                <w:i/>
              </w:rPr>
              <w:t>doveva</w:t>
            </w:r>
            <w:r w:rsidRPr="00A121F2">
              <w:t xml:space="preserve"> stabilire almeno 26 connessioni, vale a dire una connessione con ciascuno Stato membro</w:t>
            </w:r>
            <w:r w:rsidRPr="00A121F2">
              <w:rPr>
                <w:b/>
                <w:i/>
              </w:rPr>
              <w:t xml:space="preserve"> partecipante allo scambio automatizzato</w:t>
            </w:r>
            <w:r w:rsidRPr="00A121F2">
              <w:t xml:space="preserve"> per ciascuna categoria di dati. Il router e l'indice europeo dei</w:t>
            </w:r>
            <w:r w:rsidRPr="00A121F2">
              <w:t xml:space="preserve"> casellari giudiziali (EPRIS) istituiti dal presente regolamento </w:t>
            </w:r>
            <w:r w:rsidRPr="00A121F2">
              <w:rPr>
                <w:b/>
                <w:i/>
              </w:rPr>
              <w:t>semplificheranno</w:t>
            </w:r>
            <w:r w:rsidRPr="00A121F2">
              <w:t xml:space="preserve"> l'architettura tecnica del quadro Prüm e fungere da punti di connessione tra tutti gli Stati membri. Il router dovrebbe richiedere una connessione unica per Stato membro in r</w:t>
            </w:r>
            <w:r w:rsidRPr="00A121F2">
              <w:t>elazione ai dati biometrici, mentre EPRIS dovrebbe richiedere una connessione unica per Stato membro</w:t>
            </w:r>
            <w:r w:rsidRPr="00A121F2">
              <w:rPr>
                <w:b/>
                <w:i/>
              </w:rPr>
              <w:t xml:space="preserve"> partecipante ed Europol</w:t>
            </w:r>
            <w:r w:rsidRPr="00A121F2">
              <w:t xml:space="preserve"> in relazione ai casellari giudiziali.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lastRenderedPageBreak/>
        <w:t>&lt;Amend&gt;</w:t>
      </w:r>
      <w:r w:rsidRPr="00A121F2">
        <w:t>Emendamento</w:t>
      </w:r>
      <w:r w:rsidRPr="00A121F2">
        <w:tab/>
      </w:r>
      <w:r w:rsidRPr="00A121F2">
        <w:tab/>
      </w:r>
      <w:r w:rsidRPr="00A121F2">
        <w:rPr>
          <w:rStyle w:val="HideTWBExt"/>
          <w:b w:val="0"/>
          <w:noProof w:val="0"/>
          <w:color w:val="auto"/>
        </w:rPr>
        <w:t>&lt;NumAm&gt;</w:t>
      </w:r>
      <w:r w:rsidRPr="00A121F2">
        <w:t>17</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16</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(16)</w:t>
            </w:r>
            <w:r w:rsidRPr="00A121F2">
              <w:tab/>
            </w:r>
            <w:r w:rsidRPr="00A121F2">
              <w:t>Il router dovrebbe essere connesso al portale di ricerca europeo istituito dall'articolo 6 del regolamento (UE) 2019/817 del Parlamento europeo e del Consiglio e dall'articolo 6 del regolamento (UE) 2019/818 del Parlamento europeo e del Consiglio al fine d</w:t>
            </w:r>
            <w:r w:rsidRPr="00A121F2">
              <w:t>i consentire alle autorità degli Stati membri e ad Europol di avviare interrogazioni delle banche dati nazionali a norma del presente regolamento contemporaneamente a interrogazioni dell'archivio comune di dati di identità istituito dall'articolo 17 del re</w:t>
            </w:r>
            <w:r w:rsidRPr="00A121F2">
              <w:t>golamento (UE) 2019/817 e dall'articolo 17 del regolamento (UE) 2019/818 a fini di contrasto.</w:t>
            </w:r>
          </w:p>
        </w:tc>
        <w:tc>
          <w:tcPr>
            <w:tcW w:w="4876" w:type="dxa"/>
          </w:tcPr>
          <w:p w:rsidR="00EF6AA3" w:rsidRPr="00A121F2" w:rsidRDefault="004660B6" w:rsidP="003777C3">
            <w:pPr>
              <w:pStyle w:val="Normal6"/>
              <w:rPr>
                <w:szCs w:val="24"/>
              </w:rPr>
            </w:pPr>
            <w:r w:rsidRPr="00A121F2">
              <w:t>(16)</w:t>
            </w:r>
            <w:r w:rsidRPr="00A121F2">
              <w:tab/>
              <w:t>Il router dovrebbe essere connesso al portale di ricerca europeo istituito dall'articolo 6 del regolamento (UE) 2019/817 del Parlamento europeo e del Consigl</w:t>
            </w:r>
            <w:r w:rsidRPr="00A121F2">
              <w:t xml:space="preserve">io e dall'articolo 6 del regolamento (UE) 2019/818 del Parlamento europeo e del Consiglio al fine di consentire alle autorità </w:t>
            </w:r>
            <w:r w:rsidRPr="00A121F2">
              <w:rPr>
                <w:b/>
                <w:i/>
              </w:rPr>
              <w:t xml:space="preserve">di contrasto competenti </w:t>
            </w:r>
            <w:r w:rsidRPr="00A121F2">
              <w:t>degli Stati membri e ad Europol di avviare interrogazioni delle banche dati nazionali a norma del presente</w:t>
            </w:r>
            <w:r w:rsidRPr="00A121F2">
              <w:t xml:space="preserve"> regolamento contemporaneamente a interrogazioni dell'archivio comune di dati di identità istituito dall'articolo 17 del regolamento (UE) 2019/817 e dall'articolo 17 del regolamento (UE) 2019/818 a fini di contrasto. </w:t>
            </w:r>
            <w:r w:rsidRPr="00A121F2">
              <w:rPr>
                <w:b/>
                <w:i/>
              </w:rPr>
              <w:t>È pertanto opportuno modificare di cons</w:t>
            </w:r>
            <w:r w:rsidRPr="00A121F2">
              <w:rPr>
                <w:b/>
                <w:i/>
              </w:rPr>
              <w:t>eguenza questi due regolamenti.</w:t>
            </w:r>
            <w:r w:rsidRPr="00A121F2">
              <w:rPr>
                <w:b/>
                <w:i/>
              </w:rPr>
              <w:t xml:space="preserve"> </w:t>
            </w:r>
            <w:r w:rsidRPr="00A121F2">
              <w:rPr>
                <w:b/>
                <w:i/>
              </w:rPr>
              <w:t>È inoltre opportuno modificare il regolamento (UE) 2019/818 al fine di consentire la conservazione delle relazioni e delle statistiche del router nell'archivio comune di relazioni e statistiche.</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w:t>
            </w:r>
            <w:r w:rsidRPr="00A121F2">
              <w:t>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34 </w:t>
            </w:r>
            <w:r w:rsidRPr="00A121F2">
              <w:t>Regolamento (UE) 2019/817 del Parlamento europeo e del Consiglio, del 20 maggio 2019, che istituisce un quadro per l'interoperabilità tra i sistemi di informazione dell'UE nel settore delle frontiere e dei visti e che modifica i regolamenti (</w:t>
            </w:r>
            <w:r w:rsidRPr="00A121F2">
              <w:t>CE) n. 767/2008, (UE) n. 2016/399, (UE) 2017/2226, (UE) 2018/1240, (UE) 2018/1726 e (UE) 2018/1861 del Parlamento europeo e del Consiglio e le decisioni 2004/512/CE e 2008/633/GAI del Consiglio (GU L 135 del 22.5.2019, pag. 27).</w:t>
            </w:r>
          </w:p>
        </w:tc>
        <w:tc>
          <w:tcPr>
            <w:tcW w:w="4876" w:type="dxa"/>
          </w:tcPr>
          <w:p w:rsidR="00EF6AA3" w:rsidRPr="00A121F2" w:rsidRDefault="004660B6" w:rsidP="003777C3">
            <w:pPr>
              <w:pStyle w:val="Normal6"/>
              <w:rPr>
                <w:szCs w:val="24"/>
              </w:rPr>
            </w:pPr>
            <w:r w:rsidRPr="00A121F2">
              <w:rPr>
                <w:vertAlign w:val="superscript"/>
              </w:rPr>
              <w:t xml:space="preserve">34 </w:t>
            </w:r>
            <w:r w:rsidRPr="00A121F2">
              <w:t>Regolamento (UE) 2019/81</w:t>
            </w:r>
            <w:r w:rsidRPr="00A121F2">
              <w:t>7 del Parlamento europeo e del Consiglio, del 20 maggio 2019, che istituisce un quadro per l'interoperabilità tra i sistemi di informazione dell'UE nel settore delle frontiere e dei visti e che modifica i regolamenti (CE) n. 767/2008, (UE) n. 2016/399, (UE</w:t>
            </w:r>
            <w:r w:rsidRPr="00A121F2">
              <w:t>) 2017/2226, (UE) 2018/1240, (UE) 2018/1726 e (UE) 2018/1861 del Parlamento europeo e del Consiglio e le decisioni 2004/512/CE e 2008/633/GAI del Consiglio (GU L 135 del 22.5.2019, pag. 27).</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35 </w:t>
            </w:r>
            <w:r w:rsidRPr="00A121F2">
              <w:t>Regolamento (UE) 2019/818 del Parlamento europeo e del Consig</w:t>
            </w:r>
            <w:r w:rsidRPr="00A121F2">
              <w:t xml:space="preserve">lio, del 20 maggio 2019, che istituisce un quadro per l'interoperabilità tra i sistemi di </w:t>
            </w:r>
            <w:r w:rsidRPr="00A121F2">
              <w:lastRenderedPageBreak/>
              <w:t>informazione dell'UE nel settore della cooperazione di polizia e giudiziaria, asilo e migrazione, e che modifica i regolamenti (UE) 2018/1726, (UE) 2018/1862 e (UE) 2</w:t>
            </w:r>
            <w:r w:rsidRPr="00A121F2">
              <w:t>019/816 (GU L 135 del 22.5.2019, pag. 85).</w:t>
            </w:r>
          </w:p>
        </w:tc>
        <w:tc>
          <w:tcPr>
            <w:tcW w:w="4876" w:type="dxa"/>
          </w:tcPr>
          <w:p w:rsidR="00EF6AA3" w:rsidRPr="00A121F2" w:rsidRDefault="004660B6" w:rsidP="003777C3">
            <w:pPr>
              <w:pStyle w:val="Normal6"/>
              <w:rPr>
                <w:szCs w:val="24"/>
              </w:rPr>
            </w:pPr>
            <w:r w:rsidRPr="00A121F2">
              <w:rPr>
                <w:vertAlign w:val="superscript"/>
              </w:rPr>
              <w:lastRenderedPageBreak/>
              <w:t xml:space="preserve">35 </w:t>
            </w:r>
            <w:r w:rsidRPr="00A121F2">
              <w:t xml:space="preserve">Regolamento (UE) 2019/818 del Parlamento europeo e del Consiglio, del 20 maggio 2019, che istituisce un quadro per l'interoperabilità tra i sistemi di </w:t>
            </w:r>
            <w:r w:rsidRPr="00A121F2">
              <w:lastRenderedPageBreak/>
              <w:t>informazione dell'UE nel settore della cooperazione di poli</w:t>
            </w:r>
            <w:r w:rsidRPr="00A121F2">
              <w:t>zia e giudiziaria, asilo e migrazione, e che modifica i regolamenti (UE) 2018/1726, (UE) 2018/1862 e (UE) 2019/816 (GU L 135 del 22.5.2019, pag. 85).</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17</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(17)</w:t>
            </w:r>
            <w:r w:rsidRPr="00A121F2">
              <w:tab/>
              <w:t xml:space="preserve">In caso di corrispondenza tra i dati utilizzati per la ricerca </w:t>
            </w:r>
            <w:r w:rsidRPr="00A121F2">
              <w:rPr>
                <w:b/>
                <w:i/>
              </w:rPr>
              <w:t xml:space="preserve">o il confronto </w:t>
            </w:r>
            <w:r w:rsidRPr="00A121F2">
              <w:t>e i dati conservati nella banca dati nazionale dello Stato membr</w:t>
            </w:r>
            <w:r w:rsidRPr="00A121F2">
              <w:t xml:space="preserve">o o degli Stati membri richiesti, e previa conferma di tale corrispondenza da parte dello Stato membro richiedente, lo Stato membro richiesto dovrebbe trasmettere una serie limitata di dati di base tramite il router entro 24 ore. Il termine </w:t>
            </w:r>
            <w:r w:rsidRPr="00A121F2">
              <w:rPr>
                <w:b/>
                <w:bCs/>
                <w:i/>
                <w:iCs/>
              </w:rPr>
              <w:t>dovrebbe garant</w:t>
            </w:r>
            <w:r w:rsidRPr="00A121F2">
              <w:rPr>
                <w:b/>
                <w:bCs/>
                <w:i/>
                <w:iCs/>
              </w:rPr>
              <w:t>ire</w:t>
            </w:r>
            <w:r w:rsidRPr="00A121F2">
              <w:t xml:space="preserve"> uno scambio rapido di comunicazioni tra le autorità degli Stati membri. Gli Stati membri dovrebbero mantenere il controllo della diffusione di tale serie limitata di dati di base. Dovrebbe essere mantenuto un certo grado di intervento umano nei passagg</w:t>
            </w:r>
            <w:r w:rsidRPr="00A121F2">
              <w:t xml:space="preserve">i chiave del processo, </w:t>
            </w:r>
            <w:r w:rsidRPr="00A121F2">
              <w:rPr>
                <w:b/>
                <w:i/>
              </w:rPr>
              <w:t>anche</w:t>
            </w:r>
            <w:r w:rsidRPr="00A121F2">
              <w:t xml:space="preserve"> per quanto riguarda la decisione di trasmettere dati personali allo Stato membro richiedente, al fine di garantire che non siano scambiati in modo automatizzato dati di base.</w:t>
            </w:r>
          </w:p>
        </w:tc>
        <w:tc>
          <w:tcPr>
            <w:tcW w:w="4876" w:type="dxa"/>
          </w:tcPr>
          <w:p w:rsidR="00EF6AA3" w:rsidRPr="00A121F2" w:rsidRDefault="004660B6" w:rsidP="003777C3">
            <w:pPr>
              <w:pStyle w:val="Normal6"/>
              <w:rPr>
                <w:szCs w:val="24"/>
              </w:rPr>
            </w:pPr>
            <w:r w:rsidRPr="00A121F2">
              <w:t>(17)</w:t>
            </w:r>
            <w:r w:rsidRPr="00A121F2">
              <w:tab/>
              <w:t>In caso di corrispondenza tra i dati utilizzati</w:t>
            </w:r>
            <w:r w:rsidRPr="00A121F2">
              <w:t xml:space="preserve"> per la ricerca e i dati conservati nella banca dati nazionale dello Stato membro o degli Stati membri richiesti, e previa conferma di tale corrispondenza da parte dello Stato membro richiedente, lo Stato membro richiesto dovrebbe trasmettere una serie lim</w:t>
            </w:r>
            <w:r w:rsidRPr="00A121F2">
              <w:t>itata di dati di base</w:t>
            </w:r>
            <w:r w:rsidRPr="00A121F2">
              <w:rPr>
                <w:b/>
                <w:i/>
              </w:rPr>
              <w:t>, nella misura in cui siano disponibili,</w:t>
            </w:r>
            <w:r w:rsidRPr="00A121F2">
              <w:t xml:space="preserve"> tramite il router entro 24 ore. </w:t>
            </w:r>
            <w:r w:rsidRPr="00A121F2">
              <w:rPr>
                <w:b/>
                <w:i/>
              </w:rPr>
              <w:t xml:space="preserve">Qualora lo Stato membro richiesto debba ottenere un'autorizzazione giudiziaria prima della trasmissione dei dati di base, </w:t>
            </w:r>
            <w:r w:rsidRPr="00A121F2">
              <w:rPr>
                <w:b/>
                <w:i/>
              </w:rPr>
              <w:t xml:space="preserve">il termine </w:t>
            </w:r>
            <w:r w:rsidRPr="00A121F2">
              <w:rPr>
                <w:b/>
                <w:i/>
              </w:rPr>
              <w:t>di 24 ore non dovrebbe applic</w:t>
            </w:r>
            <w:r w:rsidRPr="00A121F2">
              <w:rPr>
                <w:b/>
                <w:i/>
              </w:rPr>
              <w:t xml:space="preserve">arsi e, invece, lo Stato membro </w:t>
            </w:r>
            <w:r w:rsidRPr="00A121F2">
              <w:rPr>
                <w:b/>
                <w:i/>
              </w:rPr>
              <w:t xml:space="preserve">dovrebbe garantire </w:t>
            </w:r>
            <w:r w:rsidRPr="00A121F2">
              <w:rPr>
                <w:b/>
                <w:i/>
              </w:rPr>
              <w:t>che i dati di base siano restituiti entro 72 ore.</w:t>
            </w:r>
            <w:r w:rsidRPr="00A121F2">
              <w:t xml:space="preserve"> </w:t>
            </w:r>
            <w:r w:rsidRPr="00A121F2">
              <w:rPr>
                <w:b/>
                <w:i/>
              </w:rPr>
              <w:t xml:space="preserve">Il termine garantirà </w:t>
            </w:r>
            <w:r w:rsidRPr="00A121F2">
              <w:t>uno scambio rapido di comunicazioni tra le autorità</w:t>
            </w:r>
            <w:r w:rsidRPr="00A121F2">
              <w:rPr>
                <w:b/>
                <w:i/>
              </w:rPr>
              <w:t xml:space="preserve"> di contrasto competenti</w:t>
            </w:r>
            <w:r w:rsidRPr="00A121F2">
              <w:t xml:space="preserve"> degli Stati membri. </w:t>
            </w:r>
            <w:r w:rsidRPr="00A121F2">
              <w:t>Gli Stati membri dovrebbero mantenere il controllo della diffusione di tale serie limitata di dati di base. Dovrebbe essere mantenuto un certo grado di intervento umano nei passaggi chiave del processo</w:t>
            </w:r>
            <w:r w:rsidRPr="00A121F2">
              <w:rPr>
                <w:b/>
                <w:i/>
              </w:rPr>
              <w:t xml:space="preserve"> e</w:t>
            </w:r>
            <w:r w:rsidRPr="00A121F2">
              <w:t xml:space="preserve">, </w:t>
            </w:r>
            <w:r w:rsidRPr="00A121F2">
              <w:rPr>
                <w:b/>
                <w:i/>
              </w:rPr>
              <w:t>almeno, nel momento del lancio della domanda, per c</w:t>
            </w:r>
            <w:r w:rsidRPr="00A121F2">
              <w:rPr>
                <w:b/>
                <w:i/>
              </w:rPr>
              <w:t>onfermare la corrispondenza, per lanciare una domanda per ricevere dati di base a seguito della conferma della corrispondenza e</w:t>
            </w:r>
            <w:r w:rsidRPr="00A121F2">
              <w:t xml:space="preserve"> per quanto riguarda la decisione di trasmettere dati personali allo Stato membro richiedente, al fine di garantire che non siano</w:t>
            </w:r>
            <w:r w:rsidRPr="00A121F2">
              <w:t xml:space="preserve"> scambiati in modo </w:t>
            </w:r>
            <w:r w:rsidRPr="00A121F2">
              <w:lastRenderedPageBreak/>
              <w:t>automatizzato dati di base.</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rPr>
                <w:b/>
                <w:i/>
              </w:rPr>
              <w:t>(18)</w:t>
            </w:r>
            <w:r w:rsidRPr="00A121F2">
              <w:rPr>
                <w:b/>
                <w:i/>
              </w:rPr>
              <w:tab/>
            </w:r>
            <w:r w:rsidRPr="00A121F2">
              <w:rPr>
                <w:b/>
                <w:i/>
              </w:rPr>
              <w:t>Qualsiasi scambio tra le autorità degli Stati membri o con Europol in qualsiasi fase di uno dei processi descritti dal presente regolamento, che non sia esplicitamente descritto in quest'ultimo, dovrebbe avvenire tramite SIENA al fine di garantire che tutt</w:t>
            </w:r>
            <w:r w:rsidRPr="00A121F2">
              <w:rPr>
                <w:b/>
                <w:i/>
              </w:rPr>
              <w:t>i gli Stati membri utilizzino un canale di comunicazione comune, sicuro e affidabile.</w:t>
            </w:r>
          </w:p>
        </w:tc>
        <w:tc>
          <w:tcPr>
            <w:tcW w:w="4876" w:type="dxa"/>
          </w:tcPr>
          <w:p w:rsidR="00EF6AA3" w:rsidRPr="00A121F2" w:rsidRDefault="004660B6" w:rsidP="003777C3">
            <w:pPr>
              <w:pStyle w:val="Normal6"/>
              <w:rPr>
                <w:szCs w:val="24"/>
              </w:rPr>
            </w:pPr>
            <w:r w:rsidRPr="00A121F2">
              <w:rPr>
                <w:b/>
                <w:i/>
              </w:rPr>
              <w:t>soppresso</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19</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(19)</w:t>
            </w:r>
            <w:r w:rsidRPr="00A121F2">
              <w:tab/>
            </w:r>
            <w:r w:rsidRPr="00A121F2">
              <w:rPr>
                <w:b/>
                <w:i/>
              </w:rPr>
              <w:t>Per</w:t>
            </w:r>
            <w:r w:rsidRPr="00A121F2">
              <w:t xml:space="preserve"> lo sviluppo del router e di EPRIS dovrebbe essere utilizzato lo standard del formato universale dei messaggi (UMF)</w:t>
            </w:r>
            <w:r w:rsidRPr="00A121F2">
              <w:rPr>
                <w:b/>
                <w:i/>
              </w:rPr>
              <w:t xml:space="preserve">. </w:t>
            </w:r>
            <w:r w:rsidRPr="00A121F2">
              <w:t>Qualsiasi scambio automatizzato di dati a norma del presente regolamento</w:t>
            </w:r>
            <w:r w:rsidRPr="00A121F2">
              <w:rPr>
                <w:b/>
                <w:i/>
              </w:rPr>
              <w:t xml:space="preserve"> dovrebbe utilizzare</w:t>
            </w:r>
            <w:r w:rsidRPr="00A121F2">
              <w:rPr>
                <w:b/>
                <w:i/>
              </w:rPr>
              <w:t xml:space="preserve"> lo standard UMF</w:t>
            </w:r>
            <w:r w:rsidRPr="00A121F2">
              <w:t>. Le autorità degli Stati membri ed Europol sono incoraggiate a utilizzare lo standard UMF anche in relazione a ulteriori scambi di dati tra di loro nel quadro Prüm II. Lo standard UMF dovrebbe fungere da standard per lo scambio strutturato</w:t>
            </w:r>
            <w:r w:rsidRPr="00A121F2">
              <w:t xml:space="preserve"> delle informazioni a livello transfrontaliero tra i sistemi di informazione, le autorità o le organizzazioni del settore Giustizia e affari </w:t>
            </w:r>
            <w:r w:rsidRPr="00A121F2">
              <w:lastRenderedPageBreak/>
              <w:t>interni.</w:t>
            </w:r>
          </w:p>
        </w:tc>
        <w:tc>
          <w:tcPr>
            <w:tcW w:w="4876" w:type="dxa"/>
          </w:tcPr>
          <w:p w:rsidR="00EF6AA3" w:rsidRPr="00A121F2" w:rsidRDefault="004660B6" w:rsidP="003777C3">
            <w:pPr>
              <w:pStyle w:val="Normal6"/>
              <w:rPr>
                <w:szCs w:val="24"/>
              </w:rPr>
            </w:pPr>
            <w:r w:rsidRPr="00A121F2">
              <w:lastRenderedPageBreak/>
              <w:t>(19)</w:t>
            </w:r>
            <w:r w:rsidRPr="00A121F2">
              <w:tab/>
            </w:r>
            <w:r w:rsidRPr="00A121F2">
              <w:rPr>
                <w:b/>
                <w:i/>
              </w:rPr>
              <w:t>Nella misura in cui sia applicabile, per</w:t>
            </w:r>
            <w:r w:rsidRPr="00A121F2">
              <w:t xml:space="preserve"> lo sviluppo del router e di EPRIS dovrebbe essere utilizzato lo standard del formato universale dei messaggi (UMF)</w:t>
            </w:r>
            <w:r w:rsidRPr="00A121F2">
              <w:rPr>
                <w:b/>
                <w:i/>
              </w:rPr>
              <w:t xml:space="preserve"> e per</w:t>
            </w:r>
            <w:r w:rsidRPr="00A121F2">
              <w:t xml:space="preserve"> qualsiasi scambio automatizzato di dati a norma del presente regolamento. Le autorità</w:t>
            </w:r>
            <w:r w:rsidRPr="00A121F2">
              <w:rPr>
                <w:b/>
                <w:i/>
              </w:rPr>
              <w:t xml:space="preserve"> di contrasto competenti</w:t>
            </w:r>
            <w:r w:rsidRPr="00A121F2">
              <w:t xml:space="preserve"> degli Stati membri ed Eu</w:t>
            </w:r>
            <w:r w:rsidRPr="00A121F2">
              <w:t>ropol sono incoraggiate a utilizzare lo standard UMF anche in relazione a ulteriori scambi di dati tra di loro nel quadro Prüm II. Lo standard UMF dovrebbe fungere da standard per lo scambio strutturato delle informazioni a livello transfrontaliero tra i s</w:t>
            </w:r>
            <w:r w:rsidRPr="00A121F2">
              <w:t xml:space="preserve">istemi di informazione, le autorità o le organizzazioni del settore Giustizia e affari </w:t>
            </w:r>
            <w:r w:rsidRPr="00A121F2">
              <w:lastRenderedPageBreak/>
              <w:t>interni.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21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(21)</w:t>
            </w:r>
            <w:r w:rsidRPr="00A121F2">
              <w:tab/>
              <w:t xml:space="preserve">Taluni aspetti del quadro Prüm II non possono essere trattati in modo esaustivo dal presente regolamento per la loro natura tecnica, fortemente dettagliata e soggetta a frequenti cambiamenti. </w:t>
            </w:r>
            <w:r w:rsidRPr="00A121F2">
              <w:t xml:space="preserve">Tra tali aspetti figurano ad esempio le modalità </w:t>
            </w:r>
            <w:r w:rsidRPr="00A121F2">
              <w:rPr>
                <w:b/>
                <w:i/>
              </w:rPr>
              <w:t xml:space="preserve">e le specifiche </w:t>
            </w:r>
            <w:r w:rsidRPr="00A121F2">
              <w:t>tecniche per le procedure di consultazione automatizzata, le norme per lo scambio di dati e i dati da scambiare. Al fine di garantire condizioni uniformi di esecuzione del presente regolament</w:t>
            </w:r>
            <w:r w:rsidRPr="00A121F2">
              <w:t>o è opportuno attribuire alla Commissione competenze di esecuzione. È altresì opportuno che tali competenze siano esercitate conformemente al regolamento (UE) n. 182/2011 del Parlamento europeo e del Consiglio</w:t>
            </w:r>
            <w:r w:rsidRPr="00A121F2">
              <w:rPr>
                <w:vertAlign w:val="superscript"/>
              </w:rPr>
              <w:t xml:space="preserve">36 </w:t>
            </w:r>
            <w:r w:rsidRPr="00A121F2">
              <w:t>.</w:t>
            </w:r>
          </w:p>
        </w:tc>
        <w:tc>
          <w:tcPr>
            <w:tcW w:w="4876" w:type="dxa"/>
          </w:tcPr>
          <w:p w:rsidR="00EF6AA3" w:rsidRPr="00A121F2" w:rsidRDefault="004660B6" w:rsidP="003777C3">
            <w:pPr>
              <w:pStyle w:val="Normal6"/>
              <w:rPr>
                <w:szCs w:val="24"/>
              </w:rPr>
            </w:pPr>
            <w:r w:rsidRPr="00A121F2">
              <w:t>(21)</w:t>
            </w:r>
            <w:r w:rsidRPr="00A121F2">
              <w:tab/>
              <w:t>Taluni aspetti del quadro Prüm II non</w:t>
            </w:r>
            <w:r w:rsidRPr="00A121F2">
              <w:t xml:space="preserve"> possono essere trattati in modo esaustivo dal presente regolamento per la loro natura tecnica, fortemente dettagliata e soggetta a frequenti cambiamenti. Tra tali aspetti figurano ad esempio le modalità tecniche per le procedure di consultazione automatiz</w:t>
            </w:r>
            <w:r w:rsidRPr="00A121F2">
              <w:t>zata, le norme</w:t>
            </w:r>
            <w:r w:rsidRPr="00A121F2">
              <w:rPr>
                <w:b/>
                <w:i/>
              </w:rPr>
              <w:t>, comprese norme minime di qualità,</w:t>
            </w:r>
            <w:r w:rsidRPr="00A121F2">
              <w:t xml:space="preserve"> per lo scambio di dati e i dati da scambiare. Al fine di garantire condizioni uniformi di esecuzione del presente regolamento è opportuno attribuire alla Commissione competenze di esecuzione. È altresì oppo</w:t>
            </w:r>
            <w:r w:rsidRPr="00A121F2">
              <w:t>rtuno che tali competenze siano esercitate conformemente al regolamento (UE) n. 182/2011 del Parlamento europeo e del Consiglio</w:t>
            </w:r>
            <w:r w:rsidRPr="00A121F2">
              <w:rPr>
                <w:vertAlign w:val="superscript"/>
              </w:rPr>
              <w:t xml:space="preserve">36 </w:t>
            </w:r>
            <w:r w:rsidRPr="00A121F2">
              <w:t>.</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36 </w:t>
            </w:r>
            <w:r w:rsidRPr="00A121F2">
              <w:t>Regolamento (UE) n. 182/2011 del Parlamento europeo e del Consiglio, del 16 febbr</w:t>
            </w:r>
            <w:r w:rsidRPr="00A121F2">
              <w:t>aio 2011, che stabilisce le regole e i principi generali relativi alle modalità di controllo da parte degli Stati membri dell'esercizio delle competenze di esecuzione attribuite alla Commissione (GU L 55 del 28.2.2011, pag. 13).</w:t>
            </w:r>
          </w:p>
        </w:tc>
        <w:tc>
          <w:tcPr>
            <w:tcW w:w="4876" w:type="dxa"/>
          </w:tcPr>
          <w:p w:rsidR="00EF6AA3" w:rsidRPr="00A121F2" w:rsidRDefault="004660B6" w:rsidP="003777C3">
            <w:pPr>
              <w:pStyle w:val="Normal6"/>
              <w:rPr>
                <w:szCs w:val="24"/>
              </w:rPr>
            </w:pPr>
            <w:r w:rsidRPr="00A121F2">
              <w:rPr>
                <w:vertAlign w:val="superscript"/>
              </w:rPr>
              <w:t xml:space="preserve">36 </w:t>
            </w:r>
            <w:r w:rsidRPr="00A121F2">
              <w:t>Regolamento (UE) n. 182/</w:t>
            </w:r>
            <w:r w:rsidRPr="00A121F2">
              <w:t xml:space="preserve">2011 del Parlamento europeo e del Consiglio, del 16 febbraio 2011, che stabilisce le regole e i principi generali relativi alle modalità di controllo da parte degli Stati membri dell'esercizio delle competenze di esecuzione attribuite alla Commissione (GU </w:t>
            </w:r>
            <w:r w:rsidRPr="00A121F2">
              <w:t>L 55 del 28.2.2011, pag. 13).</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23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(23)</w:t>
            </w:r>
            <w:r w:rsidRPr="00A121F2">
              <w:tab/>
            </w:r>
            <w:r w:rsidRPr="00A121F2">
              <w:t>Poiché il router dovrebbe essere sviluppato e gestito dall'Agenzia dell'Unione europea per la gestione operativa dei sistemi IT su larga scala nello spazio di libertà, sicurezza e giustizia (eu-LISA), istituita dal regolamento (UE) 2018/1726 del Parlamento</w:t>
            </w:r>
            <w:r w:rsidRPr="00A121F2">
              <w:t xml:space="preserve"> europeo e del Consiglio, è necessario modificare detto regolamento </w:t>
            </w:r>
            <w:r w:rsidRPr="00A121F2">
              <w:rPr>
                <w:b/>
                <w:i/>
              </w:rPr>
              <w:t>aggiungendo tale attività ai compiti di eu-LISA.</w:t>
            </w:r>
            <w:r w:rsidRPr="00A121F2">
              <w:t xml:space="preserve"> </w:t>
            </w:r>
            <w:r w:rsidRPr="00A121F2">
              <w:rPr>
                <w:b/>
                <w:i/>
              </w:rPr>
              <w:t xml:space="preserve">Al fine di </w:t>
            </w:r>
            <w:r w:rsidRPr="00A121F2">
              <w:rPr>
                <w:b/>
                <w:i/>
              </w:rPr>
              <w:t>consentire la connessione del router al portale di ricerca europeo per poter consultare simultaneamente il router e l'archivio c</w:t>
            </w:r>
            <w:r w:rsidRPr="00A121F2">
              <w:rPr>
                <w:b/>
                <w:i/>
              </w:rPr>
              <w:t>omune di dati di identità, è necessario modificare il regolamento (UE) 2019/817.</w:t>
            </w:r>
            <w:r w:rsidRPr="00A121F2">
              <w:rPr>
                <w:b/>
                <w:i/>
              </w:rPr>
              <w:t xml:space="preserve"> </w:t>
            </w:r>
            <w:r w:rsidRPr="00A121F2">
              <w:rPr>
                <w:b/>
                <w:i/>
              </w:rPr>
              <w:t>Al fine di consentire la connessione del router al portale di ricerca europeo per poter consultare simultaneamente il router e l'archivio comune di dati di identità, e per con</w:t>
            </w:r>
            <w:r w:rsidRPr="00A121F2">
              <w:rPr>
                <w:b/>
                <w:i/>
              </w:rPr>
              <w:t>servare le relazioni e le statistiche del router nell'archivio centrale di relazioni e statistiche, è necessario modificare il regolamento (UE) 2019/818.</w:t>
            </w:r>
            <w:r w:rsidRPr="00A121F2">
              <w:rPr>
                <w:b/>
                <w:i/>
              </w:rPr>
              <w:t xml:space="preserve"> </w:t>
            </w:r>
            <w:r w:rsidRPr="00A121F2">
              <w:rPr>
                <w:b/>
                <w:i/>
              </w:rPr>
              <w:t>È pertanto opportuno modificare</w:t>
            </w:r>
            <w:r w:rsidRPr="00A121F2">
              <w:rPr>
                <w:b/>
                <w:i/>
              </w:rPr>
              <w:t xml:space="preserve"> di </w:t>
            </w:r>
            <w:r w:rsidRPr="00A121F2">
              <w:rPr>
                <w:b/>
                <w:i/>
              </w:rPr>
              <w:t>conseguenza tali regolamenti</w:t>
            </w:r>
            <w:r w:rsidRPr="00A121F2">
              <w:rPr>
                <w:b/>
                <w:i/>
              </w:rPr>
              <w:t>.</w:t>
            </w:r>
          </w:p>
        </w:tc>
        <w:tc>
          <w:tcPr>
            <w:tcW w:w="4876" w:type="dxa"/>
          </w:tcPr>
          <w:p w:rsidR="00EF6AA3" w:rsidRPr="00A121F2" w:rsidRDefault="004660B6" w:rsidP="003777C3">
            <w:pPr>
              <w:pStyle w:val="Normal6"/>
              <w:rPr>
                <w:szCs w:val="24"/>
              </w:rPr>
            </w:pPr>
            <w:r w:rsidRPr="00A121F2">
              <w:t>(23)</w:t>
            </w:r>
            <w:r w:rsidRPr="00A121F2">
              <w:tab/>
              <w:t>Poiché il router dovrebbe essere</w:t>
            </w:r>
            <w:r w:rsidRPr="00A121F2">
              <w:t xml:space="preserve"> sviluppato e gestito dall'Agenzia dell'Unione europea per la gestione operativa dei sistemi IT su larga scala nello spazio di libertà, sicurezza e giustizia (eu-LISA), istituita dal regolamento (UE) 2018/1726 del Parlamento europeo e del Consiglio, è nece</w:t>
            </w:r>
            <w:r w:rsidRPr="00A121F2">
              <w:t xml:space="preserve">ssario modificare detto regolamento al fine di </w:t>
            </w:r>
            <w:r w:rsidRPr="00A121F2">
              <w:rPr>
                <w:b/>
                <w:i/>
              </w:rPr>
              <w:t>aggiungere tale compito ai compiti</w:t>
            </w:r>
            <w:r w:rsidRPr="00A121F2">
              <w:t xml:space="preserve"> di </w:t>
            </w:r>
            <w:r w:rsidRPr="00A121F2">
              <w:rPr>
                <w:b/>
                <w:i/>
              </w:rPr>
              <w:t>eu-LISA</w:t>
            </w:r>
            <w:r w:rsidRPr="00A121F2">
              <w:t>.</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37 </w:t>
            </w:r>
            <w:r w:rsidRPr="00A121F2">
              <w:t>Regolamento (UE) 2018/1726 del Parlamento europeo e del Consiglio, del 14 novembre 2018, relativo all'Agenzia dell'Unio</w:t>
            </w:r>
            <w:r w:rsidRPr="00A121F2">
              <w:t>ne europea per la gestione operativa dei sistemi IT su larga scala nello spazio di libertà, sicurezza e giustizia (eu-LISA), che modifica il regolamento (CE) n. 1987/2006 e la decisione 2007/533/GAI del Consiglio e che abroga il regolamento (UE) n. 1077/20</w:t>
            </w:r>
            <w:r w:rsidRPr="00A121F2">
              <w:t>11 (GU L 295 del 21.11.2018, pag. 99).</w:t>
            </w:r>
          </w:p>
        </w:tc>
        <w:tc>
          <w:tcPr>
            <w:tcW w:w="4876" w:type="dxa"/>
          </w:tcPr>
          <w:p w:rsidR="00EF6AA3" w:rsidRPr="00A121F2" w:rsidRDefault="004660B6" w:rsidP="003777C3">
            <w:pPr>
              <w:pStyle w:val="Normal6"/>
              <w:rPr>
                <w:szCs w:val="24"/>
              </w:rPr>
            </w:pPr>
            <w:r w:rsidRPr="00A121F2">
              <w:rPr>
                <w:vertAlign w:val="superscript"/>
              </w:rPr>
              <w:t xml:space="preserve">37 </w:t>
            </w:r>
            <w:r w:rsidRPr="00A121F2">
              <w:t>Regolamento (UE) 2018/1726 del Parlamento europeo e del Consiglio, del 14 novembre 2018, relativo all'Agenzia dell'Unione europea per la gestione operativa dei sistemi IT su larga scala nello spazio di libertà, sic</w:t>
            </w:r>
            <w:r w:rsidRPr="00A121F2">
              <w:t>urezza e giustizia (eu-LISA), che modifica il regolamento (CE) n. 1987/2006 e la decisione 2007/533/GAI del Consiglio e che abroga il regolamento (UE) n. 1077/2011 (GU L 295 del 21.11.2018, pag. 99).</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23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rPr>
              <w:t>(23 bis)</w:t>
            </w:r>
            <w:r w:rsidRPr="00A121F2">
              <w:rPr>
                <w:b/>
                <w:i/>
              </w:rPr>
              <w:tab/>
            </w:r>
            <w:r w:rsidRPr="00A121F2">
              <w:rPr>
                <w:b/>
                <w:i/>
              </w:rPr>
              <w:t>Poiché gli obiettivi del presente regolamento, vale a dire intensificare la cooperazione transfrontaliera e permettere alle autorità di contrasto competenti degli Stati membri di cercare persone scomparse e identificare resti umani non identificati, non po</w:t>
            </w:r>
            <w:r w:rsidRPr="00A121F2">
              <w:rPr>
                <w:b/>
                <w:i/>
              </w:rPr>
              <w:t>ssono essere conseguiti in misura sufficiente dagli Stati membri ma possono essere conseguiti meglio a livello di Unione, quest'ultima può adottare misure in base al principio di sussidiarietà sancito dall'articolo 5 del trattato sull'Unione europea. Il pr</w:t>
            </w:r>
            <w:r w:rsidRPr="00A121F2">
              <w:rPr>
                <w:b/>
                <w:i/>
              </w:rPr>
              <w:t>esente regolamento si limita a quanto è necessario per conseguire tali obiettivi in ottemperanza al principio di proporzionalità enunciato nello stesso articolo.</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24</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Considerando 26</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(26)</w:t>
            </w:r>
            <w:r w:rsidRPr="00A121F2">
              <w:tab/>
              <w:t>Il Garante europeo della protezione dei dati è stato consultato a norma dell'articolo 42, paragrafo 1, del regolamento (UE) 2018/1725 del Parl</w:t>
            </w:r>
            <w:r w:rsidRPr="00A121F2">
              <w:t>amento europeo e del Consiglio</w:t>
            </w:r>
            <w:r w:rsidRPr="00A121F2">
              <w:rPr>
                <w:vertAlign w:val="superscript"/>
              </w:rPr>
              <w:t>38</w:t>
            </w:r>
            <w:r w:rsidRPr="00A121F2">
              <w:t xml:space="preserve"> e ha espresso un parere in data </w:t>
            </w:r>
            <w:r w:rsidRPr="00A121F2">
              <w:rPr>
                <w:b/>
                <w:bCs/>
                <w:i/>
                <w:iCs/>
              </w:rPr>
              <w:t>[XX]</w:t>
            </w:r>
            <w:r w:rsidRPr="00A121F2">
              <w:rPr>
                <w:vertAlign w:val="superscript"/>
              </w:rPr>
              <w:t>39</w:t>
            </w:r>
            <w:r w:rsidRPr="00A121F2">
              <w:t>,</w:t>
            </w:r>
          </w:p>
        </w:tc>
        <w:tc>
          <w:tcPr>
            <w:tcW w:w="4876" w:type="dxa"/>
          </w:tcPr>
          <w:p w:rsidR="00EF6AA3" w:rsidRPr="00A121F2" w:rsidRDefault="004660B6" w:rsidP="003777C3">
            <w:pPr>
              <w:pStyle w:val="Normal6"/>
              <w:rPr>
                <w:szCs w:val="24"/>
              </w:rPr>
            </w:pPr>
            <w:r w:rsidRPr="00A121F2">
              <w:t>(26)</w:t>
            </w:r>
            <w:r w:rsidRPr="00A121F2">
              <w:tab/>
              <w:t>Il Garante europeo della protezione dei dati è stato consultato a norma dell'articolo 42, paragrafo 1, del regolamento (UE) 2018/1725 del Parlamento europeo e del Consiglio</w:t>
            </w:r>
            <w:r w:rsidRPr="00A121F2">
              <w:rPr>
                <w:vertAlign w:val="superscript"/>
              </w:rPr>
              <w:t>39</w:t>
            </w:r>
            <w:r w:rsidRPr="00A121F2">
              <w:t xml:space="preserve"> e ha espresso un parere in data </w:t>
            </w:r>
            <w:r w:rsidRPr="00A121F2">
              <w:rPr>
                <w:b/>
                <w:bCs/>
                <w:i/>
                <w:iCs/>
              </w:rPr>
              <w:t>2 marzo</w:t>
            </w:r>
            <w:r w:rsidRPr="00A121F2">
              <w:t xml:space="preserve"> 2022</w:t>
            </w:r>
            <w:r w:rsidRPr="00A121F2">
              <w:rPr>
                <w:vertAlign w:val="superscript"/>
              </w:rPr>
              <w:t>39</w:t>
            </w:r>
            <w:r w:rsidRPr="00A121F2">
              <w:t>,</w:t>
            </w:r>
          </w:p>
        </w:tc>
      </w:tr>
      <w:tr w:rsidR="00AF580A" w:rsidRPr="00A121F2" w:rsidTr="003777C3">
        <w:trPr>
          <w:jc w:val="center"/>
        </w:trPr>
        <w:tc>
          <w:tcPr>
            <w:tcW w:w="4876" w:type="dxa"/>
          </w:tcPr>
          <w:p w:rsidR="00EF6AA3" w:rsidRPr="00A121F2" w:rsidRDefault="004660B6" w:rsidP="003777C3">
            <w:pPr>
              <w:pStyle w:val="Normal6"/>
            </w:pPr>
            <w:r w:rsidRPr="00A121F2">
              <w:t>__________________</w:t>
            </w:r>
          </w:p>
        </w:tc>
        <w:tc>
          <w:tcPr>
            <w:tcW w:w="4876" w:type="dxa"/>
          </w:tcPr>
          <w:p w:rsidR="00EF6AA3" w:rsidRPr="00A121F2" w:rsidRDefault="004660B6" w:rsidP="003777C3">
            <w:pPr>
              <w:pStyle w:val="Normal6"/>
              <w:rPr>
                <w:szCs w:val="24"/>
              </w:rPr>
            </w:pPr>
            <w:r w:rsidRPr="00A121F2">
              <w:t>__________________</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38 </w:t>
            </w:r>
            <w:r w:rsidRPr="00A121F2">
              <w:t xml:space="preserve">Regolamento (UE) 2018/1725 del Parlamento europeo e del Consiglio, del 23 ottobre 2018, sulla tutela delle persone fisiche in relazione al trattamento dei dati personali da parte delle istituzioni, degli organi e degli organismi dell'Unione e sulla libera </w:t>
            </w:r>
            <w:r w:rsidRPr="00A121F2">
              <w:t xml:space="preserve">circolazione di tali dati, e che abroga il regolamento (CE) n. 45/2001 e la </w:t>
            </w:r>
            <w:r w:rsidRPr="00A121F2">
              <w:lastRenderedPageBreak/>
              <w:t>decisione n. 1247/2002/CE (GU L 295 del 21.11.2018, pag. 39).</w:t>
            </w:r>
          </w:p>
        </w:tc>
        <w:tc>
          <w:tcPr>
            <w:tcW w:w="4876" w:type="dxa"/>
          </w:tcPr>
          <w:p w:rsidR="00EF6AA3" w:rsidRPr="00A121F2" w:rsidRDefault="004660B6" w:rsidP="003777C3">
            <w:pPr>
              <w:pStyle w:val="Normal6"/>
              <w:rPr>
                <w:szCs w:val="24"/>
              </w:rPr>
            </w:pPr>
            <w:r w:rsidRPr="00A121F2">
              <w:rPr>
                <w:vertAlign w:val="superscript"/>
              </w:rPr>
              <w:lastRenderedPageBreak/>
              <w:t xml:space="preserve">38 </w:t>
            </w:r>
            <w:r w:rsidRPr="00A121F2">
              <w:t xml:space="preserve">Regolamento (UE) 2018/1725 del Parlamento europeo e del Consiglio, del 23 ottobre 2018, sulla tutela delle persone </w:t>
            </w:r>
            <w:r w:rsidRPr="00A121F2">
              <w:t xml:space="preserve">fisiche in relazione al trattamento dei dati personali da parte delle istituzioni, degli organi e degli organismi dell'Unione e sulla libera circolazione di tali dati, e che abroga il regolamento (CE) n. 45/2001 e la </w:t>
            </w:r>
            <w:r w:rsidRPr="00A121F2">
              <w:lastRenderedPageBreak/>
              <w:t>decisione n. 1247/2002/CE (GU L 295 del</w:t>
            </w:r>
            <w:r w:rsidRPr="00A121F2">
              <w:t xml:space="preserve"> 21.11.2018, pag. 39).</w:t>
            </w:r>
          </w:p>
        </w:tc>
      </w:tr>
      <w:tr w:rsidR="00AF580A" w:rsidRPr="00A121F2" w:rsidTr="003777C3">
        <w:trPr>
          <w:jc w:val="center"/>
        </w:trPr>
        <w:tc>
          <w:tcPr>
            <w:tcW w:w="4876" w:type="dxa"/>
          </w:tcPr>
          <w:p w:rsidR="00EF6AA3" w:rsidRPr="00A121F2" w:rsidRDefault="004660B6" w:rsidP="003777C3">
            <w:pPr>
              <w:pStyle w:val="Normal6"/>
            </w:pPr>
            <w:r w:rsidRPr="00A121F2">
              <w:rPr>
                <w:vertAlign w:val="superscript"/>
              </w:rPr>
              <w:t xml:space="preserve">39 </w:t>
            </w:r>
            <w:r w:rsidRPr="00A121F2">
              <w:t>[GU C ... del ..., pag. ...].</w:t>
            </w:r>
          </w:p>
        </w:tc>
        <w:tc>
          <w:tcPr>
            <w:tcW w:w="4876" w:type="dxa"/>
          </w:tcPr>
          <w:p w:rsidR="00EF6AA3" w:rsidRPr="00A121F2" w:rsidRDefault="004660B6" w:rsidP="003777C3">
            <w:pPr>
              <w:pStyle w:val="Normal6"/>
              <w:rPr>
                <w:szCs w:val="24"/>
              </w:rPr>
            </w:pPr>
            <w:r w:rsidRPr="00A121F2">
              <w:rPr>
                <w:vertAlign w:val="superscript"/>
              </w:rPr>
              <w:t>39</w:t>
            </w:r>
            <w:r w:rsidRPr="00A121F2">
              <w:t xml:space="preserve"> GU C </w:t>
            </w:r>
            <w:r w:rsidRPr="00A121F2">
              <w:rPr>
                <w:b/>
                <w:bCs/>
                <w:i/>
                <w:iCs/>
              </w:rPr>
              <w:t>225</w:t>
            </w:r>
            <w:r w:rsidRPr="00A121F2">
              <w:t xml:space="preserve"> del </w:t>
            </w:r>
            <w:r w:rsidRPr="00A121F2">
              <w:rPr>
                <w:b/>
                <w:bCs/>
                <w:i/>
                <w:iCs/>
              </w:rPr>
              <w:t>9.6.2022</w:t>
            </w:r>
            <w:r w:rsidRPr="00A121F2">
              <w:t>, pag. </w:t>
            </w:r>
            <w:r w:rsidRPr="00A121F2">
              <w:rPr>
                <w:b/>
                <w:bCs/>
                <w:i/>
                <w:iCs/>
              </w:rPr>
              <w:t>6</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25</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 xml:space="preserve">Il presente regolamento istituisce un quadro per lo scambio di informazioni tra le autorità </w:t>
            </w:r>
            <w:r w:rsidRPr="00A121F2">
              <w:rPr>
                <w:b/>
                <w:i/>
              </w:rPr>
              <w:t>responsabili della prevenzione, dell'indagine e dell'accertamento di reati</w:t>
            </w:r>
            <w:r w:rsidRPr="00A121F2">
              <w:t xml:space="preserve"> (Prüm II).</w:t>
            </w:r>
          </w:p>
        </w:tc>
        <w:tc>
          <w:tcPr>
            <w:tcW w:w="4876" w:type="dxa"/>
          </w:tcPr>
          <w:p w:rsidR="00EF6AA3" w:rsidRPr="00A121F2" w:rsidRDefault="004660B6" w:rsidP="003777C3">
            <w:pPr>
              <w:pStyle w:val="Normal6"/>
              <w:rPr>
                <w:szCs w:val="24"/>
              </w:rPr>
            </w:pPr>
            <w:r w:rsidRPr="00A121F2">
              <w:t xml:space="preserve">Il presente regolamento istituisce un quadro per lo scambio di informazioni tra le autorità </w:t>
            </w:r>
            <w:r w:rsidRPr="00A121F2">
              <w:rPr>
                <w:b/>
                <w:i/>
              </w:rPr>
              <w:t>di contrasto competenti degli Stati membri</w:t>
            </w:r>
            <w:r w:rsidRPr="00A121F2">
              <w:t xml:space="preserve"> (Prüm II).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26</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w:t>
      </w:r>
      <w:r w:rsidRPr="00A121F2">
        <w:t>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1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 xml:space="preserve">Il presente regolamento stabilisce le condizioni e le procedure per la consultazione automatizzata di </w:t>
            </w:r>
            <w:r w:rsidRPr="00A121F2">
              <w:rPr>
                <w:b/>
                <w:i/>
              </w:rPr>
              <w:t xml:space="preserve">profili DNA, </w:t>
            </w:r>
            <w:r w:rsidRPr="00A121F2">
              <w:t xml:space="preserve">dati </w:t>
            </w:r>
            <w:r w:rsidRPr="00A121F2">
              <w:rPr>
                <w:b/>
                <w:i/>
              </w:rPr>
              <w:t>dattiloscopici, immagini del volto</w:t>
            </w:r>
            <w:r w:rsidRPr="00A121F2">
              <w:t>, estratti del casellario giudiziale e determinati dati di immatricolazione dei veicoli, nonché le norme relative allo scambio di dati di base a seguito di una corrispondenza.</w:t>
            </w:r>
          </w:p>
        </w:tc>
        <w:tc>
          <w:tcPr>
            <w:tcW w:w="4876" w:type="dxa"/>
          </w:tcPr>
          <w:p w:rsidR="00EF6AA3" w:rsidRPr="00A121F2" w:rsidRDefault="004660B6" w:rsidP="003777C3">
            <w:pPr>
              <w:pStyle w:val="Normal6"/>
              <w:rPr>
                <w:szCs w:val="24"/>
              </w:rPr>
            </w:pPr>
            <w:r w:rsidRPr="00A121F2">
              <w:t>Il presente regolamento stabilisce le condizioni e le procedure per la consultaz</w:t>
            </w:r>
            <w:r w:rsidRPr="00A121F2">
              <w:t xml:space="preserve">ione automatizzata di dati </w:t>
            </w:r>
            <w:r w:rsidRPr="00A121F2">
              <w:rPr>
                <w:b/>
                <w:i/>
              </w:rPr>
              <w:t>biometrici</w:t>
            </w:r>
            <w:r w:rsidRPr="00A121F2">
              <w:t>, estratti del casellario giudiziale e determinati dati di immatricolazione dei veicoli, nonché le norme relative allo scambio di dati di base a seguito di una corrispondenza</w:t>
            </w:r>
            <w:r w:rsidRPr="00A121F2">
              <w:rPr>
                <w:b/>
                <w:i/>
              </w:rPr>
              <w:t xml:space="preserve"> confermata su dati biometrici</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w:t>
      </w:r>
      <w:r w:rsidRPr="00A121F2">
        <w:rPr>
          <w:rStyle w:val="HideTWBExt"/>
          <w:noProof w:val="0"/>
          <w:color w:val="auto"/>
        </w:rPr>
        <w:t>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27</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 xml:space="preserve">Il quadro Prüm II mira a intensificare la cooperazione transfrontaliera nelle materie disciplinate dalla parte III, titolo V, capo 5, del trattato sul funzionamento dell'Unione europea, in particolare lo scambio di informazioni tra autorità </w:t>
            </w:r>
            <w:r w:rsidRPr="00A121F2">
              <w:rPr>
                <w:b/>
                <w:i/>
              </w:rPr>
              <w:t>responsabili de</w:t>
            </w:r>
            <w:r w:rsidRPr="00A121F2">
              <w:rPr>
                <w:b/>
                <w:i/>
              </w:rPr>
              <w:t>lla prevenzione, dell'indagine e dell'accertamento di reati</w:t>
            </w:r>
            <w:r w:rsidRPr="00A121F2">
              <w:t>.</w:t>
            </w:r>
          </w:p>
        </w:tc>
        <w:tc>
          <w:tcPr>
            <w:tcW w:w="4876" w:type="dxa"/>
          </w:tcPr>
          <w:p w:rsidR="00EF6AA3" w:rsidRPr="00A121F2" w:rsidRDefault="004660B6" w:rsidP="003777C3">
            <w:pPr>
              <w:pStyle w:val="Normal6"/>
              <w:rPr>
                <w:szCs w:val="24"/>
              </w:rPr>
            </w:pPr>
            <w:r w:rsidRPr="00A121F2">
              <w:t>Il quadro Prüm II mira a intensificare la cooperazione transfrontaliera nelle materie disciplinate dalla parte III, titolo V, capo 5, del trattato sul funzionamento dell'Unione europea, in partic</w:t>
            </w:r>
            <w:r w:rsidRPr="00A121F2">
              <w:t xml:space="preserve">olare lo scambio di informazioni tra autorità </w:t>
            </w:r>
            <w:r w:rsidRPr="00A121F2">
              <w:rPr>
                <w:b/>
                <w:i/>
              </w:rPr>
              <w:t>di contrasto competenti degli Stati membri</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28</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2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 xml:space="preserve">Il quadro Prüm II mira altresì a consentire alle autorità </w:t>
            </w:r>
            <w:r w:rsidRPr="00A121F2">
              <w:rPr>
                <w:b/>
                <w:i/>
              </w:rPr>
              <w:t>responsabili della prevenzione</w:t>
            </w:r>
            <w:r w:rsidRPr="00A121F2">
              <w:t xml:space="preserve">, </w:t>
            </w:r>
            <w:r w:rsidRPr="00A121F2">
              <w:rPr>
                <w:b/>
                <w:i/>
              </w:rPr>
              <w:t>dell'indagine e dell'accertamento di reati la ricerca di persone scomparse</w:t>
            </w:r>
            <w:r w:rsidRPr="00A121F2">
              <w:t xml:space="preserve"> e </w:t>
            </w:r>
            <w:r w:rsidRPr="00A121F2">
              <w:rPr>
                <w:b/>
                <w:i/>
              </w:rPr>
              <w:t>resti umani non identificati</w:t>
            </w:r>
            <w:r w:rsidRPr="00A121F2">
              <w:t>.</w:t>
            </w:r>
          </w:p>
        </w:tc>
        <w:tc>
          <w:tcPr>
            <w:tcW w:w="4876" w:type="dxa"/>
          </w:tcPr>
          <w:p w:rsidR="00EF6AA3" w:rsidRPr="00A121F2" w:rsidRDefault="004660B6" w:rsidP="003777C3">
            <w:pPr>
              <w:pStyle w:val="Normal6"/>
              <w:rPr>
                <w:szCs w:val="24"/>
              </w:rPr>
            </w:pPr>
            <w:r w:rsidRPr="00A121F2">
              <w:t>Il quadro Prüm II mir</w:t>
            </w:r>
            <w:r w:rsidRPr="00A121F2">
              <w:t xml:space="preserve">a altresì a consentire </w:t>
            </w:r>
            <w:r w:rsidRPr="00A121F2">
              <w:rPr>
                <w:b/>
                <w:i/>
              </w:rPr>
              <w:t xml:space="preserve">la ricerca di persone scomparse e l’identificazione di resti umani non identificati </w:t>
            </w:r>
            <w:r w:rsidRPr="00A121F2">
              <w:t xml:space="preserve">alle autorità </w:t>
            </w:r>
            <w:r w:rsidRPr="00A121F2">
              <w:rPr>
                <w:b/>
                <w:i/>
              </w:rPr>
              <w:t>di contrasto competenti degli Stati membri</w:t>
            </w:r>
            <w:r w:rsidRPr="00A121F2">
              <w:t xml:space="preserve">, </w:t>
            </w:r>
            <w:r w:rsidRPr="00A121F2">
              <w:rPr>
                <w:b/>
                <w:i/>
              </w:rPr>
              <w:t>a condizione che tali autorità siano state abilitate ad effettuare tali ricerche</w:t>
            </w:r>
            <w:r w:rsidRPr="00A121F2">
              <w:t xml:space="preserve"> e </w:t>
            </w:r>
            <w:r w:rsidRPr="00A121F2">
              <w:rPr>
                <w:b/>
                <w:i/>
              </w:rPr>
              <w:t>ad effet</w:t>
            </w:r>
            <w:r w:rsidRPr="00A121F2">
              <w:rPr>
                <w:b/>
                <w:i/>
              </w:rPr>
              <w:t>tuare tali identificazioni ai sensi del diritto nazionale</w:t>
            </w:r>
            <w:r w:rsidRPr="00A121F2">
              <w:t>.</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29</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3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Il presente regolamento si applica alle banche dati nazionali utilizzate per il trasferimento automatizzato delle categorie di dati seguenti: profili DNA, dati dattiloscopici, immagini del volto, estratti del casellario giudiziale e determinat</w:t>
            </w:r>
            <w:r w:rsidRPr="00A121F2">
              <w:t xml:space="preserve">i dati </w:t>
            </w:r>
            <w:r w:rsidRPr="00A121F2">
              <w:lastRenderedPageBreak/>
              <w:t>di immatricolazione dei veicoli.</w:t>
            </w:r>
          </w:p>
        </w:tc>
        <w:tc>
          <w:tcPr>
            <w:tcW w:w="4876" w:type="dxa"/>
          </w:tcPr>
          <w:p w:rsidR="00EF6AA3" w:rsidRPr="00A121F2" w:rsidRDefault="004660B6" w:rsidP="003777C3">
            <w:pPr>
              <w:pStyle w:val="Normal6"/>
              <w:rPr>
                <w:szCs w:val="24"/>
              </w:rPr>
            </w:pPr>
            <w:r w:rsidRPr="00A121F2">
              <w:rPr>
                <w:i/>
              </w:rPr>
              <w:lastRenderedPageBreak/>
              <w:t>(Non concerne la versione italiana)</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30</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1)</w:t>
            </w:r>
            <w:r w:rsidRPr="00A121F2">
              <w:tab/>
            </w:r>
            <w:r w:rsidRPr="00A121F2">
              <w:rPr>
                <w:b/>
                <w:i/>
              </w:rPr>
              <w:t>la particolare struttura molecolare nelle varie posizioni (loci) del</w:t>
            </w:r>
            <w:r w:rsidRPr="00A121F2">
              <w:t xml:space="preserve"> DNA</w:t>
            </w:r>
            <w:r w:rsidRPr="00A121F2">
              <w:rPr>
                <w:b/>
                <w:i/>
              </w:rPr>
              <w:t>; "profilo DNA":</w:t>
            </w:r>
          </w:p>
        </w:tc>
        <w:tc>
          <w:tcPr>
            <w:tcW w:w="4876" w:type="dxa"/>
          </w:tcPr>
          <w:p w:rsidR="00EF6AA3" w:rsidRPr="00A121F2" w:rsidRDefault="004660B6" w:rsidP="003777C3">
            <w:pPr>
              <w:pStyle w:val="Normal6"/>
              <w:rPr>
                <w:szCs w:val="24"/>
              </w:rPr>
            </w:pPr>
            <w:r w:rsidRPr="00A121F2">
              <w:t>1)</w:t>
            </w:r>
            <w:r w:rsidRPr="00A121F2">
              <w:tab/>
            </w:r>
            <w:r w:rsidRPr="00A121F2">
              <w:rPr>
                <w:b/>
                <w:i/>
              </w:rPr>
              <w:t>"loci"): posizioni del DNA che contengono caratteristiche identificative di un campione di</w:t>
            </w:r>
            <w:r w:rsidRPr="00A121F2">
              <w:t xml:space="preserve"> DNA</w:t>
            </w:r>
            <w:r w:rsidRPr="00A121F2">
              <w:rPr>
                <w:b/>
                <w:i/>
              </w:rPr>
              <w:t xml:space="preserve"> umano analizzato;</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31</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2)</w:t>
            </w:r>
            <w:r w:rsidRPr="00A121F2">
              <w:tab/>
            </w:r>
            <w:r w:rsidRPr="00A121F2">
              <w:rPr>
                <w:b/>
                <w:i/>
              </w:rPr>
              <w:t>un</w:t>
            </w:r>
            <w:r w:rsidRPr="00A121F2">
              <w:t xml:space="preserve"> codice alfanumerico che rappresenta una s</w:t>
            </w:r>
            <w:r w:rsidRPr="00A121F2">
              <w:t xml:space="preserve">erie di </w:t>
            </w:r>
            <w:r w:rsidRPr="00A121F2">
              <w:rPr>
                <w:b/>
                <w:i/>
              </w:rPr>
              <w:t>caratteristiche identificative della parte non codificante di un campione di DNA umano analizzato, vale a dire</w:t>
            </w:r>
            <w:r w:rsidRPr="00A121F2">
              <w:t xml:space="preserve"> la particolare struttura molecolare nei vari loci</w:t>
            </w:r>
            <w:r w:rsidRPr="00A121F2">
              <w:rPr>
                <w:b/>
                <w:i/>
              </w:rPr>
              <w:t xml:space="preserve"> del DNA</w:t>
            </w:r>
            <w:r w:rsidRPr="00A121F2">
              <w:t>;</w:t>
            </w:r>
            <w:r w:rsidRPr="00A121F2">
              <w:rPr>
                <w:b/>
                <w:i/>
              </w:rPr>
              <w:t xml:space="preserve"> "parte non codificante del DNA":</w:t>
            </w:r>
          </w:p>
        </w:tc>
        <w:tc>
          <w:tcPr>
            <w:tcW w:w="4876" w:type="dxa"/>
          </w:tcPr>
          <w:p w:rsidR="00EF6AA3" w:rsidRPr="00A121F2" w:rsidRDefault="004660B6" w:rsidP="003777C3">
            <w:pPr>
              <w:pStyle w:val="Normal6"/>
              <w:rPr>
                <w:szCs w:val="24"/>
              </w:rPr>
            </w:pPr>
            <w:r w:rsidRPr="00A121F2">
              <w:t>2)</w:t>
            </w:r>
            <w:r w:rsidRPr="00A121F2">
              <w:tab/>
            </w:r>
            <w:r w:rsidRPr="00A121F2">
              <w:rPr>
                <w:b/>
                <w:i/>
              </w:rPr>
              <w:t>"profilo DNA": un</w:t>
            </w:r>
            <w:r w:rsidRPr="00A121F2">
              <w:t xml:space="preserve"> codice alfanumerico che </w:t>
            </w:r>
            <w:r w:rsidRPr="00A121F2">
              <w:t xml:space="preserve">rappresenta una serie di </w:t>
            </w:r>
            <w:r w:rsidRPr="00A121F2">
              <w:rPr>
                <w:b/>
                <w:i/>
              </w:rPr>
              <w:t>loci o</w:t>
            </w:r>
            <w:r w:rsidRPr="00A121F2">
              <w:t xml:space="preserve"> la particolare struttura molecolare nei vari loci;</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32</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rPr>
                <w:b/>
                <w:i/>
              </w:rPr>
              <w:t>3)</w:t>
            </w:r>
            <w:r w:rsidRPr="00A121F2">
              <w:rPr>
                <w:b/>
                <w:i/>
              </w:rPr>
              <w:tab/>
              <w:t xml:space="preserve">regioni cromosomiche che non contengono alcuna espressione genetica, </w:t>
            </w:r>
            <w:r w:rsidRPr="00A121F2">
              <w:rPr>
                <w:b/>
                <w:i/>
              </w:rPr>
              <w:lastRenderedPageBreak/>
              <w:t>vale a dire che notoriamente non forniscono alcuna proprietà funzionale di un organismo; "dati indicizzati sul DNA":</w:t>
            </w:r>
          </w:p>
        </w:tc>
        <w:tc>
          <w:tcPr>
            <w:tcW w:w="4876" w:type="dxa"/>
          </w:tcPr>
          <w:p w:rsidR="00EF6AA3" w:rsidRPr="00A121F2" w:rsidRDefault="004660B6" w:rsidP="003777C3">
            <w:pPr>
              <w:pStyle w:val="Normal6"/>
              <w:rPr>
                <w:szCs w:val="24"/>
              </w:rPr>
            </w:pPr>
            <w:r w:rsidRPr="00A121F2">
              <w:rPr>
                <w:b/>
                <w:i/>
              </w:rPr>
              <w:lastRenderedPageBreak/>
              <w:t>soppresso</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33</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4660B6" w:rsidP="003777C3">
            <w:pPr>
              <w:pStyle w:val="Normal6"/>
            </w:pPr>
            <w:r w:rsidRPr="00A121F2">
              <w:t>5)</w:t>
            </w:r>
            <w:r w:rsidRPr="00A121F2">
              <w:tab/>
            </w:r>
            <w:r w:rsidRPr="00A121F2">
              <w:rPr>
                <w:b/>
                <w:i/>
              </w:rPr>
              <w:t>il</w:t>
            </w:r>
            <w:r w:rsidRPr="00A121F2">
              <w:t xml:space="preserve"> profilo DNA di una persona identificata;</w:t>
            </w:r>
            <w:r w:rsidRPr="00A121F2">
              <w:rPr>
                <w:b/>
                <w:i/>
              </w:rPr>
              <w:t xml:space="preserve"> "profilo DNA non identificato":</w:t>
            </w:r>
          </w:p>
        </w:tc>
        <w:tc>
          <w:tcPr>
            <w:tcW w:w="4876" w:type="dxa"/>
          </w:tcPr>
          <w:p w:rsidR="00EF6AA3" w:rsidRPr="00A121F2" w:rsidRDefault="004660B6" w:rsidP="003777C3">
            <w:pPr>
              <w:pStyle w:val="Normal6"/>
              <w:rPr>
                <w:szCs w:val="24"/>
              </w:rPr>
            </w:pPr>
            <w:r w:rsidRPr="00A121F2">
              <w:t>5)</w:t>
            </w:r>
            <w:r w:rsidRPr="00A121F2">
              <w:tab/>
            </w:r>
            <w:r w:rsidRPr="00A121F2">
              <w:rPr>
                <w:b/>
                <w:i/>
              </w:rPr>
              <w:t>"profilo DNA identificato": il</w:t>
            </w:r>
            <w:r w:rsidRPr="00A121F2">
              <w:t xml:space="preserve"> profilo DNA di una persona identificata;</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34</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8 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rPr>
              <w:t>8 ter)</w:t>
            </w:r>
            <w:r w:rsidRPr="00A121F2">
              <w:rPr>
                <w:b/>
                <w:i/>
              </w:rPr>
              <w:tab/>
            </w:r>
            <w:r w:rsidRPr="00A121F2">
              <w:rPr>
                <w:b/>
                <w:i/>
              </w:rPr>
              <w:t xml:space="preserve">“dati dattiloscopici non identificati”: dati dattiloscopici ottenuti da tracce rilevate nel corso delle indagini penali e appartenente a una persona non ancora identificata; </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35</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w:t>
      </w:r>
      <w:r w:rsidRPr="00A121F2">
        <w:rPr>
          <w:rStyle w:val="HideTWBExt"/>
          <w:b w:val="0"/>
          <w:noProof w:val="0"/>
          <w:color w:val="auto"/>
        </w:rPr>
        <w: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Articolo 4 – comma 1 – punto 10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rPr>
              <w:t>10 bis)</w:t>
            </w:r>
            <w:r w:rsidRPr="00A121F2">
              <w:rPr>
                <w:b/>
                <w:i/>
              </w:rPr>
              <w:tab/>
            </w:r>
            <w:r w:rsidRPr="00A121F2">
              <w:rPr>
                <w:b/>
                <w:i/>
              </w:rPr>
              <w:t xml:space="preserve">"dati indicizzati sull'immagine del volto": l’immagine del volto e il numero </w:t>
            </w:r>
            <w:r w:rsidRPr="00A121F2">
              <w:rPr>
                <w:b/>
                <w:i/>
              </w:rPr>
              <w:lastRenderedPageBreak/>
              <w:t>di riferimento di cui all'articolo 23;</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EF6AA3" w:rsidRPr="00A121F2" w:rsidRDefault="004660B6" w:rsidP="00EF6AA3">
      <w:r w:rsidRPr="00A121F2">
        <w:rPr>
          <w:rStyle w:val="HideTWBExt"/>
          <w:noProof w:val="0"/>
          <w:color w:val="auto"/>
        </w:rPr>
        <w:t>&lt;/Amend&gt;</w:t>
      </w:r>
    </w:p>
    <w:p w:rsidR="00EF6AA3" w:rsidRPr="00A121F2" w:rsidRDefault="004660B6" w:rsidP="00EF6AA3">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36</w:t>
      </w:r>
      <w:r w:rsidRPr="00A121F2">
        <w:rPr>
          <w:rStyle w:val="HideTWBExt"/>
          <w:b w:val="0"/>
          <w:noProof w:val="0"/>
          <w:color w:val="auto"/>
        </w:rPr>
        <w:t>&lt;/NumAm&gt;</w:t>
      </w:r>
    </w:p>
    <w:p w:rsidR="00EF6AA3" w:rsidRPr="00A121F2" w:rsidRDefault="004660B6" w:rsidP="00EF6AA3">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EF6AA3" w:rsidRPr="00A121F2" w:rsidRDefault="004660B6" w:rsidP="00EF6AA3">
      <w:pPr>
        <w:pStyle w:val="NormalBold"/>
      </w:pPr>
      <w:r w:rsidRPr="00A121F2">
        <w:rPr>
          <w:rStyle w:val="HideTWBExt"/>
          <w:b w:val="0"/>
          <w:noProof w:val="0"/>
          <w:color w:val="auto"/>
        </w:rPr>
        <w:t>&lt;Article&gt;</w:t>
      </w:r>
      <w:r w:rsidRPr="00A121F2">
        <w:t>Artico</w:t>
      </w:r>
      <w:r w:rsidRPr="00A121F2">
        <w:t>lo 4 – comma 1 – punto 10 quater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3777C3">
        <w:trPr>
          <w:jc w:val="center"/>
        </w:trPr>
        <w:tc>
          <w:tcPr>
            <w:tcW w:w="9752" w:type="dxa"/>
            <w:gridSpan w:val="2"/>
          </w:tcPr>
          <w:p w:rsidR="00EF6AA3" w:rsidRPr="00A121F2" w:rsidRDefault="00EF6AA3" w:rsidP="003777C3">
            <w:pPr>
              <w:keepNext/>
            </w:pPr>
          </w:p>
        </w:tc>
      </w:tr>
      <w:tr w:rsidR="00AF580A" w:rsidRPr="00A121F2" w:rsidTr="003777C3">
        <w:trPr>
          <w:jc w:val="center"/>
        </w:trPr>
        <w:tc>
          <w:tcPr>
            <w:tcW w:w="4876" w:type="dxa"/>
          </w:tcPr>
          <w:p w:rsidR="00EF6AA3" w:rsidRPr="00A121F2" w:rsidRDefault="004660B6" w:rsidP="003777C3">
            <w:pPr>
              <w:pStyle w:val="ColumnHeading"/>
              <w:keepNext/>
            </w:pPr>
            <w:r w:rsidRPr="00A121F2">
              <w:t>Testo della Commissione</w:t>
            </w:r>
          </w:p>
        </w:tc>
        <w:tc>
          <w:tcPr>
            <w:tcW w:w="4876" w:type="dxa"/>
          </w:tcPr>
          <w:p w:rsidR="00EF6AA3" w:rsidRPr="00A121F2" w:rsidRDefault="004660B6" w:rsidP="003777C3">
            <w:pPr>
              <w:pStyle w:val="ColumnHeading"/>
              <w:keepNext/>
            </w:pPr>
            <w:r w:rsidRPr="00A121F2">
              <w:t>Emendamento</w:t>
            </w:r>
          </w:p>
        </w:tc>
      </w:tr>
      <w:tr w:rsidR="00AF580A" w:rsidRPr="00A121F2" w:rsidTr="003777C3">
        <w:trPr>
          <w:jc w:val="center"/>
        </w:trPr>
        <w:tc>
          <w:tcPr>
            <w:tcW w:w="4876" w:type="dxa"/>
          </w:tcPr>
          <w:p w:rsidR="00EF6AA3" w:rsidRPr="00A121F2" w:rsidRDefault="00EF6AA3" w:rsidP="003777C3">
            <w:pPr>
              <w:pStyle w:val="Normal6"/>
            </w:pPr>
          </w:p>
        </w:tc>
        <w:tc>
          <w:tcPr>
            <w:tcW w:w="4876" w:type="dxa"/>
          </w:tcPr>
          <w:p w:rsidR="00EF6AA3" w:rsidRPr="00A121F2" w:rsidRDefault="004660B6" w:rsidP="003777C3">
            <w:pPr>
              <w:pStyle w:val="Normal6"/>
              <w:rPr>
                <w:szCs w:val="24"/>
              </w:rPr>
            </w:pPr>
            <w:r w:rsidRPr="00A121F2">
              <w:rPr>
                <w:b/>
                <w:i/>
              </w:rPr>
              <w:t>10 quater)</w:t>
            </w:r>
            <w:r w:rsidRPr="00A121F2">
              <w:rPr>
                <w:b/>
                <w:i/>
              </w:rPr>
              <w:tab/>
            </w:r>
            <w:r w:rsidRPr="00A121F2">
              <w:rPr>
                <w:b/>
                <w:i/>
              </w:rPr>
              <w:t xml:space="preserve">“immagine del volto non identificata”: un’immagine del volto ottenuta nel corso di un’indagine penale e appartenente a una persona non ancora identificata; </w:t>
            </w:r>
          </w:p>
        </w:tc>
      </w:tr>
    </w:tbl>
    <w:p w:rsidR="00EF6AA3" w:rsidRPr="00A121F2" w:rsidRDefault="004660B6" w:rsidP="00EF6AA3">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2669B6" w:rsidRPr="00A121F2" w:rsidRDefault="004660B6" w:rsidP="00726F60">
      <w:pPr>
        <w:rPr>
          <w:rStyle w:val="HideTWBExt"/>
          <w:noProof w:val="0"/>
          <w:color w:val="auto"/>
        </w:rPr>
      </w:pPr>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11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(11 bis)</w:t>
            </w:r>
            <w:r w:rsidRPr="00A121F2">
              <w:rPr>
                <w:b/>
                <w:i/>
              </w:rPr>
              <w:tab/>
              <w:t>"dati alfanumerici": i dati rappresentati da lettere, cifre, caratteri speciali, spazi e segni di punteggiatura;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12)</w:t>
            </w:r>
            <w:r w:rsidRPr="00A121F2">
              <w:tab/>
              <w:t xml:space="preserve">"corrispondenza": la coincidenza risultante da un confronto automatizzato tra dati personali </w:t>
            </w:r>
            <w:r w:rsidRPr="00A121F2">
              <w:rPr>
                <w:b/>
                <w:i/>
              </w:rPr>
              <w:t>registrati o in fase di registrazione in un sistema di informazione o</w:t>
            </w:r>
            <w:r w:rsidRPr="00A121F2">
              <w:t xml:space="preserve"> in una banca dati;</w:t>
            </w:r>
          </w:p>
        </w:tc>
        <w:tc>
          <w:tcPr>
            <w:tcW w:w="4876" w:type="dxa"/>
          </w:tcPr>
          <w:p w:rsidR="00AF580A" w:rsidRPr="00A121F2" w:rsidRDefault="00AF580A" w:rsidP="00AC4477">
            <w:pPr>
              <w:pStyle w:val="Normal6"/>
              <w:rPr>
                <w:szCs w:val="24"/>
              </w:rPr>
            </w:pPr>
            <w:r w:rsidRPr="00A121F2">
              <w:t>12)</w:t>
            </w:r>
            <w:r w:rsidRPr="00A121F2">
              <w:tab/>
              <w:t xml:space="preserve">"corrispondenza": la coincidenza risultante da un confronto automatizzato tra dati personali </w:t>
            </w:r>
            <w:r w:rsidRPr="00A121F2">
              <w:rPr>
                <w:b/>
                <w:i/>
              </w:rPr>
              <w:t>detenuti dallo Stato membro richiedente e i dati personali registrati</w:t>
            </w:r>
            <w:r w:rsidRPr="00A121F2">
              <w:t xml:space="preserve"> in una banca dati</w:t>
            </w:r>
            <w:r w:rsidRPr="00A121F2">
              <w:rPr>
                <w:b/>
                <w:i/>
              </w:rPr>
              <w:t xml:space="preserve"> dello Stato membro richiesto</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39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15)</w:t>
            </w:r>
            <w:r w:rsidRPr="00A121F2">
              <w:tab/>
              <w:t>"Stato membro richiesto": lo Stato membro le cui banche dati sono consultate dallo Stato membro richiedente tramite il quadro Prüm II;</w:t>
            </w:r>
          </w:p>
        </w:tc>
        <w:tc>
          <w:tcPr>
            <w:tcW w:w="4876" w:type="dxa"/>
          </w:tcPr>
          <w:p w:rsidR="00AF580A" w:rsidRPr="00A121F2" w:rsidRDefault="00AF580A" w:rsidP="00AC4477">
            <w:pPr>
              <w:pStyle w:val="Normal6"/>
              <w:rPr>
                <w:szCs w:val="24"/>
              </w:rPr>
            </w:pPr>
            <w:r w:rsidRPr="00A121F2">
              <w:rPr>
                <w:i/>
              </w:rPr>
              <w:t>(Non concerne la versione italiana)</w:t>
            </w:r>
            <w:r w:rsidRPr="00A121F2">
              <w:tab/>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16</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16)</w:t>
            </w:r>
            <w:r w:rsidRPr="00A121F2">
              <w:tab/>
              <w:t xml:space="preserve">"estratto del casellario giudiziale": </w:t>
            </w:r>
            <w:r w:rsidRPr="00A121F2">
              <w:rPr>
                <w:b/>
                <w:i/>
              </w:rPr>
              <w:t>qualsiasi informazione disponibile nel registro nazionale o nei registri nazionali che registrano i</w:t>
            </w:r>
            <w:r w:rsidRPr="00A121F2">
              <w:t xml:space="preserve"> dati </w:t>
            </w:r>
            <w:r w:rsidRPr="00A121F2">
              <w:rPr>
                <w:b/>
                <w:i/>
              </w:rPr>
              <w:t>delle autorità competenti</w:t>
            </w:r>
            <w:r w:rsidRPr="00A121F2">
              <w:t xml:space="preserve"> a fini di prevenzione, indagine e accertamento di reati;</w:t>
            </w:r>
          </w:p>
        </w:tc>
        <w:tc>
          <w:tcPr>
            <w:tcW w:w="4876" w:type="dxa"/>
          </w:tcPr>
          <w:p w:rsidR="00AF580A" w:rsidRPr="00A121F2" w:rsidRDefault="00AF580A" w:rsidP="00AC4477">
            <w:pPr>
              <w:pStyle w:val="Normal6"/>
              <w:rPr>
                <w:szCs w:val="24"/>
              </w:rPr>
            </w:pPr>
            <w:r w:rsidRPr="00A121F2">
              <w:t>16)</w:t>
            </w:r>
            <w:r w:rsidRPr="00A121F2">
              <w:tab/>
              <w:t xml:space="preserve">"estratto del casellario giudiziale": </w:t>
            </w:r>
            <w:r w:rsidRPr="00A121F2">
              <w:rPr>
                <w:b/>
                <w:i/>
              </w:rPr>
              <w:t>le informazioni anagrafiche su indagati e condannati disponibili nelle banche</w:t>
            </w:r>
            <w:r w:rsidRPr="00A121F2">
              <w:t xml:space="preserve"> dati </w:t>
            </w:r>
            <w:r w:rsidRPr="00A121F2">
              <w:rPr>
                <w:b/>
                <w:i/>
              </w:rPr>
              <w:t>nazionali istituite</w:t>
            </w:r>
            <w:r w:rsidRPr="00A121F2">
              <w:t xml:space="preserve"> a fini di prevenzione, indagine e accertamento di reati;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17</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17)</w:t>
            </w:r>
            <w:r w:rsidRPr="00A121F2">
              <w:tab/>
              <w:t xml:space="preserve">"pseudonimizzazione": </w:t>
            </w:r>
            <w:r w:rsidRPr="00A121F2">
              <w:rPr>
                <w:b/>
                <w:i/>
              </w:rPr>
              <w:t>il trattamento dei dati personali in modo tale che essi non possano più essere attribuiti a un interessato specifico senza l'utilizzo di informazioni aggiuntive, a condizione che tali informazioni aggiuntive siano conservate separatamente e soggette a misure tecniche e organizzative intese a garantire che i dati personali non siano attribuiti a una persona fisica identificata o identificabile</w:t>
            </w:r>
            <w:r w:rsidRPr="00A121F2">
              <w:t>;</w:t>
            </w:r>
          </w:p>
        </w:tc>
        <w:tc>
          <w:tcPr>
            <w:tcW w:w="4876" w:type="dxa"/>
          </w:tcPr>
          <w:p w:rsidR="00AF580A" w:rsidRPr="00A121F2" w:rsidRDefault="00AF580A" w:rsidP="00AC4477">
            <w:pPr>
              <w:pStyle w:val="Normal6"/>
              <w:rPr>
                <w:szCs w:val="24"/>
              </w:rPr>
            </w:pPr>
            <w:r w:rsidRPr="00A121F2">
              <w:t>17)</w:t>
            </w:r>
            <w:r w:rsidRPr="00A121F2">
              <w:tab/>
              <w:t xml:space="preserve">"pseudonimizzazione": </w:t>
            </w:r>
            <w:r w:rsidRPr="00A121F2">
              <w:rPr>
                <w:b/>
                <w:i/>
              </w:rPr>
              <w:t>la pseudonimizzazione quale definita all'articolo 2, punto 5, della direttiva (UE) 2016/680</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17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b/>
                <w:i/>
                <w:szCs w:val="24"/>
              </w:rPr>
            </w:pPr>
            <w:r w:rsidRPr="00A121F2">
              <w:rPr>
                <w:b/>
                <w:i/>
              </w:rPr>
              <w:t>17 bis)</w:t>
            </w:r>
            <w:r w:rsidRPr="00A121F2">
              <w:rPr>
                <w:b/>
                <w:i/>
              </w:rPr>
              <w:tab/>
              <w:t>"vittima di reati gravi o di terrorismo": una persona lesa da un reato ai sensi del diritto nazionale che corrisponde o è equivalente a uno dei reati di cui alla direttiva (UE) 2017/541 del Parlamento europeo e del Consiglio o da un reato che corrisponde o è equivalente a uno dei reati di cui all'articolo 2, paragrafo 2, della decisione quadro 2002/584/GAI del Consiglio, se punibile conformemente al diritto nazionale con una pena detentiva o una misura di sicurezza privativa della libertà personale per un periodo massimo di almeno tre anni;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17 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b/>
                <w:i/>
                <w:szCs w:val="24"/>
              </w:rPr>
            </w:pPr>
            <w:r w:rsidRPr="00A121F2">
              <w:rPr>
                <w:b/>
                <w:i/>
              </w:rPr>
              <w:t>17 ter)</w:t>
            </w:r>
            <w:r w:rsidRPr="00A121F2">
              <w:rPr>
                <w:b/>
                <w:i/>
              </w:rPr>
              <w:tab/>
              <w:t>"autorità designate": le autorità designate dagli Stati membri, quali definite all'articolo 3, punto 26), del regolamento (UE) 2017/2226 del Parlamento europeo e del Consiglio</w:t>
            </w:r>
            <w:r w:rsidRPr="00A121F2">
              <w:rPr>
                <w:b/>
                <w:i/>
                <w:vertAlign w:val="superscript"/>
              </w:rPr>
              <w:t>1 bis</w:t>
            </w:r>
            <w:r w:rsidRPr="00A121F2">
              <w:rPr>
                <w:b/>
                <w:i/>
              </w:rPr>
              <w:t>, all'articolo 2, paragrafo 1, lettera e), della decisione 2008/633/GAI del Consiglio</w:t>
            </w:r>
            <w:r w:rsidRPr="00A121F2">
              <w:rPr>
                <w:b/>
                <w:i/>
                <w:vertAlign w:val="superscript"/>
              </w:rPr>
              <w:t>1 ter</w:t>
            </w:r>
            <w:r w:rsidRPr="00A121F2">
              <w:rPr>
                <w:b/>
                <w:i/>
              </w:rPr>
              <w:t xml:space="preserve"> e all'articolo 3, paragrafo 1, punto 21), del regolamento (UE) 2018/1240 del Parlamento europeo e del Consiglio</w:t>
            </w:r>
            <w:r w:rsidRPr="00A121F2">
              <w:rPr>
                <w:b/>
                <w:i/>
                <w:vertAlign w:val="superscript"/>
              </w:rPr>
              <w:t>1 quater</w:t>
            </w:r>
            <w:r w:rsidRPr="00A121F2">
              <w:rPr>
                <w:b/>
                <w:i/>
              </w:rPr>
              <w:t>;</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b/>
                <w:i/>
                <w:szCs w:val="24"/>
              </w:rPr>
            </w:pPr>
            <w:r w:rsidRPr="00A121F2">
              <w:rPr>
                <w:b/>
                <w:i/>
              </w:rPr>
              <w:t>___________</w:t>
            </w:r>
          </w:p>
        </w:tc>
      </w:tr>
      <w:tr w:rsidR="00AF580A" w:rsidRPr="00A121F2" w:rsidTr="00AC4477">
        <w:trPr>
          <w:jc w:val="center"/>
        </w:trPr>
        <w:tc>
          <w:tcPr>
            <w:tcW w:w="4876" w:type="dxa"/>
          </w:tcPr>
          <w:p w:rsidR="00AF580A" w:rsidRPr="00A121F2" w:rsidRDefault="00AF580A" w:rsidP="00AC4477">
            <w:pPr>
              <w:pStyle w:val="Normal6"/>
              <w:rPr>
                <w:b/>
                <w:bCs/>
                <w:i/>
                <w:iCs/>
              </w:rPr>
            </w:pPr>
          </w:p>
        </w:tc>
        <w:tc>
          <w:tcPr>
            <w:tcW w:w="4876" w:type="dxa"/>
          </w:tcPr>
          <w:p w:rsidR="00AF580A" w:rsidRPr="00A121F2" w:rsidRDefault="00AF580A" w:rsidP="00AC4477">
            <w:pPr>
              <w:pStyle w:val="Normal6"/>
              <w:rPr>
                <w:b/>
                <w:bCs/>
                <w:i/>
                <w:iCs/>
              </w:rPr>
            </w:pPr>
            <w:r w:rsidRPr="00A121F2">
              <w:rPr>
                <w:b/>
                <w:i/>
                <w:vertAlign w:val="superscript"/>
              </w:rPr>
              <w:t>1 bis.</w:t>
            </w:r>
            <w:r w:rsidRPr="00A121F2">
              <w:rPr>
                <w:b/>
                <w:i/>
              </w:rPr>
              <w:tab/>
              <w:t>Regolamento (UE) 2017/2226 del Parlamento europeo e del Consiglio, del 30 novembre 2017, che istituisce un sistema di ingressi/uscite per la registrazione dei dati di ingresso e di uscita e dei dati relativi al respingimento dei cittadini di paesi terzi che attraversano le frontiere esterne degli Stati membri e che determina le condizioni di accesso al sistema di ingressi/uscite a fini di contrasto e che modifica la Convenzione di applicazione dell’Accordo di Schengen e i regolamenti (CE) n. 767/2008 e (UE) n. 1077/2011 (GU L 327 del 9.12.2017, pag. 20).</w:t>
            </w:r>
          </w:p>
        </w:tc>
      </w:tr>
      <w:tr w:rsidR="00AF580A" w:rsidRPr="00A121F2" w:rsidTr="00AC4477">
        <w:trPr>
          <w:jc w:val="center"/>
        </w:trPr>
        <w:tc>
          <w:tcPr>
            <w:tcW w:w="4876" w:type="dxa"/>
          </w:tcPr>
          <w:p w:rsidR="00AF580A" w:rsidRPr="00A121F2" w:rsidRDefault="00AF580A" w:rsidP="00AC4477">
            <w:pPr>
              <w:pStyle w:val="Normal6"/>
              <w:rPr>
                <w:b/>
                <w:bCs/>
                <w:i/>
                <w:iCs/>
              </w:rPr>
            </w:pPr>
          </w:p>
        </w:tc>
        <w:tc>
          <w:tcPr>
            <w:tcW w:w="4876" w:type="dxa"/>
          </w:tcPr>
          <w:p w:rsidR="00AF580A" w:rsidRPr="00A121F2" w:rsidRDefault="00AF580A" w:rsidP="00AC4477">
            <w:pPr>
              <w:pStyle w:val="Normal6"/>
              <w:rPr>
                <w:b/>
                <w:bCs/>
                <w:i/>
                <w:iCs/>
              </w:rPr>
            </w:pPr>
            <w:r w:rsidRPr="00A121F2">
              <w:rPr>
                <w:b/>
                <w:i/>
                <w:vertAlign w:val="superscript"/>
              </w:rPr>
              <w:t>1 ter.</w:t>
            </w:r>
            <w:r w:rsidRPr="00A121F2">
              <w:rPr>
                <w:b/>
                <w:i/>
              </w:rPr>
              <w:tab/>
              <w:t>Decisione 2008/633/GAI del Consiglio, del 23 giugno 2008, relativa all’accesso per la consultazione al sistema di informazione visti (VIS) da parte delle autorità designate degli Stati membri e di Europol ai fini della prevenzione, dell’individuazione e dell’investigazione di reati di terrorismo e altri reati gravi (GU L 218 del 13.8.2008, pag. 129).</w:t>
            </w:r>
          </w:p>
        </w:tc>
      </w:tr>
      <w:tr w:rsidR="00AF580A" w:rsidRPr="00A121F2" w:rsidTr="00AC4477">
        <w:trPr>
          <w:jc w:val="center"/>
        </w:trPr>
        <w:tc>
          <w:tcPr>
            <w:tcW w:w="4876" w:type="dxa"/>
          </w:tcPr>
          <w:p w:rsidR="00AF580A" w:rsidRPr="00A121F2" w:rsidRDefault="00AF580A" w:rsidP="00AC4477">
            <w:pPr>
              <w:pStyle w:val="Normal6"/>
              <w:rPr>
                <w:b/>
                <w:bCs/>
                <w:i/>
                <w:iCs/>
              </w:rPr>
            </w:pPr>
          </w:p>
        </w:tc>
        <w:tc>
          <w:tcPr>
            <w:tcW w:w="4876" w:type="dxa"/>
          </w:tcPr>
          <w:p w:rsidR="00AF580A" w:rsidRPr="00A121F2" w:rsidRDefault="00AF580A" w:rsidP="00AC4477">
            <w:pPr>
              <w:pStyle w:val="Normal6"/>
              <w:rPr>
                <w:b/>
                <w:bCs/>
                <w:i/>
                <w:iCs/>
              </w:rPr>
            </w:pPr>
            <w:r w:rsidRPr="00A121F2">
              <w:rPr>
                <w:b/>
                <w:i/>
                <w:vertAlign w:val="superscript"/>
              </w:rPr>
              <w:t>1 quater.</w:t>
            </w:r>
            <w:r w:rsidRPr="00A121F2">
              <w:rPr>
                <w:b/>
                <w:i/>
              </w:rPr>
              <w:tab/>
              <w:t>Regolamento (EU) 2018/1240 del Parlamento europeo e del Consiglio, del 12 settembre 2018, che istituisce un sistema europeo di informazione e autorizzazione ai viaggi (ETIAS) e che modifica i regolamenti (UE) No 1077/2011, (UE) n. 515/2014, (UE) 2016/399, (EU) 2016/1624 e (UE) 2017/2226 (GU L 236 del 19.9.2018, pag. 1).</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18)</w:t>
            </w:r>
            <w:r w:rsidRPr="00A121F2">
              <w:tab/>
              <w:t>"dati Europol": qualsiasi dato personale trattato da Europol a norma del regolamento (UE) 2016/794;</w:t>
            </w:r>
          </w:p>
        </w:tc>
        <w:tc>
          <w:tcPr>
            <w:tcW w:w="4876" w:type="dxa"/>
          </w:tcPr>
          <w:p w:rsidR="00AF580A" w:rsidRPr="00A121F2" w:rsidRDefault="00AF580A" w:rsidP="00AC4477">
            <w:pPr>
              <w:pStyle w:val="Normal6"/>
              <w:rPr>
                <w:szCs w:val="24"/>
              </w:rPr>
            </w:pPr>
            <w:r w:rsidRPr="00A121F2">
              <w:t>18)</w:t>
            </w:r>
            <w:r w:rsidRPr="00A121F2">
              <w:tab/>
              <w:t xml:space="preserve">"dati Europol": qualsiasi dato personale </w:t>
            </w:r>
            <w:r w:rsidRPr="00A121F2">
              <w:rPr>
                <w:b/>
                <w:i/>
              </w:rPr>
              <w:t>operativo</w:t>
            </w:r>
            <w:r w:rsidRPr="00A121F2">
              <w:t xml:space="preserve"> trattato da Europol a norma del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18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18 bis)</w:t>
            </w:r>
            <w:r w:rsidRPr="00A121F2">
              <w:rPr>
                <w:b/>
                <w:i/>
              </w:rPr>
              <w:tab/>
              <w:t>"autorità di contrasto competente": qualsiasi autorità di polizia, doganale o altra autorità di uno Stato membro competente, in base al diritto nazionale, a esercitare l'autorità e adottare misure coercitive a fini di prevenzione, accertamento o indagine di reati;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20</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20)</w:t>
            </w:r>
            <w:r w:rsidRPr="00A121F2">
              <w:tab/>
              <w:t xml:space="preserve">"SIENA": l'applicazione di rete per lo scambio sicuro di informazioni, gestita da Europol, volta a facilitare lo scambio di informazioni </w:t>
            </w:r>
            <w:r w:rsidRPr="00A121F2">
              <w:rPr>
                <w:b/>
                <w:i/>
              </w:rPr>
              <w:t>tra gli Stati membri ed Europol</w:t>
            </w:r>
            <w:r w:rsidRPr="00A121F2">
              <w:t>;</w:t>
            </w:r>
          </w:p>
        </w:tc>
        <w:tc>
          <w:tcPr>
            <w:tcW w:w="4876" w:type="dxa"/>
          </w:tcPr>
          <w:p w:rsidR="00AF580A" w:rsidRPr="00A121F2" w:rsidRDefault="00AF580A" w:rsidP="00AC4477">
            <w:pPr>
              <w:pStyle w:val="Normal6"/>
              <w:rPr>
                <w:szCs w:val="24"/>
              </w:rPr>
            </w:pPr>
            <w:r w:rsidRPr="00A121F2">
              <w:t>20)</w:t>
            </w:r>
            <w:r w:rsidRPr="00A121F2">
              <w:tab/>
              <w:t>"SIENA": l'applicazione di rete per lo scambio sicuro di informazioni, gestita da Europol</w:t>
            </w:r>
            <w:r w:rsidRPr="00A121F2">
              <w:rPr>
                <w:b/>
                <w:i/>
              </w:rPr>
              <w:t xml:space="preserve"> conformemente al regolamento (UE) 2016/794</w:t>
            </w:r>
            <w:r w:rsidRPr="00A121F2">
              <w:t xml:space="preserve">, volta a facilitare lo scambio </w:t>
            </w:r>
            <w:r w:rsidRPr="00A121F2">
              <w:rPr>
                <w:b/>
                <w:i/>
              </w:rPr>
              <w:t xml:space="preserve">e a garantire la trasmissione sicura </w:t>
            </w:r>
            <w:r w:rsidRPr="00A121F2">
              <w:t xml:space="preserve">di informazioni </w:t>
            </w:r>
            <w:r w:rsidRPr="00A121F2">
              <w:rPr>
                <w:b/>
                <w:i/>
              </w:rPr>
              <w:t>operative e strategiche relative alla criminalità</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21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21)</w:t>
            </w:r>
            <w:r w:rsidRPr="00A121F2">
              <w:tab/>
              <w:t xml:space="preserve">"incidente significativo": </w:t>
            </w:r>
            <w:r w:rsidRPr="00A121F2">
              <w:rPr>
                <w:b/>
                <w:i/>
              </w:rPr>
              <w:t>qualsiasi</w:t>
            </w:r>
            <w:r w:rsidRPr="00A121F2">
              <w:t xml:space="preserve"> incidente</w:t>
            </w:r>
            <w:r w:rsidRPr="00A121F2">
              <w:rPr>
                <w:b/>
                <w:i/>
              </w:rPr>
              <w:t>, salvo se presenta un impatto limitato ed è probabile che sia già adeguatamente compreso in termini di metodo o tecnologia</w:t>
            </w:r>
            <w:r w:rsidRPr="00A121F2">
              <w:t>;</w:t>
            </w:r>
          </w:p>
        </w:tc>
        <w:tc>
          <w:tcPr>
            <w:tcW w:w="4876" w:type="dxa"/>
          </w:tcPr>
          <w:p w:rsidR="00AF580A" w:rsidRPr="00A121F2" w:rsidRDefault="00AF580A" w:rsidP="00AC4477">
            <w:pPr>
              <w:pStyle w:val="Normal6"/>
              <w:rPr>
                <w:szCs w:val="24"/>
              </w:rPr>
            </w:pPr>
            <w:r w:rsidRPr="00A121F2">
              <w:t>21)</w:t>
            </w:r>
            <w:r w:rsidRPr="00A121F2">
              <w:tab/>
              <w:t xml:space="preserve">"incidente significativo": </w:t>
            </w:r>
            <w:r w:rsidRPr="00A121F2">
              <w:rPr>
                <w:b/>
                <w:i/>
              </w:rPr>
              <w:t>un</w:t>
            </w:r>
            <w:r w:rsidRPr="00A121F2">
              <w:t xml:space="preserve"> incidente</w:t>
            </w:r>
            <w:r w:rsidRPr="00A121F2">
              <w:rPr>
                <w:b/>
                <w:i/>
              </w:rPr>
              <w:t xml:space="preserve"> significativo quale definito all'articolo 3, punto 7, del regolamento (UE) .../... del Parlamento europeo e del Consiglio</w:t>
            </w:r>
            <w:r w:rsidRPr="00A121F2">
              <w:rPr>
                <w:b/>
                <w:i/>
                <w:vertAlign w:val="superscript"/>
              </w:rPr>
              <w:t>1 bis</w:t>
            </w:r>
            <w:r w:rsidRPr="00A121F2">
              <w:rPr>
                <w:b/>
                <w:i/>
              </w:rPr>
              <w:t xml:space="preserve"> [2022/0085(COD)]</w:t>
            </w:r>
            <w:r w:rsidRPr="00A121F2">
              <w:t>;</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b/>
                <w:i/>
                <w:szCs w:val="24"/>
              </w:rPr>
            </w:pPr>
            <w:r w:rsidRPr="00A121F2">
              <w:rPr>
                <w:b/>
                <w:i/>
              </w:rPr>
              <w:t>__________________</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vertAlign w:val="superscript"/>
              </w:rPr>
              <w:t xml:space="preserve">1 bis </w:t>
            </w:r>
            <w:r w:rsidRPr="00A121F2">
              <w:rPr>
                <w:b/>
                <w:i/>
              </w:rPr>
              <w:t>Regolamento (UE) .../... del Parlamento europeo e del Consiglio che stabilisce misure per un livello comune elevato di cibersicurezza nelle istituzioni, negli organi e negli organismi dell'Unione (GU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22</w:t>
      </w:r>
      <w:r w:rsidRPr="00A121F2">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22)</w:t>
            </w:r>
            <w:r w:rsidRPr="00A121F2">
              <w:tab/>
              <w:t xml:space="preserve">"minaccia informatica significativa": una minaccia informatica </w:t>
            </w:r>
            <w:r w:rsidRPr="00A121F2">
              <w:rPr>
                <w:b/>
                <w:i/>
              </w:rPr>
              <w:t>caratterizzata dall'intento, dalla possibilità e dalla capacità di causare un incidente significativo</w:t>
            </w:r>
            <w:r w:rsidRPr="00A121F2">
              <w:t>;</w:t>
            </w:r>
          </w:p>
        </w:tc>
        <w:tc>
          <w:tcPr>
            <w:tcW w:w="4876" w:type="dxa"/>
          </w:tcPr>
          <w:p w:rsidR="00AF580A" w:rsidRPr="00A121F2" w:rsidRDefault="00AF580A" w:rsidP="00AC4477">
            <w:pPr>
              <w:pStyle w:val="Normal6"/>
              <w:rPr>
                <w:szCs w:val="24"/>
              </w:rPr>
            </w:pPr>
            <w:r w:rsidRPr="00A121F2">
              <w:t>22)</w:t>
            </w:r>
            <w:r w:rsidRPr="00A121F2">
              <w:tab/>
              <w:t xml:space="preserve">"minaccia informatica significativa": una minaccia informatica </w:t>
            </w:r>
            <w:r w:rsidRPr="00A121F2">
              <w:rPr>
                <w:b/>
                <w:i/>
              </w:rPr>
              <w:t>significativa quale definita all'articolo 3, punto 11, del regolamento (UE) .../... [2022/0085(COD]</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49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 – comma 1 – punto 23</w:t>
      </w:r>
      <w:r w:rsidRPr="00A121F2">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23)</w:t>
            </w:r>
            <w:r w:rsidRPr="00A121F2">
              <w:tab/>
              <w:t xml:space="preserve">"vulnerabilità significativa": una vulnerabilità </w:t>
            </w:r>
            <w:r w:rsidRPr="00A121F2">
              <w:rPr>
                <w:b/>
                <w:i/>
              </w:rPr>
              <w:t>che, se sfruttata, porterà probabilmente a un incidente significativo</w:t>
            </w:r>
            <w:r w:rsidRPr="00A121F2">
              <w:t>;</w:t>
            </w:r>
          </w:p>
        </w:tc>
        <w:tc>
          <w:tcPr>
            <w:tcW w:w="4876" w:type="dxa"/>
          </w:tcPr>
          <w:p w:rsidR="00AF580A" w:rsidRPr="00A121F2" w:rsidRDefault="00AF580A" w:rsidP="00AC4477">
            <w:pPr>
              <w:pStyle w:val="Normal6"/>
              <w:rPr>
                <w:szCs w:val="24"/>
              </w:rPr>
            </w:pPr>
            <w:r w:rsidRPr="00A121F2">
              <w:t>23)</w:t>
            </w:r>
            <w:r w:rsidRPr="00A121F2">
              <w:tab/>
              <w:t xml:space="preserve">"vulnerabilità significativa": una vulnerabilità </w:t>
            </w:r>
            <w:r w:rsidRPr="00A121F2">
              <w:rPr>
                <w:b/>
                <w:i/>
              </w:rPr>
              <w:t>significativa quale definita all'articolo 3,</w:t>
            </w:r>
            <w:r w:rsidRPr="00A121F2">
              <w:t xml:space="preserve"> </w:t>
            </w:r>
            <w:r w:rsidRPr="00A121F2">
              <w:rPr>
                <w:b/>
                <w:i/>
              </w:rPr>
              <w:t>punto 13, del regolamento (UE) .../... [2022/0085(COD]</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titolo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Creazione di </w:t>
            </w:r>
            <w:r w:rsidRPr="00A121F2">
              <w:rPr>
                <w:b/>
                <w:i/>
              </w:rPr>
              <w:t>schedari</w:t>
            </w:r>
            <w:r w:rsidRPr="00A121F2">
              <w:t xml:space="preserve"> nazionali </w:t>
            </w:r>
            <w:r w:rsidRPr="00A121F2">
              <w:rPr>
                <w:b/>
                <w:i/>
              </w:rPr>
              <w:t xml:space="preserve">di analisi </w:t>
            </w:r>
            <w:r w:rsidRPr="00A121F2">
              <w:t>del DNA</w:t>
            </w:r>
          </w:p>
        </w:tc>
        <w:tc>
          <w:tcPr>
            <w:tcW w:w="4876" w:type="dxa"/>
          </w:tcPr>
          <w:p w:rsidR="00AF580A" w:rsidRPr="00A121F2" w:rsidRDefault="00AF580A" w:rsidP="00AC4477">
            <w:pPr>
              <w:pStyle w:val="Normal6"/>
              <w:rPr>
                <w:szCs w:val="24"/>
              </w:rPr>
            </w:pPr>
            <w:r w:rsidRPr="00A121F2">
              <w:t xml:space="preserve">Creazione di </w:t>
            </w:r>
            <w:r w:rsidRPr="00A121F2">
              <w:rPr>
                <w:b/>
                <w:i/>
              </w:rPr>
              <w:t>banche dati</w:t>
            </w:r>
            <w:r w:rsidRPr="00A121F2">
              <w:t xml:space="preserve"> nazionali del DNA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Gli Stati membri istituiscono e gestiscono </w:t>
            </w:r>
            <w:r w:rsidRPr="00A121F2">
              <w:rPr>
                <w:b/>
                <w:i/>
              </w:rPr>
              <w:t>schedari</w:t>
            </w:r>
            <w:r w:rsidRPr="00A121F2">
              <w:t xml:space="preserve"> nazionali </w:t>
            </w:r>
            <w:r w:rsidRPr="00A121F2">
              <w:rPr>
                <w:b/>
                <w:i/>
              </w:rPr>
              <w:t xml:space="preserve">di analisi </w:t>
            </w:r>
            <w:r w:rsidRPr="00A121F2">
              <w:t>del DNA</w:t>
            </w:r>
            <w:r w:rsidRPr="00A121F2">
              <w:rPr>
                <w:b/>
                <w:i/>
              </w:rPr>
              <w:t xml:space="preserve"> per le indagini penali</w:t>
            </w:r>
            <w:r w:rsidRPr="00A121F2">
              <w:t>.</w:t>
            </w:r>
          </w:p>
        </w:tc>
        <w:tc>
          <w:tcPr>
            <w:tcW w:w="4876" w:type="dxa"/>
          </w:tcPr>
          <w:p w:rsidR="00AF580A" w:rsidRPr="00A121F2" w:rsidRDefault="00AF580A" w:rsidP="00AC4477">
            <w:pPr>
              <w:pStyle w:val="Normal6"/>
              <w:rPr>
                <w:szCs w:val="24"/>
              </w:rPr>
            </w:pPr>
            <w:r w:rsidRPr="00A121F2">
              <w:t>1.</w:t>
            </w:r>
            <w:r w:rsidRPr="00A121F2">
              <w:tab/>
              <w:t xml:space="preserve">Gli Stati membri istituiscono e gestiscono </w:t>
            </w:r>
            <w:r w:rsidRPr="00A121F2">
              <w:rPr>
                <w:b/>
                <w:i/>
              </w:rPr>
              <w:t>banche dati</w:t>
            </w:r>
            <w:r w:rsidRPr="00A121F2">
              <w:t xml:space="preserve"> nazionali del DNA</w:t>
            </w:r>
            <w:r w:rsidRPr="00A121F2">
              <w:rPr>
                <w:b/>
                <w:i/>
              </w:rPr>
              <w:t xml:space="preserve"> a fini di</w:t>
            </w:r>
            <w:r w:rsidRPr="00A121F2">
              <w:t xml:space="preserve"> </w:t>
            </w:r>
            <w:r w:rsidRPr="00A121F2">
              <w:rPr>
                <w:b/>
                <w:i/>
              </w:rPr>
              <w:t>prevenzione, indagine e accertamento di reati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Il trattamento dei dati contenuti </w:t>
            </w:r>
            <w:r w:rsidRPr="00A121F2">
              <w:rPr>
                <w:b/>
                <w:i/>
              </w:rPr>
              <w:t>negli schedari</w:t>
            </w:r>
            <w:r w:rsidRPr="00A121F2">
              <w:t xml:space="preserve"> a norma del presente regolamento è effettuato in conformità del presente regolamento</w:t>
            </w:r>
            <w:r w:rsidRPr="00A121F2">
              <w:rPr>
                <w:b/>
                <w:i/>
              </w:rPr>
              <w:t>,</w:t>
            </w:r>
            <w:r w:rsidRPr="00A121F2">
              <w:t xml:space="preserve"> nel rispetto del diritto nazionale dello Stato membro applicabile al trattamento di tali dati.</w:t>
            </w:r>
          </w:p>
        </w:tc>
        <w:tc>
          <w:tcPr>
            <w:tcW w:w="4876" w:type="dxa"/>
          </w:tcPr>
          <w:p w:rsidR="00AF580A" w:rsidRPr="00A121F2" w:rsidRDefault="00AF580A" w:rsidP="00AC4477">
            <w:pPr>
              <w:pStyle w:val="Normal6"/>
              <w:rPr>
                <w:szCs w:val="24"/>
              </w:rPr>
            </w:pPr>
            <w:r w:rsidRPr="00A121F2">
              <w:t xml:space="preserve">Il trattamento dei dati contenuti </w:t>
            </w:r>
            <w:r w:rsidRPr="00A121F2">
              <w:rPr>
                <w:b/>
                <w:i/>
              </w:rPr>
              <w:t>nelle banche dati</w:t>
            </w:r>
            <w:r w:rsidRPr="00A121F2">
              <w:t xml:space="preserve"> a norma del presente regolamento è effettuato in conformità del presente regolamento</w:t>
            </w:r>
            <w:r w:rsidRPr="00A121F2">
              <w:rPr>
                <w:b/>
                <w:i/>
              </w:rPr>
              <w:t xml:space="preserve"> e</w:t>
            </w:r>
            <w:r w:rsidRPr="00A121F2">
              <w:t xml:space="preserve"> nel rispetto del diritto nazionale dello Stato membro applicabile al trattamento di tali dati.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Gli Stati membri garantiscono che siano disponibili dati indicizzati sul DNA ottenuti </w:t>
            </w:r>
            <w:r w:rsidRPr="00A121F2">
              <w:rPr>
                <w:b/>
                <w:i/>
              </w:rPr>
              <w:t>dai</w:t>
            </w:r>
            <w:r w:rsidRPr="00A121F2">
              <w:t xml:space="preserve"> loro </w:t>
            </w:r>
            <w:r w:rsidRPr="00A121F2">
              <w:rPr>
                <w:b/>
                <w:i/>
              </w:rPr>
              <w:t>schedari nazionali di analisi</w:t>
            </w:r>
            <w:r w:rsidRPr="00A121F2">
              <w:t xml:space="preserve"> del DNA di cui al paragrafo 1.</w:t>
            </w:r>
          </w:p>
        </w:tc>
        <w:tc>
          <w:tcPr>
            <w:tcW w:w="4876" w:type="dxa"/>
          </w:tcPr>
          <w:p w:rsidR="00AF580A" w:rsidRPr="00A121F2" w:rsidRDefault="00AF580A" w:rsidP="00AC4477">
            <w:pPr>
              <w:pStyle w:val="Normal6"/>
              <w:rPr>
                <w:szCs w:val="24"/>
              </w:rPr>
            </w:pPr>
            <w:r w:rsidRPr="00A121F2">
              <w:t>2.</w:t>
            </w:r>
            <w:r w:rsidRPr="00A121F2">
              <w:tab/>
              <w:t xml:space="preserve">Gli Stati membri garantiscono che siano disponibili dati indicizzati sul DNA ottenuti </w:t>
            </w:r>
            <w:r w:rsidRPr="00A121F2">
              <w:rPr>
                <w:b/>
                <w:i/>
              </w:rPr>
              <w:t>dalle</w:t>
            </w:r>
            <w:r w:rsidRPr="00A121F2">
              <w:t xml:space="preserve"> loro </w:t>
            </w:r>
            <w:r w:rsidRPr="00A121F2">
              <w:rPr>
                <w:b/>
                <w:i/>
              </w:rPr>
              <w:t>banche dati nazionali</w:t>
            </w:r>
            <w:r w:rsidRPr="00A121F2">
              <w:t xml:space="preserve"> del DNA di cui al paragrafo 1</w:t>
            </w:r>
            <w:r w:rsidRPr="00A121F2">
              <w:rPr>
                <w:b/>
                <w:i/>
              </w:rPr>
              <w:t xml:space="preserve"> ai fini delle consultazioni automatizzate da parte di altri Stati membri a norma del presente regolamento</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I dati indicizzati sul DNA non contengono alcun dato che consenta l'identificazione diretta di una persona fisica.</w:t>
            </w:r>
          </w:p>
        </w:tc>
        <w:tc>
          <w:tcPr>
            <w:tcW w:w="4876" w:type="dxa"/>
          </w:tcPr>
          <w:p w:rsidR="00AF580A" w:rsidRPr="00A121F2" w:rsidRDefault="00AF580A" w:rsidP="00AC4477">
            <w:pPr>
              <w:pStyle w:val="Normal6"/>
              <w:rPr>
                <w:szCs w:val="24"/>
              </w:rPr>
            </w:pPr>
            <w:r w:rsidRPr="00A121F2">
              <w:t xml:space="preserve">I dati indicizzati sul DNA non contengono alcun dato </w:t>
            </w:r>
            <w:r w:rsidRPr="00A121F2">
              <w:rPr>
                <w:b/>
                <w:i/>
              </w:rPr>
              <w:t>nominale aggiuntivo</w:t>
            </w:r>
            <w:r w:rsidRPr="00A121F2">
              <w:t xml:space="preserve"> che consenta l'identificazione diretta di una persona fisica.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2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 </w:t>
            </w:r>
            <w:r w:rsidRPr="00A121F2">
              <w:rPr>
                <w:b/>
                <w:i/>
              </w:rPr>
              <w:t>dati indicizzati sul DNA che non sono attribuiti a nessuno ("profili</w:t>
            </w:r>
            <w:r w:rsidRPr="00A121F2">
              <w:t xml:space="preserve"> DNA non </w:t>
            </w:r>
            <w:r w:rsidRPr="00A121F2">
              <w:rPr>
                <w:b/>
                <w:i/>
              </w:rPr>
              <w:t>identificati")</w:t>
            </w:r>
            <w:r w:rsidRPr="00A121F2">
              <w:t xml:space="preserve"> sono riconoscibili come tali.</w:t>
            </w:r>
          </w:p>
        </w:tc>
        <w:tc>
          <w:tcPr>
            <w:tcW w:w="4876" w:type="dxa"/>
          </w:tcPr>
          <w:p w:rsidR="00AF580A" w:rsidRPr="00A121F2" w:rsidRDefault="00AF580A" w:rsidP="00AC4477">
            <w:pPr>
              <w:pStyle w:val="Normal6"/>
              <w:rPr>
                <w:szCs w:val="24"/>
              </w:rPr>
            </w:pPr>
            <w:r w:rsidRPr="00A121F2">
              <w:t xml:space="preserve">I </w:t>
            </w:r>
            <w:r w:rsidRPr="00A121F2">
              <w:rPr>
                <w:b/>
                <w:i/>
              </w:rPr>
              <w:t>profili</w:t>
            </w:r>
            <w:r w:rsidRPr="00A121F2">
              <w:t xml:space="preserve"> DNA non </w:t>
            </w:r>
            <w:r w:rsidRPr="00A121F2">
              <w:rPr>
                <w:b/>
                <w:i/>
              </w:rPr>
              <w:t>identificati</w:t>
            </w:r>
            <w:r w:rsidRPr="00A121F2">
              <w:t xml:space="preserve"> sono riconoscibili come tali.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 – paragrafo 2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bis.</w:t>
            </w:r>
            <w:r w:rsidRPr="00A121F2">
              <w:rPr>
                <w:b/>
                <w:i/>
              </w:rPr>
              <w:tab/>
              <w:t>La Commissione adotta un atto di esecuzione per specificare le caratteristiche di identificazione di un profilo DNA che deve essere scambiato e i requisiti minimi per una corrispondenza, tenendo conto delle norme internazionali ed europee. Tali atti di esecuzione sono adottati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i/>
              </w:rPr>
              <w:t>Gli</w:t>
            </w:r>
            <w:r w:rsidRPr="00A121F2">
              <w:t xml:space="preserve"> Stati membri consentono ai punti di contatto nazionali </w:t>
            </w:r>
            <w:r w:rsidRPr="00A121F2">
              <w:rPr>
                <w:b/>
                <w:i/>
              </w:rPr>
              <w:t>di cui all'articolo 29</w:t>
            </w:r>
            <w:r w:rsidRPr="00A121F2">
              <w:t xml:space="preserve"> e ad Europol di </w:t>
            </w:r>
            <w:r w:rsidRPr="00A121F2">
              <w:rPr>
                <w:b/>
                <w:i/>
              </w:rPr>
              <w:t>accedere ai dati indicizzati sul</w:t>
            </w:r>
            <w:r w:rsidRPr="00A121F2">
              <w:t xml:space="preserve"> DNA </w:t>
            </w:r>
            <w:r w:rsidRPr="00A121F2">
              <w:rPr>
                <w:b/>
                <w:i/>
              </w:rPr>
              <w:t>presenti nei</w:t>
            </w:r>
            <w:r w:rsidRPr="00A121F2">
              <w:t xml:space="preserve"> loro </w:t>
            </w:r>
            <w:r w:rsidRPr="00A121F2">
              <w:rPr>
                <w:b/>
                <w:i/>
              </w:rPr>
              <w:t xml:space="preserve">schedari di analisi </w:t>
            </w:r>
            <w:r w:rsidRPr="00A121F2">
              <w:t xml:space="preserve">del DNA </w:t>
            </w:r>
            <w:r w:rsidRPr="00A121F2">
              <w:rPr>
                <w:b/>
                <w:i/>
              </w:rPr>
              <w:t>per svolgere consultazioni automatizzate confrontando i</w:t>
            </w:r>
            <w:r w:rsidRPr="00A121F2">
              <w:t xml:space="preserve"> profili DNA </w:t>
            </w:r>
            <w:r w:rsidRPr="00A121F2">
              <w:rPr>
                <w:b/>
                <w:i/>
              </w:rPr>
              <w:t>ai fini dell'indagine penale</w:t>
            </w:r>
            <w:r w:rsidRPr="00A121F2">
              <w:t>.</w:t>
            </w:r>
          </w:p>
        </w:tc>
        <w:tc>
          <w:tcPr>
            <w:tcW w:w="4876" w:type="dxa"/>
          </w:tcPr>
          <w:p w:rsidR="00AF580A" w:rsidRPr="00A121F2" w:rsidRDefault="00AF580A" w:rsidP="00AC4477">
            <w:pPr>
              <w:pStyle w:val="Normal6"/>
              <w:rPr>
                <w:szCs w:val="24"/>
              </w:rPr>
            </w:pPr>
            <w:r w:rsidRPr="00A121F2">
              <w:t>1.</w:t>
            </w:r>
            <w:r w:rsidRPr="00A121F2">
              <w:tab/>
            </w:r>
            <w:r w:rsidRPr="00A121F2">
              <w:rPr>
                <w:b/>
                <w:i/>
              </w:rPr>
              <w:t>Ai fini della prevenzione, dell'indagine e dell'accertamento di reati, gli</w:t>
            </w:r>
            <w:r w:rsidRPr="00A121F2">
              <w:t xml:space="preserve"> Stati membri consentono ai punti di contatto nazionali </w:t>
            </w:r>
            <w:r w:rsidRPr="00A121F2">
              <w:rPr>
                <w:b/>
                <w:i/>
              </w:rPr>
              <w:t>degli altri Stati membri</w:t>
            </w:r>
            <w:r w:rsidRPr="00A121F2">
              <w:t xml:space="preserve"> e ad Europol di </w:t>
            </w:r>
            <w:r w:rsidRPr="00A121F2">
              <w:rPr>
                <w:b/>
                <w:i/>
              </w:rPr>
              <w:t>procedere a consultazioni automatizzate dei profili</w:t>
            </w:r>
            <w:r w:rsidRPr="00A121F2">
              <w:t xml:space="preserve"> DNA </w:t>
            </w:r>
            <w:r w:rsidRPr="00A121F2">
              <w:rPr>
                <w:b/>
                <w:i/>
              </w:rPr>
              <w:t>nelle</w:t>
            </w:r>
            <w:r w:rsidRPr="00A121F2">
              <w:t xml:space="preserve"> loro </w:t>
            </w:r>
            <w:r w:rsidRPr="00A121F2">
              <w:rPr>
                <w:b/>
                <w:i/>
              </w:rPr>
              <w:t xml:space="preserve">banche dati </w:t>
            </w:r>
            <w:r w:rsidRPr="00A121F2">
              <w:t xml:space="preserve">del DNA </w:t>
            </w:r>
            <w:r w:rsidRPr="00A121F2">
              <w:rPr>
                <w:b/>
                <w:i/>
              </w:rPr>
              <w:t>istituite a tal fine e di confrontare tali</w:t>
            </w:r>
            <w:r w:rsidRPr="00A121F2">
              <w:t xml:space="preserve"> profili DNA </w:t>
            </w:r>
            <w:r w:rsidRPr="00A121F2">
              <w:rPr>
                <w:b/>
                <w:i/>
              </w:rPr>
              <w:t>con i loro profili DNA</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consultazioni </w:t>
            </w:r>
            <w:r w:rsidRPr="00A121F2">
              <w:rPr>
                <w:b/>
                <w:i/>
              </w:rPr>
              <w:t>possono essere</w:t>
            </w:r>
            <w:r w:rsidRPr="00A121F2">
              <w:t xml:space="preserve"> svolte solo caso per caso e nel rispetto del diritto nazionale dello Stato membro richiedente.</w:t>
            </w:r>
          </w:p>
        </w:tc>
        <w:tc>
          <w:tcPr>
            <w:tcW w:w="4876" w:type="dxa"/>
          </w:tcPr>
          <w:p w:rsidR="00AF580A" w:rsidRPr="00A121F2" w:rsidRDefault="00AF580A" w:rsidP="00AC4477">
            <w:pPr>
              <w:pStyle w:val="Normal6"/>
              <w:rPr>
                <w:szCs w:val="24"/>
              </w:rPr>
            </w:pPr>
            <w:r w:rsidRPr="00A121F2">
              <w:t xml:space="preserve">Le consultazioni </w:t>
            </w:r>
            <w:r w:rsidRPr="00A121F2">
              <w:rPr>
                <w:b/>
                <w:i/>
              </w:rPr>
              <w:t>sono</w:t>
            </w:r>
            <w:r w:rsidRPr="00A121F2">
              <w:t xml:space="preserve"> svolte solo caso per caso</w:t>
            </w:r>
            <w:r w:rsidRPr="00A121F2">
              <w:rPr>
                <w:b/>
                <w:i/>
              </w:rPr>
              <w:t>, se sono proporzionate e necessarie al fine di prevenire, accertare o indagare un reato</w:t>
            </w:r>
            <w:r w:rsidRPr="00A121F2">
              <w:t xml:space="preserve"> e nel rispetto del diritto nazionale dello Stato membro richiedente.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59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Se una consultazione automatizzata rivela che un profilo DNA corrisponde a profili DNA </w:t>
            </w:r>
            <w:r w:rsidRPr="00A121F2">
              <w:rPr>
                <w:b/>
                <w:i/>
              </w:rPr>
              <w:t>registrati nello schedario consultato</w:t>
            </w:r>
            <w:r w:rsidRPr="00A121F2">
              <w:t xml:space="preserve"> dello Stato membro richiesto, il punto di contatto nazionale dello Stato membro richiedente riceve per via automatizzata i dati indicizzati sul DNA con cui è stata riscontrata una corrispondenza.</w:t>
            </w:r>
          </w:p>
        </w:tc>
        <w:tc>
          <w:tcPr>
            <w:tcW w:w="4876" w:type="dxa"/>
          </w:tcPr>
          <w:p w:rsidR="00AF580A" w:rsidRPr="00A121F2" w:rsidRDefault="00AF580A" w:rsidP="00AC4477">
            <w:pPr>
              <w:pStyle w:val="Normal6"/>
              <w:rPr>
                <w:szCs w:val="24"/>
              </w:rPr>
            </w:pPr>
            <w:r w:rsidRPr="00A121F2">
              <w:t>2.</w:t>
            </w:r>
            <w:r w:rsidRPr="00A121F2">
              <w:tab/>
              <w:t xml:space="preserve">Se una consultazione automatizzata rivela che un profilo DNA corrisponde a profili DNA </w:t>
            </w:r>
            <w:r w:rsidRPr="00A121F2">
              <w:rPr>
                <w:b/>
                <w:i/>
              </w:rPr>
              <w:t>archiviati nella banca dati o nelle banche dati consultate</w:t>
            </w:r>
            <w:r w:rsidRPr="00A121F2">
              <w:t xml:space="preserve"> dello Stato membro richiesto, il punto di contatto nazionale dello Stato membro richiedente riceve per via automatizzata i dati indicizzati sul DNA con cui è stata riscontrata una corrispondenza.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In caso di mancata corrispondenza, lo Stato membro richiedente ne viene informato per via automatizzata.</w:t>
            </w:r>
          </w:p>
        </w:tc>
        <w:tc>
          <w:tcPr>
            <w:tcW w:w="4876" w:type="dxa"/>
          </w:tcPr>
          <w:p w:rsidR="00AF580A" w:rsidRPr="00A121F2" w:rsidRDefault="00AF580A" w:rsidP="00AC4477">
            <w:pPr>
              <w:pStyle w:val="Normal6"/>
              <w:rPr>
                <w:szCs w:val="24"/>
              </w:rPr>
            </w:pPr>
            <w:r w:rsidRPr="00A121F2">
              <w:rPr>
                <w:b/>
                <w:i/>
              </w:rPr>
              <w:t>soppresso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Il punto di contatto nazionale dello Stato membro richiedente conferma una corrispondenza tra i dati di profili DNA e i dati indicizzati sul DNA conservati dallo Stato membro richiesto a seguito della trasmissione automatizzata dei dati indicizzati sul DNA necessari per confermare la corrispondenza.</w:t>
            </w:r>
          </w:p>
        </w:tc>
        <w:tc>
          <w:tcPr>
            <w:tcW w:w="4876" w:type="dxa"/>
          </w:tcPr>
          <w:p w:rsidR="00AF580A" w:rsidRPr="00A121F2" w:rsidRDefault="00AF580A" w:rsidP="00AC4477">
            <w:pPr>
              <w:pStyle w:val="Normal6"/>
              <w:rPr>
                <w:szCs w:val="24"/>
              </w:rPr>
            </w:pPr>
            <w:r w:rsidRPr="00A121F2">
              <w:t>3.</w:t>
            </w:r>
            <w:r w:rsidRPr="00A121F2">
              <w:tab/>
              <w:t xml:space="preserve">Il punto di contatto nazionale dello Stato membro richiedente conferma </w:t>
            </w:r>
            <w:r w:rsidRPr="00A121F2">
              <w:rPr>
                <w:b/>
                <w:i/>
              </w:rPr>
              <w:t xml:space="preserve">manualmente </w:t>
            </w:r>
            <w:r w:rsidRPr="00A121F2">
              <w:t>una corrispondenza tra i dati di profili DNA e i dati indicizzati sul DNA conservati dallo Stato membro richiesto a seguito della trasmissione automatizzata dei dati indicizzati sul DNA necessari per confermare la corrispondenza.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Tramite i loro punti di contatto nazionali, gli Stati membri possono confrontare i profili DNA dei loro profili DNA non identificati con tutti i profili DNA provenienti da </w:t>
            </w:r>
            <w:r w:rsidRPr="00A121F2">
              <w:rPr>
                <w:b/>
                <w:i/>
              </w:rPr>
              <w:t>altri schedari nazionali di analisi</w:t>
            </w:r>
            <w:r w:rsidRPr="00A121F2">
              <w:t xml:space="preserve"> del DNA ai fini dell'indagine penale. La trasmissione e il confronto dei profili sono effettuati in maniera automatizzata.</w:t>
            </w:r>
          </w:p>
        </w:tc>
        <w:tc>
          <w:tcPr>
            <w:tcW w:w="4876" w:type="dxa"/>
          </w:tcPr>
          <w:p w:rsidR="00AF580A" w:rsidRPr="00A121F2" w:rsidRDefault="00AF580A" w:rsidP="00AC4477">
            <w:pPr>
              <w:pStyle w:val="Normal6"/>
              <w:rPr>
                <w:szCs w:val="24"/>
              </w:rPr>
            </w:pPr>
            <w:r w:rsidRPr="00A121F2">
              <w:t>1.</w:t>
            </w:r>
            <w:r w:rsidRPr="00A121F2">
              <w:tab/>
              <w:t xml:space="preserve">Tramite i loro punti di contatto nazionali, gli Stati membri possono confrontare i profili DNA dei loro profili DNA non identificati con tutti i profili DNA provenienti da </w:t>
            </w:r>
            <w:r w:rsidRPr="00A121F2">
              <w:rPr>
                <w:b/>
                <w:i/>
              </w:rPr>
              <w:t>altre banche dati nazionali</w:t>
            </w:r>
            <w:r w:rsidRPr="00A121F2">
              <w:t xml:space="preserve"> del DNA ai fini dell'indagine penale. La trasmissione e il confronto dei profili sono effettuati in maniera automatizzata.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Se in esito al confronto di cui al paragrafo 1 uno Stato membro richiesto constata una corrispondenza tra profili DNA trasmessi e profili DNA contenuti </w:t>
            </w:r>
            <w:r w:rsidRPr="00A121F2">
              <w:rPr>
                <w:b/>
                <w:i/>
              </w:rPr>
              <w:t>nei propri schedari di analisi</w:t>
            </w:r>
            <w:r w:rsidRPr="00A121F2">
              <w:t xml:space="preserve"> del DNA, comunica senza indugio al punto di contatto nazionale dello Stato membro richiedente i dati indicizzati sul DNA per i quali è stata constatata una corrispondenza.</w:t>
            </w:r>
          </w:p>
        </w:tc>
        <w:tc>
          <w:tcPr>
            <w:tcW w:w="4876" w:type="dxa"/>
          </w:tcPr>
          <w:p w:rsidR="00AF580A" w:rsidRPr="00A121F2" w:rsidRDefault="00AF580A" w:rsidP="00AC4477">
            <w:pPr>
              <w:pStyle w:val="Normal6"/>
              <w:rPr>
                <w:szCs w:val="24"/>
              </w:rPr>
            </w:pPr>
            <w:r w:rsidRPr="00A121F2">
              <w:t>2.</w:t>
            </w:r>
            <w:r w:rsidRPr="00A121F2">
              <w:tab/>
              <w:t xml:space="preserve">Se in esito al confronto di cui al paragrafo 1 uno Stato membro richiesto constata una corrispondenza tra profili DNA trasmessi e profili DNA contenuti </w:t>
            </w:r>
            <w:r w:rsidRPr="00A121F2">
              <w:rPr>
                <w:b/>
                <w:i/>
              </w:rPr>
              <w:t>nelle proprie banche dati</w:t>
            </w:r>
            <w:r w:rsidRPr="00A121F2">
              <w:t xml:space="preserve"> del DNA, comunica senza indugio al punto di contatto nazionale dello Stato membro richiedente i dati indicizzati sul DNA per i quali è stata constatata una corrispondenza.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La conferma di una corrispondenza tra i profili DNA e i dati indicizzati sul DNA dello Stato membro richiesto è effettuata dal punto di contatto nazionale dello Stato membro richiedente a seguito della trasmissione automatizzata dei dati indicizzati sul DNA necessari per confermare la corrispondenza.</w:t>
            </w:r>
          </w:p>
        </w:tc>
        <w:tc>
          <w:tcPr>
            <w:tcW w:w="4876" w:type="dxa"/>
          </w:tcPr>
          <w:p w:rsidR="00AF580A" w:rsidRPr="00A121F2" w:rsidRDefault="00AF580A" w:rsidP="00AC4477">
            <w:pPr>
              <w:pStyle w:val="Normal6"/>
              <w:rPr>
                <w:szCs w:val="24"/>
              </w:rPr>
            </w:pPr>
            <w:r w:rsidRPr="00A121F2">
              <w:t>3.</w:t>
            </w:r>
            <w:r w:rsidRPr="00A121F2">
              <w:tab/>
              <w:t xml:space="preserve">La conferma di una corrispondenza tra i profili DNA e i dati indicizzati sul DNA dello Stato membro richiesto è effettuata </w:t>
            </w:r>
            <w:r w:rsidRPr="00A121F2">
              <w:rPr>
                <w:b/>
                <w:i/>
              </w:rPr>
              <w:t>manualmente</w:t>
            </w:r>
            <w:r w:rsidRPr="00A121F2">
              <w:t xml:space="preserve"> dal punto di contatto nazionale dello Stato membro richiedente a seguito della trasmissione automatizzata dei dati indicizzati sul DNA necessari per confermare la corrispondenza.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Articolo 8</w:t>
            </w:r>
          </w:p>
        </w:tc>
        <w:tc>
          <w:tcPr>
            <w:tcW w:w="4876" w:type="dxa"/>
          </w:tcPr>
          <w:p w:rsidR="00AF580A" w:rsidRPr="00A121F2" w:rsidRDefault="00AF580A" w:rsidP="00AC4477">
            <w:pPr>
              <w:pStyle w:val="Normal6"/>
              <w:rPr>
                <w:szCs w:val="24"/>
              </w:rPr>
            </w:pPr>
            <w:r w:rsidRPr="00A121F2">
              <w:rPr>
                <w:b/>
                <w:i/>
              </w:rPr>
              <w:t>soppresso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Relazioni sugli schedari di analisi del DNA</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Ciascuno Stato membro informa la Commissione ed eu-LISA, a norma dell'articolo 73, in merito agli schedari nazionali di analisi del DNA ai quali si applicano gli articoli da 5 a 7.</w:t>
            </w:r>
          </w:p>
        </w:tc>
        <w:tc>
          <w:tcPr>
            <w:tcW w:w="4876" w:type="dxa"/>
          </w:tcPr>
          <w:p w:rsidR="00AF580A" w:rsidRPr="00A121F2" w:rsidRDefault="00AF580A" w:rsidP="00AC4477">
            <w:pPr>
              <w:pStyle w:val="Normal6"/>
              <w:rPr>
                <w:szCs w:val="24"/>
              </w:rPr>
            </w:pP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9 – comma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 xml:space="preserve">un numero di riferimento che consenta agli Stati membri, in caso di corrispondenza, di estrarre ulteriori dati e altre informazioni dalle loro banche dati di cui all'articolo 5 al fine di trasmetterli a uno, ad alcuni o a tutti gli altri Stati membri conformemente </w:t>
            </w:r>
            <w:r w:rsidRPr="00A121F2">
              <w:rPr>
                <w:b/>
                <w:i/>
              </w:rPr>
              <w:t>agli articoli 47 e 48</w:t>
            </w:r>
            <w:r w:rsidRPr="00A121F2">
              <w:t>;</w:t>
            </w:r>
          </w:p>
        </w:tc>
        <w:tc>
          <w:tcPr>
            <w:tcW w:w="4876" w:type="dxa"/>
          </w:tcPr>
          <w:p w:rsidR="00AF580A" w:rsidRPr="00A121F2" w:rsidRDefault="00AF580A" w:rsidP="00AC4477">
            <w:pPr>
              <w:pStyle w:val="Normal6"/>
              <w:rPr>
                <w:szCs w:val="24"/>
              </w:rPr>
            </w:pPr>
            <w:r w:rsidRPr="00A121F2">
              <w:t>a)</w:t>
            </w:r>
            <w:r w:rsidRPr="00A121F2">
              <w:tab/>
              <w:t xml:space="preserve">un numero di riferimento che consenta agli Stati membri, in caso di corrispondenza, di estrarre ulteriori dati e altre informazioni dalle loro banche dati di cui all'articolo 5 al fine di trasmetterli a uno, ad alcuni o a tutti gli altri Stati membri conformemente </w:t>
            </w:r>
            <w:r w:rsidRPr="00A121F2">
              <w:rPr>
                <w:b/>
                <w:i/>
              </w:rPr>
              <w:t>all'articolo 47, oppure a Europol conformemente all'articolo 50, paragrafo 6</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9 – comma 1 – lettera a bis (nuova)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a bis)</w:t>
            </w:r>
            <w:r w:rsidRPr="00A121F2">
              <w:rPr>
                <w:b/>
                <w:i/>
              </w:rPr>
              <w:tab/>
              <w:t>un numero di riferimento che consenta a Europol, in caso di corrispondenza, di estrarre ulteriori dati e altre informazioni ai fini dell'articolo 49, paragrafo 1, per trasmetterli a uno, ad alcuni o a tutti gli altri Stati membri conformemente al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9 – comma 1 – lettera c</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w:t>
            </w:r>
            <w:r w:rsidRPr="00A121F2">
              <w:tab/>
              <w:t xml:space="preserve">un codice indicante il tipo di profilo DNA (profili DNA </w:t>
            </w:r>
            <w:r w:rsidRPr="00A121F2">
              <w:rPr>
                <w:b/>
                <w:i/>
              </w:rPr>
              <w:t>indicizzati</w:t>
            </w:r>
            <w:r w:rsidRPr="00A121F2">
              <w:t xml:space="preserve"> o profili DNA non identificati).</w:t>
            </w:r>
          </w:p>
        </w:tc>
        <w:tc>
          <w:tcPr>
            <w:tcW w:w="4876" w:type="dxa"/>
          </w:tcPr>
          <w:p w:rsidR="00AF580A" w:rsidRPr="00A121F2" w:rsidRDefault="00AF580A" w:rsidP="00AC4477">
            <w:pPr>
              <w:pStyle w:val="Normal6"/>
              <w:rPr>
                <w:szCs w:val="24"/>
              </w:rPr>
            </w:pPr>
            <w:r w:rsidRPr="00A121F2">
              <w:t>c)</w:t>
            </w:r>
            <w:r w:rsidRPr="00A121F2">
              <w:tab/>
              <w:t xml:space="preserve">un codice indicante il tipo di profilo DNA (profili DNA </w:t>
            </w:r>
            <w:r w:rsidRPr="00A121F2">
              <w:rPr>
                <w:b/>
                <w:i/>
              </w:rPr>
              <w:t>identificati</w:t>
            </w:r>
            <w:r w:rsidRPr="00A121F2">
              <w:t xml:space="preserve"> o profili DNA non identificati).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69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10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i/>
              </w:rPr>
              <w:t>Sono adottate</w:t>
            </w:r>
            <w:r w:rsidRPr="00A121F2">
              <w:t xml:space="preserve"> misure appropriate, compresa la cifratura, per garantire la riservatezza e l'integrità dei dati indicizzati sul DNA trasmessi ad altri Stati membri.</w:t>
            </w:r>
          </w:p>
        </w:tc>
        <w:tc>
          <w:tcPr>
            <w:tcW w:w="4876" w:type="dxa"/>
          </w:tcPr>
          <w:p w:rsidR="00AF580A" w:rsidRPr="00A121F2" w:rsidRDefault="00AF580A" w:rsidP="00AC4477">
            <w:pPr>
              <w:pStyle w:val="Normal6"/>
              <w:rPr>
                <w:szCs w:val="24"/>
              </w:rPr>
            </w:pPr>
            <w:r w:rsidRPr="00A121F2">
              <w:t>1.</w:t>
            </w:r>
            <w:r w:rsidRPr="00A121F2">
              <w:tab/>
            </w:r>
            <w:r w:rsidRPr="00A121F2">
              <w:rPr>
                <w:b/>
                <w:i/>
              </w:rPr>
              <w:t>Gli Stati membri e, se del caso, Europol adottano</w:t>
            </w:r>
            <w:r w:rsidRPr="00A121F2">
              <w:t xml:space="preserve"> misure appropriate, compresa la cifratura, per garantire la riservatezza e l'integrità dei dati indicizzati sul DNA trasmessi ad altri Stati membri</w:t>
            </w:r>
            <w:r w:rsidRPr="00A121F2">
              <w:rPr>
                <w:b/>
                <w:i/>
              </w:rPr>
              <w:t xml:space="preserve"> o a Europol</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10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Gli Stati membri adottano le misure necessarie per garantire l'integrità dei profili DNA messi a disposizione degli altri Stati membri o ad essi inviati per confronto, e per assicurare che tali misure siano conformi alle norme internazionali applicabili allo scambio di dati sul DNA.</w:t>
            </w:r>
          </w:p>
        </w:tc>
        <w:tc>
          <w:tcPr>
            <w:tcW w:w="4876" w:type="dxa"/>
          </w:tcPr>
          <w:p w:rsidR="00AF580A" w:rsidRPr="00A121F2" w:rsidRDefault="00AF580A" w:rsidP="00AC4477">
            <w:pPr>
              <w:pStyle w:val="Normal6"/>
              <w:rPr>
                <w:szCs w:val="24"/>
              </w:rPr>
            </w:pPr>
            <w:r w:rsidRPr="00A121F2">
              <w:t>2.</w:t>
            </w:r>
            <w:r w:rsidRPr="00A121F2">
              <w:tab/>
              <w:t xml:space="preserve">Gli Stati membri </w:t>
            </w:r>
            <w:r w:rsidRPr="00A121F2">
              <w:rPr>
                <w:b/>
                <w:i/>
              </w:rPr>
              <w:t>ed Europol</w:t>
            </w:r>
            <w:r w:rsidRPr="00A121F2">
              <w:t xml:space="preserve"> adottano le misure necessarie per garantire l'integrità dei profili DNA messi a disposizione degli altri Stati membri o ad essi inviati per confronto, e per assicurare che tali misure siano conformi alle norme </w:t>
            </w:r>
            <w:r w:rsidRPr="00A121F2">
              <w:rPr>
                <w:b/>
                <w:i/>
              </w:rPr>
              <w:t>europee o</w:t>
            </w:r>
            <w:r w:rsidRPr="00A121F2">
              <w:t xml:space="preserve"> internazionali applicabili allo scambio di dati sul DNA.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10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La Commissione adotta </w:t>
            </w:r>
            <w:r w:rsidRPr="00A121F2">
              <w:rPr>
                <w:b/>
                <w:i/>
              </w:rPr>
              <w:t>atti</w:t>
            </w:r>
            <w:r w:rsidRPr="00A121F2">
              <w:t xml:space="preserve"> di esecuzione per specificare le applicabili norme internazionali che gli Stati membri devono utilizzare per lo scambio di dati indicizzati sul DNA. </w:t>
            </w:r>
            <w:r w:rsidRPr="00A121F2">
              <w:rPr>
                <w:b/>
                <w:i/>
              </w:rPr>
              <w:t>Tali atti</w:t>
            </w:r>
            <w:r w:rsidRPr="00A121F2">
              <w:t xml:space="preserve"> di esecuzione </w:t>
            </w:r>
            <w:r w:rsidRPr="00A121F2">
              <w:rPr>
                <w:b/>
                <w:i/>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3.</w:t>
            </w:r>
            <w:r w:rsidRPr="00A121F2">
              <w:tab/>
              <w:t xml:space="preserve">La Commissione adotta </w:t>
            </w:r>
            <w:r w:rsidRPr="00A121F2">
              <w:rPr>
                <w:b/>
                <w:i/>
              </w:rPr>
              <w:t>un atto</w:t>
            </w:r>
            <w:r w:rsidRPr="00A121F2">
              <w:t xml:space="preserve"> di esecuzione per </w:t>
            </w:r>
            <w:r w:rsidRPr="00A121F2">
              <w:rPr>
                <w:b/>
                <w:i/>
              </w:rPr>
              <w:t xml:space="preserve">stabilire i requisiti minimi di qualità cui devono rispondere i dati indicizzati sul DNA e per </w:t>
            </w:r>
            <w:r w:rsidRPr="00A121F2">
              <w:t xml:space="preserve">specificare le applicabili norme internazionali che gli Stati membri </w:t>
            </w:r>
            <w:r w:rsidRPr="00A121F2">
              <w:rPr>
                <w:b/>
                <w:i/>
              </w:rPr>
              <w:t>ed Europol</w:t>
            </w:r>
            <w:r w:rsidRPr="00A121F2">
              <w:t xml:space="preserve"> devono utilizzare per lo scambio di dati indicizzati sul DNA. </w:t>
            </w:r>
            <w:r w:rsidRPr="00A121F2">
              <w:rPr>
                <w:b/>
                <w:i/>
              </w:rPr>
              <w:t>Tale atto</w:t>
            </w:r>
            <w:r w:rsidRPr="00A121F2">
              <w:t xml:space="preserve"> di esecuzione </w:t>
            </w:r>
            <w:r w:rsidRPr="00A121F2">
              <w:rPr>
                <w:b/>
                <w:i/>
              </w:rPr>
              <w:t>è adottato</w:t>
            </w:r>
            <w:r w:rsidRPr="00A121F2">
              <w:t xml:space="preserv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11 – paragrafo 1 – lettera d</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d)</w:t>
            </w:r>
            <w:r w:rsidRPr="00A121F2">
              <w:tab/>
              <w:t xml:space="preserve">i tipi di profili DNA trasmessi (profili DNA non identificati o profili DNA </w:t>
            </w:r>
            <w:r w:rsidRPr="00A121F2">
              <w:rPr>
                <w:b/>
                <w:i/>
              </w:rPr>
              <w:t>indicizzati</w:t>
            </w:r>
            <w:r w:rsidRPr="00A121F2">
              <w:t>).</w:t>
            </w:r>
          </w:p>
        </w:tc>
        <w:tc>
          <w:tcPr>
            <w:tcW w:w="4876" w:type="dxa"/>
          </w:tcPr>
          <w:p w:rsidR="00AF580A" w:rsidRPr="00A121F2" w:rsidRDefault="00AF580A" w:rsidP="00AC4477">
            <w:pPr>
              <w:pStyle w:val="Normal6"/>
              <w:rPr>
                <w:szCs w:val="24"/>
              </w:rPr>
            </w:pPr>
            <w:r w:rsidRPr="00A121F2">
              <w:t>d)</w:t>
            </w:r>
            <w:r w:rsidRPr="00A121F2">
              <w:tab/>
              <w:t xml:space="preserve">i tipi di profili DNA trasmessi (profili DNA non identificati o profili DNA </w:t>
            </w:r>
            <w:r w:rsidRPr="00A121F2">
              <w:rPr>
                <w:b/>
                <w:i/>
              </w:rPr>
              <w:t>identificati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11 – paragrafo 2 – lettera f</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f)</w:t>
            </w:r>
            <w:r w:rsidRPr="00A121F2">
              <w:tab/>
              <w:t xml:space="preserve">i tipi di profili DNA trasmessi (profili DNA non identificati o profili DNA </w:t>
            </w:r>
            <w:r w:rsidRPr="00A121F2">
              <w:rPr>
                <w:b/>
                <w:i/>
              </w:rPr>
              <w:t>indicizzati</w:t>
            </w:r>
            <w:r w:rsidRPr="00A121F2">
              <w:t>);</w:t>
            </w:r>
          </w:p>
        </w:tc>
        <w:tc>
          <w:tcPr>
            <w:tcW w:w="4876" w:type="dxa"/>
          </w:tcPr>
          <w:p w:rsidR="00AF580A" w:rsidRPr="00A121F2" w:rsidRDefault="00AF580A" w:rsidP="00AC4477">
            <w:pPr>
              <w:pStyle w:val="Normal6"/>
              <w:rPr>
                <w:szCs w:val="24"/>
              </w:rPr>
            </w:pPr>
            <w:r w:rsidRPr="00A121F2">
              <w:t>f)</w:t>
            </w:r>
            <w:r w:rsidRPr="00A121F2">
              <w:tab/>
              <w:t xml:space="preserve">i tipi di profili DNA trasmessi (profili DNA non identificati o profili DNA </w:t>
            </w:r>
            <w:r w:rsidRPr="00A121F2">
              <w:rPr>
                <w:b/>
                <w:i/>
              </w:rPr>
              <w:t>identificati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11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La notifica automatizzata di una corrispondenza è fornita soltanto se la consultazione o il confronto automatizzati abbiano evidenziato una corrispondenza di un numero minimo di loci. La Commissione adotta </w:t>
            </w:r>
            <w:r w:rsidRPr="00A121F2">
              <w:rPr>
                <w:b/>
                <w:i/>
              </w:rPr>
              <w:t>atti</w:t>
            </w:r>
            <w:r w:rsidRPr="00A121F2">
              <w:t xml:space="preserve"> di esecuzione per specificare tale numero minimo di loci secondo la procedura di cui all'articolo 76, paragrafo 2.</w:t>
            </w:r>
          </w:p>
        </w:tc>
        <w:tc>
          <w:tcPr>
            <w:tcW w:w="4876" w:type="dxa"/>
          </w:tcPr>
          <w:p w:rsidR="00AF580A" w:rsidRPr="00A121F2" w:rsidRDefault="00AF580A" w:rsidP="00AC4477">
            <w:pPr>
              <w:pStyle w:val="Normal6"/>
              <w:rPr>
                <w:szCs w:val="24"/>
              </w:rPr>
            </w:pPr>
            <w:r w:rsidRPr="00A121F2">
              <w:t>3.</w:t>
            </w:r>
            <w:r w:rsidRPr="00A121F2">
              <w:tab/>
              <w:t xml:space="preserve">La notifica automatizzata di una corrispondenza è fornita soltanto se la consultazione o il confronto automatizzati abbiano evidenziato una corrispondenza di un numero minimo di loci. La Commissione adotta </w:t>
            </w:r>
            <w:r w:rsidRPr="00A121F2">
              <w:rPr>
                <w:b/>
                <w:i/>
              </w:rPr>
              <w:t>un atto</w:t>
            </w:r>
            <w:r w:rsidRPr="00A121F2">
              <w:t xml:space="preserve"> di esecuzione per specificare tale numero minimo di loci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11 – paragrafo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5.</w:t>
            </w:r>
            <w:r w:rsidRPr="00A121F2">
              <w:tab/>
              <w:t xml:space="preserve">Gli Stati membri provvedono affinché le domande siano coerenti con le </w:t>
            </w:r>
            <w:r w:rsidRPr="00A121F2">
              <w:rPr>
                <w:b/>
                <w:i/>
              </w:rPr>
              <w:t>dichiarazioni</w:t>
            </w:r>
            <w:r w:rsidRPr="00A121F2">
              <w:t xml:space="preserve"> inviate a norma dell'articolo </w:t>
            </w:r>
            <w:r w:rsidRPr="00A121F2">
              <w:rPr>
                <w:b/>
                <w:i/>
              </w:rPr>
              <w:t>8</w:t>
            </w:r>
            <w:r w:rsidRPr="00A121F2">
              <w:t xml:space="preserve">. Tali </w:t>
            </w:r>
            <w:r w:rsidRPr="00A121F2">
              <w:rPr>
                <w:b/>
                <w:i/>
              </w:rPr>
              <w:t>dichiarazioni</w:t>
            </w:r>
            <w:r w:rsidRPr="00A121F2">
              <w:t xml:space="preserve"> figurano nel manuale pratico di cui all'articolo 78.</w:t>
            </w:r>
          </w:p>
        </w:tc>
        <w:tc>
          <w:tcPr>
            <w:tcW w:w="4876" w:type="dxa"/>
          </w:tcPr>
          <w:p w:rsidR="00AF580A" w:rsidRPr="00A121F2" w:rsidRDefault="00AF580A" w:rsidP="00AC4477">
            <w:pPr>
              <w:pStyle w:val="Normal6"/>
              <w:rPr>
                <w:szCs w:val="24"/>
              </w:rPr>
            </w:pPr>
            <w:r w:rsidRPr="00A121F2">
              <w:t>5.</w:t>
            </w:r>
            <w:r w:rsidRPr="00A121F2">
              <w:tab/>
              <w:t xml:space="preserve">Gli Stati membri provvedono affinché le domande siano coerenti con le </w:t>
            </w:r>
            <w:r w:rsidRPr="00A121F2">
              <w:rPr>
                <w:b/>
                <w:i/>
              </w:rPr>
              <w:t>notifiche</w:t>
            </w:r>
            <w:r w:rsidRPr="00A121F2">
              <w:t xml:space="preserve"> inviate a norma dell'articolo </w:t>
            </w:r>
            <w:r w:rsidRPr="00A121F2">
              <w:rPr>
                <w:b/>
                <w:i/>
              </w:rPr>
              <w:t>73, paragrafo 2 bis</w:t>
            </w:r>
            <w:r w:rsidRPr="00A121F2">
              <w:t xml:space="preserve">. Tali </w:t>
            </w:r>
            <w:r w:rsidRPr="00A121F2">
              <w:rPr>
                <w:b/>
                <w:i/>
              </w:rPr>
              <w:t>notifiche</w:t>
            </w:r>
            <w:r w:rsidRPr="00A121F2">
              <w:t xml:space="preserve"> figurano nel manuale pratico di cui all'articolo 78.</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12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Gli Stati membri garantiscono che siano disponibili dati indicizzati dattiloscopici ottenuti </w:t>
            </w:r>
            <w:r w:rsidRPr="00A121F2">
              <w:rPr>
                <w:b/>
                <w:i/>
              </w:rPr>
              <w:t>dai sistemi nazionali automatizzati di identificazione dattiloscopica istituiti</w:t>
            </w:r>
            <w:r w:rsidRPr="00A121F2">
              <w:t xml:space="preserve"> per la prevenzione, l'indagine e l'accertamento di reati.</w:t>
            </w:r>
          </w:p>
        </w:tc>
        <w:tc>
          <w:tcPr>
            <w:tcW w:w="4876" w:type="dxa"/>
          </w:tcPr>
          <w:p w:rsidR="00AF580A" w:rsidRPr="00A121F2" w:rsidRDefault="00AF580A" w:rsidP="00AC4477">
            <w:pPr>
              <w:pStyle w:val="Normal6"/>
              <w:rPr>
                <w:szCs w:val="24"/>
              </w:rPr>
            </w:pPr>
            <w:r w:rsidRPr="00A121F2">
              <w:t>1.</w:t>
            </w:r>
            <w:r w:rsidRPr="00A121F2">
              <w:tab/>
              <w:t xml:space="preserve">Gli Stati membri garantiscono che siano disponibili dati indicizzati dattiloscopici ottenuti </w:t>
            </w:r>
            <w:r w:rsidRPr="00A121F2">
              <w:rPr>
                <w:b/>
                <w:i/>
              </w:rPr>
              <w:t>dalla loro banca dati o dalle loro banche dati nazionali istituite</w:t>
            </w:r>
            <w:r w:rsidRPr="00A121F2">
              <w:t xml:space="preserve"> per la prevenzione, l'indagine e l'accertamento di reati.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12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I dati indicizzati dattiloscopici non contengono alcun dato che consenta l'identificazione diretta di una persona fisica.</w:t>
            </w:r>
          </w:p>
        </w:tc>
        <w:tc>
          <w:tcPr>
            <w:tcW w:w="4876" w:type="dxa"/>
          </w:tcPr>
          <w:p w:rsidR="00AF580A" w:rsidRPr="00A121F2" w:rsidRDefault="00AF580A" w:rsidP="00AC4477">
            <w:pPr>
              <w:pStyle w:val="Normal6"/>
              <w:rPr>
                <w:szCs w:val="24"/>
              </w:rPr>
            </w:pPr>
            <w:r w:rsidRPr="00A121F2">
              <w:t>2.</w:t>
            </w:r>
            <w:r w:rsidRPr="00A121F2">
              <w:tab/>
              <w:t xml:space="preserve">I dati indicizzati dattiloscopici non contengono alcun dato </w:t>
            </w:r>
            <w:r w:rsidRPr="00A121F2">
              <w:rPr>
                <w:b/>
                <w:i/>
              </w:rPr>
              <w:t>nominale aggiuntivo</w:t>
            </w:r>
            <w:r w:rsidRPr="00A121F2">
              <w:t xml:space="preserve"> che consenta l'identificazione diretta di una persona fisica.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12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r>
            <w:r w:rsidRPr="00A121F2">
              <w:rPr>
                <w:b/>
                <w:bCs/>
                <w:i/>
                <w:iCs/>
              </w:rPr>
              <w:t>I dati indicizzati dattiloscopici che non sono attribuiti a</w:t>
            </w:r>
            <w:r w:rsidRPr="00A121F2">
              <w:rPr>
                <w:b/>
                <w:i/>
              </w:rPr>
              <w:t xml:space="preserve"> nessuna persona fisica ("</w:t>
            </w:r>
            <w:r w:rsidRPr="00A121F2">
              <w:t>dati dattiloscopici non identificati</w:t>
            </w:r>
            <w:r w:rsidRPr="00A121F2">
              <w:rPr>
                <w:b/>
                <w:i/>
              </w:rPr>
              <w:t>")</w:t>
            </w:r>
            <w:r w:rsidRPr="00A121F2">
              <w:t xml:space="preserve"> sono riconoscibili come tali.</w:t>
            </w:r>
          </w:p>
        </w:tc>
        <w:tc>
          <w:tcPr>
            <w:tcW w:w="4876" w:type="dxa"/>
          </w:tcPr>
          <w:p w:rsidR="00AF580A" w:rsidRPr="00A121F2" w:rsidRDefault="00AF580A" w:rsidP="00AC4477">
            <w:pPr>
              <w:pStyle w:val="Normal6"/>
              <w:rPr>
                <w:szCs w:val="24"/>
              </w:rPr>
            </w:pPr>
            <w:r w:rsidRPr="00A121F2">
              <w:t>3.</w:t>
            </w:r>
            <w:r w:rsidRPr="00A121F2">
              <w:tab/>
              <w:t>I dati dattiloscopici non identificati sono riconoscibili come tali.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79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13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Ai fini della prevenzione, dell'indagine e dell'accertamento di reati, gli Stati membri autorizzano i punti di contatto nazionali degli altri Stati membri ed Europol ad accedere ai dati indicizzati dattiloscopici </w:t>
            </w:r>
            <w:r w:rsidRPr="00A121F2">
              <w:rPr>
                <w:b/>
                <w:i/>
              </w:rPr>
              <w:t>dei</w:t>
            </w:r>
            <w:r w:rsidRPr="00A121F2">
              <w:t xml:space="preserve"> loro </w:t>
            </w:r>
            <w:r w:rsidRPr="00A121F2">
              <w:rPr>
                <w:b/>
                <w:i/>
              </w:rPr>
              <w:t>sistemi automatizzati di identificazione dattiloscopica</w:t>
            </w:r>
            <w:r w:rsidRPr="00A121F2">
              <w:t xml:space="preserve"> creati a tal fine, per procedere a consultazioni automatizzate tramite il confronto dei dati indicizzati dattiloscopici.</w:t>
            </w:r>
          </w:p>
        </w:tc>
        <w:tc>
          <w:tcPr>
            <w:tcW w:w="4876" w:type="dxa"/>
          </w:tcPr>
          <w:p w:rsidR="00AF580A" w:rsidRPr="00A121F2" w:rsidRDefault="00AF580A" w:rsidP="00AC4477">
            <w:pPr>
              <w:pStyle w:val="Normal6"/>
              <w:rPr>
                <w:szCs w:val="24"/>
              </w:rPr>
            </w:pPr>
            <w:r w:rsidRPr="00A121F2">
              <w:t>1.</w:t>
            </w:r>
            <w:r w:rsidRPr="00A121F2">
              <w:tab/>
              <w:t xml:space="preserve">Ai fini della prevenzione, dell'indagine e dell'accertamento di reati, gli Stati membri autorizzano i punti di contatto nazionali degli altri Stati membri ed Europol ad accedere ai dati indicizzati dattiloscopici </w:t>
            </w:r>
            <w:r w:rsidRPr="00A121F2">
              <w:rPr>
                <w:b/>
                <w:i/>
              </w:rPr>
              <w:t>delle</w:t>
            </w:r>
            <w:r w:rsidRPr="00A121F2">
              <w:t xml:space="preserve"> loro </w:t>
            </w:r>
            <w:r w:rsidRPr="00A121F2">
              <w:rPr>
                <w:b/>
                <w:i/>
              </w:rPr>
              <w:t>banche dati nazionali</w:t>
            </w:r>
            <w:r w:rsidRPr="00A121F2">
              <w:t xml:space="preserve"> creati a tal fine, per procedere a consultazioni automatizzate tramite il confronto dei dati indicizzati dattiloscopici.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13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consultazioni </w:t>
            </w:r>
            <w:r w:rsidRPr="00A121F2">
              <w:rPr>
                <w:b/>
                <w:i/>
              </w:rPr>
              <w:t>possono essere</w:t>
            </w:r>
            <w:r w:rsidRPr="00A121F2">
              <w:t xml:space="preserve"> svolte solo caso per caso e nel rispetto del diritto nazionale dello Stato membro richiedente.</w:t>
            </w:r>
          </w:p>
        </w:tc>
        <w:tc>
          <w:tcPr>
            <w:tcW w:w="4876" w:type="dxa"/>
          </w:tcPr>
          <w:p w:rsidR="00AF580A" w:rsidRPr="00A121F2" w:rsidRDefault="00AF580A" w:rsidP="00AC4477">
            <w:pPr>
              <w:pStyle w:val="Normal6"/>
              <w:rPr>
                <w:szCs w:val="24"/>
              </w:rPr>
            </w:pPr>
            <w:r w:rsidRPr="00A121F2">
              <w:t xml:space="preserve">Le consultazioni </w:t>
            </w:r>
            <w:r w:rsidRPr="00A121F2">
              <w:rPr>
                <w:b/>
                <w:i/>
              </w:rPr>
              <w:t>sono</w:t>
            </w:r>
            <w:r w:rsidRPr="00A121F2">
              <w:t xml:space="preserve"> svolte solo caso per caso</w:t>
            </w:r>
            <w:r w:rsidRPr="00A121F2">
              <w:rPr>
                <w:b/>
                <w:i/>
              </w:rPr>
              <w:t>, se sono proporzionate e necessarie al fine di prevenire, accertare o indagare un reato</w:t>
            </w:r>
            <w:r w:rsidRPr="00A121F2">
              <w:t xml:space="preserve"> e nel rispetto del diritto nazionale dello Stato membro richiedente.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13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Il punto di contatto nazionale dello Stato membro richiedente conferma una corrispondenza tra i dati dattiloscopici e i dati indicizzati dattiloscopici conservati dallo Stato membro richiesto a seguito della trasmissione automatizzata dei dati indicizzati dattiloscopici necessari per confermare la corrispondenza.</w:t>
            </w:r>
          </w:p>
        </w:tc>
        <w:tc>
          <w:tcPr>
            <w:tcW w:w="4876" w:type="dxa"/>
          </w:tcPr>
          <w:p w:rsidR="00AF580A" w:rsidRPr="00A121F2" w:rsidRDefault="00AF580A" w:rsidP="00AC4477">
            <w:pPr>
              <w:pStyle w:val="Normal6"/>
              <w:rPr>
                <w:szCs w:val="24"/>
              </w:rPr>
            </w:pPr>
            <w:r w:rsidRPr="00A121F2">
              <w:t>2.</w:t>
            </w:r>
            <w:r w:rsidRPr="00A121F2">
              <w:tab/>
              <w:t xml:space="preserve">Il punto di contatto nazionale dello Stato membro richiedente conferma </w:t>
            </w:r>
            <w:r w:rsidRPr="00A121F2">
              <w:rPr>
                <w:b/>
                <w:i/>
              </w:rPr>
              <w:t xml:space="preserve">manualmente </w:t>
            </w:r>
            <w:r w:rsidRPr="00A121F2">
              <w:t>una corrispondenza tra i dati dattiloscopici e i dati indicizzati dattiloscopici conservati dallo Stato membro richiesto a seguito della trasmissione automatizzata dei dati indicizzati dattiloscopici necessari per confermare la corrispondenza.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14 – comma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un numero di riferimento che consenta agli Stati membri, in caso di corrispondenza, di estrarre dati ulteriori e altre informazioni dalle loro banche dati di cui all'articolo 12 al fine di trasmetterli a uno, ad alcuni o a tutti gli Stati membri conformemente agli articoli 47 e 48;</w:t>
            </w:r>
          </w:p>
        </w:tc>
        <w:tc>
          <w:tcPr>
            <w:tcW w:w="4876" w:type="dxa"/>
          </w:tcPr>
          <w:p w:rsidR="00AF580A" w:rsidRPr="00A121F2" w:rsidRDefault="00AF580A" w:rsidP="00AC4477">
            <w:pPr>
              <w:pStyle w:val="Normal6"/>
              <w:rPr>
                <w:szCs w:val="24"/>
              </w:rPr>
            </w:pPr>
            <w:r w:rsidRPr="00A121F2">
              <w:t>a)</w:t>
            </w:r>
            <w:r w:rsidRPr="00A121F2">
              <w:tab/>
              <w:t xml:space="preserve">un numero di riferimento che consenta agli Stati membri, in caso di corrispondenza, di estrarre dati ulteriori e altre informazioni dalle loro banche dati di cui all'articolo 12 al fine di trasmetterli a uno, ad alcuni o a tutti gli </w:t>
            </w:r>
            <w:r w:rsidRPr="00A121F2">
              <w:rPr>
                <w:b/>
                <w:i/>
              </w:rPr>
              <w:t xml:space="preserve">altri </w:t>
            </w:r>
            <w:r w:rsidRPr="00A121F2">
              <w:t>Stati membri conformemente agli articoli 47 e 48</w:t>
            </w:r>
            <w:r w:rsidRPr="00A121F2">
              <w:rPr>
                <w:b/>
                <w:i/>
              </w:rPr>
              <w:t>, oppure a Europol conformemente all'articolo 50, paragrafo 6</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14 – comma 1 – lettera a bis (nuova)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a bis)</w:t>
            </w:r>
            <w:r w:rsidRPr="00A121F2">
              <w:rPr>
                <w:b/>
                <w:i/>
              </w:rPr>
              <w:tab/>
              <w:t>un numero di riferimento che consenta a Europol, in caso di corrispondenza, di estrarre dati ulteriori e altre informazioni ai fini dell'articolo 49, paragrafo 1, per trasmetterli a uno, ad alcuni o a tutti gli altri Stati membri a norma del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15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La digitalizzazione dei dati dattiloscopici e la loro trasmissione agli altri Stati membri è effettuata secondo un formato dati uniforme. La Commissione adotta </w:t>
            </w:r>
            <w:r w:rsidRPr="00A121F2">
              <w:rPr>
                <w:b/>
                <w:i/>
              </w:rPr>
              <w:t>atti</w:t>
            </w:r>
            <w:r w:rsidRPr="00A121F2">
              <w:t xml:space="preserve"> di esecuzione per specificare tale formato dati uniforme secondo la procedura di cui all'articolo 76, paragrafo 2.</w:t>
            </w:r>
          </w:p>
        </w:tc>
        <w:tc>
          <w:tcPr>
            <w:tcW w:w="4876" w:type="dxa"/>
          </w:tcPr>
          <w:p w:rsidR="00AF580A" w:rsidRPr="00A121F2" w:rsidRDefault="00AF580A" w:rsidP="00AC4477">
            <w:pPr>
              <w:pStyle w:val="Normal6"/>
              <w:rPr>
                <w:szCs w:val="24"/>
              </w:rPr>
            </w:pPr>
            <w:r w:rsidRPr="00A121F2">
              <w:t>1.</w:t>
            </w:r>
            <w:r w:rsidRPr="00A121F2">
              <w:tab/>
              <w:t xml:space="preserve">La digitalizzazione dei dati dattiloscopici e la loro trasmissione agli altri Stati membri </w:t>
            </w:r>
            <w:r w:rsidRPr="00A121F2">
              <w:rPr>
                <w:b/>
                <w:i/>
              </w:rPr>
              <w:t xml:space="preserve">o a Europol </w:t>
            </w:r>
            <w:r w:rsidRPr="00A121F2">
              <w:t xml:space="preserve">è effettuata secondo un formato dati uniforme. La Commissione adotta </w:t>
            </w:r>
            <w:r w:rsidRPr="00A121F2">
              <w:rPr>
                <w:b/>
                <w:i/>
              </w:rPr>
              <w:t>un atto</w:t>
            </w:r>
            <w:r w:rsidRPr="00A121F2">
              <w:t xml:space="preserve"> di esecuzione per specificare tale formato dati uniforme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15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Ciascuno Stato membro </w:t>
            </w:r>
            <w:r w:rsidRPr="00A121F2">
              <w:rPr>
                <w:b/>
                <w:i/>
              </w:rPr>
              <w:t>garantisce che</w:t>
            </w:r>
            <w:r w:rsidRPr="00A121F2">
              <w:t xml:space="preserve"> i dati dattiloscopici </w:t>
            </w:r>
            <w:r w:rsidRPr="00A121F2">
              <w:rPr>
                <w:b/>
                <w:i/>
              </w:rPr>
              <w:t>da esso trasmessi</w:t>
            </w:r>
            <w:r w:rsidRPr="00A121F2">
              <w:t xml:space="preserve"> siano di qualità sufficiente per </w:t>
            </w:r>
            <w:r w:rsidRPr="00A121F2">
              <w:rPr>
                <w:b/>
                <w:bCs/>
                <w:i/>
                <w:iCs/>
              </w:rPr>
              <w:t>un</w:t>
            </w:r>
            <w:r w:rsidRPr="00A121F2">
              <w:t xml:space="preserve"> confronto </w:t>
            </w:r>
            <w:r w:rsidRPr="00A121F2">
              <w:rPr>
                <w:b/>
                <w:i/>
              </w:rPr>
              <w:t xml:space="preserve">tramite i sistemi </w:t>
            </w:r>
            <w:r w:rsidRPr="00A121F2">
              <w:rPr>
                <w:b/>
                <w:bCs/>
                <w:i/>
                <w:iCs/>
              </w:rPr>
              <w:t>automatizzati di</w:t>
            </w:r>
            <w:r w:rsidRPr="00A121F2">
              <w:t xml:space="preserve"> </w:t>
            </w:r>
            <w:r w:rsidRPr="00A121F2">
              <w:rPr>
                <w:b/>
                <w:i/>
              </w:rPr>
              <w:t>identificazione dattiloscopica</w:t>
            </w:r>
            <w:r w:rsidRPr="00A121F2">
              <w:t>.</w:t>
            </w:r>
          </w:p>
        </w:tc>
        <w:tc>
          <w:tcPr>
            <w:tcW w:w="4876" w:type="dxa"/>
          </w:tcPr>
          <w:p w:rsidR="00AF580A" w:rsidRPr="00A121F2" w:rsidRDefault="00AF580A" w:rsidP="00AC4477">
            <w:pPr>
              <w:pStyle w:val="Normal6"/>
              <w:rPr>
                <w:szCs w:val="24"/>
              </w:rPr>
            </w:pPr>
            <w:r w:rsidRPr="00A121F2">
              <w:t>2.</w:t>
            </w:r>
            <w:r w:rsidRPr="00A121F2">
              <w:tab/>
              <w:t xml:space="preserve">Ciascuno Stato membro </w:t>
            </w:r>
            <w:r w:rsidRPr="00A121F2">
              <w:rPr>
                <w:b/>
                <w:i/>
              </w:rPr>
              <w:t>ed Europol provvedono affinché</w:t>
            </w:r>
            <w:r w:rsidRPr="00A121F2">
              <w:t xml:space="preserve"> i dati dattiloscopici </w:t>
            </w:r>
            <w:r w:rsidRPr="00A121F2">
              <w:rPr>
                <w:b/>
                <w:i/>
              </w:rPr>
              <w:t>che trasmettono</w:t>
            </w:r>
            <w:r w:rsidRPr="00A121F2">
              <w:t xml:space="preserve"> siano di qualità sufficiente per </w:t>
            </w:r>
            <w:r w:rsidRPr="00A121F2">
              <w:rPr>
                <w:b/>
                <w:i/>
              </w:rPr>
              <w:t xml:space="preserve">il </w:t>
            </w:r>
            <w:r w:rsidRPr="00A121F2">
              <w:t xml:space="preserve">confronto </w:t>
            </w:r>
            <w:r w:rsidRPr="00A121F2">
              <w:rPr>
                <w:b/>
                <w:i/>
              </w:rPr>
              <w:t xml:space="preserve">automatizzato. La Commissione adotta </w:t>
            </w:r>
            <w:r w:rsidRPr="00A121F2">
              <w:t xml:space="preserve">un </w:t>
            </w:r>
            <w:r w:rsidRPr="00A121F2">
              <w:rPr>
                <w:b/>
                <w:i/>
              </w:rPr>
              <w:t>atto di esecuzione per specificare tale norma minima di qualità per il</w:t>
            </w:r>
            <w:r w:rsidRPr="00A121F2">
              <w:rPr>
                <w:b/>
                <w:bCs/>
                <w:i/>
                <w:iCs/>
              </w:rPr>
              <w:t xml:space="preserve"> confronto d</w:t>
            </w:r>
            <w:r w:rsidRPr="00A121F2">
              <w:rPr>
                <w:b/>
                <w:i/>
              </w:rPr>
              <w:t>ei dati dattiloscopici. Tali atti di esecuzione sono adottati secondo la procedura</w:t>
            </w:r>
            <w:r w:rsidRPr="00A121F2">
              <w:t xml:space="preserve"> di </w:t>
            </w:r>
            <w:r w:rsidRPr="00A121F2">
              <w:rPr>
                <w:b/>
                <w:i/>
              </w:rPr>
              <w:t>cui all'articolo 76, paragrafo 2</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15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Gli Stati membri adottano misure appropriate, compresa la cifratura, per garantire la riservatezza e l'integrità dei dati dattiloscopici trasmessi agli altri Stati membri.</w:t>
            </w:r>
          </w:p>
        </w:tc>
        <w:tc>
          <w:tcPr>
            <w:tcW w:w="4876" w:type="dxa"/>
          </w:tcPr>
          <w:p w:rsidR="00AF580A" w:rsidRPr="00A121F2" w:rsidRDefault="00AF580A" w:rsidP="00AC4477">
            <w:pPr>
              <w:pStyle w:val="Normal6"/>
              <w:rPr>
                <w:szCs w:val="24"/>
              </w:rPr>
            </w:pPr>
            <w:r w:rsidRPr="00A121F2">
              <w:t>3.</w:t>
            </w:r>
            <w:r w:rsidRPr="00A121F2">
              <w:tab/>
              <w:t xml:space="preserve">Gli Stati membri </w:t>
            </w:r>
            <w:r w:rsidRPr="00A121F2">
              <w:rPr>
                <w:b/>
                <w:i/>
              </w:rPr>
              <w:t xml:space="preserve">ed Europol </w:t>
            </w:r>
            <w:r w:rsidRPr="00A121F2">
              <w:t>adottano misure appropriate, compresa la cifratura, per garantire la riservatezza e l'integrità dei dati dattiloscopici trasmessi agli altri Stati membri.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15 – paragrafo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4.</w:t>
            </w:r>
            <w:r w:rsidRPr="00A121F2">
              <w:tab/>
              <w:t xml:space="preserve">La Commissione adotta </w:t>
            </w:r>
            <w:r w:rsidRPr="00A121F2">
              <w:rPr>
                <w:b/>
                <w:i/>
              </w:rPr>
              <w:t>atti</w:t>
            </w:r>
            <w:r w:rsidRPr="00A121F2">
              <w:t xml:space="preserve"> di esecuzione per specificare le norme esistenti applicabili allo scambio di dati dattiloscopici che devono essere utilizzate dagli Stati membri. </w:t>
            </w:r>
            <w:r w:rsidRPr="00A121F2">
              <w:rPr>
                <w:b/>
                <w:bCs/>
                <w:i/>
                <w:iCs/>
              </w:rPr>
              <w:t>Tali atti</w:t>
            </w:r>
            <w:r w:rsidRPr="00A121F2">
              <w:t xml:space="preserve"> di esecuzione </w:t>
            </w:r>
            <w:r w:rsidRPr="00A121F2">
              <w:rPr>
                <w:b/>
                <w:bCs/>
                <w:i/>
                <w:iCs/>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4.</w:t>
            </w:r>
            <w:r w:rsidRPr="00A121F2">
              <w:tab/>
              <w:t xml:space="preserve">La Commissione adotta </w:t>
            </w:r>
            <w:r w:rsidRPr="00A121F2">
              <w:rPr>
                <w:b/>
                <w:i/>
              </w:rPr>
              <w:t>un atto</w:t>
            </w:r>
            <w:r w:rsidRPr="00A121F2">
              <w:t xml:space="preserve"> di esecuzione per specificare le norme</w:t>
            </w:r>
            <w:r w:rsidRPr="00A121F2">
              <w:rPr>
                <w:b/>
                <w:i/>
              </w:rPr>
              <w:t xml:space="preserve"> europee o internazionali</w:t>
            </w:r>
            <w:r w:rsidRPr="00A121F2">
              <w:t xml:space="preserve"> esistenti applicabili allo scambio di dati dattiloscopici che devono essere utilizzate dagli Stati membri. </w:t>
            </w:r>
            <w:r w:rsidRPr="00A121F2">
              <w:rPr>
                <w:b/>
                <w:bCs/>
                <w:i/>
                <w:iCs/>
              </w:rPr>
              <w:t>Tale atto</w:t>
            </w:r>
            <w:r w:rsidRPr="00A121F2">
              <w:t xml:space="preserve"> di esecuzione </w:t>
            </w:r>
            <w:r w:rsidRPr="00A121F2">
              <w:rPr>
                <w:b/>
                <w:bCs/>
                <w:i/>
                <w:iCs/>
              </w:rPr>
              <w:t>è adottato</w:t>
            </w:r>
            <w:r w:rsidRPr="00A121F2">
              <w:t xml:space="preserv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16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i/>
              </w:rPr>
              <w:t>Ogni Stato membro provvede</w:t>
            </w:r>
            <w:r w:rsidRPr="00A121F2">
              <w:t xml:space="preserve"> affinché le </w:t>
            </w:r>
            <w:r w:rsidRPr="00A121F2">
              <w:rPr>
                <w:b/>
                <w:i/>
              </w:rPr>
              <w:t>sue</w:t>
            </w:r>
            <w:r w:rsidRPr="00A121F2">
              <w:t xml:space="preserve"> domande di consultazione non eccedano le capacità di consultazione specificate dallo Stato membro richiesto.</w:t>
            </w:r>
          </w:p>
        </w:tc>
        <w:tc>
          <w:tcPr>
            <w:tcW w:w="4876" w:type="dxa"/>
          </w:tcPr>
          <w:p w:rsidR="00AF580A" w:rsidRPr="00A121F2" w:rsidRDefault="00AF580A" w:rsidP="00AC4477">
            <w:pPr>
              <w:pStyle w:val="Normal6"/>
              <w:rPr>
                <w:szCs w:val="24"/>
              </w:rPr>
            </w:pPr>
            <w:r w:rsidRPr="00A121F2">
              <w:t>1.</w:t>
            </w:r>
            <w:r w:rsidRPr="00A121F2">
              <w:tab/>
            </w:r>
            <w:r w:rsidRPr="00A121F2">
              <w:rPr>
                <w:b/>
                <w:i/>
              </w:rPr>
              <w:t>Gli Stati membri ed Europol provvedono</w:t>
            </w:r>
            <w:r w:rsidRPr="00A121F2">
              <w:t xml:space="preserve"> affinché le </w:t>
            </w:r>
            <w:r w:rsidRPr="00A121F2">
              <w:rPr>
                <w:b/>
                <w:i/>
              </w:rPr>
              <w:t>loro</w:t>
            </w:r>
            <w:r w:rsidRPr="00A121F2">
              <w:t xml:space="preserve"> domande di consultazione non eccedano le capacità di consultazione specificate dallo Stato membro richiesto.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89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16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Gli Stati membri informano la Commissione ed eu-LISA</w:t>
            </w:r>
            <w:r w:rsidRPr="00A121F2">
              <w:rPr>
                <w:b/>
                <w:bCs/>
                <w:i/>
                <w:iCs/>
              </w:rPr>
              <w:t>,</w:t>
            </w:r>
            <w:r w:rsidRPr="00A121F2">
              <w:t xml:space="preserve"> </w:t>
            </w:r>
            <w:r w:rsidRPr="00A121F2">
              <w:rPr>
                <w:b/>
                <w:i/>
              </w:rPr>
              <w:t>conformemente all'articolo 79</w:t>
            </w:r>
            <w:r w:rsidRPr="00A121F2">
              <w:t xml:space="preserve">, </w:t>
            </w:r>
            <w:r w:rsidRPr="00A121F2">
              <w:rPr>
                <w:b/>
                <w:i/>
              </w:rPr>
              <w:t>paragrafi 8 e 10,</w:t>
            </w:r>
            <w:r w:rsidRPr="00A121F2">
              <w:t xml:space="preserve"> in merito alle loro capacità massime di consultazione giornaliere per i dati dattiloscopici di persone identificate e per i dati dattiloscopici di persone non ancora identificate.</w:t>
            </w:r>
          </w:p>
        </w:tc>
        <w:tc>
          <w:tcPr>
            <w:tcW w:w="4876" w:type="dxa"/>
          </w:tcPr>
          <w:p w:rsidR="00AF580A" w:rsidRPr="00A121F2" w:rsidRDefault="00AF580A" w:rsidP="00AC4477">
            <w:pPr>
              <w:pStyle w:val="Normal6"/>
              <w:rPr>
                <w:szCs w:val="24"/>
              </w:rPr>
            </w:pPr>
            <w:r w:rsidRPr="00A121F2">
              <w:t xml:space="preserve">Gli Stati membri informano </w:t>
            </w:r>
            <w:r w:rsidRPr="00A121F2">
              <w:rPr>
                <w:b/>
                <w:i/>
              </w:rPr>
              <w:t>gli altri Stati membri</w:t>
            </w:r>
            <w:r w:rsidRPr="00A121F2">
              <w:t xml:space="preserve">, </w:t>
            </w:r>
            <w:r w:rsidRPr="00A121F2">
              <w:rPr>
                <w:b/>
                <w:i/>
              </w:rPr>
              <w:t xml:space="preserve">Europol, </w:t>
            </w:r>
            <w:r w:rsidRPr="00A121F2">
              <w:t xml:space="preserve">la Commissione, ed eu-LISA in merito alle loro capacità massime di consultazione giornaliere per i dati dattiloscopici di persone identificate e per i dati dattiloscopici di persone non ancora identificate. </w:t>
            </w:r>
            <w:r w:rsidRPr="00A121F2">
              <w:rPr>
                <w:b/>
                <w:i/>
              </w:rPr>
              <w:t xml:space="preserve">Gli Stati membri possono aumentare tali capacità massime di ricerca. Qualora aumenti tali capacità massime di ricerca, uno Stato membro comunica agli altri Stati membri, a Europol, alla Commissione e a eu-LISA le nuove capacità di ricerca massime.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16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La Commissione adotta </w:t>
            </w:r>
            <w:r w:rsidRPr="00A121F2">
              <w:rPr>
                <w:b/>
                <w:i/>
              </w:rPr>
              <w:t>atti</w:t>
            </w:r>
            <w:r w:rsidRPr="00A121F2">
              <w:t xml:space="preserve"> di esecuzione per specificare il numero massimo di candidati accettati ai fini del confronto per ciascuna trasmissione, secondo la procedura di cui all'articolo 76, paragrafo 2.</w:t>
            </w:r>
          </w:p>
        </w:tc>
        <w:tc>
          <w:tcPr>
            <w:tcW w:w="4876" w:type="dxa"/>
          </w:tcPr>
          <w:p w:rsidR="00AF580A" w:rsidRPr="00A121F2" w:rsidRDefault="00AF580A" w:rsidP="00AC4477">
            <w:pPr>
              <w:pStyle w:val="Normal6"/>
              <w:rPr>
                <w:szCs w:val="24"/>
              </w:rPr>
            </w:pPr>
            <w:r w:rsidRPr="00A121F2">
              <w:t>2.</w:t>
            </w:r>
            <w:r w:rsidRPr="00A121F2">
              <w:tab/>
              <w:t xml:space="preserve">La Commissione adotta </w:t>
            </w:r>
            <w:r w:rsidRPr="00A121F2">
              <w:rPr>
                <w:b/>
                <w:i/>
              </w:rPr>
              <w:t>un atto</w:t>
            </w:r>
            <w:r w:rsidRPr="00A121F2">
              <w:t xml:space="preserve"> di esecuzione per specificare il numero massimo di candidati accettati ai fini del confronto per ciascuna trasmissione,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18 – paragrafo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 xml:space="preserve">dati relativi ai proprietari o </w:t>
            </w:r>
            <w:r w:rsidRPr="00A121F2">
              <w:rPr>
                <w:b/>
                <w:i/>
              </w:rPr>
              <w:t>agli utenti</w:t>
            </w:r>
            <w:r w:rsidRPr="00A121F2">
              <w:t>;</w:t>
            </w:r>
          </w:p>
        </w:tc>
        <w:tc>
          <w:tcPr>
            <w:tcW w:w="4876" w:type="dxa"/>
          </w:tcPr>
          <w:p w:rsidR="00AF580A" w:rsidRPr="00A121F2" w:rsidRDefault="00AF580A" w:rsidP="00AC4477">
            <w:pPr>
              <w:pStyle w:val="Normal6"/>
              <w:rPr>
                <w:szCs w:val="24"/>
              </w:rPr>
            </w:pPr>
            <w:r w:rsidRPr="00A121F2">
              <w:t>a)</w:t>
            </w:r>
            <w:r w:rsidRPr="00A121F2">
              <w:tab/>
              <w:t xml:space="preserve">dati relativi ai proprietari o </w:t>
            </w:r>
            <w:r w:rsidRPr="00A121F2">
              <w:rPr>
                <w:b/>
                <w:i/>
              </w:rPr>
              <w:t>ai detentori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19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La Commissione adotta </w:t>
            </w:r>
            <w:r w:rsidRPr="00A121F2">
              <w:rPr>
                <w:b/>
                <w:i/>
              </w:rPr>
              <w:t>atti</w:t>
            </w:r>
            <w:r w:rsidRPr="00A121F2">
              <w:t xml:space="preserve"> di esecuzione per specificare i dati di immatricolazione dei veicoli </w:t>
            </w:r>
            <w:r w:rsidRPr="00A121F2">
              <w:rPr>
                <w:b/>
                <w:i/>
              </w:rPr>
              <w:t>da scambiare</w:t>
            </w:r>
            <w:r w:rsidRPr="00A121F2">
              <w:t xml:space="preserve">. </w:t>
            </w:r>
            <w:r w:rsidRPr="00A121F2">
              <w:rPr>
                <w:b/>
                <w:i/>
              </w:rPr>
              <w:t>Tali atti</w:t>
            </w:r>
            <w:r w:rsidRPr="00A121F2">
              <w:t xml:space="preserve"> di esecuzione </w:t>
            </w:r>
            <w:r w:rsidRPr="00A121F2">
              <w:rPr>
                <w:b/>
                <w:i/>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3.</w:t>
            </w:r>
            <w:r w:rsidRPr="00A121F2">
              <w:tab/>
              <w:t xml:space="preserve">La Commissione adotta </w:t>
            </w:r>
            <w:r w:rsidRPr="00A121F2">
              <w:rPr>
                <w:b/>
                <w:i/>
              </w:rPr>
              <w:t>un atto</w:t>
            </w:r>
            <w:r w:rsidRPr="00A121F2">
              <w:t xml:space="preserve"> di esecuzione per specificare i dati di immatricolazione dei veicoli </w:t>
            </w:r>
            <w:r w:rsidRPr="00A121F2">
              <w:rPr>
                <w:b/>
                <w:i/>
              </w:rPr>
              <w:t>che possono essere scambiati</w:t>
            </w:r>
            <w:r w:rsidRPr="00A121F2">
              <w:t xml:space="preserve">. </w:t>
            </w:r>
            <w:r w:rsidRPr="00A121F2">
              <w:rPr>
                <w:b/>
                <w:i/>
              </w:rPr>
              <w:t>Tale atto</w:t>
            </w:r>
            <w:r w:rsidRPr="00A121F2">
              <w:t xml:space="preserve"> di esecuzione </w:t>
            </w:r>
            <w:r w:rsidRPr="00A121F2">
              <w:rPr>
                <w:b/>
                <w:i/>
              </w:rPr>
              <w:t>è adottato</w:t>
            </w:r>
            <w:r w:rsidRPr="00A121F2">
              <w:t xml:space="preserv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20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Ciascuno Stato membro conserva le registrazioni delle interrogazioni effettuate dal personale delle proprie autorità debitamente autorizzato a scambiare dati di immatricolazione dei veicoli, nonché le registrazioni delle interrogazioni richieste da altri Stati membri. Europol conserva le registrazioni delle interrogazioni effettuate dal proprio personale debitamente autorizzato.</w:t>
            </w:r>
          </w:p>
        </w:tc>
        <w:tc>
          <w:tcPr>
            <w:tcW w:w="4876" w:type="dxa"/>
          </w:tcPr>
          <w:p w:rsidR="00AF580A" w:rsidRPr="00A121F2" w:rsidRDefault="00AF580A" w:rsidP="00AC4477">
            <w:pPr>
              <w:pStyle w:val="Normal6"/>
              <w:rPr>
                <w:szCs w:val="24"/>
              </w:rPr>
            </w:pPr>
            <w:r w:rsidRPr="00A121F2">
              <w:t>1.</w:t>
            </w:r>
            <w:r w:rsidRPr="00A121F2">
              <w:tab/>
              <w:t xml:space="preserve">Ciascuno Stato membro conserva le registrazioni delle interrogazioni effettuate dal personale delle proprie autorità </w:t>
            </w:r>
            <w:r w:rsidRPr="00A121F2">
              <w:rPr>
                <w:b/>
                <w:i/>
              </w:rPr>
              <w:t xml:space="preserve">di contrasto competenti </w:t>
            </w:r>
            <w:r w:rsidRPr="00A121F2">
              <w:t>debitamente autorizzato a scambiare dati di immatricolazione dei veicoli, nonché le registrazioni delle interrogazioni richieste da altri Stati membri. Europol conserva le registrazioni delle interrogazioni effettuate dal proprio personale debitamente autorizzato.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20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registrazioni sono protette dall'accesso non autorizzato con misure adeguate e sono cancellate </w:t>
            </w:r>
            <w:r w:rsidRPr="00A121F2">
              <w:rPr>
                <w:b/>
                <w:bCs/>
                <w:i/>
                <w:iCs/>
              </w:rPr>
              <w:t>un anno</w:t>
            </w:r>
            <w:r w:rsidRPr="00A121F2">
              <w:t xml:space="preserve"> dopo la loro creazione. Qualora, tuttavia, siano necessarie per procedure di monitoraggio già avviate, sono cancellate quando le procedure di monitoraggio non necessitano più delle registrazioni.</w:t>
            </w:r>
          </w:p>
        </w:tc>
        <w:tc>
          <w:tcPr>
            <w:tcW w:w="4876" w:type="dxa"/>
          </w:tcPr>
          <w:p w:rsidR="00AF580A" w:rsidRPr="00A121F2" w:rsidRDefault="00AF580A" w:rsidP="00AC4477">
            <w:pPr>
              <w:pStyle w:val="Normal6"/>
              <w:rPr>
                <w:szCs w:val="24"/>
              </w:rPr>
            </w:pPr>
            <w:r w:rsidRPr="00A121F2">
              <w:t xml:space="preserve">Le registrazioni sono protette dall'accesso non autorizzato con misure adeguate e sono cancellate </w:t>
            </w:r>
            <w:r w:rsidRPr="00A121F2">
              <w:rPr>
                <w:b/>
                <w:bCs/>
                <w:i/>
                <w:iCs/>
              </w:rPr>
              <w:t>due anni</w:t>
            </w:r>
            <w:r w:rsidRPr="00A121F2">
              <w:t xml:space="preserve"> dopo la loro creazione. Qualora, tuttavia, siano necessarie per procedure di monitoraggio già avviate, sono cancellate quando le procedure di monitoraggio non necessitano più delle registrazioni.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21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Gli Stati membri garantiscono che siano disponibili immagini del volto ottenute dalle loro banche dati nazionali istituite per la prevenzione, l'indagine e l'accertamento di reati. Tali dati comprendono soltanto immagini del volto e il numero di riferimento di cui all'articolo 23 e indicano se le immagini del volto sono attribuite o meno a una persona.</w:t>
            </w:r>
          </w:p>
        </w:tc>
        <w:tc>
          <w:tcPr>
            <w:tcW w:w="4876" w:type="dxa"/>
          </w:tcPr>
          <w:p w:rsidR="00AF580A" w:rsidRPr="00A121F2" w:rsidRDefault="00AF580A" w:rsidP="00AC4477">
            <w:pPr>
              <w:pStyle w:val="Normal6"/>
              <w:rPr>
                <w:szCs w:val="24"/>
              </w:rPr>
            </w:pPr>
            <w:r w:rsidRPr="00A121F2">
              <w:t>1.</w:t>
            </w:r>
            <w:r w:rsidRPr="00A121F2">
              <w:tab/>
              <w:t xml:space="preserve">Gli Stati membri garantiscono che siano disponibili immagini del volto </w:t>
            </w:r>
            <w:r w:rsidRPr="00A121F2">
              <w:rPr>
                <w:b/>
                <w:bCs/>
                <w:i/>
                <w:iCs/>
              </w:rPr>
              <w:t>di indagati e persone condannate</w:t>
            </w:r>
            <w:r w:rsidRPr="00A121F2">
              <w:t xml:space="preserve"> </w:t>
            </w:r>
            <w:r w:rsidRPr="00A121F2">
              <w:rPr>
                <w:b/>
                <w:i/>
              </w:rPr>
              <w:t xml:space="preserve">raccolte in conformità della loro legislazione nazionale e </w:t>
            </w:r>
            <w:r w:rsidRPr="00A121F2">
              <w:t>ottenute dalle loro banche dati nazionali istituite per la prevenzione, l'indagine e l'accertamento di reati. Tali dati comprendono soltanto immagini del volto e il numero di riferimento di cui all'articolo 23 e indicano se le immagini del volto sono attribuite o meno a una persona.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21 – paragrafo 1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Gli Stati membri non mettono a disposizione in tale contesto dati dai quali sia possibile identificare direttamente una persona.</w:t>
            </w:r>
          </w:p>
        </w:tc>
        <w:tc>
          <w:tcPr>
            <w:tcW w:w="4876" w:type="dxa"/>
          </w:tcPr>
          <w:p w:rsidR="00AF580A" w:rsidRPr="00A121F2" w:rsidRDefault="00AF580A" w:rsidP="00AC4477">
            <w:pPr>
              <w:pStyle w:val="Normal6"/>
              <w:rPr>
                <w:szCs w:val="24"/>
              </w:rPr>
            </w:pPr>
            <w:r w:rsidRPr="00A121F2">
              <w:t xml:space="preserve">Gli Stati membri non mettono a disposizione in tale contesto dati </w:t>
            </w:r>
            <w:r w:rsidRPr="00A121F2">
              <w:rPr>
                <w:b/>
                <w:i/>
              </w:rPr>
              <w:t xml:space="preserve">nominali aggiuntivi </w:t>
            </w:r>
            <w:r w:rsidRPr="00A121F2">
              <w:t>dai quali sia possibile identificare direttamente una persona.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21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Le immagini del volto non </w:t>
            </w:r>
            <w:r w:rsidRPr="00A121F2">
              <w:rPr>
                <w:b/>
                <w:i/>
              </w:rPr>
              <w:t xml:space="preserve">attribuite a una persona (immagini del volto non </w:t>
            </w:r>
            <w:r w:rsidRPr="00A121F2">
              <w:t>identificate</w:t>
            </w:r>
            <w:r w:rsidRPr="00A121F2">
              <w:rPr>
                <w:b/>
                <w:i/>
              </w:rPr>
              <w:t>)</w:t>
            </w:r>
            <w:r w:rsidRPr="00A121F2">
              <w:t xml:space="preserve"> sono riconoscibili come tali.</w:t>
            </w:r>
          </w:p>
        </w:tc>
        <w:tc>
          <w:tcPr>
            <w:tcW w:w="4876" w:type="dxa"/>
          </w:tcPr>
          <w:p w:rsidR="00AF580A" w:rsidRPr="00A121F2" w:rsidRDefault="00AF580A" w:rsidP="00AC4477">
            <w:pPr>
              <w:pStyle w:val="Normal6"/>
              <w:rPr>
                <w:szCs w:val="24"/>
              </w:rPr>
            </w:pPr>
            <w:r w:rsidRPr="00A121F2">
              <w:t>2.</w:t>
            </w:r>
            <w:r w:rsidRPr="00A121F2">
              <w:tab/>
              <w:t>Le immagini del volto non identificate sono riconoscibili come tali.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22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Ai fini della prevenzione, dell'indagine e dell'accertamento di reati, gli Stati membri consentono ai punti di contatto nazionali di altri Stati membri e ad Europol di accedere </w:t>
            </w:r>
            <w:r w:rsidRPr="00A121F2">
              <w:rPr>
                <w:b/>
                <w:i/>
              </w:rPr>
              <w:t>alle immagini</w:t>
            </w:r>
            <w:r w:rsidRPr="00A121F2">
              <w:t xml:space="preserve"> del volto conservate nelle loro banche dati nazionali per condurre consultazioni automatizzate.</w:t>
            </w:r>
          </w:p>
        </w:tc>
        <w:tc>
          <w:tcPr>
            <w:tcW w:w="4876" w:type="dxa"/>
          </w:tcPr>
          <w:p w:rsidR="00AF580A" w:rsidRPr="00A121F2" w:rsidRDefault="00AF580A" w:rsidP="00AC4477">
            <w:pPr>
              <w:pStyle w:val="Normal6"/>
              <w:rPr>
                <w:szCs w:val="24"/>
              </w:rPr>
            </w:pPr>
            <w:r w:rsidRPr="00A121F2">
              <w:t>1.</w:t>
            </w:r>
            <w:r w:rsidRPr="00A121F2">
              <w:tab/>
              <w:t xml:space="preserve">Ai fini della prevenzione, dell'indagine e dell'accertamento di reati, gli Stati membri consentono ai punti di contatto nazionali di altri Stati membri e ad Europol di accedere </w:t>
            </w:r>
            <w:r w:rsidRPr="00A121F2">
              <w:rPr>
                <w:b/>
                <w:i/>
              </w:rPr>
              <w:t>ai dati indicizzati</w:t>
            </w:r>
            <w:r w:rsidRPr="00A121F2">
              <w:t xml:space="preserve"> del volto conservate nelle loro banche dati nazionali per condurre consultazioni automatizzate.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99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22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consultazioni </w:t>
            </w:r>
            <w:r w:rsidRPr="00A121F2">
              <w:rPr>
                <w:b/>
                <w:i/>
              </w:rPr>
              <w:t>possono essere</w:t>
            </w:r>
            <w:r w:rsidRPr="00A121F2">
              <w:t xml:space="preserve"> svolte solo caso per caso e nel rispetto del diritto nazionale dello Stato membro richiedente.</w:t>
            </w:r>
          </w:p>
        </w:tc>
        <w:tc>
          <w:tcPr>
            <w:tcW w:w="4876" w:type="dxa"/>
          </w:tcPr>
          <w:p w:rsidR="00AF580A" w:rsidRPr="00A121F2" w:rsidRDefault="00AF580A" w:rsidP="00AC4477">
            <w:pPr>
              <w:pStyle w:val="Normal6"/>
              <w:rPr>
                <w:szCs w:val="24"/>
              </w:rPr>
            </w:pPr>
            <w:r w:rsidRPr="00A121F2">
              <w:t xml:space="preserve">Le consultazioni </w:t>
            </w:r>
            <w:r w:rsidRPr="00A121F2">
              <w:rPr>
                <w:b/>
                <w:i/>
              </w:rPr>
              <w:t>sono</w:t>
            </w:r>
            <w:r w:rsidRPr="00A121F2">
              <w:t xml:space="preserve"> svolte solo caso per caso</w:t>
            </w:r>
            <w:r w:rsidRPr="00A121F2">
              <w:rPr>
                <w:b/>
                <w:i/>
              </w:rPr>
              <w:t>, se sono proporzionate e necessarie al fine di prevenire, accertare o indagare un reato</w:t>
            </w:r>
            <w:r w:rsidRPr="00A121F2">
              <w:t xml:space="preserve"> e nel rispetto del diritto nazionale dello Stato membro richiedente. </w:t>
            </w:r>
            <w:r w:rsidRPr="00A121F2">
              <w:rPr>
                <w:b/>
                <w:i/>
              </w:rPr>
              <w:t>Sono vietate le ricerche a fini di profilazione.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22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w:t>
            </w:r>
            <w:r w:rsidRPr="00A121F2">
              <w:tab/>
              <w:t xml:space="preserve">Lo Stato membro richiedente riceve un elenco di </w:t>
            </w:r>
            <w:r w:rsidRPr="00A121F2">
              <w:rPr>
                <w:b/>
                <w:i/>
              </w:rPr>
              <w:t xml:space="preserve">corrispondenze relative a possibili </w:t>
            </w:r>
            <w:r w:rsidRPr="00A121F2">
              <w:t>candidati. Tale Stato membro esamina l'elenco per stabilire l'esistenza di una corrispondenza confermata.</w:t>
            </w:r>
          </w:p>
        </w:tc>
        <w:tc>
          <w:tcPr>
            <w:tcW w:w="4876" w:type="dxa"/>
          </w:tcPr>
          <w:p w:rsidR="00AF580A" w:rsidRPr="00A121F2" w:rsidRDefault="00AF580A" w:rsidP="00AC4477">
            <w:pPr>
              <w:pStyle w:val="Normal6"/>
              <w:rPr>
                <w:szCs w:val="24"/>
              </w:rPr>
            </w:pPr>
            <w:r w:rsidRPr="00A121F2">
              <w:t>2.</w:t>
            </w:r>
            <w:r w:rsidRPr="00A121F2">
              <w:tab/>
              <w:t>Lo Stato membro richiedente riceve un elenco di candidati. Tale Stato membro esamina</w:t>
            </w:r>
            <w:r w:rsidRPr="00A121F2">
              <w:rPr>
                <w:b/>
                <w:i/>
              </w:rPr>
              <w:t xml:space="preserve"> manualmente</w:t>
            </w:r>
            <w:r w:rsidRPr="00A121F2">
              <w:t xml:space="preserve"> l'elenco per stabilire l'esistenza di una corrispondenza confermata.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22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3.</w:t>
            </w:r>
            <w:r w:rsidRPr="00A121F2">
              <w:rPr>
                <w:b/>
                <w:i/>
              </w:rPr>
              <w:tab/>
              <w:t>È stabilita una norma minima di qualità per consentire la consultazione e il confronto delle immagini del volto. La Commissione adotta atti di esecuzione per specificare tale norma minima di qualità. Tali atti di esecuzione sono adottati secondo la procedura di cui all'articolo 76, paragrafo 2.</w:t>
            </w:r>
          </w:p>
        </w:tc>
        <w:tc>
          <w:tcPr>
            <w:tcW w:w="4876" w:type="dxa"/>
          </w:tcPr>
          <w:p w:rsidR="00AF580A" w:rsidRPr="00A121F2" w:rsidRDefault="00AF580A" w:rsidP="00AC4477">
            <w:pPr>
              <w:pStyle w:val="Normal6"/>
              <w:rPr>
                <w:szCs w:val="24"/>
              </w:rPr>
            </w:pPr>
            <w:r w:rsidRPr="00A121F2">
              <w:rPr>
                <w:b/>
                <w:i/>
              </w:rPr>
              <w:t>soppresso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23 – comma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 xml:space="preserve">un numero di riferimento che consenta agli Stati membri, in caso di corrispondenza, di estrarre ulteriori dati e altre informazioni dalle loro banche dati di cui all'articolo 21 al fine di trasmetterli a uno, ad alcuni o a tutti gli altri Stati membri conformemente </w:t>
            </w:r>
            <w:r w:rsidRPr="00A121F2">
              <w:rPr>
                <w:b/>
                <w:i/>
              </w:rPr>
              <w:t>agli articoli</w:t>
            </w:r>
            <w:r w:rsidRPr="00A121F2">
              <w:t xml:space="preserve"> 47</w:t>
            </w:r>
            <w:r w:rsidRPr="00A121F2">
              <w:rPr>
                <w:b/>
                <w:i/>
              </w:rPr>
              <w:t xml:space="preserve"> e 48</w:t>
            </w:r>
            <w:r w:rsidRPr="00A121F2">
              <w:t>;</w:t>
            </w:r>
          </w:p>
        </w:tc>
        <w:tc>
          <w:tcPr>
            <w:tcW w:w="4876" w:type="dxa"/>
          </w:tcPr>
          <w:p w:rsidR="00AF580A" w:rsidRPr="00A121F2" w:rsidRDefault="00AF580A" w:rsidP="00AC4477">
            <w:pPr>
              <w:pStyle w:val="Normal6"/>
              <w:rPr>
                <w:szCs w:val="24"/>
              </w:rPr>
            </w:pPr>
            <w:r w:rsidRPr="00A121F2">
              <w:t>a)</w:t>
            </w:r>
            <w:r w:rsidRPr="00A121F2">
              <w:tab/>
              <w:t xml:space="preserve">un numero di riferimento che consenta agli Stati membri, in caso di corrispondenza, di estrarre ulteriori dati e altre informazioni dalle loro banche dati di cui all'articolo 21 al fine di trasmetterli a uno, ad alcuni o a tutti gli altri Stati membri conformemente </w:t>
            </w:r>
            <w:r w:rsidRPr="00A121F2">
              <w:rPr>
                <w:b/>
                <w:i/>
              </w:rPr>
              <w:t xml:space="preserve">all'articolo </w:t>
            </w:r>
            <w:r w:rsidRPr="00A121F2">
              <w:t>47</w:t>
            </w:r>
            <w:r w:rsidRPr="00A121F2">
              <w:rPr>
                <w:b/>
                <w:i/>
              </w:rPr>
              <w:t xml:space="preserve"> oppure a Europol conformemente all'articolo 50, paragrafo 6</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23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jc w:val="center"/>
              <w:rPr>
                <w:szCs w:val="24"/>
              </w:rPr>
            </w:pPr>
            <w:r w:rsidRPr="00A121F2">
              <w:rPr>
                <w:b/>
                <w:i/>
              </w:rPr>
              <w:t>Articolo 23 bis</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jc w:val="center"/>
              <w:rPr>
                <w:szCs w:val="24"/>
              </w:rPr>
            </w:pPr>
            <w:r w:rsidRPr="00A121F2">
              <w:rPr>
                <w:b/>
                <w:i/>
              </w:rPr>
              <w:t>Principi applicati allo scambio di immagini del volto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1. </w:t>
            </w:r>
            <w:r w:rsidRPr="00A121F2">
              <w:tab/>
            </w:r>
            <w:r w:rsidRPr="00A121F2">
              <w:rPr>
                <w:b/>
                <w:i/>
              </w:rPr>
              <w:t>Ogni Stato membro provvede affinché le immagini del volto che trasmette siano di qualità sufficiente per il confronto automatizzato. La Commissione adotta un atto di esecuzione per specificare tale norma minima di qualità per il confronto delle immagini del volto. Tali atti di esecuzione sono adottati secondo la procedura di cui all'articolo 76, paragrafo 2.</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2. </w:t>
            </w:r>
            <w:r w:rsidRPr="00A121F2">
              <w:tab/>
            </w:r>
            <w:r w:rsidRPr="00A121F2">
              <w:rPr>
                <w:b/>
                <w:i/>
              </w:rPr>
              <w:t>Gli Stati membri ed Europol adottano misure appropriate, compresa la cifratura, per garantire la riservatezza e l'integrità delle immagini del volto trasmesse agli altri Stati membri.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3. </w:t>
            </w:r>
            <w:r w:rsidRPr="00A121F2">
              <w:tab/>
            </w:r>
            <w:r w:rsidRPr="00A121F2">
              <w:rPr>
                <w:b/>
                <w:i/>
              </w:rPr>
              <w:t>La Commissione adotta un atto di esecuzione per specificare le norme internazionali applicabili che gli Stati membri devono utilizzare per lo scambio di immagini del volto. Tali atti di esecuzione sono adottati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25 – titolo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Estratti del casellario giudiziale</w:t>
            </w:r>
          </w:p>
        </w:tc>
        <w:tc>
          <w:tcPr>
            <w:tcW w:w="4876" w:type="dxa"/>
          </w:tcPr>
          <w:p w:rsidR="00AF580A" w:rsidRPr="00A121F2" w:rsidRDefault="00AF580A" w:rsidP="00AC4477">
            <w:pPr>
              <w:pStyle w:val="Normal6"/>
              <w:rPr>
                <w:szCs w:val="24"/>
              </w:rPr>
            </w:pPr>
            <w:r w:rsidRPr="00A121F2">
              <w:rPr>
                <w:b/>
                <w:i/>
              </w:rPr>
              <w:t xml:space="preserve">Indice degli </w:t>
            </w:r>
            <w:r w:rsidRPr="00A121F2">
              <w:t>estratti del casellario giudiziale</w:t>
            </w:r>
            <w:r w:rsidRPr="00A121F2">
              <w:rPr>
                <w:b/>
                <w:i/>
              </w:rPr>
              <w:t xml:space="preserve"> nazionale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25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Gli Stati membri possono decidere di partecipare allo scambio automatizzato di estratti del casellario giudiziale. Gli Stati membri che partecipano allo scambio automatizzato di estratti del casellario giudiziale garantiscono la disponibilità </w:t>
            </w:r>
            <w:r w:rsidRPr="00A121F2">
              <w:rPr>
                <w:b/>
                <w:i/>
              </w:rPr>
              <w:t>dei</w:t>
            </w:r>
            <w:r w:rsidRPr="00A121F2">
              <w:t xml:space="preserve"> dati anagrafici di </w:t>
            </w:r>
            <w:r w:rsidRPr="00A121F2">
              <w:rPr>
                <w:b/>
                <w:i/>
              </w:rPr>
              <w:t>indagati e criminali desunti dai rispettivi indici dei casellari giudiziali</w:t>
            </w:r>
            <w:r w:rsidRPr="00A121F2">
              <w:t xml:space="preserve"> nazionali </w:t>
            </w:r>
            <w:r w:rsidRPr="00A121F2">
              <w:rPr>
                <w:b/>
                <w:i/>
              </w:rPr>
              <w:t>istituiti ai</w:t>
            </w:r>
            <w:r w:rsidRPr="00A121F2">
              <w:t xml:space="preserve"> fini </w:t>
            </w:r>
            <w:r w:rsidRPr="00A121F2">
              <w:rPr>
                <w:b/>
                <w:i/>
              </w:rPr>
              <w:t>delle indagini penali</w:t>
            </w:r>
            <w:r w:rsidRPr="00A121F2">
              <w:t xml:space="preserve">. </w:t>
            </w:r>
            <w:r w:rsidRPr="00A121F2">
              <w:rPr>
                <w:b/>
                <w:i/>
              </w:rPr>
              <w:t>Tale</w:t>
            </w:r>
            <w:r w:rsidRPr="00A121F2">
              <w:t xml:space="preserve"> serie di dati, se </w:t>
            </w:r>
            <w:r w:rsidRPr="00A121F2">
              <w:rPr>
                <w:b/>
                <w:i/>
              </w:rPr>
              <w:t>disponibile, contiene i dati</w:t>
            </w:r>
            <w:r w:rsidRPr="00A121F2">
              <w:t xml:space="preserve"> seguenti:</w:t>
            </w:r>
          </w:p>
        </w:tc>
        <w:tc>
          <w:tcPr>
            <w:tcW w:w="4876" w:type="dxa"/>
          </w:tcPr>
          <w:p w:rsidR="00AF580A" w:rsidRPr="00A121F2" w:rsidRDefault="00AF580A" w:rsidP="00AC4477">
            <w:pPr>
              <w:pStyle w:val="Normal6"/>
              <w:rPr>
                <w:szCs w:val="24"/>
              </w:rPr>
            </w:pPr>
            <w:r w:rsidRPr="00A121F2">
              <w:t>1.</w:t>
            </w:r>
            <w:r w:rsidRPr="00A121F2">
              <w:tab/>
              <w:t xml:space="preserve">Gli Stati membri possono decidere di partecipare allo scambio automatizzato di estratti del casellario giudiziale. </w:t>
            </w:r>
            <w:r w:rsidRPr="00A121F2">
              <w:rPr>
                <w:b/>
                <w:i/>
              </w:rPr>
              <w:t xml:space="preserve">Ai fini di tali scambi, </w:t>
            </w:r>
            <w:r w:rsidRPr="00A121F2">
              <w:t xml:space="preserve">gli Stati membri che partecipano allo scambio automatizzato di estratti del casellario giudiziale garantiscono la disponibilità </w:t>
            </w:r>
            <w:r w:rsidRPr="00A121F2">
              <w:rPr>
                <w:b/>
                <w:i/>
              </w:rPr>
              <w:t>di indici degli estratti del casellario giudiziale nazionale contenenti serie di</w:t>
            </w:r>
            <w:r w:rsidRPr="00A121F2">
              <w:t xml:space="preserve"> dati anagrafici di </w:t>
            </w:r>
            <w:r w:rsidRPr="00A121F2">
              <w:rPr>
                <w:b/>
                <w:i/>
              </w:rPr>
              <w:t>persone sospettate di aver commesso un reato di cui all'articolo 3 del regolamento (UE) 2016/794 o all'articolo 2, paragrafo 2, della decisione quadro 2002/584/JHA del Consiglio o condannate per aver commesso un tale reato a partire dalle banche dati</w:t>
            </w:r>
            <w:r w:rsidRPr="00A121F2">
              <w:t xml:space="preserve"> nazionali </w:t>
            </w:r>
            <w:r w:rsidRPr="00A121F2">
              <w:rPr>
                <w:b/>
                <w:i/>
              </w:rPr>
              <w:t>istituite a</w:t>
            </w:r>
            <w:r w:rsidRPr="00A121F2">
              <w:t xml:space="preserve"> fini </w:t>
            </w:r>
            <w:r w:rsidRPr="00A121F2">
              <w:rPr>
                <w:b/>
                <w:i/>
              </w:rPr>
              <w:t>di prevenzione, accertamento e indagine di reati</w:t>
            </w:r>
            <w:r w:rsidRPr="00A121F2">
              <w:t xml:space="preserve">. </w:t>
            </w:r>
            <w:r w:rsidRPr="00A121F2">
              <w:rPr>
                <w:b/>
                <w:i/>
              </w:rPr>
              <w:t>Tali</w:t>
            </w:r>
            <w:r w:rsidRPr="00A121F2">
              <w:t xml:space="preserve"> serie di dati</w:t>
            </w:r>
            <w:r w:rsidRPr="00A121F2">
              <w:rPr>
                <w:b/>
                <w:i/>
              </w:rPr>
              <w:t xml:space="preserve"> contengono</w:t>
            </w:r>
            <w:r w:rsidRPr="00A121F2">
              <w:t xml:space="preserve">, se </w:t>
            </w:r>
            <w:r w:rsidRPr="00A121F2">
              <w:rPr>
                <w:b/>
                <w:i/>
              </w:rPr>
              <w:t>del caso e nella misura in cui sono disponibili, i</w:t>
            </w:r>
            <w:r w:rsidRPr="00A121F2">
              <w:t xml:space="preserve"> seguenti</w:t>
            </w:r>
            <w:r w:rsidRPr="00A121F2">
              <w:rPr>
                <w:b/>
                <w:i/>
              </w:rPr>
              <w:t xml:space="preserve"> dati</w:t>
            </w:r>
            <w:r w:rsidRPr="00A121F2">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25 – paragrafo 1 – lettera c</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w:t>
            </w:r>
            <w:r w:rsidRPr="00A121F2">
              <w:tab/>
              <w:t>alias;</w:t>
            </w:r>
          </w:p>
        </w:tc>
        <w:tc>
          <w:tcPr>
            <w:tcW w:w="4876" w:type="dxa"/>
          </w:tcPr>
          <w:p w:rsidR="00AF580A" w:rsidRPr="00A121F2" w:rsidRDefault="00AF580A" w:rsidP="00AC4477">
            <w:pPr>
              <w:pStyle w:val="Normal6"/>
              <w:rPr>
                <w:szCs w:val="24"/>
              </w:rPr>
            </w:pPr>
            <w:r w:rsidRPr="00A121F2">
              <w:t>c)</w:t>
            </w:r>
            <w:r w:rsidRPr="00A121F2">
              <w:tab/>
              <w:t>alias</w:t>
            </w:r>
            <w:r w:rsidRPr="00A121F2">
              <w:rPr>
                <w:b/>
                <w:i/>
              </w:rPr>
              <w:t xml:space="preserve"> e nomi usati in precedenza</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25 – paragrafo 1 – comma 1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Conformemente all'articolo 7, paragrafo 2, della direttiva (UE) 2016/680, gli Stati membri provvedono affinché i dati contenuti negli indici degli estratti del casellario giudiziale nazionale siano esatti, completi e aggiornati.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26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i/>
              </w:rPr>
              <w:t>Ai</w:t>
            </w:r>
            <w:r w:rsidRPr="00A121F2">
              <w:t xml:space="preserve"> fini </w:t>
            </w:r>
            <w:r w:rsidRPr="00A121F2">
              <w:rPr>
                <w:b/>
                <w:i/>
              </w:rPr>
              <w:t>delle indagini penali</w:t>
            </w:r>
            <w:r w:rsidRPr="00A121F2">
              <w:t>, gli Stati membri consentono ai punti di contatto nazionali degli altri Stati membri e ad Europol di accedere ai dati dei rispettivi indici dei casellari giudiziali nazionali per effettuare consultazioni automatizzate.</w:t>
            </w:r>
          </w:p>
        </w:tc>
        <w:tc>
          <w:tcPr>
            <w:tcW w:w="4876" w:type="dxa"/>
          </w:tcPr>
          <w:p w:rsidR="00AF580A" w:rsidRPr="00A121F2" w:rsidRDefault="00AF580A" w:rsidP="00AC4477">
            <w:pPr>
              <w:pStyle w:val="Normal6"/>
              <w:rPr>
                <w:szCs w:val="24"/>
              </w:rPr>
            </w:pPr>
            <w:r w:rsidRPr="00A121F2">
              <w:t>1.</w:t>
            </w:r>
            <w:r w:rsidRPr="00A121F2">
              <w:tab/>
            </w:r>
            <w:r w:rsidRPr="00A121F2">
              <w:rPr>
                <w:b/>
                <w:i/>
              </w:rPr>
              <w:t>A</w:t>
            </w:r>
            <w:r w:rsidRPr="00A121F2">
              <w:t xml:space="preserve"> fini </w:t>
            </w:r>
            <w:r w:rsidRPr="00A121F2">
              <w:rPr>
                <w:b/>
                <w:i/>
              </w:rPr>
              <w:t>di prevenzione, accertamento e indagine di reati</w:t>
            </w:r>
            <w:r w:rsidRPr="00A121F2">
              <w:t xml:space="preserve">, gli Stati membri </w:t>
            </w:r>
            <w:r w:rsidRPr="00A121F2">
              <w:rPr>
                <w:b/>
                <w:i/>
              </w:rPr>
              <w:t xml:space="preserve">che partecipano allo scambio automatizzato di estratti del casellario giudiziale </w:t>
            </w:r>
            <w:r w:rsidRPr="00A121F2">
              <w:t>consentono ai punti di contatto nazionali degli altri Stati membri</w:t>
            </w:r>
            <w:r w:rsidRPr="00A121F2">
              <w:rPr>
                <w:b/>
                <w:i/>
              </w:rPr>
              <w:t xml:space="preserve"> che partecipano a tali scambi</w:t>
            </w:r>
            <w:r w:rsidRPr="00A121F2">
              <w:t xml:space="preserve"> e ad Europol di accedere ai dati dei rispettivi indici dei casellari giudiziali nazionali per effettuare consultazioni automatizzate.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109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26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consultazioni </w:t>
            </w:r>
            <w:r w:rsidRPr="00A121F2">
              <w:rPr>
                <w:b/>
                <w:i/>
              </w:rPr>
              <w:t>possono essere</w:t>
            </w:r>
            <w:r w:rsidRPr="00A121F2">
              <w:t xml:space="preserve"> svolte solo caso per caso e nel rispetto del diritto nazionale dello Stato membro richiedente.</w:t>
            </w:r>
          </w:p>
        </w:tc>
        <w:tc>
          <w:tcPr>
            <w:tcW w:w="4876" w:type="dxa"/>
          </w:tcPr>
          <w:p w:rsidR="00AF580A" w:rsidRPr="00A121F2" w:rsidRDefault="00AF580A" w:rsidP="00AC4477">
            <w:pPr>
              <w:pStyle w:val="Normal6"/>
              <w:rPr>
                <w:szCs w:val="24"/>
              </w:rPr>
            </w:pPr>
            <w:r w:rsidRPr="00A121F2">
              <w:t xml:space="preserve">Le consultazioni </w:t>
            </w:r>
            <w:r w:rsidRPr="00A121F2">
              <w:rPr>
                <w:b/>
                <w:i/>
              </w:rPr>
              <w:t>sono</w:t>
            </w:r>
            <w:r w:rsidRPr="00A121F2">
              <w:t xml:space="preserve"> svolte solo caso per caso</w:t>
            </w:r>
            <w:r w:rsidRPr="00A121F2">
              <w:rPr>
                <w:b/>
                <w:i/>
              </w:rPr>
              <w:t>, se sono proporzionate e necessarie al fine di prevenire, accertare o indagare un reato</w:t>
            </w:r>
            <w:r w:rsidRPr="00A121F2">
              <w:t xml:space="preserve"> e nel rispetto del diritto nazionale dello Stato membro richiedente.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26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2.</w:t>
            </w:r>
            <w:r w:rsidRPr="00A121F2">
              <w:rPr>
                <w:b/>
                <w:i/>
              </w:rPr>
              <w:tab/>
              <w:t>Lo Stato membro richiedente riceve l'elenco delle corrispondenze con indicazione della relativa qualità.</w:t>
            </w:r>
          </w:p>
        </w:tc>
        <w:tc>
          <w:tcPr>
            <w:tcW w:w="4876" w:type="dxa"/>
          </w:tcPr>
          <w:p w:rsidR="00AF580A" w:rsidRPr="00A121F2" w:rsidRDefault="00AF580A" w:rsidP="00AC4477">
            <w:pPr>
              <w:pStyle w:val="Normal6"/>
              <w:rPr>
                <w:szCs w:val="24"/>
              </w:rPr>
            </w:pPr>
            <w:r w:rsidRPr="00A121F2">
              <w:rPr>
                <w:b/>
                <w:i/>
              </w:rPr>
              <w:t>soppresso</w:t>
            </w:r>
          </w:p>
        </w:tc>
      </w:tr>
      <w:tr w:rsidR="00AF580A" w:rsidRPr="00A121F2" w:rsidTr="00AC4477">
        <w:trPr>
          <w:jc w:val="center"/>
        </w:trPr>
        <w:tc>
          <w:tcPr>
            <w:tcW w:w="4876" w:type="dxa"/>
          </w:tcPr>
          <w:p w:rsidR="00AF580A" w:rsidRPr="00A121F2" w:rsidRDefault="00AF580A" w:rsidP="00AC4477">
            <w:pPr>
              <w:pStyle w:val="Normal6"/>
            </w:pPr>
            <w:r w:rsidRPr="00A121F2">
              <w:rPr>
                <w:b/>
                <w:i/>
              </w:rPr>
              <w:t>Lo Stato membro richiedente viene altresì informato in merito allo Stato membro la cui banca dati contiene i dati che hanno determinato la corrispondenza in questione.</w:t>
            </w:r>
          </w:p>
        </w:tc>
        <w:tc>
          <w:tcPr>
            <w:tcW w:w="4876" w:type="dxa"/>
          </w:tcPr>
          <w:p w:rsidR="00AF580A" w:rsidRPr="00A121F2" w:rsidRDefault="00AF580A" w:rsidP="00AC4477">
            <w:pPr>
              <w:pStyle w:val="Normal6"/>
              <w:rPr>
                <w:szCs w:val="24"/>
              </w:rPr>
            </w:pP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27 – comma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 xml:space="preserve">un numero di riferimento che consenta agli Stati membri, in caso di corrispondenza, di estrarre dati personali e altre informazioni dai loro indici di cui all'articolo 25 al fine di trasmetterli a uno, ad alcuni o a tutti gli Stati membri conformemente </w:t>
            </w:r>
            <w:r w:rsidRPr="00A121F2">
              <w:rPr>
                <w:b/>
                <w:i/>
              </w:rPr>
              <w:t>agli articoli 47 e 48</w:t>
            </w:r>
            <w:r w:rsidRPr="00A121F2">
              <w:t>;</w:t>
            </w:r>
          </w:p>
        </w:tc>
        <w:tc>
          <w:tcPr>
            <w:tcW w:w="4876" w:type="dxa"/>
          </w:tcPr>
          <w:p w:rsidR="00AF580A" w:rsidRPr="00A121F2" w:rsidRDefault="00AF580A" w:rsidP="00AC4477">
            <w:pPr>
              <w:pStyle w:val="Normal6"/>
              <w:rPr>
                <w:szCs w:val="24"/>
              </w:rPr>
            </w:pPr>
            <w:r w:rsidRPr="00A121F2">
              <w:t>a)</w:t>
            </w:r>
            <w:r w:rsidRPr="00A121F2">
              <w:tab/>
              <w:t xml:space="preserve">un numero di riferimento che consenta agli Stati membri, in caso di corrispondenza, di estrarre dati personali e altre informazioni dai loro indici </w:t>
            </w:r>
            <w:r w:rsidRPr="00A121F2">
              <w:rPr>
                <w:b/>
                <w:i/>
              </w:rPr>
              <w:t xml:space="preserve">del casellario giudiziale nazionale </w:t>
            </w:r>
            <w:r w:rsidRPr="00A121F2">
              <w:t xml:space="preserve">di cui all'articolo 25 al fine di trasmetterli a uno, ad alcuni o a tutti gli Stati membri conformemente </w:t>
            </w:r>
            <w:r w:rsidRPr="00A121F2">
              <w:rPr>
                <w:b/>
                <w:i/>
              </w:rPr>
              <w:t>all'articolo 44</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28 – paragrafo 1 – lettera c</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w:t>
            </w:r>
            <w:r w:rsidRPr="00A121F2">
              <w:tab/>
            </w:r>
            <w:r w:rsidRPr="00A121F2">
              <w:rPr>
                <w:b/>
                <w:i/>
              </w:rPr>
              <w:t>gli estratti del casellario giudiziale e i relativi numeri di riferimento di cui all'articolo 27</w:t>
            </w:r>
            <w:r w:rsidRPr="00A121F2">
              <w:t>.</w:t>
            </w:r>
          </w:p>
        </w:tc>
        <w:tc>
          <w:tcPr>
            <w:tcW w:w="4876" w:type="dxa"/>
          </w:tcPr>
          <w:p w:rsidR="00AF580A" w:rsidRPr="00A121F2" w:rsidRDefault="00AF580A" w:rsidP="00AC4477">
            <w:pPr>
              <w:pStyle w:val="Normal6"/>
              <w:rPr>
                <w:szCs w:val="24"/>
              </w:rPr>
            </w:pPr>
            <w:r w:rsidRPr="00A121F2">
              <w:t>c)</w:t>
            </w:r>
            <w:r w:rsidRPr="00A121F2">
              <w:tab/>
            </w:r>
            <w:r w:rsidRPr="00A121F2">
              <w:rPr>
                <w:b/>
                <w:i/>
              </w:rPr>
              <w:t>i dati di cui all'articolo 25, paragrafo 1, se disponibili e pseudomizzati conformemente all'articolo 25, paragrafo 2</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28 – comma 2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 xml:space="preserve">l'indicazione </w:t>
            </w:r>
            <w:r w:rsidRPr="00A121F2">
              <w:rPr>
                <w:b/>
                <w:i/>
              </w:rPr>
              <w:t>della presenza di una o più corrispondenze, o della mancanza</w:t>
            </w:r>
            <w:r w:rsidRPr="00A121F2">
              <w:t xml:space="preserve"> di corrispondenze;</w:t>
            </w:r>
          </w:p>
        </w:tc>
        <w:tc>
          <w:tcPr>
            <w:tcW w:w="4876" w:type="dxa"/>
          </w:tcPr>
          <w:p w:rsidR="00AF580A" w:rsidRPr="00A121F2" w:rsidRDefault="00AF580A" w:rsidP="00AC4477">
            <w:pPr>
              <w:pStyle w:val="Normal6"/>
              <w:rPr>
                <w:szCs w:val="24"/>
              </w:rPr>
            </w:pPr>
            <w:r w:rsidRPr="00A121F2">
              <w:t>a)</w:t>
            </w:r>
            <w:r w:rsidRPr="00A121F2">
              <w:tab/>
              <w:t xml:space="preserve">l'indicazione </w:t>
            </w:r>
            <w:r w:rsidRPr="00A121F2">
              <w:rPr>
                <w:b/>
                <w:i/>
              </w:rPr>
              <w:t>del numero</w:t>
            </w:r>
            <w:r w:rsidRPr="00A121F2">
              <w:t xml:space="preserve"> di corrispondenze;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29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Ciascuno Stato membro designa un punto di contatto nazionale.</w:t>
            </w:r>
          </w:p>
        </w:tc>
        <w:tc>
          <w:tcPr>
            <w:tcW w:w="4876" w:type="dxa"/>
          </w:tcPr>
          <w:p w:rsidR="00AF580A" w:rsidRPr="00A121F2" w:rsidRDefault="00AF580A" w:rsidP="00AC4477">
            <w:pPr>
              <w:pStyle w:val="Normal6"/>
              <w:rPr>
                <w:szCs w:val="24"/>
              </w:rPr>
            </w:pPr>
            <w:r w:rsidRPr="00A121F2">
              <w:t xml:space="preserve">Ciascuno Stato membro designa </w:t>
            </w:r>
            <w:r w:rsidRPr="00A121F2">
              <w:rPr>
                <w:b/>
                <w:i/>
              </w:rPr>
              <w:t xml:space="preserve">almeno </w:t>
            </w:r>
            <w:r w:rsidRPr="00A121F2">
              <w:t>un punto di contatto nazionale.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29 – paragrafo 2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bis.</w:t>
            </w:r>
            <w:r w:rsidRPr="00A121F2">
              <w:rPr>
                <w:b/>
                <w:i/>
              </w:rPr>
              <w:tab/>
              <w:t>Gli Stati membri forniscono ai loro punti di contatto nazionali risorse sufficienti, compreso personale qualificato, e garantiscono che essi dispongano di capacità sufficienti per svolgere i loro compiti in modo adeguato, efficace e rapido in conformità del presente regolamento.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30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La Commissione adotta </w:t>
            </w:r>
            <w:r w:rsidRPr="00A121F2">
              <w:rPr>
                <w:b/>
                <w:i/>
              </w:rPr>
              <w:t>atti</w:t>
            </w:r>
            <w:r w:rsidRPr="00A121F2">
              <w:t xml:space="preserve"> di esecuzione per specificare le modalità tecniche </w:t>
            </w:r>
            <w:r w:rsidRPr="00A121F2">
              <w:rPr>
                <w:b/>
                <w:i/>
              </w:rPr>
              <w:t>delle</w:t>
            </w:r>
            <w:r w:rsidRPr="00A121F2">
              <w:t xml:space="preserve"> procedure di cui agli articoli 6, 7, 13, 18, 22 e 26. </w:t>
            </w:r>
            <w:r w:rsidRPr="00A121F2">
              <w:rPr>
                <w:b/>
                <w:i/>
              </w:rPr>
              <w:t>Tali atti</w:t>
            </w:r>
            <w:r w:rsidRPr="00A121F2">
              <w:t xml:space="preserve"> di esecuzione </w:t>
            </w:r>
            <w:r w:rsidRPr="00A121F2">
              <w:rPr>
                <w:b/>
                <w:i/>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 xml:space="preserve">La Commissione adotta </w:t>
            </w:r>
            <w:r w:rsidRPr="00A121F2">
              <w:rPr>
                <w:b/>
                <w:i/>
              </w:rPr>
              <w:t>un atto</w:t>
            </w:r>
            <w:r w:rsidRPr="00A121F2">
              <w:t xml:space="preserve"> di esecuzione per specificare le modalità tecniche </w:t>
            </w:r>
            <w:r w:rsidRPr="00A121F2">
              <w:rPr>
                <w:b/>
                <w:i/>
              </w:rPr>
              <w:t>che gli Stati membri dovranno predisporre per quanto riguarda le</w:t>
            </w:r>
            <w:r w:rsidRPr="00A121F2">
              <w:t xml:space="preserve"> procedure di cui agli articoli 6, 7, 13, 18, 22 e 26. </w:t>
            </w:r>
            <w:r w:rsidRPr="00A121F2">
              <w:rPr>
                <w:b/>
                <w:i/>
              </w:rPr>
              <w:t>Tale atto</w:t>
            </w:r>
            <w:r w:rsidRPr="00A121F2">
              <w:t xml:space="preserve"> di esecuzione </w:t>
            </w:r>
            <w:r w:rsidRPr="00A121F2">
              <w:rPr>
                <w:b/>
                <w:i/>
              </w:rPr>
              <w:t>è adottato</w:t>
            </w:r>
            <w:r w:rsidRPr="00A121F2">
              <w:t xml:space="preserve"> secondo la procedura di cui all'articolo 76, paragrafo 2.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Articolo 31</w:t>
            </w:r>
          </w:p>
        </w:tc>
        <w:tc>
          <w:tcPr>
            <w:tcW w:w="4876" w:type="dxa"/>
          </w:tcPr>
          <w:p w:rsidR="00AF580A" w:rsidRPr="00A121F2" w:rsidRDefault="00AF580A" w:rsidP="00AC4477">
            <w:pPr>
              <w:pStyle w:val="Normal6"/>
              <w:rPr>
                <w:szCs w:val="24"/>
              </w:rPr>
            </w:pPr>
            <w:r w:rsidRPr="00A121F2">
              <w:rPr>
                <w:b/>
                <w:i/>
              </w:rPr>
              <w:t>soppresso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Specifiche tecniche</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Gli Stati membri ed Europol osservano specifiche tecniche comuni per quanto riguarda tutte le domande e le risposte relative alle consultazioni e ai confronti dei profili DNA, dei dati dattiloscopici, dei dati di immatricolazione dei veicoli, delle immagini del volto e degli estratti del casellario giudiziale. La Commissione adotta atti di esecuzione per specificare tali specifiche tecniche secondo la procedura di cui all'articolo 76, paragrafo 2.</w:t>
            </w:r>
          </w:p>
        </w:tc>
        <w:tc>
          <w:tcPr>
            <w:tcW w:w="4876" w:type="dxa"/>
          </w:tcPr>
          <w:p w:rsidR="00AF580A" w:rsidRPr="00A121F2" w:rsidRDefault="00AF580A" w:rsidP="00AC4477">
            <w:pPr>
              <w:pStyle w:val="Normal6"/>
              <w:rPr>
                <w:szCs w:val="24"/>
              </w:rPr>
            </w:pP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32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I punti di contatto nazionali provvedono immediatamente a informarsi reciprocamente e a informare la Commissione, Europol ed eu-LISA </w:t>
            </w:r>
            <w:r w:rsidRPr="00A121F2">
              <w:rPr>
                <w:b/>
                <w:bCs/>
                <w:i/>
                <w:iCs/>
              </w:rPr>
              <w:t>in merito a un guasto tecnico che causi l'indisponibilità dello</w:t>
            </w:r>
            <w:r w:rsidRPr="00A121F2">
              <w:t xml:space="preserve"> scambio automatizzato di dati.</w:t>
            </w:r>
          </w:p>
        </w:tc>
        <w:tc>
          <w:tcPr>
            <w:tcW w:w="4876" w:type="dxa"/>
          </w:tcPr>
          <w:p w:rsidR="00AF580A" w:rsidRPr="00A121F2" w:rsidRDefault="00AF580A" w:rsidP="00AC4477">
            <w:pPr>
              <w:pStyle w:val="Normal6"/>
              <w:rPr>
                <w:szCs w:val="24"/>
              </w:rPr>
            </w:pPr>
            <w:r w:rsidRPr="00A121F2">
              <w:t>2.</w:t>
            </w:r>
            <w:r w:rsidRPr="00A121F2">
              <w:tab/>
              <w:t xml:space="preserve">I punti di contatto nazionali provvedono immediatamente a informarsi reciprocamente e a informare la Commissione, Europol ed eu-LISA </w:t>
            </w:r>
            <w:r w:rsidRPr="00A121F2">
              <w:rPr>
                <w:b/>
                <w:bCs/>
                <w:i/>
                <w:iCs/>
              </w:rPr>
              <w:t>qualora lo</w:t>
            </w:r>
            <w:r w:rsidRPr="00A121F2">
              <w:t xml:space="preserve"> scambio automatizzato di dati </w:t>
            </w:r>
            <w:r w:rsidRPr="00A121F2">
              <w:rPr>
                <w:b/>
                <w:bCs/>
                <w:i/>
                <w:iCs/>
              </w:rPr>
              <w:t>sia indisponibile</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119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32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 punti di contatto nazionali concordano a titolo temporaneo sistemi alternativi di scambio di informazioni conformemente al diritto dell'Unione e </w:t>
            </w:r>
            <w:r w:rsidRPr="00A121F2">
              <w:rPr>
                <w:b/>
                <w:bCs/>
                <w:i/>
                <w:iCs/>
              </w:rPr>
              <w:t>alla normativa</w:t>
            </w:r>
            <w:r w:rsidRPr="00A121F2">
              <w:t xml:space="preserve"> nazionale </w:t>
            </w:r>
            <w:r w:rsidRPr="00A121F2">
              <w:rPr>
                <w:b/>
                <w:bCs/>
                <w:i/>
                <w:iCs/>
              </w:rPr>
              <w:t>applicabili</w:t>
            </w:r>
            <w:r w:rsidRPr="00A121F2">
              <w:t>.</w:t>
            </w:r>
          </w:p>
        </w:tc>
        <w:tc>
          <w:tcPr>
            <w:tcW w:w="4876" w:type="dxa"/>
          </w:tcPr>
          <w:p w:rsidR="00AF580A" w:rsidRPr="00A121F2" w:rsidRDefault="00AF580A" w:rsidP="00AC4477">
            <w:pPr>
              <w:pStyle w:val="Normal6"/>
              <w:rPr>
                <w:szCs w:val="24"/>
              </w:rPr>
            </w:pPr>
            <w:r w:rsidRPr="00A121F2">
              <w:rPr>
                <w:b/>
                <w:bCs/>
                <w:i/>
                <w:iCs/>
              </w:rPr>
              <w:t>Qualora lo scambio automatizzato di dati sia indisponibile,</w:t>
            </w:r>
            <w:r w:rsidRPr="00A121F2">
              <w:t xml:space="preserve"> i punti di contatto nazionali concordano a titolo temporaneo sistemi alternativi di scambio di informazioni conformemente al diritto dell'Unione e nazionale </w:t>
            </w:r>
            <w:r w:rsidRPr="00A121F2">
              <w:rPr>
                <w:b/>
                <w:bCs/>
                <w:i/>
                <w:iCs/>
              </w:rPr>
              <w:t>applicabile</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32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I punti di contatto nazionali </w:t>
            </w:r>
            <w:r w:rsidRPr="00A121F2">
              <w:rPr>
                <w:b/>
                <w:bCs/>
                <w:i/>
                <w:iCs/>
              </w:rPr>
              <w:t>ristabiliscono</w:t>
            </w:r>
            <w:r w:rsidRPr="00A121F2">
              <w:t xml:space="preserve"> senza indugio</w:t>
            </w:r>
            <w:r w:rsidRPr="00A121F2">
              <w:rPr>
                <w:b/>
                <w:bCs/>
                <w:i/>
                <w:iCs/>
              </w:rPr>
              <w:t xml:space="preserve"> lo scambio automatizzato di dati</w:t>
            </w:r>
            <w:r w:rsidRPr="00A121F2">
              <w:t>.</w:t>
            </w:r>
          </w:p>
        </w:tc>
        <w:tc>
          <w:tcPr>
            <w:tcW w:w="4876" w:type="dxa"/>
          </w:tcPr>
          <w:p w:rsidR="00AF580A" w:rsidRPr="00A121F2" w:rsidRDefault="00AF580A" w:rsidP="00AC4477">
            <w:pPr>
              <w:pStyle w:val="Normal6"/>
              <w:rPr>
                <w:szCs w:val="24"/>
              </w:rPr>
            </w:pPr>
            <w:r w:rsidRPr="00A121F2">
              <w:t>3.</w:t>
            </w:r>
            <w:r w:rsidRPr="00A121F2">
              <w:tab/>
            </w:r>
            <w:r w:rsidRPr="00A121F2">
              <w:rPr>
                <w:b/>
                <w:bCs/>
                <w:i/>
                <w:iCs/>
              </w:rPr>
              <w:t>Qualora lo scambio automatizzato di dati sia indisponibile,</w:t>
            </w:r>
            <w:r w:rsidRPr="00A121F2">
              <w:t xml:space="preserve"> i punti di contatto nazionali </w:t>
            </w:r>
            <w:r w:rsidRPr="00A121F2">
              <w:rPr>
                <w:b/>
                <w:bCs/>
                <w:i/>
                <w:iCs/>
              </w:rPr>
              <w:t>provvedono affinché esso sia ristabilito</w:t>
            </w:r>
            <w:r w:rsidRPr="00A121F2">
              <w:t xml:space="preserve"> senza indugio.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33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Ciascuno Stato membro conserva una giustificazione delle interrogazioni formulate dalle sue autorità competenti.</w:t>
            </w:r>
          </w:p>
        </w:tc>
        <w:tc>
          <w:tcPr>
            <w:tcW w:w="4876" w:type="dxa"/>
          </w:tcPr>
          <w:p w:rsidR="00AF580A" w:rsidRPr="00A121F2" w:rsidRDefault="00AF580A" w:rsidP="00AC4477">
            <w:pPr>
              <w:pStyle w:val="Normal6"/>
              <w:rPr>
                <w:szCs w:val="24"/>
              </w:rPr>
            </w:pPr>
            <w:r w:rsidRPr="00A121F2">
              <w:t>1.</w:t>
            </w:r>
            <w:r w:rsidRPr="00A121F2">
              <w:tab/>
              <w:t xml:space="preserve">Ciascuno Stato membro conserva una giustificazione delle interrogazioni formulate dalle sue autorità </w:t>
            </w:r>
            <w:r w:rsidRPr="00A121F2">
              <w:rPr>
                <w:b/>
                <w:bCs/>
                <w:i/>
                <w:iCs/>
              </w:rPr>
              <w:t>di contrasto</w:t>
            </w:r>
            <w:r w:rsidRPr="00A121F2">
              <w:t xml:space="preserve"> competenti.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33 – paragrafo 2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l'indicazione dell'eventualità che l'interrogazione riguardi un indagato o l'autore di un reato;</w:t>
            </w:r>
          </w:p>
        </w:tc>
        <w:tc>
          <w:tcPr>
            <w:tcW w:w="4876" w:type="dxa"/>
          </w:tcPr>
          <w:p w:rsidR="00AF580A" w:rsidRPr="00A121F2" w:rsidRDefault="00AF580A" w:rsidP="00AC4477">
            <w:pPr>
              <w:pStyle w:val="Normal6"/>
              <w:rPr>
                <w:szCs w:val="24"/>
              </w:rPr>
            </w:pPr>
            <w:r w:rsidRPr="00A121F2">
              <w:t>b)</w:t>
            </w:r>
            <w:r w:rsidRPr="00A121F2">
              <w:tab/>
              <w:t>l'indicazione dell'eventualità che l'interrogazione riguardi un indagato o l'autore di un reato</w:t>
            </w:r>
            <w:r w:rsidRPr="00A121F2">
              <w:rPr>
                <w:b/>
                <w:bCs/>
                <w:i/>
                <w:iCs/>
              </w:rPr>
              <w:t>,</w:t>
            </w:r>
            <w:r w:rsidRPr="00A121F2">
              <w:t xml:space="preserve"> </w:t>
            </w:r>
            <w:r w:rsidRPr="00A121F2">
              <w:rPr>
                <w:b/>
                <w:bCs/>
                <w:i/>
                <w:iCs/>
              </w:rPr>
              <w:t>la vittima di un reato di terrorismo quale definito all'articolo 4, punto 21, del regolamento (UE) 2019/817, la vittima di un reato grave quale definito all'articolo 4, punto 22, del medesimo regolamento, una persona scomparsa o resti umani non identificati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33 – paragrafo 2 – lettera c</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w:t>
            </w:r>
            <w:r w:rsidRPr="00A121F2">
              <w:tab/>
              <w:t xml:space="preserve">l'indicazione dell'eventualità che l'interrogazione intenda identificare </w:t>
            </w:r>
            <w:r w:rsidRPr="00A121F2">
              <w:rPr>
                <w:b/>
                <w:bCs/>
                <w:i/>
                <w:iCs/>
              </w:rPr>
              <w:t>uno sconosciuto</w:t>
            </w:r>
            <w:r w:rsidRPr="00A121F2">
              <w:t xml:space="preserve"> od ottenere maggiori dati su una persona nota.</w:t>
            </w:r>
          </w:p>
        </w:tc>
        <w:tc>
          <w:tcPr>
            <w:tcW w:w="4876" w:type="dxa"/>
          </w:tcPr>
          <w:p w:rsidR="00AF580A" w:rsidRPr="00A121F2" w:rsidRDefault="00AF580A" w:rsidP="00AC4477">
            <w:pPr>
              <w:pStyle w:val="Normal6"/>
              <w:rPr>
                <w:szCs w:val="24"/>
              </w:rPr>
            </w:pPr>
            <w:r w:rsidRPr="00A121F2">
              <w:t>c)</w:t>
            </w:r>
            <w:r w:rsidRPr="00A121F2">
              <w:tab/>
              <w:t>l'indicazione dell'eventualità che l'interrogazione intenda identificare</w:t>
            </w:r>
            <w:r w:rsidRPr="00A121F2">
              <w:rPr>
                <w:b/>
                <w:bCs/>
                <w:i/>
                <w:iCs/>
              </w:rPr>
              <w:t xml:space="preserve"> una persona</w:t>
            </w:r>
            <w:r w:rsidRPr="00A121F2">
              <w:t xml:space="preserve"> od ottenere maggiori dati su una persona nota.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33 – paragrafo 3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giustificazioni sono protette dall'accesso non autorizzato con misure adeguate e sono cancellate </w:t>
            </w:r>
            <w:r w:rsidRPr="00A121F2">
              <w:rPr>
                <w:b/>
                <w:bCs/>
                <w:i/>
                <w:iCs/>
              </w:rPr>
              <w:t>un anno</w:t>
            </w:r>
            <w:r w:rsidRPr="00A121F2">
              <w:t xml:space="preserve"> dopo la loro creazione. Qualora, tuttavia, siano necessarie per procedure di monitoraggio già avviate, sono cancellate quando le procedure di monitoraggio non necessitano più di giustificazione.</w:t>
            </w:r>
          </w:p>
        </w:tc>
        <w:tc>
          <w:tcPr>
            <w:tcW w:w="4876" w:type="dxa"/>
          </w:tcPr>
          <w:p w:rsidR="00AF580A" w:rsidRPr="00A121F2" w:rsidRDefault="00AF580A" w:rsidP="00AC4477">
            <w:pPr>
              <w:pStyle w:val="Normal6"/>
              <w:rPr>
                <w:szCs w:val="24"/>
              </w:rPr>
            </w:pPr>
            <w:r w:rsidRPr="00A121F2">
              <w:t xml:space="preserve">Le giustificazioni sono protette dall'accesso non autorizzato con misure adeguate e sono cancellate </w:t>
            </w:r>
            <w:r w:rsidRPr="00A121F2">
              <w:rPr>
                <w:b/>
                <w:bCs/>
                <w:i/>
                <w:iCs/>
              </w:rPr>
              <w:t>due anni</w:t>
            </w:r>
            <w:r w:rsidRPr="00A121F2">
              <w:t xml:space="preserve"> dopo la loro creazione. Qualora, tuttavia, siano necessarie per procedure di monitoraggio già avviate, sono cancellate quando le procedure di monitoraggio non necessitano più di giustificazione.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34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Per lo sviluppo del router di cui all'articolo 35 e di EPRIS è utilizzato lo standard del formato universale dei messaggi (UMF).</w:t>
            </w:r>
          </w:p>
        </w:tc>
        <w:tc>
          <w:tcPr>
            <w:tcW w:w="4876" w:type="dxa"/>
          </w:tcPr>
          <w:p w:rsidR="00AF580A" w:rsidRPr="00A121F2" w:rsidRDefault="00AF580A" w:rsidP="00AC4477">
            <w:pPr>
              <w:pStyle w:val="Normal6"/>
              <w:rPr>
                <w:szCs w:val="24"/>
              </w:rPr>
            </w:pPr>
            <w:r w:rsidRPr="00A121F2">
              <w:t>1.</w:t>
            </w:r>
            <w:r w:rsidRPr="00A121F2">
              <w:tab/>
              <w:t>Per lo sviluppo del router di cui all'articolo 35 e di EPRIS è utilizzato</w:t>
            </w:r>
            <w:r w:rsidRPr="00A121F2">
              <w:rPr>
                <w:b/>
                <w:bCs/>
                <w:i/>
                <w:iCs/>
              </w:rPr>
              <w:t>, nella misura in cui ciò sia applicabile,</w:t>
            </w:r>
            <w:r w:rsidRPr="00A121F2">
              <w:t xml:space="preserve"> lo standard del formato universale dei messaggi (UMF) </w:t>
            </w:r>
            <w:r w:rsidRPr="00A121F2">
              <w:rPr>
                <w:b/>
                <w:bCs/>
                <w:i/>
                <w:iCs/>
              </w:rPr>
              <w:t>di cui all'articolo 38 del regolamento (UE) 2019/817</w:t>
            </w:r>
            <w:r w:rsidRPr="00A121F2">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35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Viene istituito un router al fine di facilitare l'instaurazione di connessioni tra gli Stati membri e con Europol per l'interrogazione e l'estrazione dei dati biometrici e l'assegnazione di un punteggio alle relative corrispondenze in conformità del presente regolamento.</w:t>
            </w:r>
          </w:p>
        </w:tc>
        <w:tc>
          <w:tcPr>
            <w:tcW w:w="4876" w:type="dxa"/>
          </w:tcPr>
          <w:p w:rsidR="00AF580A" w:rsidRPr="00A121F2" w:rsidRDefault="00AF580A" w:rsidP="00AC4477">
            <w:pPr>
              <w:pStyle w:val="Normal6"/>
              <w:rPr>
                <w:szCs w:val="24"/>
              </w:rPr>
            </w:pPr>
            <w:r w:rsidRPr="00A121F2">
              <w:t>1.</w:t>
            </w:r>
            <w:r w:rsidRPr="00A121F2">
              <w:tab/>
              <w:t>Viene istituito un router al fine di facilitare l'instaurazione di connessioni tra gli Stati membri e con Europol per l'interrogazione e l'estrazione dei dati biometrici e l'assegnazione di un punteggio alle relative corrispondenze</w:t>
            </w:r>
            <w:r w:rsidRPr="00A121F2">
              <w:rPr>
                <w:b/>
                <w:bCs/>
                <w:i/>
                <w:iCs/>
              </w:rPr>
              <w:t>, nonché per l'estrazione dei dati alfanumerici</w:t>
            </w:r>
            <w:r w:rsidRPr="00A121F2">
              <w:t xml:space="preserve"> in conformità del presente regolamento.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35 – paragrafo 2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 xml:space="preserve">un canale di comunicazione sicuro tra l'infrastruttura centrale </w:t>
            </w:r>
            <w:r w:rsidRPr="00A121F2">
              <w:rPr>
                <w:b/>
                <w:bCs/>
                <w:i/>
                <w:iCs/>
              </w:rPr>
              <w:t xml:space="preserve">e gli </w:t>
            </w:r>
            <w:r w:rsidRPr="00A121F2">
              <w:t>Stati membri</w:t>
            </w:r>
            <w:r w:rsidRPr="00A121F2">
              <w:rPr>
                <w:b/>
                <w:bCs/>
                <w:i/>
                <w:iCs/>
              </w:rPr>
              <w:t xml:space="preserve"> e le agenzie</w:t>
            </w:r>
            <w:r w:rsidRPr="00A121F2">
              <w:t xml:space="preserve"> </w:t>
            </w:r>
            <w:r w:rsidRPr="00A121F2">
              <w:rPr>
                <w:b/>
                <w:bCs/>
                <w:i/>
                <w:iCs/>
              </w:rPr>
              <w:t>dell'Unione</w:t>
            </w:r>
            <w:r w:rsidRPr="00A121F2">
              <w:t xml:space="preserve"> autorizzate a usare il router;</w:t>
            </w:r>
          </w:p>
        </w:tc>
        <w:tc>
          <w:tcPr>
            <w:tcW w:w="4876" w:type="dxa"/>
          </w:tcPr>
          <w:p w:rsidR="00AF580A" w:rsidRPr="00A121F2" w:rsidRDefault="00AF580A" w:rsidP="00AC4477">
            <w:pPr>
              <w:pStyle w:val="Normal6"/>
              <w:rPr>
                <w:szCs w:val="24"/>
              </w:rPr>
            </w:pPr>
            <w:r w:rsidRPr="00A121F2">
              <w:t>b)</w:t>
            </w:r>
            <w:r w:rsidRPr="00A121F2">
              <w:tab/>
              <w:t>un canale di comunicazione sicuro tra l'infrastruttura centrale</w:t>
            </w:r>
            <w:r w:rsidRPr="00A121F2">
              <w:rPr>
                <w:b/>
                <w:bCs/>
                <w:i/>
                <w:iCs/>
              </w:rPr>
              <w:t>,</w:t>
            </w:r>
            <w:r w:rsidRPr="00A121F2">
              <w:t xml:space="preserve"> </w:t>
            </w:r>
            <w:r w:rsidRPr="00A121F2">
              <w:rPr>
                <w:b/>
                <w:bCs/>
                <w:i/>
                <w:iCs/>
              </w:rPr>
              <w:t>le autorità di contrasto competenti degli</w:t>
            </w:r>
            <w:r w:rsidRPr="00A121F2">
              <w:t xml:space="preserve"> Stati membri autorizzate a usare il router </w:t>
            </w:r>
            <w:r w:rsidRPr="00A121F2">
              <w:rPr>
                <w:b/>
                <w:bCs/>
                <w:i/>
                <w:iCs/>
              </w:rPr>
              <w:t>conformemente all'articolo 36 ed Europol</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36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L'uso del router è riservato alle autorità degli Stati membri che </w:t>
            </w:r>
            <w:r w:rsidRPr="00A121F2">
              <w:rPr>
                <w:b/>
                <w:bCs/>
                <w:i/>
                <w:iCs/>
              </w:rPr>
              <w:t>hanno</w:t>
            </w:r>
            <w:r w:rsidRPr="00A121F2">
              <w:t xml:space="preserve"> accesso</w:t>
            </w:r>
            <w:r w:rsidRPr="00A121F2">
              <w:rPr>
                <w:b/>
                <w:bCs/>
                <w:i/>
                <w:iCs/>
              </w:rPr>
              <w:t xml:space="preserve"> allo scambio di</w:t>
            </w:r>
            <w:r w:rsidRPr="00A121F2">
              <w:t xml:space="preserve"> profili DNA, dati dattiloscopici e immagini del volto, nonché a Europol</w:t>
            </w:r>
            <w:r w:rsidRPr="00A121F2">
              <w:rPr>
                <w:b/>
                <w:bCs/>
                <w:i/>
                <w:iCs/>
              </w:rPr>
              <w:t>,</w:t>
            </w:r>
            <w:r w:rsidRPr="00A121F2">
              <w:t xml:space="preserve"> a norma </w:t>
            </w:r>
            <w:r w:rsidRPr="00A121F2">
              <w:rPr>
                <w:b/>
                <w:bCs/>
                <w:i/>
                <w:iCs/>
              </w:rPr>
              <w:t>del presente regolamento e</w:t>
            </w:r>
            <w:r w:rsidRPr="00A121F2">
              <w:t xml:space="preserve"> del regolamento (UE) 2016/794.</w:t>
            </w:r>
          </w:p>
        </w:tc>
        <w:tc>
          <w:tcPr>
            <w:tcW w:w="4876" w:type="dxa"/>
          </w:tcPr>
          <w:p w:rsidR="00AF580A" w:rsidRPr="00A121F2" w:rsidRDefault="00AF580A" w:rsidP="00AC4477">
            <w:pPr>
              <w:pStyle w:val="Normal6"/>
              <w:rPr>
                <w:szCs w:val="24"/>
              </w:rPr>
            </w:pPr>
            <w:r w:rsidRPr="00A121F2">
              <w:t xml:space="preserve">L'uso del router è riservato alle autorità </w:t>
            </w:r>
            <w:r w:rsidRPr="00A121F2">
              <w:rPr>
                <w:b/>
                <w:bCs/>
                <w:i/>
                <w:iCs/>
              </w:rPr>
              <w:t>di contrasto competenti</w:t>
            </w:r>
            <w:r w:rsidRPr="00A121F2">
              <w:t xml:space="preserve"> degli Stati membri che </w:t>
            </w:r>
            <w:r w:rsidRPr="00A121F2">
              <w:rPr>
                <w:b/>
                <w:bCs/>
                <w:i/>
                <w:iCs/>
              </w:rPr>
              <w:t>sono autorizzate ad avere</w:t>
            </w:r>
            <w:r w:rsidRPr="00A121F2">
              <w:t xml:space="preserve"> accesso ai profili DNA, dati dattiloscopici e immagini del volto </w:t>
            </w:r>
            <w:r w:rsidRPr="00A121F2">
              <w:rPr>
                <w:b/>
                <w:bCs/>
                <w:i/>
                <w:iCs/>
              </w:rPr>
              <w:t>e allo scambio degli stessi a norma del presente regolamento</w:t>
            </w:r>
            <w:r w:rsidRPr="00A121F2">
              <w:t>, nonché a Europol a norma del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129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bCs/>
                <w:i/>
                <w:iCs/>
              </w:rPr>
              <w:t>Gli utenti del</w:t>
            </w:r>
            <w:r w:rsidRPr="00A121F2">
              <w:t xml:space="preserve"> router </w:t>
            </w:r>
            <w:r w:rsidRPr="00A121F2">
              <w:rPr>
                <w:b/>
                <w:bCs/>
                <w:i/>
                <w:iCs/>
              </w:rPr>
              <w:t>di cui</w:t>
            </w:r>
            <w:r w:rsidRPr="00A121F2">
              <w:t xml:space="preserve"> all'articolo 36 presentano una domanda di interrogazione trasmettendo dati biometrici al router. Il router invia la domanda di interrogazione alle banche dati degli Stati membri e ai dati Europol simultaneamente ai dati presentati dall'utente </w:t>
            </w:r>
            <w:r w:rsidRPr="00A121F2">
              <w:rPr>
                <w:b/>
                <w:bCs/>
                <w:i/>
                <w:iCs/>
              </w:rPr>
              <w:t>e</w:t>
            </w:r>
            <w:r w:rsidRPr="00A121F2">
              <w:t xml:space="preserve"> conformemente ai suoi diritti di accesso.</w:t>
            </w:r>
          </w:p>
        </w:tc>
        <w:tc>
          <w:tcPr>
            <w:tcW w:w="4876" w:type="dxa"/>
          </w:tcPr>
          <w:p w:rsidR="00AF580A" w:rsidRPr="00A121F2" w:rsidRDefault="00AF580A" w:rsidP="00AC4477">
            <w:pPr>
              <w:pStyle w:val="Normal6"/>
              <w:rPr>
                <w:szCs w:val="24"/>
              </w:rPr>
            </w:pPr>
            <w:r w:rsidRPr="00A121F2">
              <w:t>1.</w:t>
            </w:r>
            <w:r w:rsidRPr="00A121F2">
              <w:tab/>
            </w:r>
            <w:r w:rsidRPr="00A121F2">
              <w:rPr>
                <w:b/>
                <w:bCs/>
                <w:i/>
                <w:iCs/>
              </w:rPr>
              <w:t>Le autorità di contrasto competenti</w:t>
            </w:r>
            <w:r w:rsidRPr="00A121F2">
              <w:t xml:space="preserve"> </w:t>
            </w:r>
            <w:r w:rsidRPr="00A121F2">
              <w:rPr>
                <w:b/>
                <w:bCs/>
                <w:i/>
                <w:iCs/>
              </w:rPr>
              <w:t>autorizzate ad avere accesso al</w:t>
            </w:r>
            <w:r w:rsidRPr="00A121F2">
              <w:t xml:space="preserve"> router </w:t>
            </w:r>
            <w:r w:rsidRPr="00A121F2">
              <w:rPr>
                <w:b/>
                <w:bCs/>
                <w:i/>
                <w:iCs/>
              </w:rPr>
              <w:t>conformemente</w:t>
            </w:r>
            <w:r w:rsidRPr="00A121F2">
              <w:t xml:space="preserve"> all'articolo 36 presentano una domanda di interrogazione trasmettendo dati biometrici al router. Il router invia la domanda di interrogazione alle banche dati degli Stati membri</w:t>
            </w:r>
            <w:r w:rsidRPr="00A121F2">
              <w:rPr>
                <w:b/>
                <w:bCs/>
                <w:i/>
                <w:iCs/>
              </w:rPr>
              <w:t xml:space="preserve"> richiesti</w:t>
            </w:r>
            <w:r w:rsidRPr="00A121F2">
              <w:t xml:space="preserve"> e ai dati Europol simultaneamente ai dati presentati dall'utente conformemente ai suoi diritti di accesso.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r>
            <w:r w:rsidRPr="00A121F2">
              <w:rPr>
                <w:b/>
                <w:bCs/>
                <w:i/>
                <w:iCs/>
              </w:rPr>
              <w:t>Quando riceve</w:t>
            </w:r>
            <w:r w:rsidRPr="00A121F2">
              <w:t xml:space="preserve"> una domanda di interrogazione dal router, ciascuno Stato membro richiesto ed Europol interrogano le proprie banche dati in modo automatizzato e senza indugio.</w:t>
            </w:r>
          </w:p>
        </w:tc>
        <w:tc>
          <w:tcPr>
            <w:tcW w:w="4876" w:type="dxa"/>
          </w:tcPr>
          <w:p w:rsidR="00AF580A" w:rsidRPr="00A121F2" w:rsidRDefault="00AF580A" w:rsidP="00AC4477">
            <w:pPr>
              <w:pStyle w:val="Normal6"/>
              <w:rPr>
                <w:szCs w:val="24"/>
              </w:rPr>
            </w:pPr>
            <w:r w:rsidRPr="00A121F2">
              <w:t>2.</w:t>
            </w:r>
            <w:r w:rsidRPr="00A121F2">
              <w:tab/>
            </w:r>
            <w:r w:rsidRPr="00A121F2">
              <w:rPr>
                <w:b/>
                <w:bCs/>
                <w:i/>
                <w:iCs/>
              </w:rPr>
              <w:t>Alla ricezione di</w:t>
            </w:r>
            <w:r w:rsidRPr="00A121F2">
              <w:t xml:space="preserve"> una domanda di interrogazione dal router, ciascuno Stato membro richiesto ed Europol interrogano le proprie banche dati in modo automatizzato e senza indugio.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Eventuali </w:t>
            </w:r>
            <w:r w:rsidRPr="00A121F2">
              <w:rPr>
                <w:b/>
                <w:bCs/>
                <w:i/>
                <w:iCs/>
              </w:rPr>
              <w:t>corrispondenze</w:t>
            </w:r>
            <w:r w:rsidRPr="00A121F2">
              <w:t xml:space="preserve"> risultanti </w:t>
            </w:r>
            <w:r w:rsidRPr="00A121F2">
              <w:rPr>
                <w:b/>
                <w:bCs/>
                <w:i/>
                <w:iCs/>
              </w:rPr>
              <w:t>dall'interrogazione delle banche dati di ciascuno Stato membro e dei dati Europol</w:t>
            </w:r>
            <w:r w:rsidRPr="00A121F2">
              <w:t xml:space="preserve"> sono </w:t>
            </w:r>
            <w:r w:rsidRPr="00A121F2">
              <w:rPr>
                <w:b/>
                <w:bCs/>
                <w:i/>
                <w:iCs/>
              </w:rPr>
              <w:t>rinviate</w:t>
            </w:r>
            <w:r w:rsidRPr="00A121F2">
              <w:t xml:space="preserve"> al router in modo automatizzato.</w:t>
            </w:r>
          </w:p>
        </w:tc>
        <w:tc>
          <w:tcPr>
            <w:tcW w:w="4876" w:type="dxa"/>
          </w:tcPr>
          <w:p w:rsidR="00AF580A" w:rsidRPr="00A121F2" w:rsidRDefault="00AF580A" w:rsidP="00AC4477">
            <w:pPr>
              <w:pStyle w:val="Normal6"/>
              <w:rPr>
                <w:szCs w:val="24"/>
              </w:rPr>
            </w:pPr>
            <w:r w:rsidRPr="00A121F2">
              <w:t>3.</w:t>
            </w:r>
            <w:r w:rsidRPr="00A121F2">
              <w:tab/>
              <w:t xml:space="preserve">Eventuali </w:t>
            </w:r>
            <w:r w:rsidRPr="00A121F2">
              <w:rPr>
                <w:b/>
                <w:bCs/>
                <w:i/>
                <w:iCs/>
              </w:rPr>
              <w:t>candidati</w:t>
            </w:r>
            <w:r w:rsidRPr="00A121F2">
              <w:t xml:space="preserve"> risultanti</w:t>
            </w:r>
            <w:r w:rsidRPr="00A121F2">
              <w:rPr>
                <w:b/>
                <w:bCs/>
                <w:i/>
                <w:iCs/>
              </w:rPr>
              <w:t xml:space="preserve"> dalle interrogazioni di cui al paragrafo 2</w:t>
            </w:r>
            <w:r w:rsidRPr="00A121F2">
              <w:t xml:space="preserve"> sono </w:t>
            </w:r>
            <w:r w:rsidRPr="00A121F2">
              <w:rPr>
                <w:b/>
                <w:bCs/>
                <w:i/>
                <w:iCs/>
              </w:rPr>
              <w:t>rinviati</w:t>
            </w:r>
            <w:r w:rsidRPr="00A121F2">
              <w:t xml:space="preserve"> al router in modo automatizzato. </w:t>
            </w:r>
            <w:r w:rsidRPr="00A121F2">
              <w:rPr>
                <w:b/>
                <w:i/>
              </w:rPr>
              <w:t>Lo Stato membro richiedente riceve una notifica automatizzata qualora non vi sia alcuna corrispondenza.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4.</w:t>
            </w:r>
            <w:r w:rsidRPr="00A121F2">
              <w:tab/>
              <w:t xml:space="preserve">Il router classifica le risposte in base al punteggio della corrispondenza tra i dati biometrici utilizzati per l'interrogazione e i dati biometrici </w:t>
            </w:r>
            <w:r w:rsidRPr="00A121F2">
              <w:rPr>
                <w:b/>
                <w:bCs/>
                <w:i/>
                <w:iCs/>
              </w:rPr>
              <w:t>conservati nelle</w:t>
            </w:r>
            <w:r w:rsidRPr="00A121F2">
              <w:t xml:space="preserve"> banche dati degli Stati membri e </w:t>
            </w:r>
            <w:r w:rsidRPr="00A121F2">
              <w:rPr>
                <w:b/>
                <w:bCs/>
                <w:i/>
                <w:iCs/>
              </w:rPr>
              <w:t>nei</w:t>
            </w:r>
            <w:r w:rsidRPr="00A121F2">
              <w:t xml:space="preserve"> dati Europol.</w:t>
            </w:r>
          </w:p>
        </w:tc>
        <w:tc>
          <w:tcPr>
            <w:tcW w:w="4876" w:type="dxa"/>
          </w:tcPr>
          <w:p w:rsidR="00AF580A" w:rsidRPr="00A121F2" w:rsidRDefault="00AF580A" w:rsidP="00AC4477">
            <w:pPr>
              <w:pStyle w:val="Normal6"/>
              <w:rPr>
                <w:szCs w:val="24"/>
              </w:rPr>
            </w:pPr>
            <w:r w:rsidRPr="00A121F2">
              <w:t>4.</w:t>
            </w:r>
            <w:r w:rsidRPr="00A121F2">
              <w:tab/>
              <w:t xml:space="preserve">Il router classifica le risposte in base al punteggio della corrispondenza tra i dati biometrici utilizzati per l'interrogazione e i dati biometrici </w:t>
            </w:r>
            <w:r w:rsidRPr="00A121F2">
              <w:rPr>
                <w:b/>
                <w:bCs/>
                <w:i/>
                <w:iCs/>
              </w:rPr>
              <w:t>forniti dalle</w:t>
            </w:r>
            <w:r w:rsidRPr="00A121F2">
              <w:t xml:space="preserve"> banche dati degli Stati membri </w:t>
            </w:r>
            <w:r w:rsidRPr="00A121F2">
              <w:rPr>
                <w:b/>
                <w:bCs/>
                <w:i/>
                <w:iCs/>
              </w:rPr>
              <w:t>richiesti</w:t>
            </w:r>
            <w:r w:rsidRPr="00A121F2">
              <w:t xml:space="preserve"> e </w:t>
            </w:r>
            <w:r w:rsidRPr="00A121F2">
              <w:rPr>
                <w:b/>
                <w:bCs/>
                <w:i/>
                <w:iCs/>
              </w:rPr>
              <w:t>dai</w:t>
            </w:r>
            <w:r w:rsidRPr="00A121F2">
              <w:t xml:space="preserve"> dati Europol.</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5.</w:t>
            </w:r>
            <w:r w:rsidRPr="00A121F2">
              <w:tab/>
              <w:t>Il router rinvia</w:t>
            </w:r>
            <w:r w:rsidRPr="00A121F2">
              <w:rPr>
                <w:b/>
                <w:bCs/>
                <w:i/>
                <w:iCs/>
              </w:rPr>
              <w:t xml:space="preserve"> all'utente</w:t>
            </w:r>
            <w:r w:rsidRPr="00A121F2">
              <w:t xml:space="preserve"> l'elenco dei dati biometrici per i quali è stata riscontrata una corrispondenza e i relativi punteggi.</w:t>
            </w:r>
          </w:p>
        </w:tc>
        <w:tc>
          <w:tcPr>
            <w:tcW w:w="4876" w:type="dxa"/>
          </w:tcPr>
          <w:p w:rsidR="00AF580A" w:rsidRPr="00A121F2" w:rsidRDefault="00AF580A" w:rsidP="00AC4477">
            <w:pPr>
              <w:pStyle w:val="Normal6"/>
              <w:rPr>
                <w:szCs w:val="24"/>
              </w:rPr>
            </w:pPr>
            <w:r w:rsidRPr="00A121F2">
              <w:t>5.</w:t>
            </w:r>
            <w:r w:rsidRPr="00A121F2">
              <w:tab/>
              <w:t xml:space="preserve">Il router rinvia </w:t>
            </w:r>
            <w:r w:rsidRPr="00A121F2">
              <w:rPr>
                <w:b/>
                <w:bCs/>
                <w:i/>
                <w:iCs/>
              </w:rPr>
              <w:t>allo Stato membro richiedente</w:t>
            </w:r>
            <w:r w:rsidRPr="00A121F2">
              <w:t xml:space="preserve"> l'elenco dei dati biometrici per i quali è stata riscontrata una corrispondenza e i relativi punteggi.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37 – paragrafo 6</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6.</w:t>
            </w:r>
            <w:r w:rsidRPr="00A121F2">
              <w:tab/>
              <w:t>La Commissione adotta</w:t>
            </w:r>
            <w:r w:rsidRPr="00A121F2">
              <w:rPr>
                <w:b/>
                <w:bCs/>
                <w:i/>
                <w:iCs/>
              </w:rPr>
              <w:t xml:space="preserve"> atti</w:t>
            </w:r>
            <w:r w:rsidRPr="00A121F2">
              <w:t xml:space="preserve"> di esecuzione per specificare la procedura tecnica utilizzata dal router per interrogare le banche dati degli Stati membri e i dati Europol, il formato delle risposte del router, nonché le norme tecniche per l'assegnazione di punteggi alla corrispondenza tra dati biometrici. </w:t>
            </w:r>
            <w:r w:rsidRPr="00A121F2">
              <w:rPr>
                <w:b/>
                <w:bCs/>
                <w:i/>
                <w:iCs/>
              </w:rPr>
              <w:t>Tali atti</w:t>
            </w:r>
            <w:r w:rsidRPr="00A121F2">
              <w:t xml:space="preserve"> di esecuzione </w:t>
            </w:r>
            <w:r w:rsidRPr="00A121F2">
              <w:rPr>
                <w:b/>
                <w:bCs/>
                <w:i/>
                <w:iCs/>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6.</w:t>
            </w:r>
            <w:r w:rsidRPr="00A121F2">
              <w:tab/>
              <w:t xml:space="preserve">La Commissione adotta </w:t>
            </w:r>
            <w:r w:rsidRPr="00A121F2">
              <w:rPr>
                <w:b/>
                <w:bCs/>
                <w:i/>
                <w:iCs/>
              </w:rPr>
              <w:t>un atto</w:t>
            </w:r>
            <w:r w:rsidRPr="00A121F2">
              <w:t xml:space="preserve"> di esecuzione per specificare la procedura tecnica utilizzata dal router per interrogare le banche dati degli Stati membri e i dati Europol, il formato delle risposte del router, nonché le norme tecniche per l'assegnazione di punteggi alla corrispondenza tra dati biometrici. </w:t>
            </w:r>
            <w:r w:rsidRPr="00A121F2">
              <w:rPr>
                <w:b/>
                <w:bCs/>
                <w:i/>
                <w:iCs/>
              </w:rPr>
              <w:t>Tale atto</w:t>
            </w:r>
            <w:r w:rsidRPr="00A121F2">
              <w:t xml:space="preserve"> di esecuzione </w:t>
            </w:r>
            <w:r w:rsidRPr="00A121F2">
              <w:rPr>
                <w:b/>
                <w:bCs/>
                <w:i/>
                <w:iCs/>
              </w:rPr>
              <w:t>è adottato</w:t>
            </w:r>
            <w:r w:rsidRPr="00A121F2">
              <w:t xml:space="preserv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38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bCs/>
                <w:i/>
                <w:iCs/>
              </w:rPr>
              <w:t>Qualora i dati risultino non idonei per un confronto automatizzato,</w:t>
            </w:r>
            <w:r w:rsidRPr="00A121F2">
              <w:t xml:space="preserve"> lo Stato membro richiesto </w:t>
            </w:r>
            <w:r w:rsidRPr="00A121F2">
              <w:rPr>
                <w:b/>
                <w:bCs/>
                <w:i/>
                <w:iCs/>
              </w:rPr>
              <w:t>ne</w:t>
            </w:r>
            <w:r w:rsidRPr="00A121F2">
              <w:t xml:space="preserve"> informa </w:t>
            </w:r>
            <w:r w:rsidRPr="00A121F2">
              <w:rPr>
                <w:b/>
                <w:bCs/>
                <w:i/>
                <w:iCs/>
              </w:rPr>
              <w:t>senza indugio</w:t>
            </w:r>
            <w:r w:rsidRPr="00A121F2">
              <w:t xml:space="preserve"> lo Stato membro richiedente tramite il router.</w:t>
            </w:r>
          </w:p>
        </w:tc>
        <w:tc>
          <w:tcPr>
            <w:tcW w:w="4876" w:type="dxa"/>
          </w:tcPr>
          <w:p w:rsidR="00AF580A" w:rsidRPr="00A121F2" w:rsidRDefault="00AF580A" w:rsidP="00AC4477">
            <w:pPr>
              <w:pStyle w:val="Normal6"/>
              <w:rPr>
                <w:szCs w:val="24"/>
              </w:rPr>
            </w:pPr>
            <w:r w:rsidRPr="00A121F2">
              <w:t>Lo Stato membro richiesto informa</w:t>
            </w:r>
            <w:r w:rsidRPr="00A121F2">
              <w:rPr>
                <w:b/>
                <w:bCs/>
                <w:i/>
                <w:iCs/>
              </w:rPr>
              <w:t>, senza indugio</w:t>
            </w:r>
            <w:r w:rsidRPr="00A121F2">
              <w:rPr>
                <w:b/>
                <w:bCs/>
              </w:rPr>
              <w:t>,</w:t>
            </w:r>
            <w:r w:rsidRPr="00A121F2">
              <w:t xml:space="preserve"> lo Stato membro richiedente tramite il router </w:t>
            </w:r>
            <w:r w:rsidRPr="00A121F2">
              <w:rPr>
                <w:b/>
                <w:bCs/>
                <w:i/>
                <w:iCs/>
              </w:rPr>
              <w:t>qualora i dati risultino non idonei per un confronto automatizzato</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39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bCs/>
                <w:i/>
                <w:iCs/>
              </w:rPr>
              <w:t>Gli utenti del</w:t>
            </w:r>
            <w:r w:rsidRPr="00A121F2">
              <w:t xml:space="preserve"> router </w:t>
            </w:r>
            <w:r w:rsidRPr="00A121F2">
              <w:rPr>
                <w:b/>
                <w:bCs/>
                <w:i/>
                <w:iCs/>
              </w:rPr>
              <w:t>di cui</w:t>
            </w:r>
            <w:r w:rsidRPr="00A121F2">
              <w:t xml:space="preserve"> all'articolo 36 possono avviare un'interrogazione delle banche dati degli Stati membri e dei dati Europol simultaneamente a un'interrogazione dell'archivio comune di dati di identità</w:t>
            </w:r>
            <w:r w:rsidRPr="00A121F2">
              <w:rPr>
                <w:b/>
                <w:bCs/>
                <w:i/>
                <w:iCs/>
              </w:rPr>
              <w:t xml:space="preserve"> se sono</w:t>
            </w:r>
            <w:r w:rsidRPr="00A121F2">
              <w:t xml:space="preserve"> soddisfatte le condizioni pertinenti ai sensi del diritto dell'Unione e conformemente ai loro diritti di accesso. A tal fine il router interroga l'archivio comune di dati di identità tramite il portale di ricerca europeo.</w:t>
            </w:r>
          </w:p>
        </w:tc>
        <w:tc>
          <w:tcPr>
            <w:tcW w:w="4876" w:type="dxa"/>
          </w:tcPr>
          <w:p w:rsidR="00AF580A" w:rsidRPr="00A121F2" w:rsidRDefault="00AF580A" w:rsidP="00AC4477">
            <w:pPr>
              <w:pStyle w:val="Normal6"/>
              <w:rPr>
                <w:szCs w:val="24"/>
              </w:rPr>
            </w:pPr>
            <w:r w:rsidRPr="00A121F2">
              <w:t>1.</w:t>
            </w:r>
            <w:r w:rsidRPr="00A121F2">
              <w:tab/>
            </w:r>
            <w:r w:rsidRPr="00A121F2">
              <w:rPr>
                <w:b/>
                <w:bCs/>
                <w:i/>
                <w:iCs/>
              </w:rPr>
              <w:t>Qualora siano autorizzate a usare il</w:t>
            </w:r>
            <w:r w:rsidRPr="00A121F2">
              <w:t xml:space="preserve"> router </w:t>
            </w:r>
            <w:r w:rsidRPr="00A121F2">
              <w:rPr>
                <w:b/>
                <w:bCs/>
                <w:i/>
                <w:iCs/>
              </w:rPr>
              <w:t>conformemente</w:t>
            </w:r>
            <w:r w:rsidRPr="00A121F2">
              <w:t xml:space="preserve"> all'articolo 36</w:t>
            </w:r>
            <w:r w:rsidRPr="00A121F2">
              <w:rPr>
                <w:b/>
                <w:bCs/>
                <w:i/>
                <w:iCs/>
              </w:rPr>
              <w:t>, le autorità designate</w:t>
            </w:r>
            <w:r w:rsidRPr="00A121F2">
              <w:t xml:space="preserve"> possono avviare un'interrogazione delle banche dati degli Stati membri e dei dati Europol simultaneamente a un'interrogazione dell'archivio comune di dati di identità</w:t>
            </w:r>
            <w:r w:rsidRPr="00A121F2">
              <w:rPr>
                <w:b/>
                <w:bCs/>
                <w:i/>
                <w:iCs/>
              </w:rPr>
              <w:t>, purché siano</w:t>
            </w:r>
            <w:r w:rsidRPr="00A121F2">
              <w:t xml:space="preserve"> soddisfatte le condizioni pertinenti ai sensi del diritto dell'Unione e </w:t>
            </w:r>
            <w:r w:rsidRPr="00A121F2">
              <w:rPr>
                <w:b/>
                <w:bCs/>
                <w:i/>
                <w:iCs/>
              </w:rPr>
              <w:t xml:space="preserve">l'interrogazione sia avviata </w:t>
            </w:r>
            <w:r w:rsidRPr="00A121F2">
              <w:t>conformemente ai loro diritti di accesso. A tal fine il router interroga l'archivio comune di dati di identità tramite il portale di ricerca europeo.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39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Soltanto le autorità designate ai sensi dell'articolo 4, punto 20, del regolamento (UE) 2019/817 e dell'articolo 4, punto 20, del regolamento (UE) 2019/818 possono avviare tali interrogazioni simultanee.</w:t>
            </w:r>
          </w:p>
        </w:tc>
        <w:tc>
          <w:tcPr>
            <w:tcW w:w="4876" w:type="dxa"/>
          </w:tcPr>
          <w:p w:rsidR="00AF580A" w:rsidRPr="00A121F2" w:rsidRDefault="00AF580A" w:rsidP="00AC4477">
            <w:pPr>
              <w:pStyle w:val="Normal6"/>
              <w:rPr>
                <w:szCs w:val="24"/>
              </w:rPr>
            </w:pPr>
            <w:r w:rsidRPr="00A121F2">
              <w:rPr>
                <w:b/>
                <w:i/>
              </w:rPr>
              <w:t>soppresso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39 – paragrafo 2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interrogazioni simultanee delle banche dati degli Stati membri, dei dati Europol e dell'archivio comune di dati di identità possono essere avviate soltanto </w:t>
            </w:r>
            <w:r w:rsidRPr="00A121F2">
              <w:rPr>
                <w:b/>
                <w:bCs/>
                <w:i/>
                <w:iCs/>
              </w:rPr>
              <w:t>nei casi in cui</w:t>
            </w:r>
            <w:r w:rsidRPr="00A121F2">
              <w:t xml:space="preserve"> </w:t>
            </w:r>
            <w:r w:rsidRPr="00A121F2">
              <w:rPr>
                <w:b/>
                <w:bCs/>
                <w:i/>
                <w:iCs/>
              </w:rPr>
              <w:t>è probabile</w:t>
            </w:r>
            <w:r w:rsidRPr="00A121F2">
              <w:t xml:space="preserve"> che i dati relativi a un indagato, all'autore</w:t>
            </w:r>
            <w:r w:rsidRPr="00A121F2">
              <w:rPr>
                <w:b/>
                <w:bCs/>
                <w:i/>
                <w:iCs/>
              </w:rPr>
              <w:t xml:space="preserve"> di un reato</w:t>
            </w:r>
            <w:r w:rsidRPr="00A121F2">
              <w:t xml:space="preserve"> o </w:t>
            </w:r>
            <w:r w:rsidRPr="00A121F2">
              <w:rPr>
                <w:b/>
                <w:bCs/>
                <w:i/>
                <w:iCs/>
              </w:rPr>
              <w:t>a una</w:t>
            </w:r>
            <w:r w:rsidRPr="00A121F2">
              <w:t xml:space="preserve"> vittima di un reato </w:t>
            </w:r>
            <w:r w:rsidRPr="00A121F2">
              <w:rPr>
                <w:b/>
                <w:bCs/>
                <w:i/>
                <w:iCs/>
              </w:rPr>
              <w:t>di terrorismo o di altri</w:t>
            </w:r>
            <w:r w:rsidRPr="00A121F2">
              <w:t xml:space="preserve"> </w:t>
            </w:r>
            <w:r w:rsidRPr="00A121F2">
              <w:rPr>
                <w:b/>
                <w:bCs/>
                <w:i/>
                <w:iCs/>
              </w:rPr>
              <w:t>reati gravi quali definiti rispettivamente all'articolo 4, punti 21 e 22, del regolamento (UE) 2019/817 e all'articolo 4, punti 21 e 22, del regolamento (UE) 2019/818,</w:t>
            </w:r>
            <w:r w:rsidRPr="00A121F2">
              <w:t xml:space="preserve"> siano conservati nell'archivio comune di dati di identità.</w:t>
            </w:r>
          </w:p>
        </w:tc>
        <w:tc>
          <w:tcPr>
            <w:tcW w:w="4876" w:type="dxa"/>
          </w:tcPr>
          <w:p w:rsidR="00AF580A" w:rsidRPr="00A121F2" w:rsidRDefault="00AF580A" w:rsidP="00AC4477">
            <w:pPr>
              <w:pStyle w:val="Normal6"/>
              <w:rPr>
                <w:szCs w:val="24"/>
              </w:rPr>
            </w:pPr>
            <w:r w:rsidRPr="00A121F2">
              <w:t xml:space="preserve">Le interrogazioni simultanee delle banche dati degli Stati membri, dei dati Europol e dell'archivio comune di dati di identità possono essere avviate soltanto </w:t>
            </w:r>
            <w:r w:rsidRPr="00A121F2">
              <w:rPr>
                <w:b/>
                <w:bCs/>
                <w:i/>
                <w:iCs/>
              </w:rPr>
              <w:t>qualora</w:t>
            </w:r>
            <w:r w:rsidRPr="00A121F2">
              <w:t xml:space="preserve"> </w:t>
            </w:r>
            <w:r w:rsidRPr="00A121F2">
              <w:rPr>
                <w:b/>
                <w:bCs/>
                <w:i/>
                <w:iCs/>
              </w:rPr>
              <w:t>vi siano motivi ragionevoli per ritenere</w:t>
            </w:r>
            <w:r w:rsidRPr="00A121F2">
              <w:t xml:space="preserve"> che i dati relativi a un indagato, all'autore o </w:t>
            </w:r>
            <w:r w:rsidRPr="00A121F2">
              <w:rPr>
                <w:b/>
                <w:bCs/>
                <w:i/>
                <w:iCs/>
              </w:rPr>
              <w:t>alla</w:t>
            </w:r>
            <w:r w:rsidRPr="00A121F2">
              <w:t xml:space="preserve"> vittima di un reato </w:t>
            </w:r>
            <w:r w:rsidRPr="00A121F2">
              <w:rPr>
                <w:b/>
                <w:bCs/>
                <w:i/>
                <w:iCs/>
              </w:rPr>
              <w:t>grave o di terrorismo</w:t>
            </w:r>
            <w:r w:rsidRPr="00A121F2">
              <w:t xml:space="preserve"> siano conservati nell'archivio comune di dati di identità.</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139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40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Ciascuno Stato membro conserva le registrazioni delle interrogazioni effettuate </w:t>
            </w:r>
            <w:r w:rsidRPr="00A121F2">
              <w:rPr>
                <w:b/>
                <w:bCs/>
                <w:i/>
                <w:iCs/>
              </w:rPr>
              <w:t>dalle</w:t>
            </w:r>
            <w:r w:rsidRPr="00A121F2">
              <w:t xml:space="preserve"> proprie autorità competenti </w:t>
            </w:r>
            <w:r w:rsidRPr="00A121F2">
              <w:rPr>
                <w:b/>
                <w:bCs/>
                <w:i/>
                <w:iCs/>
              </w:rPr>
              <w:t>e dal personale di tali autorità</w:t>
            </w:r>
            <w:r w:rsidRPr="00A121F2">
              <w:t xml:space="preserve"> debitamente autorizzato a usare il router, nonché le registrazioni delle interrogazioni richieste da altri Stati membri.</w:t>
            </w:r>
          </w:p>
        </w:tc>
        <w:tc>
          <w:tcPr>
            <w:tcW w:w="4876" w:type="dxa"/>
          </w:tcPr>
          <w:p w:rsidR="00AF580A" w:rsidRPr="00A121F2" w:rsidRDefault="00AF580A" w:rsidP="00AC4477">
            <w:pPr>
              <w:pStyle w:val="Normal6"/>
              <w:rPr>
                <w:szCs w:val="24"/>
              </w:rPr>
            </w:pPr>
            <w:r w:rsidRPr="00A121F2">
              <w:t>2.</w:t>
            </w:r>
            <w:r w:rsidRPr="00A121F2">
              <w:tab/>
              <w:t xml:space="preserve">Ciascuno Stato membro conserva le registrazioni delle interrogazioni effettuate </w:t>
            </w:r>
            <w:r w:rsidRPr="00A121F2">
              <w:rPr>
                <w:b/>
                <w:bCs/>
                <w:i/>
                <w:iCs/>
              </w:rPr>
              <w:t>dal personale delle</w:t>
            </w:r>
            <w:r w:rsidRPr="00A121F2">
              <w:t xml:space="preserve"> proprie autorità </w:t>
            </w:r>
            <w:r w:rsidRPr="00A121F2">
              <w:rPr>
                <w:b/>
                <w:bCs/>
                <w:i/>
                <w:iCs/>
              </w:rPr>
              <w:t>di contrasto</w:t>
            </w:r>
            <w:r w:rsidRPr="00A121F2">
              <w:t xml:space="preserve"> competenti debitamente autorizzato a usare il router, nonché le registrazioni delle interrogazioni richieste da altri Stati membri.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40 – paragrafo 3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registrazioni sono protette dall'accesso non autorizzato con misure adeguate e sono cancellate </w:t>
            </w:r>
            <w:r w:rsidRPr="00A121F2">
              <w:rPr>
                <w:b/>
                <w:bCs/>
                <w:i/>
                <w:iCs/>
              </w:rPr>
              <w:t>un anno</w:t>
            </w:r>
            <w:r w:rsidRPr="00A121F2">
              <w:t xml:space="preserve"> dopo la loro creazione. Qualora, tuttavia, siano necessarie per procedure di monitoraggio già avviate, sono cancellate quando le procedure di monitoraggio non necessitano più delle registrazioni.</w:t>
            </w:r>
          </w:p>
        </w:tc>
        <w:tc>
          <w:tcPr>
            <w:tcW w:w="4876" w:type="dxa"/>
          </w:tcPr>
          <w:p w:rsidR="00AF580A" w:rsidRPr="00A121F2" w:rsidRDefault="00AF580A" w:rsidP="00AC4477">
            <w:pPr>
              <w:pStyle w:val="Normal6"/>
              <w:rPr>
                <w:szCs w:val="24"/>
              </w:rPr>
            </w:pPr>
            <w:r w:rsidRPr="00A121F2">
              <w:t xml:space="preserve">Le registrazioni sono protette dall'accesso non autorizzato con misure adeguate e sono cancellate </w:t>
            </w:r>
            <w:r w:rsidRPr="00A121F2">
              <w:rPr>
                <w:b/>
                <w:bCs/>
                <w:i/>
                <w:iCs/>
              </w:rPr>
              <w:t>due anni</w:t>
            </w:r>
            <w:r w:rsidRPr="00A121F2">
              <w:t xml:space="preserve"> dopo la loro creazione. Qualora, tuttavia, siano necessarie per procedure di monitoraggio già avviate, sono cancellate quando le procedure di monitoraggio non necessitano più delle registrazioni.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41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Qualora sia tecnicamente impossibile utilizzare il router per interrogare una o più banche dati nazionali o dati Europol a causa di un guasto del router, eu-LISA ne informa </w:t>
            </w:r>
            <w:r w:rsidRPr="00A121F2">
              <w:rPr>
                <w:b/>
                <w:bCs/>
                <w:i/>
                <w:iCs/>
              </w:rPr>
              <w:t>gli utenti</w:t>
            </w:r>
            <w:r w:rsidRPr="00A121F2">
              <w:t xml:space="preserve"> in modo automatizzato. eu-LISA adotta misure per far fronte senza indugio all'impossibilità tecnica di utilizzare il router.</w:t>
            </w:r>
          </w:p>
        </w:tc>
        <w:tc>
          <w:tcPr>
            <w:tcW w:w="4876" w:type="dxa"/>
          </w:tcPr>
          <w:p w:rsidR="00AF580A" w:rsidRPr="00A121F2" w:rsidRDefault="00AF580A" w:rsidP="00AC4477">
            <w:pPr>
              <w:pStyle w:val="Normal6"/>
              <w:rPr>
                <w:szCs w:val="24"/>
              </w:rPr>
            </w:pPr>
            <w:r w:rsidRPr="00A121F2">
              <w:t>1.</w:t>
            </w:r>
            <w:r w:rsidRPr="00A121F2">
              <w:tab/>
              <w:t xml:space="preserve">Qualora sia tecnicamente impossibile utilizzare il router per interrogare una o più banche dati nazionali o dati Europol a causa di un guasto del router, eu-LISA ne informa </w:t>
            </w:r>
            <w:r w:rsidRPr="00A121F2">
              <w:rPr>
                <w:b/>
                <w:bCs/>
                <w:i/>
                <w:iCs/>
              </w:rPr>
              <w:t>le autorità di contrasto competenti di cui all'articolo 36 ed Europol</w:t>
            </w:r>
            <w:r w:rsidRPr="00A121F2">
              <w:t xml:space="preserve"> in modo automatizzato. eu-LISA adotta misure per far fronte senza indugio all'impossibilità tecnica di utilizzare il router.</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41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Qualora sia tecnicamente impossibile usare il router per interrogare una o più banche dati nazionali </w:t>
            </w:r>
            <w:r w:rsidRPr="00A121F2">
              <w:rPr>
                <w:b/>
                <w:bCs/>
                <w:i/>
                <w:iCs/>
              </w:rPr>
              <w:t>o i dati Europol</w:t>
            </w:r>
            <w:r w:rsidRPr="00A121F2">
              <w:t xml:space="preserve"> a causa di un guasto dell'infrastruttura nazionale di uno Stato membro, quest'ultimo ne informa gli altri Stati membri, eu-LISA e la Commissione in modo automatizzato. </w:t>
            </w:r>
            <w:r w:rsidRPr="00A121F2">
              <w:rPr>
                <w:b/>
                <w:bCs/>
                <w:i/>
                <w:iCs/>
              </w:rPr>
              <w:t>Gli Stati membri adottano</w:t>
            </w:r>
            <w:r w:rsidRPr="00A121F2">
              <w:t xml:space="preserve"> misure per affrontare senza indugio l'impossibilità tecnica di utilizzare il router.</w:t>
            </w:r>
          </w:p>
        </w:tc>
        <w:tc>
          <w:tcPr>
            <w:tcW w:w="4876" w:type="dxa"/>
          </w:tcPr>
          <w:p w:rsidR="00AF580A" w:rsidRPr="00A121F2" w:rsidRDefault="00AF580A" w:rsidP="00AC4477">
            <w:pPr>
              <w:pStyle w:val="Normal6"/>
              <w:rPr>
                <w:szCs w:val="24"/>
              </w:rPr>
            </w:pPr>
            <w:r w:rsidRPr="00A121F2">
              <w:t>2.</w:t>
            </w:r>
            <w:r w:rsidRPr="00A121F2">
              <w:tab/>
              <w:t xml:space="preserve">Qualora sia tecnicamente impossibile usare il router per interrogare una o più banche dati nazionali a causa di un guasto dell'infrastruttura nazionale di uno Stato membro, quest'ultimo ne informa gli altri Stati membri, </w:t>
            </w:r>
            <w:r w:rsidRPr="00A121F2">
              <w:rPr>
                <w:b/>
                <w:bCs/>
                <w:i/>
                <w:iCs/>
              </w:rPr>
              <w:t>Europol,</w:t>
            </w:r>
            <w:r w:rsidRPr="00A121F2">
              <w:t xml:space="preserve"> eu-LISA e la Commissione in modo automatizzato. </w:t>
            </w:r>
            <w:r w:rsidRPr="00A121F2">
              <w:rPr>
                <w:b/>
                <w:bCs/>
                <w:i/>
                <w:iCs/>
              </w:rPr>
              <w:t>Lo Stato membro interessato adotta</w:t>
            </w:r>
            <w:r w:rsidRPr="00A121F2">
              <w:t xml:space="preserve"> misure </w:t>
            </w:r>
            <w:r w:rsidRPr="00A121F2">
              <w:rPr>
                <w:b/>
                <w:bCs/>
                <w:i/>
                <w:iCs/>
              </w:rPr>
              <w:t>adeguate</w:t>
            </w:r>
            <w:r w:rsidRPr="00A121F2">
              <w:t xml:space="preserve"> per affrontare senza indugio l'impossibilità tecnica di utilizzare il router.</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41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Qualora sia tecnicamente impossibile usare il router per interrogare </w:t>
            </w:r>
            <w:r w:rsidRPr="00A121F2">
              <w:rPr>
                <w:b/>
                <w:bCs/>
                <w:i/>
                <w:iCs/>
              </w:rPr>
              <w:t>una o più banche dati nazionali o</w:t>
            </w:r>
            <w:r w:rsidRPr="00A121F2">
              <w:t xml:space="preserve"> i dati Europol a causa di un guasto dell'infrastruttura di Europol, Europol ne informa gli Stati membri, eu-LISA e la Commissione in modo automatizzato. Europol adotta misure per affrontare senza indugio l'impossibilità tecnica di utilizzare il router.</w:t>
            </w:r>
          </w:p>
        </w:tc>
        <w:tc>
          <w:tcPr>
            <w:tcW w:w="4876" w:type="dxa"/>
          </w:tcPr>
          <w:p w:rsidR="00AF580A" w:rsidRPr="00A121F2" w:rsidRDefault="00AF580A" w:rsidP="00AC4477">
            <w:pPr>
              <w:pStyle w:val="Normal6"/>
              <w:rPr>
                <w:szCs w:val="24"/>
              </w:rPr>
            </w:pPr>
            <w:r w:rsidRPr="00A121F2">
              <w:t>3.</w:t>
            </w:r>
            <w:r w:rsidRPr="00A121F2">
              <w:tab/>
              <w:t xml:space="preserve">Qualora sia tecnicamente impossibile usare il router per interrogare i dati Europol a causa di un guasto dell'infrastruttura di Europol, Europol ne informa gli Stati membri, eu-LISA e la Commissione in modo automatizzato. Europol adotta misure </w:t>
            </w:r>
            <w:r w:rsidRPr="00A121F2">
              <w:rPr>
                <w:b/>
                <w:bCs/>
                <w:i/>
                <w:iCs/>
              </w:rPr>
              <w:t>adeguate</w:t>
            </w:r>
            <w:r w:rsidRPr="00A121F2">
              <w:t xml:space="preserve"> per affrontare senza indugio l'impossibilità tecnica di utilizzare il router.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42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Per la consultazione automatizzata degli </w:t>
            </w:r>
            <w:r w:rsidRPr="00A121F2">
              <w:rPr>
                <w:b/>
                <w:bCs/>
                <w:i/>
                <w:iCs/>
              </w:rPr>
              <w:t>estratti del casellario giudiziale</w:t>
            </w:r>
            <w:r w:rsidRPr="00A121F2">
              <w:t xml:space="preserve"> di cui all'articolo 26, gli Stati membri ed Europol utilizzano l'indice europeo dei casellari giudiziali (EPRIS).</w:t>
            </w:r>
          </w:p>
        </w:tc>
        <w:tc>
          <w:tcPr>
            <w:tcW w:w="4876" w:type="dxa"/>
          </w:tcPr>
          <w:p w:rsidR="00AF580A" w:rsidRPr="00A121F2" w:rsidRDefault="00AF580A" w:rsidP="00AC4477">
            <w:pPr>
              <w:pStyle w:val="Normal6"/>
              <w:rPr>
                <w:szCs w:val="24"/>
              </w:rPr>
            </w:pPr>
            <w:r w:rsidRPr="00A121F2">
              <w:t>1.</w:t>
            </w:r>
            <w:r w:rsidRPr="00A121F2">
              <w:tab/>
              <w:t xml:space="preserve">Per la consultazione automatizzata degli </w:t>
            </w:r>
            <w:r w:rsidRPr="00A121F2">
              <w:rPr>
                <w:b/>
                <w:bCs/>
                <w:i/>
                <w:iCs/>
              </w:rPr>
              <w:t>indici dei casellari giudiziali nazionali</w:t>
            </w:r>
            <w:r w:rsidRPr="00A121F2">
              <w:t xml:space="preserve"> di cui all'articolo 26, gli Stati membri ed Europol utilizzano l'indice europeo dei casellari giudiziali (EPRIS).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43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Ai fini della consultazione degli </w:t>
            </w:r>
            <w:r w:rsidRPr="00A121F2">
              <w:rPr>
                <w:b/>
                <w:bCs/>
                <w:i/>
                <w:iCs/>
              </w:rPr>
              <w:t>estratti del casellario giudiziale</w:t>
            </w:r>
            <w:r w:rsidRPr="00A121F2">
              <w:t xml:space="preserve"> tramite EPRIS, è necessario utilizzare </w:t>
            </w:r>
            <w:r w:rsidRPr="00A121F2">
              <w:rPr>
                <w:b/>
                <w:bCs/>
                <w:i/>
                <w:iCs/>
              </w:rPr>
              <w:t>la</w:t>
            </w:r>
            <w:r w:rsidRPr="00A121F2">
              <w:t xml:space="preserve"> serie di dati </w:t>
            </w:r>
            <w:r w:rsidRPr="00A121F2">
              <w:rPr>
                <w:b/>
                <w:bCs/>
                <w:i/>
                <w:iCs/>
              </w:rPr>
              <w:t>seguente</w:t>
            </w:r>
            <w:r w:rsidRPr="00A121F2">
              <w:t>:</w:t>
            </w:r>
          </w:p>
        </w:tc>
        <w:tc>
          <w:tcPr>
            <w:tcW w:w="4876" w:type="dxa"/>
          </w:tcPr>
          <w:p w:rsidR="00AF580A" w:rsidRPr="00A121F2" w:rsidRDefault="00AF580A" w:rsidP="00AC4477">
            <w:pPr>
              <w:pStyle w:val="Normal6"/>
              <w:rPr>
                <w:szCs w:val="24"/>
              </w:rPr>
            </w:pPr>
            <w:r w:rsidRPr="00A121F2">
              <w:t>1.</w:t>
            </w:r>
            <w:r w:rsidRPr="00A121F2">
              <w:tab/>
              <w:t>Ai fini della consultazione degli</w:t>
            </w:r>
            <w:r w:rsidRPr="00A121F2">
              <w:rPr>
                <w:b/>
                <w:bCs/>
              </w:rPr>
              <w:t xml:space="preserve"> </w:t>
            </w:r>
            <w:r w:rsidRPr="00A121F2">
              <w:rPr>
                <w:b/>
                <w:bCs/>
                <w:i/>
                <w:iCs/>
              </w:rPr>
              <w:t>indici dei casellari giudiziali nazionali</w:t>
            </w:r>
            <w:r w:rsidRPr="00A121F2">
              <w:t xml:space="preserve"> tramite EPRIS, è necessario utilizzare</w:t>
            </w:r>
            <w:r w:rsidRPr="00A121F2">
              <w:rPr>
                <w:b/>
                <w:bCs/>
                <w:i/>
                <w:iCs/>
              </w:rPr>
              <w:t xml:space="preserve"> almeno due delle</w:t>
            </w:r>
            <w:r w:rsidRPr="00A121F2">
              <w:t xml:space="preserve"> serie di dati </w:t>
            </w:r>
            <w:r w:rsidRPr="00A121F2">
              <w:rPr>
                <w:b/>
                <w:bCs/>
                <w:i/>
                <w:iCs/>
              </w:rPr>
              <w:t>seguenti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43 – paragrafo 2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alias;</w:t>
            </w:r>
          </w:p>
        </w:tc>
        <w:tc>
          <w:tcPr>
            <w:tcW w:w="4876" w:type="dxa"/>
          </w:tcPr>
          <w:p w:rsidR="00AF580A" w:rsidRPr="00A121F2" w:rsidRDefault="00AF580A" w:rsidP="00AC4477">
            <w:pPr>
              <w:pStyle w:val="Normal6"/>
              <w:rPr>
                <w:szCs w:val="24"/>
              </w:rPr>
            </w:pPr>
            <w:r w:rsidRPr="00A121F2">
              <w:t>a)</w:t>
            </w:r>
            <w:r w:rsidRPr="00A121F2">
              <w:tab/>
              <w:t>alias</w:t>
            </w:r>
            <w:r w:rsidRPr="00A121F2">
              <w:rPr>
                <w:b/>
                <w:bCs/>
                <w:i/>
                <w:iCs/>
              </w:rPr>
              <w:t xml:space="preserve"> e nome/i usato/i in precedenza</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44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EPRIS invia la domanda di interrogazione </w:t>
            </w:r>
            <w:r w:rsidRPr="00A121F2">
              <w:rPr>
                <w:b/>
                <w:bCs/>
                <w:i/>
                <w:iCs/>
              </w:rPr>
              <w:t>alle banche dati</w:t>
            </w:r>
            <w:r w:rsidRPr="00A121F2">
              <w:t xml:space="preserve"> degli Stati membri con i dati presentati dallo Stato membro richiedente e conformemente al presente regolamento.</w:t>
            </w:r>
          </w:p>
        </w:tc>
        <w:tc>
          <w:tcPr>
            <w:tcW w:w="4876" w:type="dxa"/>
          </w:tcPr>
          <w:p w:rsidR="00AF580A" w:rsidRPr="00A121F2" w:rsidRDefault="00AF580A" w:rsidP="00AC4477">
            <w:pPr>
              <w:pStyle w:val="Normal6"/>
              <w:rPr>
                <w:szCs w:val="24"/>
              </w:rPr>
            </w:pPr>
            <w:r w:rsidRPr="00A121F2">
              <w:t xml:space="preserve">EPRIS invia la domanda di interrogazione </w:t>
            </w:r>
            <w:r w:rsidRPr="00A121F2">
              <w:rPr>
                <w:b/>
                <w:bCs/>
                <w:i/>
                <w:iCs/>
              </w:rPr>
              <w:t>agli indici dei casellari giudiziali nazionali</w:t>
            </w:r>
            <w:r w:rsidRPr="00A121F2">
              <w:t xml:space="preserve"> degli Stati membri con i dati presentati dallo Stato membro richiedente </w:t>
            </w:r>
            <w:r w:rsidRPr="00A121F2">
              <w:rPr>
                <w:b/>
                <w:bCs/>
                <w:i/>
                <w:iCs/>
              </w:rPr>
              <w:t>o da Europol</w:t>
            </w:r>
            <w:r w:rsidRPr="00A121F2">
              <w:t xml:space="preserve"> e conformemente al presente regolamento.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44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Eventuali corrispondenze risultanti dall'interrogazione </w:t>
            </w:r>
            <w:r w:rsidRPr="00A121F2">
              <w:rPr>
                <w:b/>
                <w:bCs/>
                <w:i/>
                <w:iCs/>
              </w:rPr>
              <w:t>della banca dati</w:t>
            </w:r>
            <w:r w:rsidRPr="00A121F2">
              <w:t xml:space="preserve"> di ciascuno Stato membro sono rinviate ad EPRIS in modo automatizzato.</w:t>
            </w:r>
          </w:p>
        </w:tc>
        <w:tc>
          <w:tcPr>
            <w:tcW w:w="4876" w:type="dxa"/>
          </w:tcPr>
          <w:p w:rsidR="00AF580A" w:rsidRPr="00A121F2" w:rsidRDefault="00AF580A" w:rsidP="00AC4477">
            <w:pPr>
              <w:pStyle w:val="Normal6"/>
              <w:rPr>
                <w:szCs w:val="24"/>
              </w:rPr>
            </w:pPr>
            <w:r w:rsidRPr="00A121F2">
              <w:t>3.</w:t>
            </w:r>
            <w:r w:rsidRPr="00A121F2">
              <w:tab/>
              <w:t xml:space="preserve">Eventuali corrispondenze risultanti dall'interrogazione </w:t>
            </w:r>
            <w:r w:rsidRPr="00A121F2">
              <w:rPr>
                <w:b/>
                <w:bCs/>
                <w:i/>
                <w:iCs/>
              </w:rPr>
              <w:t xml:space="preserve">dell'indice dei casellari giudiziali </w:t>
            </w:r>
            <w:r w:rsidRPr="00A121F2">
              <w:t>di ciascuno Stato membro</w:t>
            </w:r>
            <w:r w:rsidRPr="00A121F2">
              <w:rPr>
                <w:b/>
                <w:bCs/>
                <w:i/>
                <w:iCs/>
              </w:rPr>
              <w:t xml:space="preserve"> richiesto</w:t>
            </w:r>
            <w:r w:rsidRPr="00A121F2">
              <w:t xml:space="preserve"> sono rinviate ad EPRIS in modo automatizzato.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149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44 – paragrafo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4.</w:t>
            </w:r>
            <w:r w:rsidRPr="00A121F2">
              <w:tab/>
              <w:t xml:space="preserve">L'elenco delle corrispondenze è rinviato da EPRIS allo Stato membro richiedente. L'elenco delle corrispondenze indica la qualità </w:t>
            </w:r>
            <w:r w:rsidRPr="00A121F2">
              <w:rPr>
                <w:b/>
                <w:i/>
              </w:rPr>
              <w:t>della corrispondenza</w:t>
            </w:r>
            <w:r w:rsidRPr="00A121F2">
              <w:t xml:space="preserve"> nonché lo Stato membro </w:t>
            </w:r>
            <w:r w:rsidRPr="00A121F2">
              <w:rPr>
                <w:b/>
                <w:i/>
              </w:rPr>
              <w:t>la</w:t>
            </w:r>
            <w:r w:rsidRPr="00A121F2">
              <w:t xml:space="preserve"> cui </w:t>
            </w:r>
            <w:r w:rsidRPr="00A121F2">
              <w:rPr>
                <w:b/>
                <w:i/>
              </w:rPr>
              <w:t>banca</w:t>
            </w:r>
            <w:r w:rsidRPr="00A121F2">
              <w:t xml:space="preserve"> dati </w:t>
            </w:r>
            <w:r w:rsidRPr="00A121F2">
              <w:rPr>
                <w:b/>
                <w:i/>
              </w:rPr>
              <w:t>contiene</w:t>
            </w:r>
            <w:r w:rsidRPr="00A121F2">
              <w:t xml:space="preserve"> i dati che hanno determinato </w:t>
            </w:r>
            <w:r w:rsidRPr="00A121F2">
              <w:rPr>
                <w:b/>
                <w:i/>
              </w:rPr>
              <w:t>la corrispondenza</w:t>
            </w:r>
            <w:r w:rsidRPr="00A121F2">
              <w:t>.</w:t>
            </w:r>
          </w:p>
        </w:tc>
        <w:tc>
          <w:tcPr>
            <w:tcW w:w="4876" w:type="dxa"/>
          </w:tcPr>
          <w:p w:rsidR="00AF580A" w:rsidRPr="00A121F2" w:rsidRDefault="00AF580A" w:rsidP="00AC4477">
            <w:pPr>
              <w:pStyle w:val="Normal6"/>
              <w:rPr>
                <w:szCs w:val="24"/>
              </w:rPr>
            </w:pPr>
            <w:r w:rsidRPr="00A121F2">
              <w:t>4.</w:t>
            </w:r>
            <w:r w:rsidRPr="00A121F2">
              <w:tab/>
              <w:t>L'elenco delle corrispondenze è rinviato da EPRIS allo Stato membro richiedente</w:t>
            </w:r>
            <w:r w:rsidRPr="00A121F2">
              <w:rPr>
                <w:b/>
                <w:i/>
              </w:rPr>
              <w:t xml:space="preserve"> e a Europol</w:t>
            </w:r>
            <w:r w:rsidRPr="00A121F2">
              <w:t xml:space="preserve">. L'elenco delle corrispondenze indica la qualità </w:t>
            </w:r>
            <w:r w:rsidRPr="00A121F2">
              <w:rPr>
                <w:b/>
                <w:i/>
              </w:rPr>
              <w:t>delle corrispondenze</w:t>
            </w:r>
            <w:r w:rsidRPr="00A121F2">
              <w:t xml:space="preserve"> nonché lo Stato membro </w:t>
            </w:r>
            <w:r w:rsidRPr="00A121F2">
              <w:rPr>
                <w:b/>
                <w:bCs/>
                <w:i/>
                <w:iCs/>
              </w:rPr>
              <w:t>o gli Stati membri</w:t>
            </w:r>
            <w:r w:rsidRPr="00A121F2">
              <w:t xml:space="preserve"> </w:t>
            </w:r>
            <w:r w:rsidRPr="00A121F2">
              <w:rPr>
                <w:b/>
                <w:i/>
              </w:rPr>
              <w:t>le</w:t>
            </w:r>
            <w:r w:rsidRPr="00A121F2">
              <w:t xml:space="preserve"> cui </w:t>
            </w:r>
            <w:r w:rsidRPr="00A121F2">
              <w:rPr>
                <w:b/>
                <w:i/>
              </w:rPr>
              <w:t>banche</w:t>
            </w:r>
            <w:r w:rsidRPr="00A121F2">
              <w:t xml:space="preserve"> dati </w:t>
            </w:r>
            <w:r w:rsidRPr="00A121F2">
              <w:rPr>
                <w:b/>
                <w:i/>
              </w:rPr>
              <w:t>contengono</w:t>
            </w:r>
            <w:r w:rsidRPr="00A121F2">
              <w:t xml:space="preserve"> i dati che hanno determinato </w:t>
            </w:r>
            <w:r w:rsidRPr="00A121F2">
              <w:rPr>
                <w:b/>
                <w:i/>
              </w:rPr>
              <w:t>le corrispondenze</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44 – paragrafo 6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In seguito a conferma, lo Stato membro o gli Stati membri richiesti condividono i dati di cui all'articolo 43, se disponibili. Lo scambio di </w:t>
            </w:r>
            <w:r w:rsidRPr="00A121F2">
              <w:rPr>
                <w:b/>
                <w:bCs/>
                <w:i/>
                <w:iCs/>
              </w:rPr>
              <w:t>informazioni</w:t>
            </w:r>
            <w:r w:rsidRPr="00A121F2">
              <w:t xml:space="preserve"> ha luogo tramite SIENA.</w:t>
            </w:r>
          </w:p>
        </w:tc>
        <w:tc>
          <w:tcPr>
            <w:tcW w:w="4876" w:type="dxa"/>
          </w:tcPr>
          <w:p w:rsidR="00AF580A" w:rsidRPr="00A121F2" w:rsidRDefault="00AF580A" w:rsidP="00AC4477">
            <w:pPr>
              <w:pStyle w:val="Normal6"/>
              <w:rPr>
                <w:szCs w:val="24"/>
              </w:rPr>
            </w:pPr>
            <w:r w:rsidRPr="00A121F2">
              <w:t xml:space="preserve">In seguito a conferma, lo Stato membro o gli Stati membri richiesti condividono i dati di cui all'articolo 43, se disponibili. Lo scambio di </w:t>
            </w:r>
            <w:r w:rsidRPr="00A121F2">
              <w:rPr>
                <w:b/>
                <w:bCs/>
                <w:i/>
                <w:iCs/>
              </w:rPr>
              <w:t>dati</w:t>
            </w:r>
            <w:r w:rsidRPr="00A121F2">
              <w:t xml:space="preserve"> ha luogo tramite SIENA.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44 – paragrafo 7</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7.</w:t>
            </w:r>
            <w:r w:rsidRPr="00A121F2">
              <w:tab/>
              <w:t xml:space="preserve">La Commissione adotta </w:t>
            </w:r>
            <w:r w:rsidRPr="00A121F2">
              <w:rPr>
                <w:b/>
                <w:bCs/>
                <w:i/>
                <w:iCs/>
              </w:rPr>
              <w:t>atti</w:t>
            </w:r>
            <w:r w:rsidRPr="00A121F2">
              <w:t xml:space="preserve"> di esecuzione per specificare la procedura tecnica di interrogazione da parte di EPRIS delle banche dati degli Stati membri e il formato delle risposte. </w:t>
            </w:r>
            <w:r w:rsidRPr="00A121F2">
              <w:rPr>
                <w:b/>
                <w:bCs/>
                <w:i/>
                <w:iCs/>
              </w:rPr>
              <w:t>Tali atti</w:t>
            </w:r>
            <w:r w:rsidRPr="00A121F2">
              <w:t xml:space="preserve"> di esecuzione </w:t>
            </w:r>
            <w:r w:rsidRPr="00A121F2">
              <w:rPr>
                <w:b/>
                <w:bCs/>
                <w:i/>
                <w:iCs/>
              </w:rPr>
              <w:t>sono adottati</w:t>
            </w:r>
            <w:r w:rsidRPr="00A121F2">
              <w:t xml:space="preserve"> secondo la procedura di cui all'articolo 76, paragrafo 2.</w:t>
            </w:r>
          </w:p>
        </w:tc>
        <w:tc>
          <w:tcPr>
            <w:tcW w:w="4876" w:type="dxa"/>
          </w:tcPr>
          <w:p w:rsidR="00AF580A" w:rsidRPr="00A121F2" w:rsidRDefault="00AF580A" w:rsidP="00AC4477">
            <w:pPr>
              <w:pStyle w:val="Normal6"/>
              <w:rPr>
                <w:szCs w:val="24"/>
              </w:rPr>
            </w:pPr>
            <w:r w:rsidRPr="00A121F2">
              <w:t>7.</w:t>
            </w:r>
            <w:r w:rsidRPr="00A121F2">
              <w:tab/>
              <w:t xml:space="preserve">La Commissione adotta </w:t>
            </w:r>
            <w:r w:rsidRPr="00A121F2">
              <w:rPr>
                <w:b/>
                <w:bCs/>
                <w:i/>
                <w:iCs/>
              </w:rPr>
              <w:t>un atto</w:t>
            </w:r>
            <w:r w:rsidRPr="00A121F2">
              <w:t xml:space="preserve"> di esecuzione per specificare la procedura tecnica di interrogazione da parte di EPRIS delle banche dati degli Stati membri e il formato delle risposte. </w:t>
            </w:r>
            <w:r w:rsidRPr="00A121F2">
              <w:rPr>
                <w:b/>
                <w:bCs/>
                <w:i/>
                <w:iCs/>
              </w:rPr>
              <w:t>Tale atto</w:t>
            </w:r>
            <w:r w:rsidRPr="00A121F2">
              <w:t xml:space="preserve"> di esecuzione</w:t>
            </w:r>
            <w:r w:rsidRPr="00A121F2">
              <w:rPr>
                <w:b/>
                <w:bCs/>
                <w:i/>
                <w:iCs/>
              </w:rPr>
              <w:t xml:space="preserve"> è adottato</w:t>
            </w:r>
            <w:r w:rsidRPr="00A121F2">
              <w:t xml:space="preserve">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45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Ciascuno Stato membro conserva le registrazioni delle domande di interrogazione effettuate</w:t>
            </w:r>
            <w:r w:rsidRPr="00A121F2">
              <w:rPr>
                <w:b/>
                <w:bCs/>
                <w:i/>
                <w:iCs/>
              </w:rPr>
              <w:t xml:space="preserve"> dalle </w:t>
            </w:r>
            <w:r w:rsidRPr="00A121F2">
              <w:t xml:space="preserve">proprie autorità competenti </w:t>
            </w:r>
            <w:r w:rsidRPr="00A121F2">
              <w:rPr>
                <w:b/>
                <w:bCs/>
                <w:i/>
                <w:iCs/>
              </w:rPr>
              <w:t>e</w:t>
            </w:r>
            <w:r w:rsidRPr="00A121F2">
              <w:t xml:space="preserve"> </w:t>
            </w:r>
            <w:r w:rsidRPr="00A121F2">
              <w:rPr>
                <w:b/>
                <w:bCs/>
                <w:i/>
                <w:iCs/>
              </w:rPr>
              <w:t>dal personale di tali autorità</w:t>
            </w:r>
            <w:r w:rsidRPr="00A121F2">
              <w:t xml:space="preserve"> debitamente autorizzato a usare EPRIS. Europol conserva le registrazioni delle domande di interrogazione effettuate dal proprio personale debitamente autorizzato.</w:t>
            </w:r>
          </w:p>
        </w:tc>
        <w:tc>
          <w:tcPr>
            <w:tcW w:w="4876" w:type="dxa"/>
          </w:tcPr>
          <w:p w:rsidR="00AF580A" w:rsidRPr="00A121F2" w:rsidRDefault="00AF580A" w:rsidP="00AC4477">
            <w:pPr>
              <w:pStyle w:val="Normal6"/>
              <w:rPr>
                <w:szCs w:val="24"/>
              </w:rPr>
            </w:pPr>
            <w:r w:rsidRPr="00A121F2">
              <w:t>2.</w:t>
            </w:r>
            <w:r w:rsidRPr="00A121F2">
              <w:tab/>
              <w:t>Ciascuno Stato membro</w:t>
            </w:r>
            <w:r w:rsidRPr="00A121F2">
              <w:rPr>
                <w:b/>
                <w:bCs/>
                <w:i/>
                <w:iCs/>
              </w:rPr>
              <w:t xml:space="preserve"> partecipante</w:t>
            </w:r>
            <w:r w:rsidRPr="00A121F2">
              <w:t xml:space="preserve"> conserva le registrazioni delle domande di interrogazione effettuate </w:t>
            </w:r>
            <w:r w:rsidRPr="00A121F2">
              <w:rPr>
                <w:b/>
                <w:bCs/>
                <w:i/>
                <w:iCs/>
              </w:rPr>
              <w:t>dal personale</w:t>
            </w:r>
            <w:r w:rsidRPr="00A121F2">
              <w:t xml:space="preserve"> </w:t>
            </w:r>
            <w:r w:rsidRPr="00A121F2">
              <w:rPr>
                <w:b/>
                <w:bCs/>
                <w:i/>
                <w:iCs/>
              </w:rPr>
              <w:t xml:space="preserve">delle </w:t>
            </w:r>
            <w:r w:rsidRPr="00A121F2">
              <w:t xml:space="preserve">proprie autorità </w:t>
            </w:r>
            <w:r w:rsidRPr="00A121F2">
              <w:rPr>
                <w:b/>
                <w:bCs/>
                <w:i/>
                <w:iCs/>
              </w:rPr>
              <w:t>di contrasto</w:t>
            </w:r>
            <w:r w:rsidRPr="00A121F2">
              <w:t xml:space="preserve"> competenti debitamente autorizzato a usare EPRIS. Europol conserva le registrazioni delle domande di interrogazione effettuate dal proprio personale debitamente autorizzato.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45 – paragrafo 3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Le registrazioni sono protette dall'accesso non autorizzato con misure adeguate e sono cancellate </w:t>
            </w:r>
            <w:r w:rsidRPr="00A121F2">
              <w:rPr>
                <w:b/>
                <w:bCs/>
                <w:i/>
                <w:iCs/>
              </w:rPr>
              <w:t>un anno</w:t>
            </w:r>
            <w:r w:rsidRPr="00A121F2">
              <w:t xml:space="preserve"> dopo la loro creazione.</w:t>
            </w:r>
          </w:p>
        </w:tc>
        <w:tc>
          <w:tcPr>
            <w:tcW w:w="4876" w:type="dxa"/>
          </w:tcPr>
          <w:p w:rsidR="00AF580A" w:rsidRPr="00A121F2" w:rsidRDefault="00AF580A" w:rsidP="00AC4477">
            <w:pPr>
              <w:pStyle w:val="Normal6"/>
              <w:rPr>
                <w:szCs w:val="24"/>
              </w:rPr>
            </w:pPr>
            <w:r w:rsidRPr="00A121F2">
              <w:t>Le registrazioni sono protette dall'accesso non autorizzato con misure adeguate e sono cancellate</w:t>
            </w:r>
            <w:r w:rsidRPr="00A121F2">
              <w:rPr>
                <w:b/>
                <w:bCs/>
                <w:i/>
                <w:iCs/>
              </w:rPr>
              <w:t xml:space="preserve"> due anni</w:t>
            </w:r>
            <w:r w:rsidRPr="00A121F2">
              <w:t xml:space="preserve"> dopo la loro creazione.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46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Qualora sia tecnicamente impossibile usare EPRIS per interrogare</w:t>
            </w:r>
            <w:r w:rsidRPr="00A121F2">
              <w:rPr>
                <w:b/>
                <w:bCs/>
                <w:i/>
                <w:iCs/>
              </w:rPr>
              <w:t xml:space="preserve"> una</w:t>
            </w:r>
            <w:r w:rsidRPr="00A121F2">
              <w:t xml:space="preserve"> o più </w:t>
            </w:r>
            <w:r w:rsidRPr="00A121F2">
              <w:rPr>
                <w:b/>
                <w:bCs/>
                <w:i/>
                <w:iCs/>
              </w:rPr>
              <w:t>banche dati</w:t>
            </w:r>
            <w:r w:rsidRPr="00A121F2">
              <w:t xml:space="preserve"> nazionali a causa di un guasto dell'infrastruttura di Europol, quest'ultima ne informa gli Stati membri in modo automatizzato. Europol adotta misure per affrontare senza indugio l'impossibilità tecnica di utilizzare EPRIS.</w:t>
            </w:r>
          </w:p>
        </w:tc>
        <w:tc>
          <w:tcPr>
            <w:tcW w:w="4876" w:type="dxa"/>
          </w:tcPr>
          <w:p w:rsidR="00AF580A" w:rsidRPr="00A121F2" w:rsidRDefault="00AF580A" w:rsidP="00AC4477">
            <w:pPr>
              <w:pStyle w:val="Normal6"/>
              <w:rPr>
                <w:szCs w:val="24"/>
              </w:rPr>
            </w:pPr>
            <w:r w:rsidRPr="00A121F2">
              <w:t>1.</w:t>
            </w:r>
            <w:r w:rsidRPr="00A121F2">
              <w:tab/>
              <w:t xml:space="preserve">Qualora sia tecnicamente impossibile usare EPRIS per interrogare </w:t>
            </w:r>
            <w:r w:rsidRPr="00A121F2">
              <w:rPr>
                <w:b/>
                <w:bCs/>
                <w:i/>
                <w:iCs/>
              </w:rPr>
              <w:t>uno</w:t>
            </w:r>
            <w:r w:rsidRPr="00A121F2">
              <w:t xml:space="preserve"> o più </w:t>
            </w:r>
            <w:r w:rsidRPr="00A121F2">
              <w:rPr>
                <w:b/>
                <w:bCs/>
                <w:i/>
                <w:iCs/>
              </w:rPr>
              <w:t>indici dei casellari giudiziali</w:t>
            </w:r>
            <w:r w:rsidRPr="00A121F2">
              <w:t xml:space="preserve"> nazionali a causa di un guasto dell'infrastruttura di Europol, quest'ultima ne informa gli Stati membri in modo automatizzato. Europol adotta misure per affrontare senza indugio l'impossibilità tecnica di utilizzare EPRIS.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46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Qualora sia tecnicamente impossibile usare EPRIS per interrogare </w:t>
            </w:r>
            <w:r w:rsidRPr="00A121F2">
              <w:rPr>
                <w:b/>
                <w:bCs/>
                <w:i/>
                <w:iCs/>
              </w:rPr>
              <w:t>una</w:t>
            </w:r>
            <w:r w:rsidRPr="00A121F2">
              <w:t xml:space="preserve"> o più </w:t>
            </w:r>
            <w:r w:rsidRPr="00A121F2">
              <w:rPr>
                <w:b/>
                <w:bCs/>
                <w:i/>
                <w:iCs/>
              </w:rPr>
              <w:t>banche dati</w:t>
            </w:r>
            <w:r w:rsidRPr="00A121F2">
              <w:t xml:space="preserve"> nazionali a causa di un guasto dell'infrastruttura nazionale di uno Stato membro, quest'ultimo ne informa Europol e la Commissione in modo automatizzato. Gli Stati membri adottano misure per affrontare senza indugio l'impossibilità tecnica di utilizzare EPRIS.</w:t>
            </w:r>
          </w:p>
        </w:tc>
        <w:tc>
          <w:tcPr>
            <w:tcW w:w="4876" w:type="dxa"/>
          </w:tcPr>
          <w:p w:rsidR="00AF580A" w:rsidRPr="00A121F2" w:rsidRDefault="00AF580A" w:rsidP="00AC4477">
            <w:pPr>
              <w:pStyle w:val="Normal6"/>
              <w:rPr>
                <w:szCs w:val="24"/>
              </w:rPr>
            </w:pPr>
            <w:r w:rsidRPr="00A121F2">
              <w:t>2.</w:t>
            </w:r>
            <w:r w:rsidRPr="00A121F2">
              <w:tab/>
              <w:t xml:space="preserve">Qualora sia tecnicamente impossibile usare EPRIS per interrogare </w:t>
            </w:r>
            <w:r w:rsidRPr="00A121F2">
              <w:rPr>
                <w:b/>
                <w:bCs/>
                <w:i/>
                <w:iCs/>
              </w:rPr>
              <w:t>uno</w:t>
            </w:r>
            <w:r w:rsidRPr="00A121F2">
              <w:t xml:space="preserve"> o più </w:t>
            </w:r>
            <w:r w:rsidRPr="00A121F2">
              <w:rPr>
                <w:b/>
                <w:bCs/>
                <w:i/>
                <w:iCs/>
              </w:rPr>
              <w:t>indici dei casellari giudiziali</w:t>
            </w:r>
            <w:r w:rsidRPr="00A121F2">
              <w:t xml:space="preserve"> nazionali a causa di un guasto dell'infrastruttura nazionale di uno Stato membro, quest'ultimo ne informa </w:t>
            </w:r>
            <w:r w:rsidRPr="00A121F2">
              <w:rPr>
                <w:b/>
                <w:bCs/>
                <w:i/>
                <w:iCs/>
              </w:rPr>
              <w:t>gli altri Stati membri partecipanti,</w:t>
            </w:r>
            <w:r w:rsidRPr="00A121F2">
              <w:t xml:space="preserve"> Europol e la Commissione in modo automatizzato. Gli Stati membri adottano misure per affrontare senza indugio l'impossibilità tecnica di utilizzare EPRIS.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47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tabs>
                <w:tab w:val="center" w:pos="2098"/>
              </w:tabs>
              <w:jc w:val="left"/>
            </w:pPr>
            <w:r w:rsidRPr="00A121F2">
              <w:tab/>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Se le procedure di cui agli articoli 6, 7, 13 o 22 mostrano una corrispondenza tra i dati utilizzati per la consultazione o il confronto e i dati conservati nella banca dati dello Stato membro o degli Stati membri richiesti, e previa conferma di tale corrispondenza da parte dello Stato membro richiedente, lo Stato membro richiesto rinvia entro 24 ore una serie di dati di base tramite il router. </w:t>
            </w:r>
            <w:r w:rsidRPr="00A121F2">
              <w:rPr>
                <w:b/>
                <w:i/>
              </w:rPr>
              <w:t>Tale insieme di dati di base, se disponibile, contiene i dati seguenti:</w:t>
            </w:r>
          </w:p>
        </w:tc>
        <w:tc>
          <w:tcPr>
            <w:tcW w:w="4876" w:type="dxa"/>
          </w:tcPr>
          <w:p w:rsidR="00AF580A" w:rsidRPr="00A121F2" w:rsidRDefault="00AF580A" w:rsidP="00AC4477">
            <w:pPr>
              <w:pStyle w:val="Normal6"/>
              <w:rPr>
                <w:szCs w:val="24"/>
              </w:rPr>
            </w:pPr>
            <w:r w:rsidRPr="00A121F2">
              <w:rPr>
                <w:b/>
                <w:i/>
              </w:rPr>
              <w:t xml:space="preserve">1. </w:t>
            </w:r>
            <w:r w:rsidRPr="00A121F2">
              <w:rPr>
                <w:b/>
                <w:i/>
              </w:rPr>
              <w:tab/>
            </w:r>
            <w:r w:rsidRPr="00A121F2">
              <w:t xml:space="preserve">Se le procedure di cui agli articoli 6, 7, 13 o 22 mostrano una corrispondenza tra i dati utilizzati per la consultazione o il confronto e i dati conservati nella banca dati dello Stato membro o degli Stati membri richiesti, e previa conferma </w:t>
            </w:r>
            <w:r w:rsidRPr="00A121F2">
              <w:rPr>
                <w:b/>
                <w:bCs/>
                <w:i/>
                <w:iCs/>
              </w:rPr>
              <w:t>manuale</w:t>
            </w:r>
            <w:r w:rsidRPr="00A121F2">
              <w:t xml:space="preserve"> di tale corrispondenza da parte dello Stato membro richiedente, lo Stato membro richiesto rinvia entro 24 ore una serie di dati di base tramite il router. </w:t>
            </w:r>
            <w:r w:rsidRPr="00A121F2">
              <w:rPr>
                <w:b/>
                <w:i/>
              </w:rPr>
              <w:t>Qualora sia richiesta un'autorizzazione giudiziaria a norma del diritto nazionale, i dati di base sono restituiti entro 72 ore.</w:t>
            </w:r>
          </w:p>
        </w:tc>
      </w:tr>
      <w:tr w:rsidR="00AF580A" w:rsidRPr="00A121F2" w:rsidTr="00AC4477">
        <w:trPr>
          <w:jc w:val="center"/>
        </w:trPr>
        <w:tc>
          <w:tcPr>
            <w:tcW w:w="4876" w:type="dxa"/>
          </w:tcPr>
          <w:p w:rsidR="00AF580A" w:rsidRPr="00A121F2" w:rsidRDefault="00AF580A" w:rsidP="00AC4477">
            <w:pPr>
              <w:pStyle w:val="Normal6"/>
            </w:pPr>
            <w:r w:rsidRPr="00A121F2">
              <w:rPr>
                <w:b/>
                <w:i/>
              </w:rPr>
              <w:t>a)</w:t>
            </w:r>
            <w:r w:rsidRPr="00A121F2">
              <w:rPr>
                <w:b/>
                <w:i/>
              </w:rPr>
              <w:tab/>
              <w:t>nome/i;</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b)</w:t>
            </w:r>
            <w:r w:rsidRPr="00A121F2">
              <w:rPr>
                <w:b/>
                <w:i/>
              </w:rPr>
              <w:tab/>
              <w:t>cognome/i;</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c)</w:t>
            </w:r>
            <w:r w:rsidRPr="00A121F2">
              <w:rPr>
                <w:b/>
                <w:i/>
              </w:rPr>
              <w:tab/>
              <w:t>data di nascita;</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d)</w:t>
            </w:r>
            <w:r w:rsidRPr="00A121F2">
              <w:rPr>
                <w:b/>
                <w:i/>
              </w:rPr>
              <w:tab/>
              <w:t>cittadinanza o cittadinanze;</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e)</w:t>
            </w:r>
            <w:r w:rsidRPr="00A121F2">
              <w:rPr>
                <w:b/>
                <w:i/>
              </w:rPr>
              <w:tab/>
              <w:t>luogo e paese di nascita;</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f)</w:t>
            </w:r>
            <w:r w:rsidRPr="00A121F2">
              <w:rPr>
                <w:b/>
                <w:i/>
              </w:rPr>
              <w:tab/>
              <w:t>sesso.</w:t>
            </w:r>
          </w:p>
        </w:tc>
        <w:tc>
          <w:tcPr>
            <w:tcW w:w="4876" w:type="dxa"/>
          </w:tcPr>
          <w:p w:rsidR="00AF580A" w:rsidRPr="00A121F2" w:rsidRDefault="00AF580A" w:rsidP="00AC4477">
            <w:pPr>
              <w:pStyle w:val="Normal6"/>
              <w:rPr>
                <w:szCs w:val="24"/>
              </w:rPr>
            </w:pP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47 – paragrafo 1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1 bis. </w:t>
            </w:r>
            <w:r w:rsidRPr="00A121F2">
              <w:rPr>
                <w:b/>
                <w:i/>
              </w:rPr>
              <w:tab/>
              <w:t>Se la corrispondenza confermata riguarda dati identificati di una persona, tale insieme di dati di base, se disponibile, contiene i seguenti dati: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a) </w:t>
            </w:r>
            <w:r w:rsidRPr="00A121F2">
              <w:rPr>
                <w:b/>
                <w:i/>
              </w:rPr>
              <w:tab/>
              <w:t>nome/i;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b) </w:t>
            </w:r>
            <w:r w:rsidRPr="00A121F2">
              <w:rPr>
                <w:b/>
                <w:i/>
              </w:rPr>
              <w:tab/>
              <w:t>cognome/i;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c) </w:t>
            </w:r>
            <w:r w:rsidRPr="00A121F2">
              <w:rPr>
                <w:b/>
                <w:i/>
              </w:rPr>
              <w:tab/>
              <w:t>alias e nome/i usato/i in precedenza;</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d) </w:t>
            </w:r>
            <w:r w:rsidRPr="00A121F2">
              <w:rPr>
                <w:b/>
                <w:i/>
              </w:rPr>
              <w:tab/>
              <w:t>data di nascita;</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e) </w:t>
            </w:r>
            <w:r w:rsidRPr="00A121F2">
              <w:rPr>
                <w:b/>
                <w:i/>
              </w:rPr>
              <w:tab/>
              <w:t>cittadinanza o cittadinanze;</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f)</w:t>
            </w:r>
            <w:r w:rsidRPr="00A121F2">
              <w:rPr>
                <w:b/>
                <w:i/>
              </w:rPr>
              <w:tab/>
              <w:t xml:space="preserve"> luogo e paese di nascita;</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g) </w:t>
            </w:r>
            <w:r w:rsidRPr="00A121F2">
              <w:rPr>
                <w:b/>
                <w:i/>
              </w:rPr>
              <w:tab/>
              <w:t>genere;</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h) </w:t>
            </w:r>
            <w:r w:rsidRPr="00A121F2">
              <w:rPr>
                <w:b/>
                <w:i/>
              </w:rPr>
              <w:tab/>
              <w:t>la data e il luogo in cui i dati biometrici sono stati acquisiti;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i) </w:t>
            </w:r>
            <w:r w:rsidRPr="00A121F2">
              <w:rPr>
                <w:b/>
                <w:i/>
              </w:rPr>
              <w:tab/>
              <w:t>il reato per il quale i dati biometrici sono stati acquisiti;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j) </w:t>
            </w:r>
            <w:r w:rsidRPr="00A121F2">
              <w:rPr>
                <w:b/>
                <w:i/>
              </w:rPr>
              <w:tab/>
              <w:t>il numero della causa penale;</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k) </w:t>
            </w:r>
            <w:r w:rsidRPr="00A121F2">
              <w:rPr>
                <w:b/>
                <w:i/>
              </w:rPr>
              <w:tab/>
              <w:t xml:space="preserve">l'autorità di contrasto competente per il procedimento penale.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47 – paragrafo 1 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1 ter. </w:t>
            </w:r>
            <w:r w:rsidRPr="00A121F2">
              <w:rPr>
                <w:b/>
                <w:i/>
              </w:rPr>
              <w:tab/>
              <w:t>Se la corrispondenza confermata riguarda dati o tracce non identificati, tale insieme di dati di base, se disponibile, contiene i seguenti dati: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a) </w:t>
            </w:r>
            <w:r w:rsidRPr="00A121F2">
              <w:rPr>
                <w:b/>
                <w:i/>
              </w:rPr>
              <w:tab/>
              <w:t>la data e il luogo in cui i dati biometrici sono stati acquisiti;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b) </w:t>
            </w:r>
            <w:r w:rsidRPr="00A121F2">
              <w:rPr>
                <w:b/>
                <w:i/>
              </w:rPr>
              <w:tab/>
              <w:t>il reato per il quale sono stati acquisiti i dati biometrici;</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c) </w:t>
            </w:r>
            <w:r w:rsidRPr="00A121F2">
              <w:rPr>
                <w:b/>
                <w:i/>
              </w:rPr>
              <w:tab/>
              <w:t>il numero della causa penale;</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d) </w:t>
            </w:r>
            <w:r w:rsidRPr="00A121F2">
              <w:rPr>
                <w:b/>
                <w:i/>
              </w:rPr>
              <w:tab/>
              <w:t>l'autorità di contrasto competente per la causa penale.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159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47 – paragrafo 1 quater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1 quater. </w:t>
            </w:r>
            <w:r w:rsidRPr="00A121F2">
              <w:rPr>
                <w:b/>
                <w:i/>
              </w:rPr>
              <w:tab/>
              <w:t>La comunicazione dei dati di base da parte dello Stato membro richiesto non avviene in modo automatizzato ma è soggetta alla decisione di un essere umano, come previsto dall'articolo 11 della direttiva (UE) 2016/680.</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Articolo 48</w:t>
            </w:r>
          </w:p>
        </w:tc>
        <w:tc>
          <w:tcPr>
            <w:tcW w:w="4876" w:type="dxa"/>
          </w:tcPr>
          <w:p w:rsidR="00AF580A" w:rsidRPr="00A121F2" w:rsidRDefault="00AF580A" w:rsidP="00AC4477">
            <w:pPr>
              <w:pStyle w:val="Normal6"/>
              <w:rPr>
                <w:szCs w:val="24"/>
              </w:rPr>
            </w:pPr>
            <w:r w:rsidRPr="00A121F2">
              <w:rPr>
                <w:b/>
                <w:i/>
              </w:rPr>
              <w:t>soppresso</w:t>
            </w:r>
          </w:p>
        </w:tc>
      </w:tr>
      <w:tr w:rsidR="00AF580A" w:rsidRPr="00A121F2" w:rsidTr="00AC4477">
        <w:trPr>
          <w:jc w:val="center"/>
        </w:trPr>
        <w:tc>
          <w:tcPr>
            <w:tcW w:w="4876" w:type="dxa"/>
          </w:tcPr>
          <w:p w:rsidR="00AF580A" w:rsidRPr="00A121F2" w:rsidRDefault="00AF580A" w:rsidP="00AC4477">
            <w:pPr>
              <w:pStyle w:val="Normal6"/>
              <w:jc w:val="center"/>
            </w:pPr>
            <w:r w:rsidRPr="00A121F2">
              <w:rPr>
                <w:b/>
                <w:i/>
              </w:rPr>
              <w:t>Uso di SIENA</w:t>
            </w:r>
          </w:p>
        </w:tc>
        <w:tc>
          <w:tcPr>
            <w:tcW w:w="4876" w:type="dxa"/>
          </w:tcPr>
          <w:p w:rsidR="00AF580A" w:rsidRPr="00A121F2" w:rsidRDefault="00AF580A" w:rsidP="00AC4477">
            <w:pPr>
              <w:pStyle w:val="Normal6"/>
              <w:rPr>
                <w:szCs w:val="24"/>
              </w:rPr>
            </w:pPr>
          </w:p>
        </w:tc>
      </w:tr>
      <w:tr w:rsidR="00AF580A" w:rsidRPr="00A121F2" w:rsidTr="00AC4477">
        <w:trPr>
          <w:jc w:val="center"/>
        </w:trPr>
        <w:tc>
          <w:tcPr>
            <w:tcW w:w="4876" w:type="dxa"/>
          </w:tcPr>
          <w:p w:rsidR="00AF580A" w:rsidRPr="00A121F2" w:rsidRDefault="00AF580A" w:rsidP="00AC4477">
            <w:pPr>
              <w:pStyle w:val="Normal6"/>
            </w:pPr>
            <w:r w:rsidRPr="00A121F2">
              <w:rPr>
                <w:b/>
                <w:i/>
              </w:rPr>
              <w:t>Qualsiasi scambio non espressamente previsto dal presente regolamento tra le autorità competenti degli Stati membri o con Europol, in qualsiasi fase di ognuna delle procedure previste dal presente regolamento, avviene tramite SIENA.</w:t>
            </w:r>
          </w:p>
        </w:tc>
        <w:tc>
          <w:tcPr>
            <w:tcW w:w="4876" w:type="dxa"/>
          </w:tcPr>
          <w:p w:rsidR="00AF580A" w:rsidRPr="00A121F2" w:rsidRDefault="00AF580A" w:rsidP="00AC4477">
            <w:pPr>
              <w:pStyle w:val="Normal6"/>
              <w:rPr>
                <w:szCs w:val="24"/>
              </w:rPr>
            </w:pP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49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A norma del regolamento (UE) 2016/794, gli Stati membri hanno accesso tramite il router ai dati biometrici forniti a Europol da paesi terzi per le finalità di cui all'articolo 18, paragrafo 2, lettere a), b) e c), del medesimo regolamento, e possono consultare tali dati tramite il router.</w:t>
            </w:r>
          </w:p>
        </w:tc>
        <w:tc>
          <w:tcPr>
            <w:tcW w:w="4876" w:type="dxa"/>
          </w:tcPr>
          <w:p w:rsidR="00AF580A" w:rsidRPr="00A121F2" w:rsidRDefault="00AF580A" w:rsidP="00AC4477">
            <w:pPr>
              <w:pStyle w:val="Normal6"/>
              <w:rPr>
                <w:szCs w:val="24"/>
              </w:rPr>
            </w:pPr>
            <w:r w:rsidRPr="00A121F2">
              <w:t>1.</w:t>
            </w:r>
            <w:r w:rsidRPr="00A121F2">
              <w:tab/>
              <w:t xml:space="preserve">A norma del regolamento (UE) 2016/794, </w:t>
            </w:r>
            <w:r w:rsidRPr="00A121F2">
              <w:rPr>
                <w:b/>
                <w:i/>
              </w:rPr>
              <w:t xml:space="preserve">fatte salve le eventuali limitazioni di cui al suo articolo 19, paragrafo 2, indicate a Europol dal fornitore delle informazioni, </w:t>
            </w:r>
            <w:r w:rsidRPr="00A121F2">
              <w:t>gli Stati membri hanno accesso tramite il router ai dati biometrici forniti a Europol da</w:t>
            </w:r>
            <w:r w:rsidRPr="00A121F2">
              <w:rPr>
                <w:b/>
                <w:i/>
              </w:rPr>
              <w:t xml:space="preserve"> autorità di</w:t>
            </w:r>
            <w:r w:rsidRPr="00A121F2">
              <w:t xml:space="preserve"> paesi terzi per le finalità di cui all'articolo 18, paragrafo 2, lettere a), b) e c), del medesimo regolamento, e possono consultare tali dati tramite il router.</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49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Qualora emerga una corrispondenza tra i dati utilizzati per la consultazione e i dati Europol, è dato seguito alla </w:t>
            </w:r>
            <w:r w:rsidRPr="00A121F2">
              <w:rPr>
                <w:b/>
                <w:i/>
              </w:rPr>
              <w:t>procedura</w:t>
            </w:r>
            <w:r w:rsidRPr="00A121F2">
              <w:t xml:space="preserve"> conformemente al regolamento (UE) 2016/794.</w:t>
            </w:r>
          </w:p>
        </w:tc>
        <w:tc>
          <w:tcPr>
            <w:tcW w:w="4876" w:type="dxa"/>
          </w:tcPr>
          <w:p w:rsidR="00AF580A" w:rsidRPr="00A121F2" w:rsidRDefault="00AF580A" w:rsidP="00AC4477">
            <w:pPr>
              <w:pStyle w:val="Normal6"/>
              <w:rPr>
                <w:szCs w:val="24"/>
              </w:rPr>
            </w:pPr>
            <w:r w:rsidRPr="00A121F2">
              <w:t>2.</w:t>
            </w:r>
            <w:r w:rsidRPr="00A121F2">
              <w:tab/>
              <w:t xml:space="preserve">Qualora emerga una corrispondenza tra i dati utilizzati per la consultazione e i dati </w:t>
            </w:r>
            <w:r w:rsidRPr="00A121F2">
              <w:rPr>
                <w:b/>
                <w:i/>
              </w:rPr>
              <w:t xml:space="preserve">in possesso di </w:t>
            </w:r>
            <w:r w:rsidRPr="00A121F2">
              <w:t>Europol</w:t>
            </w:r>
            <w:r w:rsidRPr="00A121F2">
              <w:rPr>
                <w:b/>
                <w:i/>
              </w:rPr>
              <w:t xml:space="preserve"> provenienti da paesi terzi</w:t>
            </w:r>
            <w:r w:rsidRPr="00A121F2">
              <w:t xml:space="preserve">, è dato seguito alla </w:t>
            </w:r>
            <w:r w:rsidRPr="00A121F2">
              <w:rPr>
                <w:b/>
                <w:i/>
              </w:rPr>
              <w:t>ricerca</w:t>
            </w:r>
            <w:r w:rsidRPr="00A121F2">
              <w:t xml:space="preserve"> conformemente al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r>
            <w:r w:rsidRPr="00A121F2">
              <w:rPr>
                <w:b/>
                <w:i/>
              </w:rPr>
              <w:t>A</w:t>
            </w:r>
            <w:r w:rsidRPr="00A121F2">
              <w:t xml:space="preserve"> norma del regolamento (UE) 2016/794</w:t>
            </w:r>
            <w:r w:rsidRPr="00A121F2">
              <w:rPr>
                <w:b/>
                <w:i/>
              </w:rPr>
              <w:t>,</w:t>
            </w:r>
            <w:r w:rsidRPr="00A121F2">
              <w:t xml:space="preserve"> Europol ha accesso ai dati conservati dagli Stati membri nelle banche dati nazionali conformemente al presente regolamento.</w:t>
            </w:r>
          </w:p>
        </w:tc>
        <w:tc>
          <w:tcPr>
            <w:tcW w:w="4876" w:type="dxa"/>
          </w:tcPr>
          <w:p w:rsidR="00AF580A" w:rsidRPr="00A121F2" w:rsidRDefault="00AF580A" w:rsidP="00AC4477">
            <w:pPr>
              <w:pStyle w:val="Normal6"/>
              <w:rPr>
                <w:szCs w:val="24"/>
              </w:rPr>
            </w:pPr>
            <w:r w:rsidRPr="00A121F2">
              <w:t>1.</w:t>
            </w:r>
            <w:r w:rsidRPr="00A121F2">
              <w:tab/>
            </w:r>
            <w:r w:rsidRPr="00A121F2">
              <w:rPr>
                <w:b/>
                <w:i/>
              </w:rPr>
              <w:t>Se necessario per conseguire i suoi obiettivi e svolgere i suoi compiti, a</w:t>
            </w:r>
            <w:r w:rsidRPr="00A121F2">
              <w:t xml:space="preserve"> norma del regolamento (UE) 2016/794 Europol ha accesso</w:t>
            </w:r>
            <w:r w:rsidRPr="00A121F2">
              <w:rPr>
                <w:b/>
                <w:i/>
              </w:rPr>
              <w:t>, ai fini dell'articolo 18, paragrafo 2, lettere a) e c), del regolamento (UE) 2016/794,</w:t>
            </w:r>
            <w:r w:rsidRPr="00A121F2">
              <w:t xml:space="preserve"> ai dati conservati dagli Stati membri nelle banche dati</w:t>
            </w:r>
            <w:r w:rsidRPr="00A121F2">
              <w:rPr>
                <w:b/>
                <w:i/>
              </w:rPr>
              <w:t xml:space="preserve"> e negli indici dei casellari giudiziari</w:t>
            </w:r>
            <w:r w:rsidRPr="00A121F2">
              <w:t xml:space="preserve"> nazionali conformemente al presente regolamento.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Le interrogazioni di Europol effettuate usando i dati di immatricolazione dei veicoli come criterio di ricerca sono svolte tramite Eucaris.</w:t>
            </w:r>
          </w:p>
        </w:tc>
        <w:tc>
          <w:tcPr>
            <w:tcW w:w="4876" w:type="dxa"/>
          </w:tcPr>
          <w:p w:rsidR="00AF580A" w:rsidRPr="00A121F2" w:rsidRDefault="00AF580A" w:rsidP="00AC4477">
            <w:pPr>
              <w:pStyle w:val="Normal6"/>
              <w:rPr>
                <w:szCs w:val="24"/>
              </w:rPr>
            </w:pPr>
            <w:r w:rsidRPr="00A121F2">
              <w:t>3.</w:t>
            </w:r>
            <w:r w:rsidRPr="00A121F2">
              <w:tab/>
              <w:t xml:space="preserve">Le interrogazioni di Europol effettuate usando i dati di immatricolazione dei veicoli </w:t>
            </w:r>
            <w:r w:rsidRPr="00A121F2">
              <w:rPr>
                <w:b/>
                <w:i/>
              </w:rPr>
              <w:t xml:space="preserve">di cui all'articolo 18 </w:t>
            </w:r>
            <w:r w:rsidRPr="00A121F2">
              <w:t>come criterio di ricerca sono svolte tramite Eucaris.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4</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4.</w:t>
            </w:r>
            <w:r w:rsidRPr="00A121F2">
              <w:tab/>
              <w:t xml:space="preserve">Le interrogazioni di Europol effettuate usando i </w:t>
            </w:r>
            <w:r w:rsidRPr="00A121F2">
              <w:rPr>
                <w:b/>
                <w:i/>
              </w:rPr>
              <w:t>casellari giudiziali</w:t>
            </w:r>
            <w:r w:rsidRPr="00A121F2">
              <w:t xml:space="preserve"> come criterio di ricerca sono svolte utilizzando EPRIS.</w:t>
            </w:r>
          </w:p>
        </w:tc>
        <w:tc>
          <w:tcPr>
            <w:tcW w:w="4876" w:type="dxa"/>
          </w:tcPr>
          <w:p w:rsidR="00AF580A" w:rsidRPr="00A121F2" w:rsidRDefault="00AF580A" w:rsidP="00AC4477">
            <w:pPr>
              <w:pStyle w:val="Normal6"/>
              <w:rPr>
                <w:szCs w:val="24"/>
              </w:rPr>
            </w:pPr>
            <w:r w:rsidRPr="00A121F2">
              <w:t>4.</w:t>
            </w:r>
            <w:r w:rsidRPr="00A121F2">
              <w:tab/>
              <w:t xml:space="preserve">Le interrogazioni di Europol effettuate usando i </w:t>
            </w:r>
            <w:r w:rsidRPr="00A121F2">
              <w:rPr>
                <w:b/>
                <w:i/>
              </w:rPr>
              <w:t>dati anagrafici di indagati e condannati, di cui agli articoli 25 e 26,</w:t>
            </w:r>
            <w:r w:rsidRPr="00A121F2">
              <w:t xml:space="preserve"> come criterio di ricerca sono svolte utilizzando EPRIS.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5</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5.</w:t>
            </w:r>
            <w:r w:rsidRPr="00A121F2">
              <w:rPr>
                <w:b/>
                <w:i/>
              </w:rPr>
              <w:tab/>
              <w:t>Europol effettua le consultazioni a norma del paragrafo 1 soltanto nell'espletamento dei suoi compiti di cui al regolamento (UE) 2016/794.</w:t>
            </w:r>
          </w:p>
        </w:tc>
        <w:tc>
          <w:tcPr>
            <w:tcW w:w="4876" w:type="dxa"/>
          </w:tcPr>
          <w:p w:rsidR="00AF580A" w:rsidRPr="00A121F2" w:rsidRDefault="00AF580A" w:rsidP="00AC4477">
            <w:pPr>
              <w:pStyle w:val="Normal6"/>
              <w:rPr>
                <w:szCs w:val="24"/>
              </w:rPr>
            </w:pPr>
            <w:r w:rsidRPr="00A121F2">
              <w:rPr>
                <w:b/>
                <w:i/>
              </w:rPr>
              <w:t>soppresso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6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6.</w:t>
            </w:r>
            <w:r w:rsidRPr="00A121F2">
              <w:tab/>
              <w:t>Se le procedure di cui agli articoli 6, 7, 13 o 22 mostrano una corrispondenza tra i dati utilizzati per la consultazione o il confronto e i dati conservati nella banca dati nazionale dello Stato membro o degli Stati membri richiesti, e previa conferma di tale corrispondenza da parte di Europol, lo Stato membro richiesto decide entro 24 ore se rinviare una serie di dati di base tramite il router. Tale insieme di dati di base, se disponibile, contiene i dati seguenti:</w:t>
            </w:r>
          </w:p>
        </w:tc>
        <w:tc>
          <w:tcPr>
            <w:tcW w:w="4876" w:type="dxa"/>
          </w:tcPr>
          <w:p w:rsidR="00AF580A" w:rsidRPr="00A121F2" w:rsidRDefault="00AF580A" w:rsidP="00AC4477">
            <w:pPr>
              <w:pStyle w:val="Normal6"/>
              <w:rPr>
                <w:szCs w:val="24"/>
              </w:rPr>
            </w:pPr>
            <w:r w:rsidRPr="00A121F2">
              <w:t>6.</w:t>
            </w:r>
            <w:r w:rsidRPr="00A121F2">
              <w:tab/>
              <w:t xml:space="preserve">Se le procedure di cui agli articoli 6, 7, 13 o 22 mostrano una corrispondenza tra i dati utilizzati per la consultazione o il confronto e i dati conservati nella banca dati nazionale dello Stato membro o degli Stati membri richiesti, e previa conferma </w:t>
            </w:r>
            <w:r w:rsidRPr="00A121F2">
              <w:rPr>
                <w:b/>
                <w:i/>
              </w:rPr>
              <w:t xml:space="preserve">manuale </w:t>
            </w:r>
            <w:r w:rsidRPr="00A121F2">
              <w:t xml:space="preserve">di tale corrispondenza da parte di Europol, lo Stato membro richiesto decide entro 24 ore se rinviare una serie di dati di base tramite il router. </w:t>
            </w:r>
            <w:r w:rsidRPr="00A121F2">
              <w:rPr>
                <w:b/>
                <w:i/>
              </w:rPr>
              <w:t>Qualora sia richiesta un'autorizzazione giudiziaria a norma del diritto nazionale, i dati di base sono restituiti entro 72 ore.</w:t>
            </w:r>
            <w:r w:rsidRPr="00A121F2">
              <w:t xml:space="preserve"> Tale insieme di dati di base, se disponibile, contiene i dati seguenti: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50 – paragrafo 7</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7.</w:t>
            </w:r>
            <w:r w:rsidRPr="00A121F2">
              <w:tab/>
              <w:t>L'utilizzo da parte di Europol delle informazioni ottenute da una consultazione effettuata a norma del paragrafo 1 e dallo scambio di dati fondamentali a norma del paragrafo 6 è soggetto al consenso dello Stato membro nella cui banca dati è stata riscontrata la corrispondenza. Se lo Stato membro acconsente all'uso di tali informazioni, il loro trattamento da parte di Europol è disciplinato dal regolamento (UE) 2016/794.</w:t>
            </w:r>
          </w:p>
        </w:tc>
        <w:tc>
          <w:tcPr>
            <w:tcW w:w="4876" w:type="dxa"/>
          </w:tcPr>
          <w:p w:rsidR="00AF580A" w:rsidRPr="00A121F2" w:rsidRDefault="00AF580A" w:rsidP="00AC4477">
            <w:pPr>
              <w:pStyle w:val="Normal6"/>
              <w:rPr>
                <w:szCs w:val="24"/>
              </w:rPr>
            </w:pPr>
            <w:r w:rsidRPr="00A121F2">
              <w:rPr>
                <w:i/>
              </w:rPr>
              <w:t>(Non concerne la versione italiana)</w:t>
            </w:r>
            <w:r w:rsidRPr="00A121F2">
              <w:tab/>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169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titolo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Finalità dei dati</w:t>
            </w:r>
          </w:p>
        </w:tc>
        <w:tc>
          <w:tcPr>
            <w:tcW w:w="4876" w:type="dxa"/>
          </w:tcPr>
          <w:p w:rsidR="00AF580A" w:rsidRPr="00A121F2" w:rsidRDefault="00AF580A" w:rsidP="00AC4477">
            <w:pPr>
              <w:pStyle w:val="Normal6"/>
              <w:rPr>
                <w:szCs w:val="24"/>
              </w:rPr>
            </w:pPr>
            <w:r w:rsidRPr="00A121F2">
              <w:t xml:space="preserve">Finalità </w:t>
            </w:r>
            <w:r w:rsidRPr="00A121F2">
              <w:rPr>
                <w:b/>
                <w:i/>
              </w:rPr>
              <w:t xml:space="preserve">del trattamento </w:t>
            </w:r>
            <w:r w:rsidRPr="00A121F2">
              <w:t>dei dati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Lo Stato membro richiedente o Europol può trattare i dati personali solamente ai fini per i quali i dati sono stati trasmessi dallo Stato membro richiesto</w:t>
            </w:r>
            <w:r w:rsidRPr="00A121F2">
              <w:rPr>
                <w:b/>
                <w:i/>
              </w:rPr>
              <w:t xml:space="preserve"> a norma del presente regolamento</w:t>
            </w:r>
            <w:r w:rsidRPr="00A121F2">
              <w:t>. Il trattamento per altri fini è consentito esclusivamente previa autorizzazione dello Stato membro richiesto.</w:t>
            </w:r>
          </w:p>
        </w:tc>
        <w:tc>
          <w:tcPr>
            <w:tcW w:w="4876" w:type="dxa"/>
          </w:tcPr>
          <w:p w:rsidR="00AF580A" w:rsidRPr="00A121F2" w:rsidRDefault="00AF580A" w:rsidP="00AC4477">
            <w:pPr>
              <w:pStyle w:val="Normal6"/>
              <w:rPr>
                <w:szCs w:val="24"/>
              </w:rPr>
            </w:pPr>
            <w:r w:rsidRPr="00A121F2">
              <w:tab/>
              <w:t xml:space="preserve">Lo Stato membro richiedente o Europol può trattare i dati personali </w:t>
            </w:r>
            <w:r w:rsidRPr="00A121F2">
              <w:rPr>
                <w:b/>
                <w:i/>
              </w:rPr>
              <w:t xml:space="preserve">ricevuti </w:t>
            </w:r>
            <w:r w:rsidRPr="00A121F2">
              <w:t>solamente ai fini per i quali i dati sono stati trasmessi dallo Stato membro richiesto. Il trattamento per altri fini è consentito esclusivamente previa autorizzazione dello Stato membro richiesto</w:t>
            </w:r>
            <w:r w:rsidRPr="00A121F2">
              <w:rPr>
                <w:b/>
                <w:i/>
              </w:rPr>
              <w:t xml:space="preserve"> o di Europol, a seconda dei casi</w:t>
            </w:r>
            <w:r w:rsidRPr="00A121F2">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Il trattamento dei dati trasmessi a norma degli articoli 6, 7, 13, 18 </w:t>
            </w:r>
            <w:r w:rsidRPr="00A121F2">
              <w:rPr>
                <w:b/>
                <w:bCs/>
                <w:i/>
                <w:iCs/>
              </w:rPr>
              <w:t>o</w:t>
            </w:r>
            <w:r w:rsidRPr="00A121F2">
              <w:t xml:space="preserve"> 22, da parte dello Stato membro </w:t>
            </w:r>
            <w:r w:rsidRPr="00A121F2">
              <w:rPr>
                <w:b/>
                <w:i/>
              </w:rPr>
              <w:t>che effettua la consultazione</w:t>
            </w:r>
            <w:r w:rsidRPr="00A121F2">
              <w:t xml:space="preserve"> o </w:t>
            </w:r>
            <w:r w:rsidRPr="00A121F2">
              <w:rPr>
                <w:b/>
                <w:i/>
              </w:rPr>
              <w:t>il confronto</w:t>
            </w:r>
            <w:r w:rsidRPr="00A121F2">
              <w:t xml:space="preserve"> è autorizzato esclusivamente allo scopo di:</w:t>
            </w:r>
          </w:p>
        </w:tc>
        <w:tc>
          <w:tcPr>
            <w:tcW w:w="4876" w:type="dxa"/>
          </w:tcPr>
          <w:p w:rsidR="00AF580A" w:rsidRPr="00A121F2" w:rsidRDefault="00AF580A" w:rsidP="00AC4477">
            <w:pPr>
              <w:pStyle w:val="Normal6"/>
              <w:rPr>
                <w:szCs w:val="24"/>
              </w:rPr>
            </w:pPr>
            <w:r w:rsidRPr="00A121F2">
              <w:t>2.</w:t>
            </w:r>
            <w:r w:rsidRPr="00A121F2">
              <w:tab/>
              <w:t>Il trattamento dei dati trasmessi a norma degli articoli 6, 7, 13, 18</w:t>
            </w:r>
            <w:r w:rsidRPr="00A121F2">
              <w:rPr>
                <w:b/>
                <w:i/>
              </w:rPr>
              <w:t xml:space="preserve">, </w:t>
            </w:r>
            <w:r w:rsidRPr="00A121F2">
              <w:t xml:space="preserve">22 </w:t>
            </w:r>
            <w:r w:rsidRPr="00A121F2">
              <w:rPr>
                <w:b/>
                <w:bCs/>
                <w:i/>
                <w:iCs/>
              </w:rPr>
              <w:t>o</w:t>
            </w:r>
            <w:r w:rsidRPr="00A121F2">
              <w:t xml:space="preserve"> </w:t>
            </w:r>
            <w:r w:rsidRPr="00A121F2">
              <w:rPr>
                <w:b/>
                <w:i/>
              </w:rPr>
              <w:t>26</w:t>
            </w:r>
            <w:r w:rsidRPr="00A121F2">
              <w:t xml:space="preserve">, da parte dello Stato membro </w:t>
            </w:r>
            <w:r w:rsidRPr="00A121F2">
              <w:rPr>
                <w:b/>
                <w:i/>
              </w:rPr>
              <w:t>richiedente</w:t>
            </w:r>
            <w:r w:rsidRPr="00A121F2">
              <w:t xml:space="preserve"> o </w:t>
            </w:r>
            <w:r w:rsidRPr="00A121F2">
              <w:rPr>
                <w:b/>
                <w:i/>
              </w:rPr>
              <w:t>di Europol</w:t>
            </w:r>
            <w:r w:rsidRPr="00A121F2">
              <w:t xml:space="preserve"> è autorizzato esclusivamente </w:t>
            </w:r>
            <w:r w:rsidRPr="00A121F2">
              <w:rPr>
                <w:b/>
                <w:i/>
              </w:rPr>
              <w:t xml:space="preserve">ove necessario </w:t>
            </w:r>
            <w:r w:rsidRPr="00A121F2">
              <w:t xml:space="preserve">allo scopo di: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2 – lettera a bis (nuova)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a bis)</w:t>
            </w:r>
            <w:r w:rsidRPr="00A121F2">
              <w:rPr>
                <w:b/>
                <w:i/>
              </w:rPr>
              <w:tab/>
              <w:t>scambiare una serie di dati di base conformemente all'articolo 47;</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2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 xml:space="preserve">predisporre e introdurre una domanda di assistenza </w:t>
            </w:r>
            <w:r w:rsidRPr="00A121F2">
              <w:rPr>
                <w:b/>
                <w:i/>
              </w:rPr>
              <w:t>giudiziaria</w:t>
            </w:r>
            <w:r w:rsidRPr="00A121F2">
              <w:t xml:space="preserve"> da parte delle autorità di polizia in caso di corrispondenza tra i dati;</w:t>
            </w:r>
          </w:p>
        </w:tc>
        <w:tc>
          <w:tcPr>
            <w:tcW w:w="4876" w:type="dxa"/>
          </w:tcPr>
          <w:p w:rsidR="00AF580A" w:rsidRPr="00A121F2" w:rsidRDefault="00AF580A" w:rsidP="00AC4477">
            <w:pPr>
              <w:pStyle w:val="Normal6"/>
              <w:rPr>
                <w:szCs w:val="24"/>
              </w:rPr>
            </w:pPr>
            <w:r w:rsidRPr="00A121F2">
              <w:t>b)</w:t>
            </w:r>
            <w:r w:rsidRPr="00A121F2">
              <w:tab/>
              <w:t xml:space="preserve">predisporre e introdurre una domanda di assistenza </w:t>
            </w:r>
            <w:r w:rsidRPr="00A121F2">
              <w:rPr>
                <w:b/>
                <w:i/>
              </w:rPr>
              <w:t>legale</w:t>
            </w:r>
            <w:r w:rsidRPr="00A121F2">
              <w:t xml:space="preserve"> da parte delle autorità di polizia</w:t>
            </w:r>
            <w:r w:rsidRPr="00A121F2">
              <w:rPr>
                <w:b/>
                <w:i/>
              </w:rPr>
              <w:t xml:space="preserve"> o giudiziarie</w:t>
            </w:r>
            <w:r w:rsidRPr="00A121F2">
              <w:t xml:space="preserve"> in caso di corrispondenza tra i dati;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2 – lettera c</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c)</w:t>
            </w:r>
            <w:r w:rsidRPr="00A121F2">
              <w:tab/>
              <w:t>conservare registrazioni a norma degli articoli 40 e 45.</w:t>
            </w:r>
          </w:p>
        </w:tc>
        <w:tc>
          <w:tcPr>
            <w:tcW w:w="4876" w:type="dxa"/>
          </w:tcPr>
          <w:p w:rsidR="00AF580A" w:rsidRPr="00A121F2" w:rsidRDefault="00AF580A" w:rsidP="00AC4477">
            <w:pPr>
              <w:pStyle w:val="Normal6"/>
              <w:rPr>
                <w:szCs w:val="24"/>
              </w:rPr>
            </w:pPr>
            <w:r w:rsidRPr="00A121F2">
              <w:t>c)</w:t>
            </w:r>
            <w:r w:rsidRPr="00A121F2">
              <w:tab/>
              <w:t xml:space="preserve">conservare registrazioni a norma degli articoli </w:t>
            </w:r>
            <w:r w:rsidRPr="00A121F2">
              <w:rPr>
                <w:b/>
                <w:i/>
              </w:rPr>
              <w:t xml:space="preserve">20, </w:t>
            </w:r>
            <w:r w:rsidRPr="00A121F2">
              <w:t>40 e 45.</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51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r>
            <w:r w:rsidRPr="00A121F2">
              <w:rPr>
                <w:b/>
                <w:i/>
              </w:rPr>
              <w:t xml:space="preserve">Lo Stato membro richiedente può trattare i dati fornitigli a norma degli articoli 6, 7, 13 o 22 solo se necessario ai fini del presente regolamento. </w:t>
            </w:r>
            <w:r w:rsidRPr="00A121F2">
              <w:t xml:space="preserve">Al termine del confronto o della risposta automatizzata alle consultazioni, i dati </w:t>
            </w:r>
            <w:r w:rsidRPr="00A121F2">
              <w:rPr>
                <w:b/>
                <w:i/>
              </w:rPr>
              <w:t>trasmessi</w:t>
            </w:r>
            <w:r w:rsidRPr="00A121F2">
              <w:t xml:space="preserve"> sono immediatamente cancellati a meno che non sia necessario un ulteriore trattamento da parte dello Stato membro richiedente a fini di prevenzione, indagine e accertamento di reati.</w:t>
            </w:r>
          </w:p>
        </w:tc>
        <w:tc>
          <w:tcPr>
            <w:tcW w:w="4876" w:type="dxa"/>
          </w:tcPr>
          <w:p w:rsidR="00AF580A" w:rsidRPr="00A121F2" w:rsidRDefault="00AF580A" w:rsidP="00AC4477">
            <w:pPr>
              <w:pStyle w:val="Normal6"/>
              <w:rPr>
                <w:szCs w:val="24"/>
              </w:rPr>
            </w:pPr>
            <w:r w:rsidRPr="00A121F2">
              <w:t>3.</w:t>
            </w:r>
            <w:r w:rsidRPr="00A121F2">
              <w:tab/>
              <w:t xml:space="preserve">Al termine del confronto o della risposta automatizzata alle consultazioni, i dati </w:t>
            </w:r>
            <w:r w:rsidRPr="00A121F2">
              <w:rPr>
                <w:b/>
                <w:i/>
              </w:rPr>
              <w:t>personali ricevuti dallo Stato membro richiedente o da Europol</w:t>
            </w:r>
            <w:r w:rsidRPr="00A121F2">
              <w:t xml:space="preserve"> sono immediatamente cancellati a meno che non sia necessario un ulteriore trattamento da parte dello Stato membro richiedente a fini di prevenzione, indagine e accertamento di reati.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52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Gli Stati assicurano l'esattezza e l'attualità dei dati personali. Qualora uno Stato membro richiesto venga a conoscenza del fatto che sono stati forniti dati inesatti o dati che non avrebbero dovuto essere stati trasmessi, ogni Stato membro richiedente ne è informato quanto prima. Tutti gli Stati membri richiedenti interessati sono tenuti a rettificare o cancellare i dati di conseguenza. I dati personali trasmessi sono rettificati se risultano inesatti. Lo Stato membro richiedente </w:t>
            </w:r>
            <w:r w:rsidRPr="00A121F2">
              <w:rPr>
                <w:b/>
                <w:i/>
              </w:rPr>
              <w:t>che</w:t>
            </w:r>
            <w:r w:rsidRPr="00A121F2">
              <w:t xml:space="preserve"> ha motivo di ritenere che i dati trasmessi siano inesatti o che debbano essere cancellati ne informa immediatamente lo Stato membro richiesto.</w:t>
            </w:r>
          </w:p>
        </w:tc>
        <w:tc>
          <w:tcPr>
            <w:tcW w:w="4876" w:type="dxa"/>
          </w:tcPr>
          <w:p w:rsidR="00AF580A" w:rsidRPr="00A121F2" w:rsidRDefault="00AF580A" w:rsidP="00AC4477">
            <w:pPr>
              <w:pStyle w:val="Normal6"/>
              <w:rPr>
                <w:szCs w:val="24"/>
              </w:rPr>
            </w:pPr>
            <w:r w:rsidRPr="00A121F2">
              <w:t>1.</w:t>
            </w:r>
            <w:r w:rsidRPr="00A121F2">
              <w:tab/>
              <w:t xml:space="preserve">Gli Stati </w:t>
            </w:r>
            <w:r w:rsidRPr="00A121F2">
              <w:rPr>
                <w:b/>
                <w:i/>
              </w:rPr>
              <w:t xml:space="preserve">membri ed Europol </w:t>
            </w:r>
            <w:r w:rsidRPr="00A121F2">
              <w:t>assicurano l'esattezza e l'attualità dei dati personali</w:t>
            </w:r>
            <w:r w:rsidRPr="00A121F2">
              <w:rPr>
                <w:b/>
                <w:i/>
              </w:rPr>
              <w:t xml:space="preserve"> trattati ai sensi del presente regolamento</w:t>
            </w:r>
            <w:r w:rsidRPr="00A121F2">
              <w:t xml:space="preserve">. Qualora uno Stato membro richiesto </w:t>
            </w:r>
            <w:r w:rsidRPr="00A121F2">
              <w:rPr>
                <w:b/>
                <w:i/>
              </w:rPr>
              <w:t xml:space="preserve">o Europol </w:t>
            </w:r>
            <w:r w:rsidRPr="00A121F2">
              <w:t xml:space="preserve">venga a conoscenza del fatto che sono stati forniti dati inesatti o dati che non avrebbero dovuto essere stati trasmessi, ogni Stato membro richiedente ne è informato quanto prima. Tutti gli Stati membri richiedenti interessati sono tenuti a rettificare o cancellare i dati di conseguenza </w:t>
            </w:r>
            <w:r w:rsidRPr="00A121F2">
              <w:rPr>
                <w:b/>
                <w:i/>
              </w:rPr>
              <w:t>senza indebito ritardo</w:t>
            </w:r>
            <w:r w:rsidRPr="00A121F2">
              <w:t xml:space="preserve">. I dati personali trasmessi sono rettificati se risultano inesatti. Lo Stato membro richiedente </w:t>
            </w:r>
            <w:r w:rsidRPr="00A121F2">
              <w:rPr>
                <w:b/>
                <w:i/>
              </w:rPr>
              <w:t>o Europol, se</w:t>
            </w:r>
            <w:r w:rsidRPr="00A121F2">
              <w:t xml:space="preserve"> ha motivo di ritenere che i dati trasmessi siano inesatti o che debbano essere cancellati</w:t>
            </w:r>
            <w:r w:rsidRPr="00A121F2">
              <w:rPr>
                <w:b/>
                <w:i/>
              </w:rPr>
              <w:t>,</w:t>
            </w:r>
            <w:r w:rsidRPr="00A121F2">
              <w:t xml:space="preserve"> ne informa immediatamente lo Stato membro richiesto.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52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Qualora l'interessato contesti l'esattezza dei dati in possesso di uno Stato membro, qualora lo Stato membro non sia in grado di accertarne l'esattezza in modo attendibile e qualora ciò sia richiesto dall'interessato, i dati in questione sono contrassegnati da un indicatore di validità ("flag"). Nei casi in cui è apposto l'indicatore di validità, gli Stati membri possono toglierlo solo con il consenso dell'interessato o su decisione dell'organo giurisdizionale competente o dell'autorità </w:t>
            </w:r>
            <w:r w:rsidRPr="00A121F2">
              <w:rPr>
                <w:b/>
                <w:i/>
              </w:rPr>
              <w:t>indipendente</w:t>
            </w:r>
            <w:r w:rsidRPr="00A121F2">
              <w:t xml:space="preserve"> di protezione dei dati.</w:t>
            </w:r>
          </w:p>
        </w:tc>
        <w:tc>
          <w:tcPr>
            <w:tcW w:w="4876" w:type="dxa"/>
          </w:tcPr>
          <w:p w:rsidR="00AF580A" w:rsidRPr="00A121F2" w:rsidRDefault="00AF580A" w:rsidP="00AC4477">
            <w:pPr>
              <w:pStyle w:val="Normal6"/>
              <w:rPr>
                <w:szCs w:val="24"/>
              </w:rPr>
            </w:pPr>
            <w:r w:rsidRPr="00A121F2">
              <w:t>2.</w:t>
            </w:r>
            <w:r w:rsidRPr="00A121F2">
              <w:tab/>
              <w:t>Qualora l'interessato contesti l'esattezza dei dati in possesso di uno Stato membro</w:t>
            </w:r>
            <w:r w:rsidRPr="00A121F2">
              <w:rPr>
                <w:b/>
                <w:i/>
              </w:rPr>
              <w:t xml:space="preserve"> o di Europol</w:t>
            </w:r>
            <w:r w:rsidRPr="00A121F2">
              <w:t>, qualora lo Stato membro</w:t>
            </w:r>
            <w:r w:rsidRPr="00A121F2">
              <w:rPr>
                <w:b/>
                <w:i/>
              </w:rPr>
              <w:t xml:space="preserve"> o Europol</w:t>
            </w:r>
            <w:r w:rsidRPr="00A121F2">
              <w:t xml:space="preserve"> non sia in grado di accertarne l'esattezza in modo attendibile e qualora ciò sia richiesto dall'interessato, i dati in questione sono contrassegnati da un indicatore di validità ("flag"). Nei casi in cui è apposto l'indicatore di validità, gli Stati membri </w:t>
            </w:r>
            <w:r w:rsidRPr="00A121F2">
              <w:rPr>
                <w:b/>
                <w:i/>
              </w:rPr>
              <w:t xml:space="preserve">o Europol </w:t>
            </w:r>
            <w:r w:rsidRPr="00A121F2">
              <w:t xml:space="preserve">possono toglierlo solo con il consenso dell'interessato o su decisione dell'organo giurisdizionale competente o dell'autorità </w:t>
            </w:r>
            <w:r w:rsidRPr="00A121F2">
              <w:rPr>
                <w:b/>
                <w:i/>
              </w:rPr>
              <w:t>nazionale</w:t>
            </w:r>
            <w:r w:rsidRPr="00A121F2">
              <w:t xml:space="preserve"> di </w:t>
            </w:r>
            <w:r w:rsidRPr="00A121F2">
              <w:rPr>
                <w:b/>
                <w:i/>
              </w:rPr>
              <w:t xml:space="preserve">controllo o del Garante europeo della </w:t>
            </w:r>
            <w:r w:rsidRPr="00A121F2">
              <w:t>protezione dei dati</w:t>
            </w:r>
            <w:r w:rsidRPr="00A121F2">
              <w:rPr>
                <w:b/>
                <w:i/>
              </w:rPr>
              <w:t>, a seconda dei casi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52 – paragrafo 3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al termine del periodo massimo di conservazione dei dati a norma del diritto nazionale dello Stato membro richiesto, qualora quest'ultimo abbia indicato tale periodo massimo allo Stato membro richiedente all'atto della trasmissione.</w:t>
            </w:r>
          </w:p>
        </w:tc>
        <w:tc>
          <w:tcPr>
            <w:tcW w:w="4876" w:type="dxa"/>
          </w:tcPr>
          <w:p w:rsidR="00AF580A" w:rsidRPr="00A121F2" w:rsidRDefault="00AF580A" w:rsidP="00AC4477">
            <w:pPr>
              <w:pStyle w:val="Normal6"/>
              <w:rPr>
                <w:szCs w:val="24"/>
              </w:rPr>
            </w:pPr>
            <w:r w:rsidRPr="00A121F2">
              <w:t>b)</w:t>
            </w:r>
            <w:r w:rsidRPr="00A121F2">
              <w:tab/>
              <w:t xml:space="preserve">al termine del periodo massimo di conservazione dei dati a norma del diritto nazionale dello Stato membro richiesto, qualora quest'ultimo </w:t>
            </w:r>
            <w:r w:rsidRPr="00A121F2">
              <w:rPr>
                <w:b/>
                <w:i/>
              </w:rPr>
              <w:t xml:space="preserve">o Europol </w:t>
            </w:r>
            <w:r w:rsidRPr="00A121F2">
              <w:t>abbia indicato tale periodo massimo allo Stato membro richiedente all'atto della trasmissione.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179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52 – paragrafo 3 – lettera b bis (nuova)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b bis)</w:t>
            </w:r>
            <w:r w:rsidRPr="00A121F2">
              <w:rPr>
                <w:b/>
                <w:i/>
              </w:rPr>
              <w:tab/>
              <w:t>dopo la scadenza del periodo massimo di conservazione dei dati di cui al regolamento (UE) 2016/794.</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52 – paragrafo 3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 dati sono </w:t>
            </w:r>
            <w:r w:rsidRPr="00A121F2">
              <w:rPr>
                <w:b/>
                <w:i/>
              </w:rPr>
              <w:t>bloccati</w:t>
            </w:r>
            <w:r w:rsidRPr="00A121F2">
              <w:t xml:space="preserve">, e non cancellati, quando vi sono motivi di ritenere che la loro cancellazione pregiudicherebbe gli interessi dell'interessato. I dati </w:t>
            </w:r>
            <w:r w:rsidRPr="00A121F2">
              <w:rPr>
                <w:b/>
                <w:i/>
              </w:rPr>
              <w:t>bloccati possono essere utilizzati o trasmessi</w:t>
            </w:r>
            <w:r w:rsidRPr="00A121F2">
              <w:t xml:space="preserve"> solo per le finalità che ne hanno impedito la cancellazione.</w:t>
            </w:r>
          </w:p>
        </w:tc>
        <w:tc>
          <w:tcPr>
            <w:tcW w:w="4876" w:type="dxa"/>
          </w:tcPr>
          <w:p w:rsidR="00AF580A" w:rsidRPr="00A121F2" w:rsidRDefault="00AF580A" w:rsidP="00AC4477">
            <w:pPr>
              <w:pStyle w:val="Normal6"/>
              <w:rPr>
                <w:szCs w:val="24"/>
              </w:rPr>
            </w:pPr>
            <w:r w:rsidRPr="00A121F2">
              <w:t xml:space="preserve">I dati sono </w:t>
            </w:r>
            <w:r w:rsidRPr="00A121F2">
              <w:rPr>
                <w:b/>
                <w:i/>
              </w:rPr>
              <w:t>limitati</w:t>
            </w:r>
            <w:r w:rsidRPr="00A121F2">
              <w:t xml:space="preserve">, e non cancellati, quando vi sono motivi di ritenere che la loro cancellazione pregiudicherebbe gli interessi dell'interessato. I dati </w:t>
            </w:r>
            <w:r w:rsidRPr="00A121F2">
              <w:rPr>
                <w:b/>
                <w:i/>
              </w:rPr>
              <w:t>limitati sono trattati</w:t>
            </w:r>
            <w:r w:rsidRPr="00A121F2">
              <w:t xml:space="preserve"> solo per le finalità che ne hanno impedito la cancellazione.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53 – paragrafo 2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bis.</w:t>
            </w:r>
            <w:r w:rsidRPr="00A121F2">
              <w:rPr>
                <w:b/>
                <w:i/>
              </w:rPr>
              <w:tab/>
              <w:t>Gli Stati membri sono i responsabili del trattamento dei dati personali tramite Eucaris.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54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Europol, eu-LISA e le autorità degli Stati membri garantiscono la sicurezza del trattamento dei dati personali svolto ai sensi del presente regolamento. Europol, eu-LISA e le autorità degli Stati membri cooperano nei compiti relativi alla sicurezza.</w:t>
            </w:r>
          </w:p>
        </w:tc>
        <w:tc>
          <w:tcPr>
            <w:tcW w:w="4876" w:type="dxa"/>
          </w:tcPr>
          <w:p w:rsidR="00AF580A" w:rsidRPr="00A121F2" w:rsidRDefault="00AF580A" w:rsidP="00AC4477">
            <w:pPr>
              <w:pStyle w:val="Normal6"/>
              <w:rPr>
                <w:szCs w:val="24"/>
              </w:rPr>
            </w:pPr>
            <w:r w:rsidRPr="00A121F2">
              <w:t>1.</w:t>
            </w:r>
            <w:r w:rsidRPr="00A121F2">
              <w:tab/>
              <w:t xml:space="preserve">Europol, eu-LISA e le autorità </w:t>
            </w:r>
            <w:r w:rsidRPr="00A121F2">
              <w:rPr>
                <w:b/>
                <w:i/>
              </w:rPr>
              <w:t xml:space="preserve">di contrasto competenti </w:t>
            </w:r>
            <w:r w:rsidRPr="00A121F2">
              <w:t>degli Stati membri garantiscono la sicurezza del trattamento dei dati personali svolto ai sensi del presente regolamento. Europol, eu-LISA e le autorità</w:t>
            </w:r>
            <w:r w:rsidRPr="00A121F2">
              <w:rPr>
                <w:b/>
                <w:i/>
              </w:rPr>
              <w:t xml:space="preserve"> di contrasto competenti</w:t>
            </w:r>
            <w:r w:rsidRPr="00A121F2">
              <w:t xml:space="preserve"> degli Stati membri cooperano nei compiti relativi alla sicurezza.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54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Fatto salvo l'articolo </w:t>
            </w:r>
            <w:r w:rsidRPr="00A121F2">
              <w:rPr>
                <w:b/>
                <w:i/>
              </w:rPr>
              <w:t>33</w:t>
            </w:r>
            <w:r w:rsidRPr="00A121F2">
              <w:t xml:space="preserve"> del regolamento (UE) 2018/1725 e l'articolo 32 del regolamento (UE) 2016/794, eu-LISA ed Europol adottano le misure necessarie per garantire la sicurezza rispettivamente del router e di EPRIS, nonché delle relative infrastrutture di comunicazione.</w:t>
            </w:r>
          </w:p>
        </w:tc>
        <w:tc>
          <w:tcPr>
            <w:tcW w:w="4876" w:type="dxa"/>
          </w:tcPr>
          <w:p w:rsidR="00AF580A" w:rsidRPr="00A121F2" w:rsidRDefault="00AF580A" w:rsidP="00AC4477">
            <w:pPr>
              <w:pStyle w:val="Normal6"/>
              <w:rPr>
                <w:szCs w:val="24"/>
              </w:rPr>
            </w:pPr>
            <w:r w:rsidRPr="00A121F2">
              <w:t>2.</w:t>
            </w:r>
            <w:r w:rsidRPr="00A121F2">
              <w:tab/>
              <w:t xml:space="preserve">Fatto salvo l'articolo </w:t>
            </w:r>
            <w:r w:rsidRPr="00A121F2">
              <w:rPr>
                <w:b/>
                <w:i/>
              </w:rPr>
              <w:t>91</w:t>
            </w:r>
            <w:r w:rsidRPr="00A121F2">
              <w:t xml:space="preserve"> del regolamento (UE) 2018/1725 e l'articolo 32 del regolamento (UE) 2016/794, eu-LISA ed Europol adottano le misure necessarie per garantire la sicurezza rispettivamente del router e di EPRIS, nonché delle relative infrastrutture di comunicazione.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55 – paragrafo 3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Fatto salvo</w:t>
            </w:r>
            <w:r w:rsidRPr="00A121F2">
              <w:t xml:space="preserve"> l'articolo 34 del regolamento (UE) 2016/794, Europol notifica a CERT-UE senza indebito ritardo, e in ogni caso entro 24 ore da quando ne viene a conoscenza, minacce informatiche significative, vulnerabilità significative e incidenti significativi. Dettagli tecnici adeguati e di pronta utilizzazione, concernenti minacce, vulnerabilità e incidenti a livello informatico, che consentono misure proattive di indagine, risposta a incidenti o mitigazione sono comunicati a CERT-UE senza indebito ritardo.</w:t>
            </w:r>
          </w:p>
        </w:tc>
        <w:tc>
          <w:tcPr>
            <w:tcW w:w="4876" w:type="dxa"/>
          </w:tcPr>
          <w:p w:rsidR="00AF580A" w:rsidRPr="00A121F2" w:rsidRDefault="00AF580A" w:rsidP="00AC4477">
            <w:pPr>
              <w:pStyle w:val="Normal6"/>
              <w:rPr>
                <w:szCs w:val="24"/>
              </w:rPr>
            </w:pPr>
            <w:r w:rsidRPr="00A121F2">
              <w:rPr>
                <w:b/>
                <w:i/>
              </w:rPr>
              <w:t>Fatti salvi</w:t>
            </w:r>
            <w:r w:rsidRPr="00A121F2">
              <w:t xml:space="preserve"> l'articolo 34 del regolamento (UE) 2016/794</w:t>
            </w:r>
            <w:r w:rsidRPr="00A121F2">
              <w:rPr>
                <w:b/>
                <w:i/>
              </w:rPr>
              <w:t xml:space="preserve"> e l'articolo 92 del regolamento (UE) 2018/1725</w:t>
            </w:r>
            <w:r w:rsidRPr="00A121F2">
              <w:t>, Europol notifica a CERT-UE senza indebito ritardo, e in ogni caso entro 24 ore da quando ne viene a conoscenza, minacce informatiche significative, vulnerabilità significative e incidenti significativi. Dettagli tecnici adeguati e di pronta utilizzazione, concernenti minacce, vulnerabilità e incidenti a livello informatico, che consentono misure proattive di indagine, risposta a incidenti o mitigazione sono comunicati a CERT-UE senza indebito ritardo.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55 – paragrafo 3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Qualora si verifichi un incidente di sicurezza in relazione all'infrastruttura centrale del router, eu-LISA notifica a CERT-UE senza indebito ritardo, e in ogni caso non oltre 24 ore dopo esserne venuta a conoscenza, minacce informatiche significative, vulnerabilità significative e incidenti significativi. Dettagli tecnici adeguati e di pronta utilizzazione, concernenti minacce, vulnerabilità e incidenti a livello informatico, che consentono misure proattive di indagine, risposta a incidenti o mitigazione sono comunicati a CERT-UE senza indebito ritardo.</w:t>
            </w:r>
          </w:p>
        </w:tc>
        <w:tc>
          <w:tcPr>
            <w:tcW w:w="4876" w:type="dxa"/>
          </w:tcPr>
          <w:p w:rsidR="00AF580A" w:rsidRPr="00A121F2" w:rsidRDefault="00AF580A" w:rsidP="00AC4477">
            <w:pPr>
              <w:pStyle w:val="Normal6"/>
              <w:rPr>
                <w:szCs w:val="24"/>
              </w:rPr>
            </w:pPr>
            <w:r w:rsidRPr="00A121F2">
              <w:t>Qualora si verifichi un incidente di sicurezza in relazione all'infrastruttura centrale del router</w:t>
            </w:r>
            <w:r w:rsidRPr="00A121F2">
              <w:rPr>
                <w:b/>
                <w:i/>
              </w:rPr>
              <w:t xml:space="preserve"> e fatti salvi gli articoli 34 e 92 del regolamento (UE) 2018/1725</w:t>
            </w:r>
            <w:r w:rsidRPr="00A121F2">
              <w:t>, eu-LISA notifica a CERT-UE senza indebito ritardo, e in ogni caso non oltre 24 ore dopo esserne venuta a conoscenza, minacce informatiche significative, vulnerabilità significative e incidenti significativi. Dettagli tecnici adeguati e di pronta utilizzazione, concernenti minacce, vulnerabilità e incidenti a livello informatico, che consentono misure proattive di indagine, risposta a incidenti o mitigazione sono comunicati a CERT-UE senza indebito ritardo.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56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Gli Stati membri </w:t>
            </w:r>
            <w:r w:rsidRPr="00A121F2">
              <w:rPr>
                <w:b/>
                <w:i/>
              </w:rPr>
              <w:t xml:space="preserve">e le pertinenti agenzie dell'Unione </w:t>
            </w:r>
            <w:r w:rsidRPr="00A121F2">
              <w:t>provvedono affinché ciascuna autorità abilitata a usare Prüm II adotti le misure necessarie per verificare la propria conformità al presente regolamento e cooperi, se necessario, con l'autorità di controllo.</w:t>
            </w:r>
          </w:p>
        </w:tc>
        <w:tc>
          <w:tcPr>
            <w:tcW w:w="4876" w:type="dxa"/>
          </w:tcPr>
          <w:p w:rsidR="00AF580A" w:rsidRPr="00A121F2" w:rsidRDefault="00AF580A" w:rsidP="00AC4477">
            <w:pPr>
              <w:pStyle w:val="Normal6"/>
              <w:rPr>
                <w:szCs w:val="24"/>
              </w:rPr>
            </w:pPr>
            <w:r w:rsidRPr="00A121F2">
              <w:t>1.</w:t>
            </w:r>
            <w:r w:rsidRPr="00A121F2">
              <w:tab/>
              <w:t>Gli Stati membri provvedono affinché ciascuna autorità abilitata a usare Prüm II adotti le misure necessarie per verificare la propria conformità al presente regolamento e cooperi, se necessario, con l'autorità di controllo.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56 – paragrafo 1 – comma 1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Europol adotta le misure necessarie per controllare la conformità al presente regolamento e coopera, se necessario, con il Garante europeo della protezione dei dati.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56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I titolari del trattamento adottano le misure necessarie per verificare la conformità del trattamento di dati a norma del presente regolamento, anche attraverso la verifica frequente delle registrazioni di cui agli articoli 40 e 45, e cooperare, laddove necessario, con le autorità di controllo e con il Garante europeo della protezione dei dati.</w:t>
            </w:r>
          </w:p>
        </w:tc>
        <w:tc>
          <w:tcPr>
            <w:tcW w:w="4876" w:type="dxa"/>
          </w:tcPr>
          <w:p w:rsidR="00AF580A" w:rsidRPr="00A121F2" w:rsidRDefault="00AF580A" w:rsidP="00AC4477">
            <w:pPr>
              <w:pStyle w:val="Normal6"/>
              <w:rPr>
                <w:szCs w:val="24"/>
              </w:rPr>
            </w:pPr>
            <w:r w:rsidRPr="00A121F2">
              <w:t>2.</w:t>
            </w:r>
            <w:r w:rsidRPr="00A121F2">
              <w:tab/>
              <w:t xml:space="preserve">I titolari del trattamento adottano le misure necessarie per verificare la conformità del trattamento di dati a norma del presente regolamento, anche attraverso la verifica frequente delle registrazioni di cui agli articoli </w:t>
            </w:r>
            <w:r w:rsidRPr="00A121F2">
              <w:rPr>
                <w:b/>
                <w:i/>
              </w:rPr>
              <w:t xml:space="preserve">20, </w:t>
            </w:r>
            <w:r w:rsidRPr="00A121F2">
              <w:t>40 e 45, e cooperare, laddove necessario</w:t>
            </w:r>
            <w:r w:rsidRPr="00A121F2">
              <w:rPr>
                <w:b/>
                <w:i/>
              </w:rPr>
              <w:t xml:space="preserve"> e opportuno</w:t>
            </w:r>
            <w:r w:rsidRPr="00A121F2">
              <w:t xml:space="preserve">, con le autorità di controllo e con il Garante europeo della protezione dei dati.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189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61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Le autorità di controllo e il Garante europeo della protezione dei dati, ciascuno nell'ambito delle proprie competenze, cooperano attivamente nell'ambito delle rispettive responsabilità </w:t>
            </w:r>
            <w:r w:rsidRPr="00A121F2">
              <w:rPr>
                <w:b/>
                <w:i/>
              </w:rPr>
              <w:t>e assicurano</w:t>
            </w:r>
            <w:r w:rsidRPr="00A121F2">
              <w:t xml:space="preserve"> il controllo coordinato dell'applicazione del presente regolamento, in particolare se il Garante europeo della protezione dei dati o un'autorità di controllo constata notevoli differenze tra le pratiche degli Stati membri o trasferimenti potenzialmente illeciti nell'uso dei canali di comunicazione previsti dal quadro Prüm II.</w:t>
            </w:r>
          </w:p>
        </w:tc>
        <w:tc>
          <w:tcPr>
            <w:tcW w:w="4876" w:type="dxa"/>
          </w:tcPr>
          <w:p w:rsidR="00AF580A" w:rsidRPr="00A121F2" w:rsidRDefault="00AF580A" w:rsidP="00AC4477">
            <w:pPr>
              <w:pStyle w:val="Normal6"/>
              <w:rPr>
                <w:szCs w:val="24"/>
              </w:rPr>
            </w:pPr>
            <w:r w:rsidRPr="00A121F2">
              <w:t>1.</w:t>
            </w:r>
            <w:r w:rsidRPr="00A121F2">
              <w:tab/>
              <w:t xml:space="preserve">Le autorità di controllo e il Garante europeo della protezione dei dati, ciascuno nell'ambito delle proprie competenze, cooperano attivamente nell'ambito delle rispettive responsabilità </w:t>
            </w:r>
            <w:r w:rsidRPr="00A121F2">
              <w:rPr>
                <w:b/>
                <w:i/>
              </w:rPr>
              <w:t>per assicurare</w:t>
            </w:r>
            <w:r w:rsidRPr="00A121F2">
              <w:t xml:space="preserve"> il controllo coordinato dell'applicazione del presente regolamento, in particolare se il Garante europeo della protezione dei dati o un'autorità di controllo constata notevoli differenze tra le pratiche degli Stati membri o trasferimenti potenzialmente illeciti nell'uso dei canali di comunicazione previsti dal quadro Prüm II.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62 – titolo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Comunicazione</w:t>
            </w:r>
            <w:r w:rsidRPr="00A121F2">
              <w:t xml:space="preserve"> di dati personali a paesi terzi e ad organizzazioni internazionali</w:t>
            </w:r>
          </w:p>
        </w:tc>
        <w:tc>
          <w:tcPr>
            <w:tcW w:w="4876" w:type="dxa"/>
          </w:tcPr>
          <w:p w:rsidR="00AF580A" w:rsidRPr="00A121F2" w:rsidRDefault="00AF580A" w:rsidP="00AC4477">
            <w:pPr>
              <w:pStyle w:val="Normal6"/>
              <w:rPr>
                <w:szCs w:val="24"/>
              </w:rPr>
            </w:pPr>
            <w:r w:rsidRPr="00A121F2">
              <w:rPr>
                <w:b/>
                <w:i/>
              </w:rPr>
              <w:t>Trasferimento</w:t>
            </w:r>
            <w:r w:rsidRPr="00A121F2">
              <w:t xml:space="preserve"> di dati personali a paesi terzi e ad organizzazioni internazionali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62 –  paragrafo 1</w:t>
      </w:r>
      <w:r w:rsidRPr="00A121F2">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 dati </w:t>
            </w:r>
            <w:r w:rsidRPr="00A121F2">
              <w:rPr>
                <w:b/>
                <w:i/>
              </w:rPr>
              <w:t>trattati</w:t>
            </w:r>
            <w:r w:rsidRPr="00A121F2">
              <w:t xml:space="preserve"> ai sensi del presente regolamento </w:t>
            </w:r>
            <w:r w:rsidRPr="00A121F2">
              <w:rPr>
                <w:b/>
                <w:i/>
              </w:rPr>
              <w:t>non sono trasferiti</w:t>
            </w:r>
            <w:r w:rsidRPr="00A121F2">
              <w:t xml:space="preserve"> o </w:t>
            </w:r>
            <w:r w:rsidRPr="00A121F2">
              <w:rPr>
                <w:b/>
                <w:i/>
              </w:rPr>
              <w:t xml:space="preserve">messi </w:t>
            </w:r>
            <w:r w:rsidRPr="00A121F2">
              <w:t xml:space="preserve">a </w:t>
            </w:r>
            <w:r w:rsidRPr="00A121F2">
              <w:rPr>
                <w:b/>
                <w:i/>
              </w:rPr>
              <w:t>disposizione di paesi terzi o di organizzazioni internazionali in maniera automatizzata</w:t>
            </w:r>
            <w:r w:rsidRPr="00A121F2">
              <w:t>.</w:t>
            </w:r>
          </w:p>
        </w:tc>
        <w:tc>
          <w:tcPr>
            <w:tcW w:w="4876" w:type="dxa"/>
          </w:tcPr>
          <w:p w:rsidR="00AF580A" w:rsidRPr="00A121F2" w:rsidRDefault="00AF580A" w:rsidP="00AC4477">
            <w:pPr>
              <w:pStyle w:val="Normal6"/>
              <w:rPr>
                <w:szCs w:val="24"/>
              </w:rPr>
            </w:pPr>
            <w:r w:rsidRPr="00A121F2">
              <w:rPr>
                <w:b/>
                <w:i/>
              </w:rPr>
              <w:t xml:space="preserve">1. </w:t>
            </w:r>
            <w:r w:rsidRPr="00A121F2">
              <w:tab/>
            </w:r>
            <w:r w:rsidRPr="00A121F2">
              <w:rPr>
                <w:b/>
                <w:i/>
              </w:rPr>
              <w:t xml:space="preserve">Lo Stato membro richiedente trasferisce </w:t>
            </w:r>
            <w:r w:rsidRPr="00A121F2">
              <w:t xml:space="preserve">i dati </w:t>
            </w:r>
            <w:r w:rsidRPr="00A121F2">
              <w:rPr>
                <w:b/>
                <w:i/>
              </w:rPr>
              <w:t>ottenuti</w:t>
            </w:r>
            <w:r w:rsidRPr="00A121F2">
              <w:t xml:space="preserve"> ai sensi del presente regolamento </w:t>
            </w:r>
            <w:r w:rsidRPr="00A121F2">
              <w:rPr>
                <w:b/>
                <w:i/>
              </w:rPr>
              <w:t>a un paese terzo</w:t>
            </w:r>
            <w:r w:rsidRPr="00A121F2">
              <w:t xml:space="preserve"> o a </w:t>
            </w:r>
            <w:r w:rsidRPr="00A121F2">
              <w:rPr>
                <w:b/>
                <w:i/>
              </w:rPr>
              <w:t>un'organizzazione internazionale</w:t>
            </w:r>
            <w:r w:rsidRPr="00A121F2">
              <w:t xml:space="preserve"> </w:t>
            </w:r>
            <w:r w:rsidRPr="00A121F2">
              <w:rPr>
                <w:b/>
                <w:i/>
              </w:rPr>
              <w:t>solo in conformità al capo V della direttiva (UE) 2016/680 e se lo Stato membro richiesto ha concesso la propria l'autorizzazione prima del trasferimento</w:t>
            </w:r>
            <w:r w:rsidRPr="00A121F2">
              <w:rPr>
                <w:i/>
                <w:iCs/>
              </w:rPr>
              <w:t>.</w:t>
            </w:r>
            <w:r w:rsidRPr="00A121F2">
              <w:rPr>
                <w:b/>
                <w:i/>
              </w:rPr>
              <w:t xml:space="preserv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62 – paragrafo 1 bis (nuovo)</w:t>
      </w:r>
      <w:r w:rsidRPr="00A121F2">
        <w:rPr>
          <w:rStyle w:val="HideTWBExt"/>
          <w:b w:val="0"/>
          <w:noProof w:val="0"/>
          <w:color w:val="auto"/>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1 bis. </w:t>
            </w:r>
            <w:r w:rsidRPr="00A121F2">
              <w:tab/>
            </w:r>
            <w:r w:rsidRPr="00A121F2">
              <w:rPr>
                <w:b/>
                <w:bCs/>
                <w:i/>
                <w:iCs/>
              </w:rPr>
              <w:t>Europol trasferisce i dati ottenuti in conformità del presente regolamento a un paese terzo o a un'organizzazione internazionale solo se sono soddisfatte le condizioni di cui all'articolo 25 del regolamento (UE) 2016/794 e se lo Stato membro richiesto ha concesso la propria autorizzazione prima del trasferimento.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63 – paragrafo 1 – lettera g</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g)</w:t>
            </w:r>
            <w:r w:rsidRPr="00A121F2">
              <w:tab/>
              <w:t>la gestione dell'accesso e le modalità di accesso al router da parte del personale debitamente autorizzato delle autorità nazionali competenti a norma del presente regolamento, nonché la creazione e l'aggiornamento periodico di un elenco di tale personale con le relative qualifiche;</w:t>
            </w:r>
          </w:p>
        </w:tc>
        <w:tc>
          <w:tcPr>
            <w:tcW w:w="4876" w:type="dxa"/>
          </w:tcPr>
          <w:p w:rsidR="00AF580A" w:rsidRPr="00A121F2" w:rsidRDefault="00AF580A" w:rsidP="00AC4477">
            <w:pPr>
              <w:pStyle w:val="Normal6"/>
              <w:rPr>
                <w:szCs w:val="24"/>
              </w:rPr>
            </w:pPr>
            <w:r w:rsidRPr="00A121F2">
              <w:t>g)</w:t>
            </w:r>
            <w:r w:rsidRPr="00A121F2">
              <w:tab/>
              <w:t xml:space="preserve">la gestione dell'accesso e le modalità di accesso al router da parte del personale debitamente autorizzato delle autorità nazionali </w:t>
            </w:r>
            <w:r w:rsidRPr="00A121F2">
              <w:rPr>
                <w:b/>
                <w:i/>
              </w:rPr>
              <w:t xml:space="preserve">di contrasto </w:t>
            </w:r>
            <w:r w:rsidRPr="00A121F2">
              <w:t>competenti a norma del presente regolamento, nonché la creazione e l'aggiornamento periodico di un elenco di tale personale con le relative qualifiche;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63 – paragrafo 1 – lettera h</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h)</w:t>
            </w:r>
            <w:r w:rsidRPr="00A121F2">
              <w:tab/>
              <w:t>la gestione dell'accesso e le modalità di accesso a EPRIS da parte del personale debitamente autorizzato delle autorità nazionali competenti a norma del presente regolamento, nonché la creazione e l'aggiornamento periodico di un elenco di tale personale con le relative qualifiche;</w:t>
            </w:r>
          </w:p>
        </w:tc>
        <w:tc>
          <w:tcPr>
            <w:tcW w:w="4876" w:type="dxa"/>
          </w:tcPr>
          <w:p w:rsidR="00AF580A" w:rsidRPr="00A121F2" w:rsidRDefault="00AF580A" w:rsidP="00AC4477">
            <w:pPr>
              <w:pStyle w:val="Normal6"/>
              <w:rPr>
                <w:szCs w:val="24"/>
              </w:rPr>
            </w:pPr>
            <w:r w:rsidRPr="00A121F2">
              <w:t>h)</w:t>
            </w:r>
            <w:r w:rsidRPr="00A121F2">
              <w:tab/>
              <w:t xml:space="preserve">la gestione dell'accesso e le modalità di accesso a EPRIS da parte del personale debitamente autorizzato delle autorità nazionali </w:t>
            </w:r>
            <w:r w:rsidRPr="00A121F2">
              <w:rPr>
                <w:b/>
                <w:i/>
              </w:rPr>
              <w:t xml:space="preserve">di contrasto </w:t>
            </w:r>
            <w:r w:rsidRPr="00A121F2">
              <w:t>competenti a norma del presente regolamento, nonché la creazione e l'aggiornamento periodico di un elenco di tale personale con le relative qualifiche;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63 – paragrafo 1 – lettera i</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i)</w:t>
            </w:r>
            <w:r w:rsidRPr="00A121F2">
              <w:tab/>
              <w:t>la gestione dell'accesso e le modalità di accesso a Eucaris da parte del personale debitamente autorizzato delle autorità nazionali competenti a norma del presente regolamento, nonché la creazione e l'aggiornamento periodico di un elenco di tale personale con le relative qualifiche;</w:t>
            </w:r>
          </w:p>
        </w:tc>
        <w:tc>
          <w:tcPr>
            <w:tcW w:w="4876" w:type="dxa"/>
          </w:tcPr>
          <w:p w:rsidR="00AF580A" w:rsidRPr="00A121F2" w:rsidRDefault="00AF580A" w:rsidP="00AC4477">
            <w:pPr>
              <w:pStyle w:val="Normal6"/>
              <w:rPr>
                <w:szCs w:val="24"/>
              </w:rPr>
            </w:pPr>
            <w:r w:rsidRPr="00A121F2">
              <w:t>i)</w:t>
            </w:r>
            <w:r w:rsidRPr="00A121F2">
              <w:tab/>
              <w:t xml:space="preserve">la gestione dell'accesso e le modalità di accesso a Eucaris da parte del personale debitamente autorizzato delle autorità nazionali </w:t>
            </w:r>
            <w:r w:rsidRPr="00A121F2">
              <w:rPr>
                <w:b/>
                <w:i/>
              </w:rPr>
              <w:t xml:space="preserve">di contrasto </w:t>
            </w:r>
            <w:r w:rsidRPr="00A121F2">
              <w:t>competenti a norma del presente regolamento, nonché la creazione e l'aggiornamento periodico di un elenco di tale personale con le relative qualifiche;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63 – paragrafo 1 – lettera m</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m)</w:t>
            </w:r>
            <w:r w:rsidRPr="00A121F2">
              <w:tab/>
              <w:t>la cancellazione dei dati ricevuti da uno Stato membro richiesto entro 48 ore dalla notifica da parte dello Stato membro richiesto del fatto che i dati personali trasmessi erano inesatti, non più aggiornati o sono stati trasmessi illecitamente;</w:t>
            </w:r>
          </w:p>
        </w:tc>
        <w:tc>
          <w:tcPr>
            <w:tcW w:w="4876" w:type="dxa"/>
          </w:tcPr>
          <w:p w:rsidR="00AF580A" w:rsidRPr="00A121F2" w:rsidRDefault="00AF580A" w:rsidP="00AC4477">
            <w:pPr>
              <w:pStyle w:val="Normal6"/>
              <w:rPr>
                <w:szCs w:val="24"/>
              </w:rPr>
            </w:pPr>
            <w:r w:rsidRPr="00A121F2">
              <w:t>m)</w:t>
            </w:r>
            <w:r w:rsidRPr="00A121F2">
              <w:tab/>
            </w:r>
            <w:r w:rsidRPr="00A121F2">
              <w:rPr>
                <w:b/>
                <w:bCs/>
                <w:i/>
                <w:iCs/>
              </w:rPr>
              <w:t>la</w:t>
            </w:r>
            <w:r w:rsidRPr="00A121F2">
              <w:t xml:space="preserve"> </w:t>
            </w:r>
            <w:r w:rsidRPr="00A121F2">
              <w:rPr>
                <w:b/>
                <w:i/>
              </w:rPr>
              <w:t xml:space="preserve">rettifica o </w:t>
            </w:r>
            <w:r w:rsidRPr="00A121F2">
              <w:t>la</w:t>
            </w:r>
            <w:r w:rsidRPr="00A121F2">
              <w:rPr>
                <w:b/>
                <w:i/>
              </w:rPr>
              <w:t xml:space="preserve"> </w:t>
            </w:r>
            <w:r w:rsidRPr="00A121F2">
              <w:t>cancellazione dei dati ricevuti da uno Stato membro richiesto entro 48 ore dalla notifica da parte dello Stato membro richiesto del fatto che i dati personali trasmessi erano inesatti, non più aggiornati o sono stati trasmessi illecitamente;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63 – paragrafo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Ciascuno Stato membro è responsabile della connessione delle proprie autorità nazionali competenti al router, ad EPRIS e ad Eucaris.</w:t>
            </w:r>
          </w:p>
        </w:tc>
        <w:tc>
          <w:tcPr>
            <w:tcW w:w="4876" w:type="dxa"/>
          </w:tcPr>
          <w:p w:rsidR="00AF580A" w:rsidRPr="00A121F2" w:rsidRDefault="00AF580A" w:rsidP="00AC4477">
            <w:pPr>
              <w:pStyle w:val="Normal6"/>
              <w:rPr>
                <w:szCs w:val="24"/>
              </w:rPr>
            </w:pPr>
            <w:r w:rsidRPr="00A121F2">
              <w:t>2.</w:t>
            </w:r>
            <w:r w:rsidRPr="00A121F2">
              <w:tab/>
              <w:t xml:space="preserve">Ciascuno Stato membro è responsabile della connessione delle proprie autorità nazionali </w:t>
            </w:r>
            <w:r w:rsidRPr="00A121F2">
              <w:rPr>
                <w:b/>
                <w:i/>
              </w:rPr>
              <w:t xml:space="preserve">di contrasto </w:t>
            </w:r>
            <w:r w:rsidRPr="00A121F2">
              <w:t>competenti al router, ad EPRIS e ad Eucaris.</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64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r>
            <w:r w:rsidRPr="00A121F2">
              <w:rPr>
                <w:b/>
                <w:i/>
              </w:rPr>
              <w:t>Europol è responsabile</w:t>
            </w:r>
            <w:r w:rsidRPr="00A121F2">
              <w:t xml:space="preserve"> </w:t>
            </w:r>
            <w:r w:rsidRPr="00A121F2">
              <w:rPr>
                <w:b/>
                <w:bCs/>
                <w:i/>
                <w:iCs/>
              </w:rPr>
              <w:t>di</w:t>
            </w:r>
            <w:r w:rsidRPr="00A121F2">
              <w:t xml:space="preserve"> </w:t>
            </w:r>
            <w:r w:rsidRPr="00A121F2">
              <w:rPr>
                <w:b/>
                <w:i/>
              </w:rPr>
              <w:t>qualsiasi adeguamento tecnico della propria infrastruttura necessario per stabilire la connessione al router e ad Eucaris</w:t>
            </w:r>
            <w:r w:rsidRPr="00A121F2">
              <w:t>.</w:t>
            </w:r>
          </w:p>
        </w:tc>
        <w:tc>
          <w:tcPr>
            <w:tcW w:w="4876" w:type="dxa"/>
          </w:tcPr>
          <w:p w:rsidR="00AF580A" w:rsidRPr="00A121F2" w:rsidRDefault="00AF580A" w:rsidP="00AC4477">
            <w:pPr>
              <w:pStyle w:val="Normal6"/>
              <w:rPr>
                <w:szCs w:val="24"/>
              </w:rPr>
            </w:pPr>
            <w:r w:rsidRPr="00A121F2">
              <w:t>3.</w:t>
            </w:r>
            <w:r w:rsidRPr="00A121F2">
              <w:tab/>
            </w:r>
            <w:r w:rsidRPr="00A121F2">
              <w:rPr>
                <w:b/>
                <w:i/>
              </w:rPr>
              <w:t>Fatti salvi l'articolo 26, paragrafo 6 quater, del regolamento (UE) 2016/794 e le ricerche</w:t>
            </w:r>
            <w:r w:rsidRPr="00A121F2">
              <w:t xml:space="preserve"> </w:t>
            </w:r>
            <w:r w:rsidRPr="00A121F2">
              <w:rPr>
                <w:b/>
                <w:bCs/>
                <w:i/>
                <w:iCs/>
              </w:rPr>
              <w:t>di</w:t>
            </w:r>
            <w:r w:rsidRPr="00A121F2">
              <w:t xml:space="preserve"> </w:t>
            </w:r>
            <w:r w:rsidRPr="00A121F2">
              <w:rPr>
                <w:b/>
                <w:i/>
              </w:rPr>
              <w:t>Europol a norma dell'articolo 50, paragrafo 4, del presente regolamento, Europol non ha accesso ai dati personali trattati tramite EPRIS</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199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66 – paragrafo 1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Il router è sviluppato e gestito in maniera tale da garantire un accesso rapido, efficiente e controllato, la disponibilità completa e ininterrotta del router e un tempo di risposta in linea con le esigenze operative delle autorità competenti degli Stati membri e di Europol.</w:t>
            </w:r>
          </w:p>
        </w:tc>
        <w:tc>
          <w:tcPr>
            <w:tcW w:w="4876" w:type="dxa"/>
          </w:tcPr>
          <w:p w:rsidR="00AF580A" w:rsidRPr="00A121F2" w:rsidRDefault="00AF580A" w:rsidP="00AC4477">
            <w:pPr>
              <w:pStyle w:val="Normal6"/>
              <w:rPr>
                <w:szCs w:val="24"/>
              </w:rPr>
            </w:pPr>
            <w:r w:rsidRPr="00A121F2">
              <w:t xml:space="preserve">Il router è sviluppato e gestito in maniera tale da garantire un accesso rapido, efficiente e controllato, la disponibilità completa e ininterrotta del router e un tempo di risposta in linea con le esigenze operative delle autorità </w:t>
            </w:r>
            <w:r w:rsidRPr="00A121F2">
              <w:rPr>
                <w:b/>
                <w:i/>
              </w:rPr>
              <w:t xml:space="preserve">di contrasto </w:t>
            </w:r>
            <w:r w:rsidRPr="00A121F2">
              <w:t>competenti degli Stati membri e di Europol.</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68 – punto 2 bis (nuovo)</w:t>
      </w:r>
      <w:r w:rsidRPr="00A121F2">
        <w:rPr>
          <w:rStyle w:val="HideTWBExt"/>
          <w:b w:val="0"/>
          <w:noProof w:val="0"/>
          <w:color w:val="auto"/>
        </w:rPr>
        <w:t>&lt;/Article&gt;</w:t>
      </w:r>
    </w:p>
    <w:p w:rsidR="00AF580A" w:rsidRPr="00A121F2" w:rsidRDefault="00AF580A" w:rsidP="00AF580A">
      <w:r w:rsidRPr="00A121F2">
        <w:rPr>
          <w:rStyle w:val="HideTWBExt"/>
          <w:noProof w:val="0"/>
          <w:color w:val="auto"/>
        </w:rPr>
        <w:t>&lt;DocAmend2&gt;</w:t>
      </w:r>
      <w:r w:rsidRPr="00A121F2">
        <w:t>Regolamento (UE) 2018/1726</w:t>
      </w:r>
      <w:r w:rsidRPr="00A121F2">
        <w:rPr>
          <w:rStyle w:val="HideTWBExt"/>
          <w:noProof w:val="0"/>
          <w:color w:val="auto"/>
        </w:rPr>
        <w:t>&lt;/DocAmend2&gt;</w:t>
      </w:r>
    </w:p>
    <w:p w:rsidR="00AF580A" w:rsidRPr="00A121F2" w:rsidRDefault="00AF580A" w:rsidP="00AF580A">
      <w:pPr>
        <w:rPr>
          <w:rStyle w:val="HideTWBExt"/>
          <w:noProof w:val="0"/>
          <w:color w:val="auto"/>
        </w:rPr>
      </w:pPr>
      <w:r w:rsidRPr="00A121F2">
        <w:rPr>
          <w:rStyle w:val="HideTWBExt"/>
          <w:noProof w:val="0"/>
          <w:color w:val="auto"/>
        </w:rPr>
        <w:t>&lt;Article2&gt;</w:t>
      </w:r>
      <w:r w:rsidRPr="00A121F2">
        <w:t>Articolo 19 – lettera ee bis (nuova)</w:t>
      </w:r>
      <w:r w:rsidRPr="00A121F2">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bis)</w:t>
            </w:r>
            <w:r w:rsidRPr="00A121F2">
              <w:rPr>
                <w:b/>
                <w:i/>
              </w:rPr>
              <w:tab/>
              <w:t xml:space="preserve">all'articolo 19, paragrafo 1, è aggiunta la seguente lettera ee bis): </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 xml:space="preserve">ee bis) </w:t>
            </w:r>
            <w:r w:rsidRPr="00A121F2">
              <w:rPr>
                <w:b/>
                <w:i/>
              </w:rPr>
              <w:tab/>
              <w:t>adotta le relazioni sullo sviluppo del router di cui all'articolo 35 del regolamento (UE).../... del Parlamento europeo e del Consiglio [2021/0410 (COD)] a norma dell'articolo 79, paragrafo 2, di tale regolamento;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68 – punto 2 ter (nuovo)</w:t>
      </w:r>
      <w:r w:rsidRPr="00A121F2">
        <w:rPr>
          <w:rStyle w:val="HideTWBExt"/>
          <w:b w:val="0"/>
          <w:noProof w:val="0"/>
          <w:color w:val="auto"/>
        </w:rPr>
        <w:t>&lt;/Article&gt;</w:t>
      </w:r>
    </w:p>
    <w:p w:rsidR="00AF580A" w:rsidRPr="00A121F2" w:rsidRDefault="00AF580A" w:rsidP="00AF580A">
      <w:r w:rsidRPr="00A121F2">
        <w:rPr>
          <w:rStyle w:val="HideTWBExt"/>
          <w:noProof w:val="0"/>
          <w:color w:val="auto"/>
        </w:rPr>
        <w:t>&lt;DocAmend2&gt;</w:t>
      </w:r>
      <w:r w:rsidRPr="00A121F2">
        <w:t>Regolamento (UE) 2018/1726</w:t>
      </w:r>
      <w:r w:rsidRPr="00A121F2">
        <w:rPr>
          <w:rStyle w:val="HideTWBExt"/>
          <w:noProof w:val="0"/>
          <w:color w:val="auto"/>
        </w:rPr>
        <w:t>&lt;/DocAmend2&gt;</w:t>
      </w:r>
    </w:p>
    <w:p w:rsidR="00AF580A" w:rsidRPr="00A121F2" w:rsidRDefault="00AF580A" w:rsidP="00AF580A">
      <w:r w:rsidRPr="00A121F2">
        <w:rPr>
          <w:rStyle w:val="HideTWBExt"/>
          <w:noProof w:val="0"/>
          <w:color w:val="auto"/>
        </w:rPr>
        <w:t>&lt;Article2&gt;</w:t>
      </w:r>
      <w:r w:rsidRPr="00A121F2">
        <w:t>Articolo 19 – paragrafo 1 – lettere ff e hh</w:t>
      </w:r>
      <w:r w:rsidRPr="00A121F2">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ter)</w:t>
            </w:r>
            <w:r w:rsidRPr="00A121F2">
              <w:rPr>
                <w:b/>
                <w:i/>
              </w:rPr>
              <w:tab/>
              <w:t>all'articolo 19, paragrafo 1, le lettere ff) e hh) sono sostituite dalle seguenti:</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rPr>
                <w:b/>
                <w:i/>
              </w:rPr>
              <w:t xml:space="preserve">ff) </w:t>
            </w:r>
            <w:r w:rsidRPr="00A121F2">
              <w:rPr>
                <w:b/>
                <w:i/>
              </w:rPr>
              <w:tab/>
            </w:r>
            <w:r w:rsidRPr="00A121F2">
              <w:t>adotta relazioni sul funzionamento tecnico:</w:t>
            </w:r>
          </w:p>
        </w:tc>
        <w:tc>
          <w:tcPr>
            <w:tcW w:w="4876" w:type="dxa"/>
          </w:tcPr>
          <w:p w:rsidR="00AF580A" w:rsidRPr="00A121F2" w:rsidRDefault="00AF580A" w:rsidP="00AC4477">
            <w:pPr>
              <w:pStyle w:val="Normal6"/>
              <w:rPr>
                <w:szCs w:val="24"/>
              </w:rPr>
            </w:pPr>
            <w:r w:rsidRPr="00A121F2">
              <w:rPr>
                <w:i/>
              </w:rPr>
              <w:t xml:space="preserve">ff) </w:t>
            </w:r>
            <w:r w:rsidRPr="00A121F2">
              <w:rPr>
                <w:i/>
              </w:rPr>
              <w:tab/>
            </w:r>
            <w:r w:rsidRPr="00A121F2">
              <w:t>adotta relazioni sul funzionamento tecnico:</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i)</w:t>
            </w:r>
            <w:r w:rsidRPr="00A121F2">
              <w:tab/>
              <w:t xml:space="preserve">del SIS in conformità </w:t>
            </w:r>
            <w:r w:rsidRPr="00A121F2">
              <w:rPr>
                <w:b/>
                <w:bCs/>
                <w:i/>
                <w:iCs/>
              </w:rPr>
              <w:t>dell'articolo 60, paragrafo</w:t>
            </w:r>
            <w:r w:rsidRPr="00A121F2">
              <w:t xml:space="preserve"> </w:t>
            </w:r>
            <w:r w:rsidRPr="00A121F2">
              <w:rPr>
                <w:b/>
                <w:i/>
              </w:rPr>
              <w:t>7</w:t>
            </w:r>
            <w:r w:rsidRPr="00A121F2">
              <w:t xml:space="preserve">, </w:t>
            </w:r>
            <w:r w:rsidRPr="00A121F2">
              <w:rPr>
                <w:b/>
                <w:bCs/>
                <w:i/>
                <w:iCs/>
              </w:rPr>
              <w:t>del regolamento</w:t>
            </w:r>
            <w:r w:rsidRPr="00A121F2">
              <w:t xml:space="preserve"> (</w:t>
            </w:r>
            <w:r w:rsidRPr="00A121F2">
              <w:rPr>
                <w:b/>
                <w:i/>
              </w:rPr>
              <w:t>UE</w:t>
            </w:r>
            <w:r w:rsidRPr="00A121F2">
              <w:t xml:space="preserve">) </w:t>
            </w:r>
            <w:r w:rsidRPr="00A121F2">
              <w:rPr>
                <w:b/>
                <w:i/>
              </w:rPr>
              <w:t>2018</w:t>
            </w:r>
            <w:r w:rsidRPr="00A121F2">
              <w:t>/</w:t>
            </w:r>
            <w:r w:rsidRPr="00A121F2">
              <w:rPr>
                <w:b/>
                <w:i/>
              </w:rPr>
              <w:t>1861 del Parlamento europeo e del Consiglio (</w:t>
            </w:r>
            <w:hyperlink r:id="rId9" w:anchor="E0008" w:history="1">
              <w:r w:rsidRPr="00A121F2">
                <w:rPr>
                  <w:b/>
                  <w:i/>
                </w:rPr>
                <w:t>8</w:t>
              </w:r>
            </w:hyperlink>
            <w:r w:rsidRPr="00A121F2">
              <w:rPr>
                <w:b/>
                <w:i/>
              </w:rPr>
              <w:t>)</w:t>
            </w:r>
            <w:r w:rsidRPr="00A121F2">
              <w:t xml:space="preserve"> e </w:t>
            </w:r>
            <w:r w:rsidRPr="00A121F2">
              <w:rPr>
                <w:b/>
                <w:bCs/>
                <w:i/>
                <w:iCs/>
              </w:rPr>
              <w:t>dell'articolo 74, paragrafo</w:t>
            </w:r>
            <w:r w:rsidRPr="00A121F2">
              <w:t xml:space="preserve"> </w:t>
            </w:r>
            <w:r w:rsidRPr="00A121F2">
              <w:rPr>
                <w:b/>
                <w:i/>
              </w:rPr>
              <w:t>8</w:t>
            </w:r>
            <w:r w:rsidRPr="00A121F2">
              <w:t xml:space="preserve">, </w:t>
            </w:r>
            <w:r w:rsidRPr="00A121F2">
              <w:rPr>
                <w:b/>
                <w:i/>
              </w:rPr>
              <w:t>del regolamento (UE) 2018</w:t>
            </w:r>
            <w:r w:rsidRPr="00A121F2">
              <w:t>/</w:t>
            </w:r>
            <w:r w:rsidRPr="00A121F2">
              <w:rPr>
                <w:b/>
                <w:i/>
              </w:rPr>
              <w:t>1862 del Parlamento europeo e del Consiglio (</w:t>
            </w:r>
            <w:hyperlink r:id="rId10" w:anchor="E0009" w:history="1">
              <w:r w:rsidRPr="00A121F2">
                <w:rPr>
                  <w:b/>
                  <w:i/>
                </w:rPr>
                <w:t>9</w:t>
              </w:r>
            </w:hyperlink>
            <w:r w:rsidRPr="00A121F2">
              <w:rPr>
                <w:b/>
                <w:i/>
              </w:rPr>
              <w:t>)</w:t>
            </w:r>
            <w:r w:rsidRPr="00A121F2">
              <w:t>;</w:t>
            </w:r>
          </w:p>
        </w:tc>
        <w:tc>
          <w:tcPr>
            <w:tcW w:w="4876" w:type="dxa"/>
          </w:tcPr>
          <w:p w:rsidR="00AF580A" w:rsidRPr="00A121F2" w:rsidRDefault="00AF580A" w:rsidP="00AC4477">
            <w:pPr>
              <w:pStyle w:val="Normal6"/>
            </w:pPr>
            <w:r w:rsidRPr="00A121F2">
              <w:t>i)</w:t>
            </w:r>
            <w:r w:rsidRPr="00A121F2">
              <w:tab/>
              <w:t xml:space="preserve">del SIS </w:t>
            </w:r>
            <w:r w:rsidRPr="00A121F2">
              <w:rPr>
                <w:b/>
                <w:bCs/>
                <w:i/>
                <w:iCs/>
              </w:rPr>
              <w:t>II</w:t>
            </w:r>
            <w:r w:rsidRPr="00A121F2">
              <w:t xml:space="preserve"> in conformità </w:t>
            </w:r>
            <w:r w:rsidRPr="00A121F2">
              <w:rPr>
                <w:b/>
                <w:bCs/>
                <w:i/>
                <w:iCs/>
              </w:rPr>
              <w:t>dell'articolo 50, paragrafo 4, del regolamento</w:t>
            </w:r>
            <w:r w:rsidRPr="00A121F2">
              <w:t xml:space="preserve"> (</w:t>
            </w:r>
            <w:r w:rsidRPr="00A121F2">
              <w:rPr>
                <w:b/>
                <w:i/>
              </w:rPr>
              <w:t>CE</w:t>
            </w:r>
            <w:r w:rsidRPr="00A121F2">
              <w:t xml:space="preserve">) </w:t>
            </w:r>
            <w:r w:rsidRPr="00A121F2">
              <w:rPr>
                <w:b/>
                <w:i/>
              </w:rPr>
              <w:t>n. 1987</w:t>
            </w:r>
            <w:r w:rsidRPr="00A121F2">
              <w:t>/</w:t>
            </w:r>
            <w:r w:rsidRPr="00A121F2">
              <w:rPr>
                <w:b/>
                <w:i/>
              </w:rPr>
              <w:t>2006</w:t>
            </w:r>
            <w:r w:rsidRPr="00A121F2">
              <w:t xml:space="preserve"> e </w:t>
            </w:r>
            <w:r w:rsidRPr="00A121F2">
              <w:rPr>
                <w:b/>
                <w:bCs/>
                <w:i/>
                <w:iCs/>
              </w:rPr>
              <w:t>dell'articolo 66, paragrafo</w:t>
            </w:r>
            <w:r w:rsidRPr="00A121F2">
              <w:t xml:space="preserve"> </w:t>
            </w:r>
            <w:r w:rsidRPr="00A121F2">
              <w:rPr>
                <w:b/>
                <w:i/>
              </w:rPr>
              <w:t>4</w:t>
            </w:r>
            <w:r w:rsidRPr="00A121F2">
              <w:t xml:space="preserve">, </w:t>
            </w:r>
            <w:r w:rsidRPr="00A121F2">
              <w:rPr>
                <w:b/>
                <w:i/>
              </w:rPr>
              <w:t>della decisione 2007</w:t>
            </w:r>
            <w:r w:rsidRPr="00A121F2">
              <w:t>/</w:t>
            </w:r>
            <w:r w:rsidRPr="00A121F2">
              <w:rPr>
                <w:b/>
                <w:i/>
              </w:rPr>
              <w:t>533/GAI</w:t>
            </w:r>
            <w:r w:rsidRPr="00A121F2">
              <w:t>;</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ii)</w:t>
            </w:r>
            <w:r w:rsidRPr="00A121F2">
              <w:tab/>
              <w:t>del VIS in conformità dell'articolo 50, paragrafo 3, del regolamento (CE) n. 767/2008 e dell'articolo 17, paragrafo 3, della decisione 2008/633/GAI;</w:t>
            </w:r>
          </w:p>
        </w:tc>
        <w:tc>
          <w:tcPr>
            <w:tcW w:w="4876" w:type="dxa"/>
          </w:tcPr>
          <w:p w:rsidR="00AF580A" w:rsidRPr="00A121F2" w:rsidRDefault="00AF580A" w:rsidP="00AC4477">
            <w:pPr>
              <w:pStyle w:val="Normal6"/>
            </w:pPr>
            <w:r w:rsidRPr="00A121F2">
              <w:t>ii)</w:t>
            </w:r>
            <w:r w:rsidRPr="00A121F2">
              <w:tab/>
              <w:t>del VIS in conformità dell'articolo 50, paragrafo 3, del regolamento (CE) n. 767/2008 e dell'articolo 17, paragrafo 3, della decisione 2008/633/GAI;</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iii)</w:t>
            </w:r>
            <w:r w:rsidRPr="00A121F2">
              <w:tab/>
              <w:t>dell'EES in conformità dell'articolo 72, paragrafo 4, del regolamento (UE) 2017/2226;</w:t>
            </w:r>
          </w:p>
        </w:tc>
        <w:tc>
          <w:tcPr>
            <w:tcW w:w="4876" w:type="dxa"/>
          </w:tcPr>
          <w:p w:rsidR="00AF580A" w:rsidRPr="00A121F2" w:rsidRDefault="00AF580A" w:rsidP="00AC4477">
            <w:pPr>
              <w:pStyle w:val="Normal6"/>
            </w:pPr>
            <w:r w:rsidRPr="00A121F2">
              <w:t>iii)</w:t>
            </w:r>
            <w:r w:rsidRPr="00A121F2">
              <w:tab/>
              <w:t>dell'EES in conformità dell'articolo 72, paragrafo 4, del regolamento (UE) 2017/2226;</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iv)</w:t>
            </w:r>
            <w:r w:rsidRPr="00A121F2">
              <w:tab/>
              <w:t>dell'ETIAS in conformità dell'articolo 92, paragrafo 4, del regolamento (UE) 2018/1240;</w:t>
            </w:r>
          </w:p>
        </w:tc>
        <w:tc>
          <w:tcPr>
            <w:tcW w:w="4876" w:type="dxa"/>
          </w:tcPr>
          <w:p w:rsidR="00AF580A" w:rsidRPr="00A121F2" w:rsidRDefault="00AF580A" w:rsidP="00AC4477">
            <w:pPr>
              <w:pStyle w:val="Normal6"/>
            </w:pPr>
            <w:r w:rsidRPr="00A121F2">
              <w:t>iv)</w:t>
            </w:r>
            <w:r w:rsidRPr="00A121F2">
              <w:tab/>
              <w:t>dell'ETIAS in conformità dell'articolo 92, paragrafo 4, del regolamento (UE) 2018/1240;</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v)</w:t>
            </w:r>
            <w:r w:rsidRPr="00A121F2">
              <w:tab/>
              <w:t>dell'ECRIS-TCN e dell'attuazione di riferimento ECRIS in conformità dell'articolo 36, paragrafo 8, del regolamento (UE) 2019/816;</w:t>
            </w:r>
          </w:p>
        </w:tc>
        <w:tc>
          <w:tcPr>
            <w:tcW w:w="4876" w:type="dxa"/>
          </w:tcPr>
          <w:p w:rsidR="00AF580A" w:rsidRPr="00A121F2" w:rsidRDefault="00AF580A" w:rsidP="00AC4477">
            <w:pPr>
              <w:pStyle w:val="Normal6"/>
              <w:rPr>
                <w:b/>
                <w:i/>
              </w:rPr>
            </w:pPr>
            <w:r w:rsidRPr="00A121F2">
              <w:t>v)</w:t>
            </w:r>
            <w:r w:rsidRPr="00A121F2">
              <w:tab/>
              <w:t>dell'ECRIS-TCN e dell'attuazione di riferimento ECRIS in conformità dell'articolo 36, paragrafo 8, del regolamento (UE) 2019/816;</w:t>
            </w:r>
            <w:r w:rsidRPr="00A121F2">
              <w:rPr>
                <w:b/>
                <w:i/>
              </w:rPr>
              <w:t xml:space="preserve"> </w:t>
            </w:r>
          </w:p>
        </w:tc>
      </w:tr>
      <w:tr w:rsidR="00AF580A" w:rsidRPr="00A121F2" w:rsidTr="00AC4477">
        <w:trPr>
          <w:jc w:val="center"/>
        </w:trPr>
        <w:tc>
          <w:tcPr>
            <w:tcW w:w="4876" w:type="dxa"/>
          </w:tcPr>
          <w:p w:rsidR="00AF580A" w:rsidRPr="00A121F2" w:rsidRDefault="00AF580A" w:rsidP="00AC4477">
            <w:pPr>
              <w:pStyle w:val="Normal6"/>
              <w:rPr>
                <w:rFonts w:eastAsia="Arial Unicode MS"/>
                <w:bCs/>
                <w:iCs/>
              </w:rPr>
            </w:pPr>
            <w:r w:rsidRPr="00A121F2">
              <w:t>vi)</w:t>
            </w:r>
            <w:r w:rsidRPr="00A121F2">
              <w:tab/>
              <w:t>delle componenti dell'interoperabilità in conformità dell'articolo 78, paragrafo 3, del regolamento (UE) 2019/817 e dell'articolo 74, paragrafo 3, del regolamento (UE) 2019/818;</w:t>
            </w:r>
          </w:p>
        </w:tc>
        <w:tc>
          <w:tcPr>
            <w:tcW w:w="4876" w:type="dxa"/>
          </w:tcPr>
          <w:p w:rsidR="00AF580A" w:rsidRPr="00A121F2" w:rsidRDefault="00AF580A" w:rsidP="00AC4477">
            <w:pPr>
              <w:pStyle w:val="Normal6"/>
              <w:rPr>
                <w:b/>
                <w:i/>
              </w:rPr>
            </w:pPr>
            <w:r w:rsidRPr="00A121F2">
              <w:t>vi)</w:t>
            </w:r>
            <w:r w:rsidRPr="00A121F2">
              <w:tab/>
              <w:t>delle componenti dell'interoperabilità in conformità dell'articolo 78, paragrafo 3, del regolamento (UE) 2019/817 e dell'articolo 74, paragrafo 3, del regolamento (UE) 2019/818;</w:t>
            </w:r>
          </w:p>
        </w:tc>
      </w:tr>
      <w:tr w:rsidR="00AF580A" w:rsidRPr="00A121F2" w:rsidTr="00AC4477">
        <w:trPr>
          <w:jc w:val="center"/>
        </w:trPr>
        <w:tc>
          <w:tcPr>
            <w:tcW w:w="4876" w:type="dxa"/>
          </w:tcPr>
          <w:p w:rsidR="00AF580A" w:rsidRPr="00A121F2" w:rsidRDefault="00AF580A" w:rsidP="00AC4477">
            <w:pPr>
              <w:pStyle w:val="Normal6"/>
              <w:rPr>
                <w:rFonts w:eastAsia="Arial Unicode MS"/>
              </w:rPr>
            </w:pPr>
            <w:r w:rsidRPr="00A121F2">
              <w:t>vii)</w:t>
            </w:r>
            <w:r w:rsidRPr="00A121F2">
              <w:tab/>
              <w:t>del sistema e-CODEX in conformità dell'articolo 16, paragrafo 1, del regolamento (UE) 2022/850;</w:t>
            </w:r>
          </w:p>
        </w:tc>
        <w:tc>
          <w:tcPr>
            <w:tcW w:w="4876" w:type="dxa"/>
          </w:tcPr>
          <w:p w:rsidR="00AF580A" w:rsidRPr="00A121F2" w:rsidRDefault="00AF580A" w:rsidP="00AC4477">
            <w:pPr>
              <w:pStyle w:val="Normal6"/>
              <w:rPr>
                <w:b/>
                <w:i/>
              </w:rPr>
            </w:pPr>
            <w:r w:rsidRPr="00A121F2">
              <w:t>vii)</w:t>
            </w:r>
            <w:r w:rsidRPr="00A121F2">
              <w:tab/>
              <w:t>del sistema e-CODEX in conformità dell'articolo 16, paragrafo 1, del regolamento (UE) 2022/850;</w:t>
            </w:r>
          </w:p>
        </w:tc>
      </w:tr>
      <w:tr w:rsidR="00AF580A" w:rsidRPr="00A121F2" w:rsidTr="00AC4477">
        <w:trPr>
          <w:jc w:val="center"/>
        </w:trPr>
        <w:tc>
          <w:tcPr>
            <w:tcW w:w="4876" w:type="dxa"/>
          </w:tcPr>
          <w:p w:rsidR="00AF580A" w:rsidRPr="00A121F2" w:rsidRDefault="00AF580A" w:rsidP="00AC4477">
            <w:pPr>
              <w:pStyle w:val="Normal6"/>
              <w:rPr>
                <w:rFonts w:eastAsia="Arial Unicode MS"/>
                <w:b/>
                <w:bCs/>
                <w:i/>
                <w:iCs/>
              </w:rPr>
            </w:pPr>
          </w:p>
        </w:tc>
        <w:tc>
          <w:tcPr>
            <w:tcW w:w="4876" w:type="dxa"/>
          </w:tcPr>
          <w:p w:rsidR="00AF580A" w:rsidRPr="00A121F2" w:rsidRDefault="00AF580A" w:rsidP="00AC4477">
            <w:pPr>
              <w:pStyle w:val="Normal6"/>
              <w:rPr>
                <w:b/>
                <w:i/>
              </w:rPr>
            </w:pPr>
            <w:r w:rsidRPr="00A121F2">
              <w:rPr>
                <w:b/>
                <w:i/>
              </w:rPr>
              <w:t>viii)</w:t>
            </w:r>
            <w:r w:rsidRPr="00A121F2">
              <w:rPr>
                <w:b/>
                <w:i/>
              </w:rPr>
              <w:tab/>
              <w:t>del router di cui all'articolo 35 del regolamento (UE) ../.. [2021/0410(COD)] a norma dell'articolo 79, paragrafo 5, di tale regolamento (UE).../...;</w:t>
            </w:r>
          </w:p>
        </w:tc>
      </w:tr>
      <w:tr w:rsidR="00AF580A" w:rsidRPr="00A121F2" w:rsidTr="00AC4477">
        <w:trPr>
          <w:jc w:val="center"/>
        </w:trPr>
        <w:tc>
          <w:tcPr>
            <w:tcW w:w="4876" w:type="dxa"/>
          </w:tcPr>
          <w:p w:rsidR="00AF580A" w:rsidRPr="00A121F2" w:rsidRDefault="00AF580A" w:rsidP="00AC4477">
            <w:pPr>
              <w:pStyle w:val="Normal6"/>
            </w:pPr>
            <w:r w:rsidRPr="00A121F2">
              <w:t xml:space="preserve">hh) </w:t>
            </w:r>
            <w:r w:rsidRPr="00A121F2">
              <w:tab/>
              <w:t xml:space="preserve">adotta osservazioni formali sulle relazioni del Garante europeo della protezione dei dati relative ai </w:t>
            </w:r>
            <w:r w:rsidRPr="00A121F2">
              <w:rPr>
                <w:b/>
                <w:i/>
              </w:rPr>
              <w:t xml:space="preserve">suoi </w:t>
            </w:r>
            <w:r w:rsidRPr="00A121F2">
              <w:t xml:space="preserve">controlli </w:t>
            </w:r>
            <w:r w:rsidRPr="00A121F2">
              <w:rPr>
                <w:b/>
                <w:i/>
              </w:rPr>
              <w:t>in conformità dell'articolo 56</w:t>
            </w:r>
            <w:r w:rsidRPr="00A121F2">
              <w:t xml:space="preserve">, </w:t>
            </w:r>
            <w:r w:rsidRPr="00A121F2">
              <w:rPr>
                <w:b/>
                <w:bCs/>
                <w:i/>
                <w:iCs/>
              </w:rPr>
              <w:t>paragrafo 2, del regolamento</w:t>
            </w:r>
            <w:r w:rsidRPr="00A121F2">
              <w:t xml:space="preserve"> (</w:t>
            </w:r>
            <w:r w:rsidRPr="00A121F2">
              <w:rPr>
                <w:b/>
                <w:i/>
              </w:rPr>
              <w:t>UE</w:t>
            </w:r>
            <w:r w:rsidRPr="00A121F2">
              <w:t>)</w:t>
            </w:r>
            <w:r w:rsidRPr="00A121F2">
              <w:rPr>
                <w:b/>
                <w:i/>
              </w:rPr>
              <w:t> 2018</w:t>
            </w:r>
            <w:r w:rsidRPr="00A121F2">
              <w:t>/</w:t>
            </w:r>
            <w:r w:rsidRPr="00A121F2">
              <w:rPr>
                <w:b/>
                <w:i/>
              </w:rPr>
              <w:t>1861</w:t>
            </w:r>
            <w:r w:rsidRPr="00A121F2">
              <w:t>, dell'articolo</w:t>
            </w:r>
            <w:r w:rsidRPr="00A121F2">
              <w:rPr>
                <w:b/>
                <w:i/>
              </w:rPr>
              <w:t> </w:t>
            </w:r>
            <w:r w:rsidRPr="00A121F2">
              <w:t>42, paragrafo</w:t>
            </w:r>
            <w:r w:rsidRPr="00A121F2">
              <w:rPr>
                <w:b/>
                <w:i/>
              </w:rPr>
              <w:t> </w:t>
            </w:r>
            <w:r w:rsidRPr="00A121F2">
              <w:t>2, del regolamento (CE) n.</w:t>
            </w:r>
            <w:r w:rsidRPr="00A121F2">
              <w:rPr>
                <w:b/>
                <w:i/>
              </w:rPr>
              <w:t> </w:t>
            </w:r>
            <w:r w:rsidRPr="00A121F2">
              <w:t>767/2008</w:t>
            </w:r>
            <w:r w:rsidRPr="00A121F2">
              <w:rPr>
                <w:b/>
                <w:i/>
              </w:rPr>
              <w:t xml:space="preserve">, </w:t>
            </w:r>
            <w:r w:rsidRPr="00A121F2">
              <w:t>dell'articolo</w:t>
            </w:r>
            <w:r w:rsidRPr="00A121F2">
              <w:rPr>
                <w:b/>
                <w:i/>
              </w:rPr>
              <w:t> </w:t>
            </w:r>
            <w:r w:rsidRPr="00A121F2">
              <w:t>31, paragrafo</w:t>
            </w:r>
            <w:r w:rsidRPr="00A121F2">
              <w:rPr>
                <w:b/>
                <w:i/>
              </w:rPr>
              <w:t> </w:t>
            </w:r>
            <w:r w:rsidRPr="00A121F2">
              <w:t>2, del regolamento (UE) n.</w:t>
            </w:r>
            <w:r w:rsidRPr="00A121F2">
              <w:rPr>
                <w:b/>
                <w:i/>
              </w:rPr>
              <w:t> </w:t>
            </w:r>
            <w:r w:rsidRPr="00A121F2">
              <w:t>603/2013, dell'articolo 56, paragrafo</w:t>
            </w:r>
            <w:r w:rsidRPr="00A121F2">
              <w:rPr>
                <w:b/>
                <w:i/>
              </w:rPr>
              <w:t> </w:t>
            </w:r>
            <w:r w:rsidRPr="00A121F2">
              <w:t>2, del regolamento (UE)</w:t>
            </w:r>
            <w:r w:rsidRPr="00A121F2">
              <w:rPr>
                <w:b/>
                <w:i/>
              </w:rPr>
              <w:t> </w:t>
            </w:r>
            <w:r w:rsidRPr="00A121F2">
              <w:t>2017/2226, dell'articolo</w:t>
            </w:r>
            <w:r w:rsidRPr="00A121F2">
              <w:rPr>
                <w:b/>
                <w:i/>
              </w:rPr>
              <w:t> </w:t>
            </w:r>
            <w:r w:rsidRPr="00A121F2">
              <w:t>67 del regolamento (UE)</w:t>
            </w:r>
            <w:r w:rsidRPr="00A121F2">
              <w:rPr>
                <w:b/>
                <w:i/>
              </w:rPr>
              <w:t> </w:t>
            </w:r>
            <w:r w:rsidRPr="00A121F2">
              <w:t>2018/1240,</w:t>
            </w:r>
            <w:r w:rsidRPr="00A121F2">
              <w:rPr>
                <w:b/>
                <w:i/>
              </w:rPr>
              <w:t xml:space="preserve"> dell'articolo 29</w:t>
            </w:r>
            <w:r w:rsidRPr="00A121F2">
              <w:t xml:space="preserve">, </w:t>
            </w:r>
            <w:r w:rsidRPr="00A121F2">
              <w:rPr>
                <w:b/>
                <w:bCs/>
                <w:i/>
                <w:iCs/>
              </w:rPr>
              <w:t>paragrafo 2, del regolamento (UE)</w:t>
            </w:r>
            <w:r w:rsidRPr="00A121F2">
              <w:t xml:space="preserve"> </w:t>
            </w:r>
            <w:r w:rsidRPr="00A121F2">
              <w:rPr>
                <w:b/>
                <w:i/>
              </w:rPr>
              <w:t>2019</w:t>
            </w:r>
            <w:r w:rsidRPr="00A121F2">
              <w:t>/</w:t>
            </w:r>
            <w:r w:rsidRPr="00A121F2">
              <w:rPr>
                <w:b/>
                <w:i/>
              </w:rPr>
              <w:t>816 del Parlamento europeo e del Consiglio e dell'articolo 52 dei regolamenti (UE) 2019</w:t>
            </w:r>
            <w:r w:rsidRPr="00A121F2">
              <w:t>/</w:t>
            </w:r>
            <w:r w:rsidRPr="00A121F2">
              <w:rPr>
                <w:b/>
                <w:i/>
              </w:rPr>
              <w:t xml:space="preserve">817 e </w:t>
            </w:r>
            <w:r w:rsidRPr="00A121F2">
              <w:t>(</w:t>
            </w:r>
            <w:r w:rsidRPr="00A121F2">
              <w:rPr>
                <w:b/>
                <w:i/>
              </w:rPr>
              <w:t>UE</w:t>
            </w:r>
            <w:r w:rsidRPr="00A121F2">
              <w:t>)</w:t>
            </w:r>
            <w:r w:rsidRPr="00A121F2">
              <w:rPr>
                <w:b/>
                <w:i/>
              </w:rPr>
              <w:t xml:space="preserve"> 2019/818</w:t>
            </w:r>
            <w:r w:rsidRPr="00A121F2">
              <w:t xml:space="preserve"> e assicura adeguato seguito a tali controlli;</w:t>
            </w:r>
          </w:p>
        </w:tc>
        <w:tc>
          <w:tcPr>
            <w:tcW w:w="4876" w:type="dxa"/>
          </w:tcPr>
          <w:p w:rsidR="00AF580A" w:rsidRPr="00A121F2" w:rsidRDefault="00AF580A" w:rsidP="00AC4477">
            <w:pPr>
              <w:pStyle w:val="Normal6"/>
            </w:pPr>
            <w:r w:rsidRPr="00A121F2">
              <w:t xml:space="preserve">hh) </w:t>
            </w:r>
            <w:r w:rsidRPr="00A121F2">
              <w:tab/>
              <w:t xml:space="preserve">adotta osservazioni formali sulle relazioni del Garante europeo della protezione dei dati relative ai controlli </w:t>
            </w:r>
            <w:r w:rsidRPr="00A121F2">
              <w:rPr>
                <w:b/>
                <w:i/>
              </w:rPr>
              <w:t xml:space="preserve">svolti </w:t>
            </w:r>
            <w:r w:rsidRPr="00A121F2">
              <w:t>in conformità</w:t>
            </w:r>
            <w:r w:rsidRPr="00A121F2">
              <w:rPr>
                <w:b/>
                <w:i/>
              </w:rPr>
              <w:t xml:space="preserve"> dell'articolo 45</w:t>
            </w:r>
            <w:r w:rsidRPr="00A121F2">
              <w:t xml:space="preserve">, </w:t>
            </w:r>
            <w:r w:rsidRPr="00A121F2">
              <w:rPr>
                <w:b/>
                <w:bCs/>
                <w:i/>
                <w:iCs/>
              </w:rPr>
              <w:t>paragrafo 2, del regolamento</w:t>
            </w:r>
            <w:r w:rsidRPr="00A121F2">
              <w:t xml:space="preserve"> (</w:t>
            </w:r>
            <w:r w:rsidRPr="00A121F2">
              <w:rPr>
                <w:b/>
                <w:i/>
              </w:rPr>
              <w:t>CE</w:t>
            </w:r>
            <w:r w:rsidRPr="00A121F2">
              <w:t>)</w:t>
            </w:r>
            <w:r w:rsidRPr="00A121F2">
              <w:rPr>
                <w:b/>
                <w:i/>
              </w:rPr>
              <w:t xml:space="preserve"> n. 1987</w:t>
            </w:r>
            <w:r w:rsidRPr="00A121F2">
              <w:t>/</w:t>
            </w:r>
            <w:r w:rsidRPr="00A121F2">
              <w:rPr>
                <w:b/>
                <w:i/>
              </w:rPr>
              <w:t>2006</w:t>
            </w:r>
            <w:r w:rsidRPr="00A121F2">
              <w:t>, dell'articolo</w:t>
            </w:r>
            <w:r w:rsidRPr="00A121F2">
              <w:rPr>
                <w:b/>
                <w:i/>
              </w:rPr>
              <w:t xml:space="preserve"> </w:t>
            </w:r>
            <w:r w:rsidRPr="00A121F2">
              <w:t>42, paragrafo</w:t>
            </w:r>
            <w:r w:rsidRPr="00A121F2">
              <w:rPr>
                <w:b/>
                <w:i/>
              </w:rPr>
              <w:t xml:space="preserve"> </w:t>
            </w:r>
            <w:r w:rsidRPr="00A121F2">
              <w:t>2, del regolamento (CE) n.</w:t>
            </w:r>
            <w:r w:rsidRPr="00A121F2">
              <w:rPr>
                <w:b/>
                <w:i/>
              </w:rPr>
              <w:t xml:space="preserve"> </w:t>
            </w:r>
            <w:r w:rsidRPr="00A121F2">
              <w:t>767/2008, dell'articolo 31, paragrafo</w:t>
            </w:r>
            <w:r w:rsidRPr="00A121F2">
              <w:rPr>
                <w:b/>
                <w:i/>
              </w:rPr>
              <w:t xml:space="preserve"> </w:t>
            </w:r>
            <w:r w:rsidRPr="00A121F2">
              <w:t>2, del regolamento (UE) n.</w:t>
            </w:r>
            <w:r w:rsidRPr="00A121F2">
              <w:rPr>
                <w:b/>
                <w:i/>
              </w:rPr>
              <w:t xml:space="preserve"> </w:t>
            </w:r>
            <w:r w:rsidRPr="00A121F2">
              <w:t>603/2013, dell'articolo</w:t>
            </w:r>
            <w:r w:rsidRPr="00A121F2">
              <w:rPr>
                <w:b/>
                <w:i/>
              </w:rPr>
              <w:t xml:space="preserve"> </w:t>
            </w:r>
            <w:r w:rsidRPr="00A121F2">
              <w:t>56, paragrafo</w:t>
            </w:r>
            <w:r w:rsidRPr="00A121F2">
              <w:rPr>
                <w:b/>
                <w:i/>
              </w:rPr>
              <w:t xml:space="preserve"> </w:t>
            </w:r>
            <w:r w:rsidRPr="00A121F2">
              <w:t>2, del regolamento (UE)</w:t>
            </w:r>
            <w:r w:rsidRPr="00A121F2">
              <w:rPr>
                <w:b/>
                <w:i/>
              </w:rPr>
              <w:t xml:space="preserve"> </w:t>
            </w:r>
            <w:r w:rsidRPr="00A121F2">
              <w:t>2017/2226</w:t>
            </w:r>
            <w:r w:rsidRPr="00A121F2">
              <w:rPr>
                <w:b/>
                <w:i/>
              </w:rPr>
              <w:t xml:space="preserve">, </w:t>
            </w:r>
            <w:r w:rsidRPr="00A121F2">
              <w:t>dell'articolo</w:t>
            </w:r>
            <w:r w:rsidRPr="00A121F2">
              <w:rPr>
                <w:b/>
                <w:i/>
              </w:rPr>
              <w:t xml:space="preserve"> </w:t>
            </w:r>
            <w:r w:rsidRPr="00A121F2">
              <w:t>67 del regolamento (UE)</w:t>
            </w:r>
            <w:r w:rsidRPr="00A121F2">
              <w:rPr>
                <w:b/>
                <w:i/>
              </w:rPr>
              <w:t xml:space="preserve"> </w:t>
            </w:r>
            <w:r w:rsidRPr="00A121F2">
              <w:t>2018/1240</w:t>
            </w:r>
            <w:r w:rsidRPr="00A121F2">
              <w:rPr>
                <w:b/>
                <w:i/>
              </w:rPr>
              <w:t xml:space="preserve"> e dell'articolo 60</w:t>
            </w:r>
            <w:r w:rsidRPr="00A121F2">
              <w:t>,</w:t>
            </w:r>
            <w:r w:rsidRPr="00A121F2">
              <w:rPr>
                <w:b/>
                <w:bCs/>
                <w:i/>
                <w:iCs/>
              </w:rPr>
              <w:t xml:space="preserve"> paragrafo 2, del regolamento (UE)</w:t>
            </w:r>
            <w:r w:rsidRPr="00A121F2">
              <w:t xml:space="preserve"> </w:t>
            </w:r>
            <w:r w:rsidRPr="00A121F2">
              <w:rPr>
                <w:b/>
                <w:i/>
              </w:rPr>
              <w:t>..</w:t>
            </w:r>
            <w:r w:rsidRPr="00A121F2">
              <w:t>/</w:t>
            </w:r>
            <w:r w:rsidRPr="00A121F2">
              <w:rPr>
                <w:b/>
                <w:i/>
              </w:rPr>
              <w:t>.. [2021</w:t>
            </w:r>
            <w:r w:rsidRPr="00A121F2">
              <w:t>/</w:t>
            </w:r>
            <w:r w:rsidRPr="00A121F2">
              <w:rPr>
                <w:b/>
                <w:i/>
              </w:rPr>
              <w:t>0410</w:t>
            </w:r>
            <w:r w:rsidRPr="00A121F2">
              <w:t>(</w:t>
            </w:r>
            <w:r w:rsidRPr="00A121F2">
              <w:rPr>
                <w:b/>
                <w:i/>
              </w:rPr>
              <w:t>COD</w:t>
            </w:r>
            <w:r w:rsidRPr="00A121F2">
              <w:t>)</w:t>
            </w:r>
            <w:r w:rsidRPr="00A121F2">
              <w:rPr>
                <w:b/>
                <w:i/>
              </w:rPr>
              <w:t>]</w:t>
            </w:r>
            <w:r w:rsidRPr="00A121F2">
              <w:t xml:space="preserve"> e assicura adeguato seguito a tali controlli;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70 – punto 2</w:t>
      </w:r>
      <w:r w:rsidRPr="00A121F2">
        <w:rPr>
          <w:rStyle w:val="HideTWBExt"/>
          <w:b w:val="0"/>
          <w:noProof w:val="0"/>
          <w:color w:val="auto"/>
        </w:rPr>
        <w:t>&lt;/Article&gt;</w:t>
      </w:r>
    </w:p>
    <w:p w:rsidR="00AF580A" w:rsidRPr="00A121F2" w:rsidRDefault="00AF580A" w:rsidP="00AF580A">
      <w:pPr>
        <w:keepNext/>
      </w:pPr>
      <w:r w:rsidRPr="00A121F2">
        <w:rPr>
          <w:rStyle w:val="HideTWBExt"/>
          <w:noProof w:val="0"/>
          <w:color w:val="auto"/>
        </w:rPr>
        <w:t>&lt;DocAmend2&gt;</w:t>
      </w:r>
      <w:r w:rsidRPr="00A121F2">
        <w:t>Regolamento (UE) 2019/818</w:t>
      </w:r>
      <w:r w:rsidRPr="00A121F2">
        <w:rPr>
          <w:rStyle w:val="HideTWBExt"/>
          <w:noProof w:val="0"/>
          <w:color w:val="auto"/>
        </w:rPr>
        <w:t>&lt;/DocAmend2&gt;</w:t>
      </w:r>
    </w:p>
    <w:p w:rsidR="00AF580A" w:rsidRPr="00A121F2" w:rsidRDefault="00AF580A" w:rsidP="00AF580A">
      <w:r w:rsidRPr="00A121F2">
        <w:rPr>
          <w:rStyle w:val="HideTWBExt"/>
          <w:noProof w:val="0"/>
          <w:color w:val="auto"/>
        </w:rPr>
        <w:t>&lt;Article2&gt;</w:t>
      </w:r>
      <w:r w:rsidRPr="00A121F2">
        <w:t>Articolo 39 –  paragrafo 1</w:t>
      </w:r>
      <w:r w:rsidRPr="00A121F2">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È istituito un archivio centrale di relazioni e statistiche (CRRS) al fine di sostenere gli obiettivi del SIS, dell'Eurodac e dell'ECRIS-TCN, in conformità dei rispettivi strumenti giuridici che disciplinano tali sistemi, e fornire dati statistici intersistemici e relazioni analitiche a scopi strategici, operativi e di qualità dei dati. Il CRRS sostiene anche gli obiettivi del </w:t>
            </w:r>
            <w:r w:rsidRPr="00A121F2">
              <w:rPr>
                <w:b/>
                <w:i/>
              </w:rPr>
              <w:t>quadro Prüm II</w:t>
            </w:r>
            <w:r w:rsidRPr="00A121F2">
              <w:t>.</w:t>
            </w:r>
          </w:p>
        </w:tc>
        <w:tc>
          <w:tcPr>
            <w:tcW w:w="4876" w:type="dxa"/>
          </w:tcPr>
          <w:p w:rsidR="00AF580A" w:rsidRPr="00A121F2" w:rsidRDefault="00AF580A" w:rsidP="00AC4477">
            <w:pPr>
              <w:pStyle w:val="Normal6"/>
              <w:rPr>
                <w:szCs w:val="24"/>
              </w:rPr>
            </w:pPr>
            <w:r w:rsidRPr="00A121F2">
              <w:t>1.</w:t>
            </w:r>
            <w:r w:rsidRPr="00A121F2">
              <w:tab/>
              <w:t xml:space="preserve">È istituito un archivio centrale di relazioni e statistiche (CRRS) al fine di sostenere gli obiettivi del SIS, dell'Eurodac e dell'ECRIS-TCN, in conformità dei rispettivi strumenti giuridici che disciplinano tali sistemi, e fornire dati statistici intersistemici e relazioni analitiche a scopi strategici, operativi e di qualità dei dati. Il CRRS sostiene anche gli obiettivi del </w:t>
            </w:r>
            <w:r w:rsidRPr="00A121F2">
              <w:rPr>
                <w:b/>
                <w:i/>
              </w:rPr>
              <w:t>regolamento (UE) …/… del Parlamento europeo e del Consiglio* [il presente regolamento] [2021/0410(COD)]</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70 – punto 2</w:t>
      </w:r>
      <w:r w:rsidRPr="00A121F2">
        <w:rPr>
          <w:rStyle w:val="HideTWBExt"/>
          <w:b w:val="0"/>
          <w:noProof w:val="0"/>
          <w:color w:val="auto"/>
        </w:rPr>
        <w:t>&lt;/Article&gt;</w:t>
      </w:r>
    </w:p>
    <w:p w:rsidR="00AF580A" w:rsidRPr="00A121F2" w:rsidRDefault="00AF580A" w:rsidP="00AF580A">
      <w:pPr>
        <w:keepNext/>
      </w:pPr>
      <w:r w:rsidRPr="00A121F2">
        <w:rPr>
          <w:rStyle w:val="HideTWBExt"/>
          <w:noProof w:val="0"/>
          <w:color w:val="auto"/>
        </w:rPr>
        <w:t>&lt;DocAmend2&gt;</w:t>
      </w:r>
      <w:r w:rsidRPr="00A121F2">
        <w:t>Regolamento (UE) 2019/818</w:t>
      </w:r>
      <w:r w:rsidRPr="00A121F2">
        <w:rPr>
          <w:rStyle w:val="HideTWBExt"/>
          <w:noProof w:val="0"/>
          <w:color w:val="auto"/>
        </w:rPr>
        <w:t>&lt;/DocAmend2&gt;</w:t>
      </w:r>
    </w:p>
    <w:p w:rsidR="00AF580A" w:rsidRPr="00A121F2" w:rsidRDefault="00AF580A" w:rsidP="00AF580A">
      <w:r w:rsidRPr="00A121F2">
        <w:rPr>
          <w:rStyle w:val="HideTWBExt"/>
          <w:noProof w:val="0"/>
          <w:color w:val="auto"/>
        </w:rPr>
        <w:t>&lt;Article2&gt;</w:t>
      </w:r>
      <w:r w:rsidRPr="00A121F2">
        <w:t>Articolo 39 – paragrafo 2</w:t>
      </w:r>
      <w:r w:rsidRPr="00A121F2">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eu-LISA istituisce, attua e ospita il CRRS nei suoi siti tecnici contenenti, separati per logica in base al sistema di informazione dell'UE, i dati e le statistiche di cui all'articolo 74 del regolamento (UE) 2018/1862 e all'articolo 32 del regolamento (UE) 2019/816. eu-LISA raccoglie anche dati e statistiche dal router di cui </w:t>
            </w:r>
            <w:r w:rsidRPr="00A121F2">
              <w:rPr>
                <w:b/>
                <w:bCs/>
                <w:i/>
                <w:iCs/>
              </w:rPr>
              <w:t>all'articolo 65, paragrafo 1,</w:t>
            </w:r>
            <w:r w:rsidRPr="00A121F2">
              <w:t xml:space="preserve"> del regolamento (UE) …/… * [il presente regolamento]. L'accesso al CRRS è concesso mediante un accesso sicuro controllato e specifici profili di utente, unicamente ai fini dell'elaborazione di relazioni e statistiche, alle autorità di cui all'articolo 74 del regolamento (UE) 2018/1862, all'articolo 32 del regolamento (UE) 2019/816 e all'articolo 65, paragrafo 1, del regolamento (UE) …/… * [il presente regolamento]."</w:t>
            </w:r>
          </w:p>
        </w:tc>
        <w:tc>
          <w:tcPr>
            <w:tcW w:w="4876" w:type="dxa"/>
          </w:tcPr>
          <w:p w:rsidR="00AF580A" w:rsidRPr="00A121F2" w:rsidRDefault="00AF580A" w:rsidP="00AC4477">
            <w:pPr>
              <w:pStyle w:val="Normal6"/>
              <w:rPr>
                <w:szCs w:val="24"/>
              </w:rPr>
            </w:pPr>
            <w:r w:rsidRPr="00A121F2">
              <w:t>"2.</w:t>
            </w:r>
            <w:r w:rsidRPr="00A121F2">
              <w:tab/>
              <w:t xml:space="preserve">eu-LISA istituisce, attua e ospita il CRRS nei suoi siti tecnici contenenti, separati per logica in base al sistema di informazione dell'UE, i dati e le statistiche di cui all'articolo 74 del regolamento (UE) 2018/1862 e all'articolo 32 del regolamento (UE) 2019/816. eu-LISA raccoglie anche dati e statistiche dal router di cui </w:t>
            </w:r>
            <w:r w:rsidRPr="00A121F2">
              <w:rPr>
                <w:b/>
                <w:bCs/>
                <w:i/>
                <w:iCs/>
              </w:rPr>
              <w:t>all'articolo 71, paragrafo 1,</w:t>
            </w:r>
            <w:r w:rsidRPr="00A121F2">
              <w:t xml:space="preserve"> del regolamento (UE) …/… * [il presente regolamento]. L'accesso al CRRS è concesso mediante un accesso sicuro controllato e specifici profili di utente, unicamente ai fini dell'elaborazione di relazioni e statistiche, alle autorità di cui all'articolo 74 del regolamento (UE) 2018/1862, all'articolo 32 del regolamento (UE) 2019/816 e all'articolo 65, paragrafo 1, del regolamento (UE) …/… * [il presente regolamento]."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Il personale debitamente autorizzato delle autorità competenti degli Stati membri, della Commissione, di Europol e di eu-LISA ha accesso </w:t>
            </w:r>
            <w:r w:rsidRPr="00A121F2">
              <w:rPr>
                <w:b/>
                <w:i/>
              </w:rPr>
              <w:t>alla consultazione dei</w:t>
            </w:r>
            <w:r w:rsidRPr="00A121F2">
              <w:t xml:space="preserve"> seguenti dati relativi al router, unicamente per elaborare relazioni e statistiche:</w:t>
            </w:r>
          </w:p>
        </w:tc>
        <w:tc>
          <w:tcPr>
            <w:tcW w:w="4876" w:type="dxa"/>
          </w:tcPr>
          <w:p w:rsidR="00AF580A" w:rsidRPr="00A121F2" w:rsidRDefault="00AF580A" w:rsidP="00AC4477">
            <w:pPr>
              <w:pStyle w:val="Normal6"/>
              <w:rPr>
                <w:szCs w:val="24"/>
              </w:rPr>
            </w:pPr>
            <w:r w:rsidRPr="00A121F2">
              <w:t>1.</w:t>
            </w:r>
            <w:r w:rsidRPr="00A121F2">
              <w:tab/>
              <w:t xml:space="preserve">Il personale debitamente autorizzato delle autorità </w:t>
            </w:r>
            <w:r w:rsidRPr="00A121F2">
              <w:rPr>
                <w:b/>
                <w:i/>
              </w:rPr>
              <w:t xml:space="preserve">di contrasto </w:t>
            </w:r>
            <w:r w:rsidRPr="00A121F2">
              <w:t xml:space="preserve">competenti degli Stati membri, della Commissione, di Europol e di eu-LISA ha accesso </w:t>
            </w:r>
            <w:r w:rsidRPr="00A121F2">
              <w:rPr>
                <w:b/>
                <w:i/>
              </w:rPr>
              <w:t>ai</w:t>
            </w:r>
            <w:r w:rsidRPr="00A121F2">
              <w:t xml:space="preserve"> seguenti dati relativi al router, </w:t>
            </w:r>
            <w:r w:rsidRPr="00A121F2">
              <w:rPr>
                <w:b/>
                <w:i/>
              </w:rPr>
              <w:t xml:space="preserve">a seconda dei casi, </w:t>
            </w:r>
            <w:r w:rsidRPr="00A121F2">
              <w:t xml:space="preserve">unicamente per elaborare relazioni e statistiche: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1 – lettera 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a)</w:t>
            </w:r>
            <w:r w:rsidRPr="00A121F2">
              <w:tab/>
              <w:t>numero di interrogazioni presentate da ciascuno Stato membro e da Europol;</w:t>
            </w:r>
          </w:p>
        </w:tc>
        <w:tc>
          <w:tcPr>
            <w:tcW w:w="4876" w:type="dxa"/>
          </w:tcPr>
          <w:p w:rsidR="00AF580A" w:rsidRPr="00A121F2" w:rsidRDefault="00AF580A" w:rsidP="00AC4477">
            <w:pPr>
              <w:pStyle w:val="Normal6"/>
              <w:rPr>
                <w:szCs w:val="24"/>
              </w:rPr>
            </w:pPr>
            <w:r w:rsidRPr="00A121F2">
              <w:t>a)</w:t>
            </w:r>
            <w:r w:rsidRPr="00A121F2">
              <w:tab/>
              <w:t>numero di interrogazioni presentate da ciascuno Stato membro e da Europol</w:t>
            </w:r>
            <w:r w:rsidRPr="00A121F2">
              <w:rPr>
                <w:b/>
                <w:i/>
              </w:rPr>
              <w:t xml:space="preserve"> per categoria di dati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1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rPr>
                <w:b/>
                <w:i/>
              </w:rPr>
              <w:t>b)</w:t>
            </w:r>
            <w:r w:rsidRPr="00A121F2">
              <w:rPr>
                <w:b/>
                <w:i/>
              </w:rPr>
              <w:tab/>
              <w:t>numero di interrogazioni per ciascuna categoria di dati;</w:t>
            </w:r>
          </w:p>
        </w:tc>
        <w:tc>
          <w:tcPr>
            <w:tcW w:w="4876" w:type="dxa"/>
          </w:tcPr>
          <w:p w:rsidR="00AF580A" w:rsidRPr="00A121F2" w:rsidRDefault="00AF580A" w:rsidP="00AC4477">
            <w:pPr>
              <w:pStyle w:val="Normal6"/>
              <w:rPr>
                <w:szCs w:val="24"/>
              </w:rPr>
            </w:pPr>
            <w:r w:rsidRPr="00A121F2">
              <w:rPr>
                <w:b/>
                <w:i/>
              </w:rPr>
              <w:t>soppresso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70 – paragrafo 1 – lettera f</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f)</w:t>
            </w:r>
            <w:r w:rsidRPr="00A121F2">
              <w:tab/>
              <w:t xml:space="preserve">numero di corrispondenze confermate in relazione alle quali sono stati scambiati dati di base; </w:t>
            </w:r>
            <w:r w:rsidRPr="00A121F2">
              <w:rPr>
                <w:b/>
                <w:i/>
              </w:rPr>
              <w:t>e</w:t>
            </w:r>
          </w:p>
        </w:tc>
        <w:tc>
          <w:tcPr>
            <w:tcW w:w="4876" w:type="dxa"/>
          </w:tcPr>
          <w:p w:rsidR="00AF580A" w:rsidRPr="00A121F2" w:rsidRDefault="00AF580A" w:rsidP="00AC4477">
            <w:pPr>
              <w:pStyle w:val="Normal6"/>
              <w:rPr>
                <w:szCs w:val="24"/>
              </w:rPr>
            </w:pPr>
            <w:r w:rsidRPr="00A121F2">
              <w:t>f)</w:t>
            </w:r>
            <w:r w:rsidRPr="00A121F2">
              <w:tab/>
              <w:t>numero di corrispondenze confermate in relazione alle quali sono stati scambiati dati di base;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70 – paragrafo 1 – lettera f bis (nuova)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f bis)</w:t>
            </w:r>
            <w:r w:rsidRPr="00A121F2">
              <w:rPr>
                <w:b/>
                <w:i/>
              </w:rPr>
              <w:tab/>
              <w:t>numero di corrispondenze confermate in relazione alle quali non sono stati scambiati dati di base; 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209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70 – paragrafo 1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I dati non consentono l'identificazione di persone fisiche.</w:t>
            </w:r>
          </w:p>
        </w:tc>
        <w:tc>
          <w:tcPr>
            <w:tcW w:w="4876" w:type="dxa"/>
          </w:tcPr>
          <w:p w:rsidR="00AF580A" w:rsidRPr="00A121F2" w:rsidRDefault="00AF580A" w:rsidP="00AC4477">
            <w:pPr>
              <w:pStyle w:val="Normal6"/>
              <w:rPr>
                <w:szCs w:val="24"/>
              </w:rPr>
            </w:pPr>
            <w:r w:rsidRPr="00A121F2">
              <w:rPr>
                <w:b/>
                <w:i/>
              </w:rPr>
              <w:t xml:space="preserve">I dati sono aggregati. </w:t>
            </w:r>
            <w:r w:rsidRPr="00A121F2">
              <w:t>I dati non consentono l'identificazione di persone fisiche.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Il personale debitamente autorizzato delle autorità competenti degli Stati membri, di Europol e della Commissione ha accesso alla consultazione dei seguenti dati relativi ad Eucaris, unicamente per elaborare relazioni e statistiche:</w:t>
            </w:r>
          </w:p>
        </w:tc>
        <w:tc>
          <w:tcPr>
            <w:tcW w:w="4876" w:type="dxa"/>
          </w:tcPr>
          <w:p w:rsidR="00AF580A" w:rsidRPr="00A121F2" w:rsidRDefault="00AF580A" w:rsidP="00AC4477">
            <w:pPr>
              <w:pStyle w:val="Normal6"/>
              <w:rPr>
                <w:szCs w:val="24"/>
              </w:rPr>
            </w:pPr>
            <w:r w:rsidRPr="00A121F2">
              <w:t>2.</w:t>
            </w:r>
            <w:r w:rsidRPr="00A121F2">
              <w:tab/>
              <w:t xml:space="preserve">Il personale debitamente autorizzato delle autorità </w:t>
            </w:r>
            <w:r w:rsidRPr="00A121F2">
              <w:rPr>
                <w:b/>
                <w:i/>
              </w:rPr>
              <w:t xml:space="preserve">di contrasto </w:t>
            </w:r>
            <w:r w:rsidRPr="00A121F2">
              <w:t>competenti degli Stati membri, di Europol e della Commissione ha accesso alla consultazione dei seguenti dati relativi ad Eucaris, unicamente per elaborare relazioni e statistiche: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2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I dati non consentono l'identificazione di persone fisiche.</w:t>
            </w:r>
          </w:p>
        </w:tc>
        <w:tc>
          <w:tcPr>
            <w:tcW w:w="4876" w:type="dxa"/>
          </w:tcPr>
          <w:p w:rsidR="00AF580A" w:rsidRPr="00A121F2" w:rsidRDefault="00AF580A" w:rsidP="00AC4477">
            <w:pPr>
              <w:pStyle w:val="Normal6"/>
              <w:rPr>
                <w:szCs w:val="24"/>
              </w:rPr>
            </w:pPr>
            <w:r w:rsidRPr="00A121F2">
              <w:rPr>
                <w:b/>
                <w:i/>
              </w:rPr>
              <w:t xml:space="preserve">I dati sono aggregati. </w:t>
            </w:r>
            <w:r w:rsidRPr="00A121F2">
              <w:t>I dati non consentono l'identificazione di persone fisiche.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3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Il personale debitamente autorizzato delle autorità competenti degli Stati membri, della Commissione e di Europol ha accesso alla consultazione dei seguenti dati relativi ad EPRIS, unicamente per elaborare relazioni e statistiche:</w:t>
            </w:r>
          </w:p>
        </w:tc>
        <w:tc>
          <w:tcPr>
            <w:tcW w:w="4876" w:type="dxa"/>
          </w:tcPr>
          <w:p w:rsidR="00AF580A" w:rsidRPr="00A121F2" w:rsidRDefault="00AF580A" w:rsidP="00AC4477">
            <w:pPr>
              <w:pStyle w:val="Normal6"/>
              <w:rPr>
                <w:szCs w:val="24"/>
              </w:rPr>
            </w:pPr>
            <w:r w:rsidRPr="00A121F2">
              <w:t>3.</w:t>
            </w:r>
            <w:r w:rsidRPr="00A121F2">
              <w:tab/>
              <w:t xml:space="preserve">Il personale debitamente autorizzato delle autorità </w:t>
            </w:r>
            <w:r w:rsidRPr="00A121F2">
              <w:rPr>
                <w:b/>
                <w:i/>
              </w:rPr>
              <w:t xml:space="preserve">di contrasto </w:t>
            </w:r>
            <w:r w:rsidRPr="00A121F2">
              <w:t>competenti degli Stati membri, della Commissione e di Europol ha accesso alla consultazione dei seguenti dati relativi ad EPRIS, unicamente per elaborare relazioni e statistiche: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4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4.</w:t>
            </w:r>
            <w:r w:rsidRPr="00A121F2">
              <w:tab/>
              <w:t xml:space="preserve">eu-LISA conserva i dati di cui </w:t>
            </w:r>
            <w:r w:rsidRPr="00A121F2">
              <w:rPr>
                <w:b/>
                <w:i/>
              </w:rPr>
              <w:t>a questi paragrafi</w:t>
            </w:r>
            <w:r w:rsidRPr="00A121F2">
              <w:t>.</w:t>
            </w:r>
          </w:p>
        </w:tc>
        <w:tc>
          <w:tcPr>
            <w:tcW w:w="4876" w:type="dxa"/>
          </w:tcPr>
          <w:p w:rsidR="00AF580A" w:rsidRPr="00A121F2" w:rsidRDefault="00AF580A" w:rsidP="00AC4477">
            <w:pPr>
              <w:pStyle w:val="Normal6"/>
              <w:rPr>
                <w:szCs w:val="24"/>
              </w:rPr>
            </w:pPr>
            <w:r w:rsidRPr="00A121F2">
              <w:rPr>
                <w:b/>
                <w:i/>
              </w:rPr>
              <w:t>4.</w:t>
            </w:r>
            <w:r w:rsidRPr="00A121F2">
              <w:tab/>
              <w:t xml:space="preserve">eu-LISA conserva i dati di cui </w:t>
            </w:r>
            <w:r w:rsidRPr="00A121F2">
              <w:rPr>
                <w:b/>
                <w:i/>
              </w:rPr>
              <w:t>al paragrafo 1 del presente articolo nell'archivio centrale per le relazioni e le statistiche di cui all'articolo 39 del regolamento (UE) 2019/818</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71 – paragrafo 4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 dati consentono alle autorità di </w:t>
            </w:r>
            <w:r w:rsidRPr="00A121F2">
              <w:rPr>
                <w:b/>
                <w:i/>
              </w:rPr>
              <w:t>cui al paragrafo 1</w:t>
            </w:r>
            <w:r w:rsidRPr="00A121F2">
              <w:t xml:space="preserve"> di ottenere relazioni e statistiche personalizzabili per migliorare l'efficienza della cooperazione in materia di contrasto.</w:t>
            </w:r>
          </w:p>
        </w:tc>
        <w:tc>
          <w:tcPr>
            <w:tcW w:w="4876" w:type="dxa"/>
          </w:tcPr>
          <w:p w:rsidR="00AF580A" w:rsidRPr="00A121F2" w:rsidRDefault="00AF580A" w:rsidP="00AC4477">
            <w:pPr>
              <w:pStyle w:val="Normal6"/>
              <w:rPr>
                <w:szCs w:val="24"/>
              </w:rPr>
            </w:pPr>
            <w:r w:rsidRPr="00A121F2">
              <w:t xml:space="preserve">I dati consentono alle autorità di </w:t>
            </w:r>
            <w:r w:rsidRPr="00A121F2">
              <w:rPr>
                <w:b/>
                <w:i/>
              </w:rPr>
              <w:t>contrasto competenti degli Stati membri, a Europol, a eu-LISA e alla Commissione</w:t>
            </w:r>
            <w:r w:rsidRPr="00A121F2">
              <w:t xml:space="preserve"> di ottenere relazioni e statistiche personalizzabili per migliorare l'efficienza della cooperazione in materia di contrasto.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73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Gli Stati membri comunicano a eu-LISA i nominativi delle rispettive autorità di cui all'articolo 36 che possono usare il router o accedervi.</w:t>
            </w:r>
          </w:p>
        </w:tc>
        <w:tc>
          <w:tcPr>
            <w:tcW w:w="4876" w:type="dxa"/>
          </w:tcPr>
          <w:p w:rsidR="00AF580A" w:rsidRPr="00A121F2" w:rsidRDefault="00AF580A" w:rsidP="00AC4477">
            <w:pPr>
              <w:pStyle w:val="Normal6"/>
              <w:rPr>
                <w:szCs w:val="24"/>
              </w:rPr>
            </w:pPr>
            <w:r w:rsidRPr="00A121F2">
              <w:t>1.</w:t>
            </w:r>
            <w:r w:rsidRPr="00A121F2">
              <w:tab/>
              <w:t xml:space="preserve">Gli Stati membri comunicano a eu-LISA i nominativi delle rispettive autorità di </w:t>
            </w:r>
            <w:r w:rsidRPr="00A121F2">
              <w:rPr>
                <w:b/>
                <w:i/>
              </w:rPr>
              <w:t xml:space="preserve">contrasto competenti di </w:t>
            </w:r>
            <w:r w:rsidRPr="00A121F2">
              <w:t>cui all'articolo 36 che possono usare il router o accedervi.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73 – paragrafo 2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bis.</w:t>
            </w:r>
            <w:r w:rsidRPr="00A121F2">
              <w:rPr>
                <w:b/>
                <w:i/>
              </w:rPr>
              <w:tab/>
              <w:t>Gli Stati membri notificano agli altri Stati membri, alla Commissione, a eu-LISA ed Europol il contenuto delle loro banche dati nazionali del DNA cui si applicano gli articoli 5, 6 e 7.</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73 – paragrafo 2 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ter.</w:t>
            </w:r>
            <w:r w:rsidRPr="00A121F2">
              <w:rPr>
                <w:b/>
                <w:i/>
              </w:rPr>
              <w:tab/>
              <w:t>Gli Stati membri informano gli altri Stati membri, la Commissione, eu-LISA ed Europol del contenuto delle loro banche dati dattiloscopiche nazionali cui si applicano gli articoli 12 e 13.</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73 – paragrafo 2 quater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quater.</w:t>
            </w:r>
            <w:r w:rsidRPr="00A121F2">
              <w:rPr>
                <w:b/>
                <w:i/>
              </w:rPr>
              <w:tab/>
              <w:t>Gli Stati membri informano gli altri Stati membri, la Commissione, eu-LISA ed Europol del contenuto delle loro banche dati nazionali di immagini del volto cui si applicano gli articoli 21 e 22.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219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 xml:space="preserve">Articolo 73 – paragrafo 2 quinquies (nuovo) </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2 quinquies.</w:t>
            </w:r>
            <w:r w:rsidRPr="00A121F2">
              <w:rPr>
                <w:b/>
                <w:i/>
              </w:rPr>
              <w:tab/>
              <w:t xml:space="preserve">Gli Stati membri che partecipano agli scambi automatizzati di casellari giudiziali a norma degli articoli 25 e 26 notificano agli altri Stati membri, alla Commissione e a Europol il contenuto dei loro indici dei casellari giudiziali nazionali, le banche dati nazionali utilizzate per stabilire tali indici e le condizioni per le consultazioni automatizzate. </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73 – paragrafo 3</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Gli Stati membri notificano alla Commissione, ad Europol e ad eu-LISA </w:t>
            </w:r>
            <w:r w:rsidRPr="00A121F2">
              <w:rPr>
                <w:b/>
                <w:i/>
              </w:rPr>
              <w:t>i</w:t>
            </w:r>
            <w:r w:rsidRPr="00A121F2">
              <w:t xml:space="preserve"> punti di contatto nazionali.</w:t>
            </w:r>
          </w:p>
        </w:tc>
        <w:tc>
          <w:tcPr>
            <w:tcW w:w="4876" w:type="dxa"/>
          </w:tcPr>
          <w:p w:rsidR="00AF580A" w:rsidRPr="00A121F2" w:rsidRDefault="00AF580A" w:rsidP="00AC4477">
            <w:pPr>
              <w:pStyle w:val="Normal6"/>
              <w:rPr>
                <w:szCs w:val="24"/>
              </w:rPr>
            </w:pPr>
            <w:r w:rsidRPr="00A121F2">
              <w:t>3.</w:t>
            </w:r>
            <w:r w:rsidRPr="00A121F2">
              <w:tab/>
              <w:t xml:space="preserve">Gli Stati membri notificano alla Commissione, ad Europol e ad eu-LISA </w:t>
            </w:r>
            <w:r w:rsidRPr="00A121F2">
              <w:rPr>
                <w:b/>
                <w:i/>
              </w:rPr>
              <w:t>il loro punto di contatto nazionale di cui all'articolo 29.</w:t>
            </w:r>
            <w:r w:rsidRPr="00A121F2">
              <w:t xml:space="preserve"> </w:t>
            </w:r>
            <w:r w:rsidRPr="00A121F2">
              <w:rPr>
                <w:b/>
                <w:i/>
              </w:rPr>
              <w:t>La Commissione compila un elenco dei punti di contatto nazionali di cui è stata informata e lo mette a disposizione di tutti gli Stati membri.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1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La Commissione fissa, mediante atto di esecuzione, la data a decorrere dalla quale gli Stati membri </w:t>
            </w:r>
            <w:r w:rsidRPr="00A121F2">
              <w:rPr>
                <w:b/>
                <w:i/>
              </w:rPr>
              <w:t>e le agenzie dell'Unione</w:t>
            </w:r>
            <w:r w:rsidRPr="00A121F2">
              <w:t xml:space="preserve"> possono iniziare ad utilizzare il router una volta che siano soddisfatte le condizioni seguenti:</w:t>
            </w:r>
          </w:p>
        </w:tc>
        <w:tc>
          <w:tcPr>
            <w:tcW w:w="4876" w:type="dxa"/>
          </w:tcPr>
          <w:p w:rsidR="00AF580A" w:rsidRPr="00A121F2" w:rsidRDefault="00AF580A" w:rsidP="00AC4477">
            <w:pPr>
              <w:pStyle w:val="Normal6"/>
              <w:rPr>
                <w:szCs w:val="24"/>
              </w:rPr>
            </w:pPr>
            <w:r w:rsidRPr="00A121F2">
              <w:t>1.</w:t>
            </w:r>
            <w:r w:rsidRPr="00A121F2">
              <w:tab/>
              <w:t xml:space="preserve">La Commissione fissa, mediante atto di esecuzione, la data a decorrere dalla quale gli Stati membri </w:t>
            </w:r>
            <w:r w:rsidRPr="00A121F2">
              <w:rPr>
                <w:b/>
                <w:i/>
              </w:rPr>
              <w:t>ed Europol</w:t>
            </w:r>
            <w:r w:rsidRPr="00A121F2">
              <w:t xml:space="preserve"> possono iniziare ad utilizzare il router una volta che siano soddisfatte le condizioni seguenti: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1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eu-LISA ha dichiarato il positivo completamento di un collaudo generale del router che ha effettuato in cooperazione con le autorità degli Stati membri ed Europol.</w:t>
            </w:r>
          </w:p>
        </w:tc>
        <w:tc>
          <w:tcPr>
            <w:tcW w:w="4876" w:type="dxa"/>
          </w:tcPr>
          <w:p w:rsidR="00AF580A" w:rsidRPr="00A121F2" w:rsidRDefault="00AF580A" w:rsidP="00AC4477">
            <w:pPr>
              <w:pStyle w:val="Normal6"/>
              <w:rPr>
                <w:szCs w:val="24"/>
              </w:rPr>
            </w:pPr>
            <w:r w:rsidRPr="00A121F2">
              <w:t>b)</w:t>
            </w:r>
            <w:r w:rsidRPr="00A121F2">
              <w:tab/>
              <w:t xml:space="preserve">eu-LISA ha dichiarato il positivo completamento di un collaudo generale del router che ha effettuato in cooperazione con le autorità </w:t>
            </w:r>
            <w:r w:rsidRPr="00A121F2">
              <w:rPr>
                <w:b/>
                <w:i/>
              </w:rPr>
              <w:t xml:space="preserve">di contrasto competenti </w:t>
            </w:r>
            <w:r w:rsidRPr="00A121F2">
              <w:t>degli Stati membri ed Europol.</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1 – comma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In tale atto di esecuzione la Commissione stabilisce altresì la data a decorrere dalla quale gli Stati membri </w:t>
            </w:r>
            <w:r w:rsidRPr="00A121F2">
              <w:rPr>
                <w:b/>
                <w:i/>
              </w:rPr>
              <w:t>e le agenzie dell'Unione devono iniziare</w:t>
            </w:r>
            <w:r w:rsidRPr="00A121F2">
              <w:t xml:space="preserve"> a utilizzare il router. Tale data è fissata un anno dopo la data di cui al primo comma.</w:t>
            </w:r>
          </w:p>
        </w:tc>
        <w:tc>
          <w:tcPr>
            <w:tcW w:w="4876" w:type="dxa"/>
          </w:tcPr>
          <w:p w:rsidR="00AF580A" w:rsidRPr="00A121F2" w:rsidRDefault="00AF580A" w:rsidP="00AC4477">
            <w:pPr>
              <w:pStyle w:val="Normal6"/>
              <w:rPr>
                <w:szCs w:val="24"/>
              </w:rPr>
            </w:pPr>
            <w:r w:rsidRPr="00A121F2">
              <w:t xml:space="preserve">In tale atto di esecuzione la Commissione stabilisce altresì la data a decorrere dalla quale gli Stati membri </w:t>
            </w:r>
            <w:r w:rsidRPr="00A121F2">
              <w:rPr>
                <w:b/>
                <w:i/>
              </w:rPr>
              <w:t>ed Europol iniziano</w:t>
            </w:r>
            <w:r w:rsidRPr="00A121F2">
              <w:t xml:space="preserve"> a utilizzare il router. Tale data è fissata un anno dopo la data di cui al primo comma.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1 – comma 2</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 xml:space="preserve">La Commissione può rinviare al massimo di un anno la data a decorrere dalla quale gli Stati membri e le agenzie dell'Unione devono iniziare a utilizzare il router qualora una valutazione dell'attuazione del router abbia dimostrato la necessità di tale rinvio. </w:t>
            </w:r>
            <w:r w:rsidRPr="00A121F2">
              <w:rPr>
                <w:b/>
                <w:i/>
              </w:rPr>
              <w:t>Tali atti di esecuzione sono adottati secondo la procedura di cui all'articolo 76, paragrafo 2.</w:t>
            </w:r>
          </w:p>
        </w:tc>
        <w:tc>
          <w:tcPr>
            <w:tcW w:w="4876" w:type="dxa"/>
          </w:tcPr>
          <w:p w:rsidR="00AF580A" w:rsidRPr="00A121F2" w:rsidRDefault="00AF580A" w:rsidP="00AC4477">
            <w:pPr>
              <w:pStyle w:val="Normal6"/>
              <w:rPr>
                <w:szCs w:val="24"/>
              </w:rPr>
            </w:pPr>
            <w:r w:rsidRPr="00A121F2">
              <w:t>La Commissione può rinviare al massimo di un anno la data a decorrere dalla quale gli Stati membri e le agenzie dell'Unione devono iniziare a utilizzare il router qualora una valutazione dell'attuazione del router abbia dimostrato la necessità di tale rinvio.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La Commissione fissa, mediante atto di esecuzione, la data a decorrere dalla quale gli Stati membri </w:t>
            </w:r>
            <w:r w:rsidRPr="00A121F2">
              <w:rPr>
                <w:b/>
                <w:i/>
              </w:rPr>
              <w:t>e le agenzie dell'Unione</w:t>
            </w:r>
            <w:r w:rsidRPr="00A121F2">
              <w:t xml:space="preserve"> devono iniziare ad utilizzare EPRIS una volta che siano soddisfatte le condizioni seguenti:</w:t>
            </w:r>
          </w:p>
        </w:tc>
        <w:tc>
          <w:tcPr>
            <w:tcW w:w="4876" w:type="dxa"/>
          </w:tcPr>
          <w:p w:rsidR="00AF580A" w:rsidRPr="00A121F2" w:rsidRDefault="00AF580A" w:rsidP="00AC4477">
            <w:pPr>
              <w:pStyle w:val="Normal6"/>
              <w:rPr>
                <w:szCs w:val="24"/>
              </w:rPr>
            </w:pPr>
            <w:r w:rsidRPr="00A121F2">
              <w:t>2.</w:t>
            </w:r>
            <w:r w:rsidRPr="00A121F2">
              <w:tab/>
              <w:t xml:space="preserve">La Commissione fissa, mediante atto di esecuzione, la data a decorrere dalla quale gli Stati membri </w:t>
            </w:r>
            <w:r w:rsidRPr="00A121F2">
              <w:rPr>
                <w:b/>
                <w:i/>
              </w:rPr>
              <w:t>ed Europol</w:t>
            </w:r>
            <w:r w:rsidRPr="00A121F2">
              <w:t xml:space="preserve"> devono iniziare ad utilizzare EPRIS una volta che siano soddisfatte le condizioni seguenti: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2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Europol ha dichiarato il positivo completamento di un collaudo generale di EPRIS che ha effettuato in cooperazione con le autorità degli Stati membri.</w:t>
            </w:r>
          </w:p>
        </w:tc>
        <w:tc>
          <w:tcPr>
            <w:tcW w:w="4876" w:type="dxa"/>
          </w:tcPr>
          <w:p w:rsidR="00AF580A" w:rsidRPr="00A121F2" w:rsidRDefault="00AF580A" w:rsidP="00AC4477">
            <w:pPr>
              <w:pStyle w:val="Normal6"/>
              <w:rPr>
                <w:szCs w:val="24"/>
              </w:rPr>
            </w:pPr>
            <w:r w:rsidRPr="00A121F2">
              <w:t>b)</w:t>
            </w:r>
            <w:r w:rsidRPr="00A121F2">
              <w:tab/>
              <w:t xml:space="preserve">Europol ha dichiarato il positivo completamento di un collaudo generale di EPRIS che ha effettuato in cooperazione con le autorità </w:t>
            </w:r>
            <w:r w:rsidRPr="00A121F2">
              <w:rPr>
                <w:b/>
                <w:i/>
              </w:rPr>
              <w:t xml:space="preserve">di contrasto competenti </w:t>
            </w:r>
            <w:r w:rsidRPr="00A121F2">
              <w:t>degli Stati membri.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227</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3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Europol ha dichiarato il positivo completamento di un collaudo generale della connessione che ha effettuato in cooperazione con le autorità degli Stati membri ed eu-LISA.</w:t>
            </w:r>
          </w:p>
        </w:tc>
        <w:tc>
          <w:tcPr>
            <w:tcW w:w="4876" w:type="dxa"/>
          </w:tcPr>
          <w:p w:rsidR="00AF580A" w:rsidRPr="00A121F2" w:rsidRDefault="00AF580A" w:rsidP="00AC4477">
            <w:pPr>
              <w:pStyle w:val="Normal6"/>
              <w:rPr>
                <w:szCs w:val="24"/>
              </w:rPr>
            </w:pPr>
            <w:r w:rsidRPr="00A121F2">
              <w:t>b)</w:t>
            </w:r>
            <w:r w:rsidRPr="00A121F2">
              <w:tab/>
              <w:t xml:space="preserve">Europol ha dichiarato il positivo completamento di un collaudo generale della connessione che ha effettuato in cooperazione con le autorità </w:t>
            </w:r>
            <w:r w:rsidRPr="00A121F2">
              <w:rPr>
                <w:b/>
                <w:i/>
              </w:rPr>
              <w:t xml:space="preserve">di contrasto competenti </w:t>
            </w:r>
            <w:r w:rsidRPr="00A121F2">
              <w:t>degli Stati membri ed eu-LISA.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228</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4 – lettera b</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b)</w:t>
            </w:r>
            <w:r w:rsidRPr="00A121F2">
              <w:tab/>
              <w:t>Europol ha dichiarato il positivo completamento di un collaudo generale della connessione che ha effettuato in cooperazione con le autorità degli Stati membri ed eu-LISA.</w:t>
            </w:r>
          </w:p>
        </w:tc>
        <w:tc>
          <w:tcPr>
            <w:tcW w:w="4876" w:type="dxa"/>
          </w:tcPr>
          <w:p w:rsidR="00AF580A" w:rsidRPr="00A121F2" w:rsidRDefault="00AF580A" w:rsidP="00AC4477">
            <w:pPr>
              <w:pStyle w:val="Normal6"/>
              <w:rPr>
                <w:szCs w:val="24"/>
              </w:rPr>
            </w:pPr>
            <w:r w:rsidRPr="00A121F2">
              <w:t>b)</w:t>
            </w:r>
            <w:r w:rsidRPr="00A121F2">
              <w:tab/>
              <w:t xml:space="preserve">Europol ha dichiarato il positivo completamento di un collaudo generale della connessione che ha effettuato in cooperazione con le autorità </w:t>
            </w:r>
            <w:r w:rsidRPr="00A121F2">
              <w:rPr>
                <w:b/>
                <w:i/>
              </w:rPr>
              <w:t xml:space="preserve">di contrasto competenti </w:t>
            </w:r>
            <w:r w:rsidRPr="00A121F2">
              <w:t>degli Stati membri ed eu-LISA.</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229</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74 – paragrafo 4 bis (nuovo)</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p>
        </w:tc>
        <w:tc>
          <w:tcPr>
            <w:tcW w:w="4876" w:type="dxa"/>
          </w:tcPr>
          <w:p w:rsidR="00AF580A" w:rsidRPr="00A121F2" w:rsidRDefault="00AF580A" w:rsidP="00AC4477">
            <w:pPr>
              <w:pStyle w:val="Normal6"/>
              <w:rPr>
                <w:szCs w:val="24"/>
              </w:rPr>
            </w:pPr>
            <w:r w:rsidRPr="00A121F2">
              <w:rPr>
                <w:b/>
                <w:i/>
              </w:rPr>
              <w:t>4 bis.</w:t>
            </w:r>
            <w:r w:rsidRPr="00A121F2">
              <w:rPr>
                <w:b/>
                <w:i/>
              </w:rPr>
              <w:tab/>
              <w:t>Gli atti di esecuzione di cui al presente articolo sono adottati secondo la procedura di cui all'articolo 76, paragrafo 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230</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1</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w:t>
            </w:r>
            <w:r w:rsidRPr="00A121F2">
              <w:tab/>
              <w:t xml:space="preserve">eu-LISA ed Europol provvedono rispettivamente affinché siano istituite procedure per monitorare lo sviluppo del router e di EPRIS rispetto agli obiettivi relativi alla pianificazione e alle spese, nonché per </w:t>
            </w:r>
            <w:r w:rsidRPr="00A121F2">
              <w:rPr>
                <w:b/>
                <w:i/>
              </w:rPr>
              <w:t>monitorare</w:t>
            </w:r>
            <w:r w:rsidRPr="00A121F2">
              <w:t xml:space="preserve"> il funzionamento</w:t>
            </w:r>
            <w:r w:rsidRPr="00A121F2">
              <w:rPr>
                <w:b/>
                <w:i/>
              </w:rPr>
              <w:t xml:space="preserve"> del router e di EPRIS</w:t>
            </w:r>
            <w:r w:rsidRPr="00A121F2">
              <w:t xml:space="preserve"> rispetto agli obiettivi prefissati in termini di risultati tecnici, di rapporto costi/benefici, di sicurezza e di qualità del servizio.</w:t>
            </w:r>
          </w:p>
        </w:tc>
        <w:tc>
          <w:tcPr>
            <w:tcW w:w="4876" w:type="dxa"/>
          </w:tcPr>
          <w:p w:rsidR="00AF580A" w:rsidRPr="00A121F2" w:rsidRDefault="00AF580A" w:rsidP="00AC4477">
            <w:pPr>
              <w:pStyle w:val="Normal6"/>
              <w:rPr>
                <w:szCs w:val="24"/>
              </w:rPr>
            </w:pPr>
            <w:r w:rsidRPr="00A121F2">
              <w:t>1.</w:t>
            </w:r>
            <w:r w:rsidRPr="00A121F2">
              <w:tab/>
              <w:t xml:space="preserve">eu-LISA ed Europol provvedono rispettivamente affinché siano istituite procedure per monitorare lo sviluppo del router e di EPRIS rispetto agli obiettivi relativi alla pianificazione e alle spese, nonché per </w:t>
            </w:r>
            <w:r w:rsidRPr="00A121F2">
              <w:rPr>
                <w:b/>
                <w:i/>
              </w:rPr>
              <w:t>monitorarne</w:t>
            </w:r>
            <w:r w:rsidRPr="00A121F2">
              <w:t xml:space="preserve"> il funzionamento rispetto agli obiettivi prefissati in termini di risultati tecnici, di rapporto costi/benefici, di sicurezza e di qualità del servizio.</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231</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2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2.</w:t>
            </w:r>
            <w:r w:rsidRPr="00A121F2">
              <w:tab/>
              <w:t xml:space="preserve">Entro [un anno dall'entrata in vigore del presente regolamento] e successivamente ogni anno durante la fase di sviluppo del router, eu-LISA presenta </w:t>
            </w:r>
            <w:r w:rsidRPr="00A121F2">
              <w:rPr>
                <w:b/>
                <w:i/>
              </w:rPr>
              <w:t xml:space="preserve">rispettivamente </w:t>
            </w:r>
            <w:r w:rsidRPr="00A121F2">
              <w:t>al Parlamento europeo e al Consiglio una relazione sulla situazione dello sviluppo del router. Tale relazione include informazioni dettagliate sulle spese sostenute e informazioni sui rischi che possono incidere sulle spese complessive che sono a carico del bilancio generale dell'Unione a norma dell'articolo 72.</w:t>
            </w:r>
          </w:p>
        </w:tc>
        <w:tc>
          <w:tcPr>
            <w:tcW w:w="4876" w:type="dxa"/>
          </w:tcPr>
          <w:p w:rsidR="00AF580A" w:rsidRPr="00A121F2" w:rsidRDefault="00AF580A" w:rsidP="00AC4477">
            <w:pPr>
              <w:pStyle w:val="Normal6"/>
              <w:rPr>
                <w:szCs w:val="24"/>
              </w:rPr>
            </w:pPr>
            <w:r w:rsidRPr="00A121F2">
              <w:t>2.</w:t>
            </w:r>
            <w:r w:rsidRPr="00A121F2">
              <w:tab/>
              <w:t>Entro [un anno dall'entrata in vigore del presente regolamento] e successivamente ogni anno durante la fase di sviluppo del router, eu-LISA presenta al Parlamento europeo e al Consiglio una relazione sulla situazione dello sviluppo del router. Tale relazione include informazioni dettagliate sulle spese sostenute e informazioni sui rischi che possono incidere sulle spese complessive che sono a carico del bilancio generale dell'Unione a norma dell'articolo 72.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232</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3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3.</w:t>
            </w:r>
            <w:r w:rsidRPr="00A121F2">
              <w:tab/>
              <w:t xml:space="preserve">Entro [un anno dall'entrata in vigore del presente regolamento] e successivamente ogni anno durante la fase di sviluppo di EPRIS, Europol presenta al Parlamento europeo e al Consiglio una relazione </w:t>
            </w:r>
            <w:r w:rsidRPr="00A121F2">
              <w:rPr>
                <w:b/>
                <w:bCs/>
                <w:i/>
                <w:iCs/>
              </w:rPr>
              <w:t>sullo stato di avanzamento</w:t>
            </w:r>
            <w:r w:rsidRPr="00A121F2">
              <w:t xml:space="preserve"> </w:t>
            </w:r>
            <w:r w:rsidRPr="00A121F2">
              <w:rPr>
                <w:b/>
                <w:i/>
              </w:rPr>
              <w:t xml:space="preserve">dei preparativi per l'attuazione del presente regolamento e </w:t>
            </w:r>
            <w:r w:rsidRPr="00A121F2">
              <w:t>sullo stato di avanzamento dello sviluppo di EPRIS, comprese informazioni dettagliate sulle spese sostenute e informazioni sui rischi che possono incidere sulle spese complessive che sono a carico del bilancio generale dell'Unione a norma dell'articolo 72.</w:t>
            </w:r>
          </w:p>
        </w:tc>
        <w:tc>
          <w:tcPr>
            <w:tcW w:w="4876" w:type="dxa"/>
          </w:tcPr>
          <w:p w:rsidR="00AF580A" w:rsidRPr="00A121F2" w:rsidRDefault="00AF580A" w:rsidP="00AC4477">
            <w:pPr>
              <w:pStyle w:val="Normal6"/>
              <w:rPr>
                <w:szCs w:val="24"/>
              </w:rPr>
            </w:pPr>
            <w:r w:rsidRPr="00A121F2">
              <w:t>3.</w:t>
            </w:r>
            <w:r w:rsidRPr="00A121F2">
              <w:tab/>
              <w:t>Entro [un anno dall'entrata in vigore del presente regolamento] e successivamente ogni anno durante la fase di sviluppo di EPRIS, Europol presenta al Parlamento europeo e al Consiglio una relazione sullo stato di avanzamento dello sviluppo di EPRIS, comprese informazioni dettagliate sulle spese sostenute e informazioni sui rischi che possono incidere sulle spese complessive che sono a carico del bilancio generale dell'Unione a norma dell'articolo 72.</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233</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7 – parte introduttiva</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7.</w:t>
            </w:r>
            <w:r w:rsidRPr="00A121F2">
              <w:tab/>
            </w:r>
            <w:r w:rsidRPr="00A121F2">
              <w:rPr>
                <w:b/>
                <w:bCs/>
                <w:i/>
                <w:iCs/>
              </w:rPr>
              <w:t>Tre</w:t>
            </w:r>
            <w:r w:rsidRPr="00A121F2">
              <w:t xml:space="preserve"> anni dopo l'entrata in funzione del router e di EPRIS di cui all'articolo 74, e successivamente ogni quattro anni, la Commissione presenta una valutazione globale del quadro Prüm II comprendente:</w:t>
            </w:r>
          </w:p>
        </w:tc>
        <w:tc>
          <w:tcPr>
            <w:tcW w:w="4876" w:type="dxa"/>
          </w:tcPr>
          <w:p w:rsidR="00AF580A" w:rsidRPr="00A121F2" w:rsidRDefault="00AF580A" w:rsidP="00AC4477">
            <w:pPr>
              <w:pStyle w:val="Normal6"/>
              <w:rPr>
                <w:szCs w:val="24"/>
              </w:rPr>
            </w:pPr>
            <w:r w:rsidRPr="00A121F2">
              <w:t>7.</w:t>
            </w:r>
            <w:r w:rsidRPr="00A121F2">
              <w:tab/>
            </w:r>
            <w:r w:rsidRPr="00A121F2">
              <w:rPr>
                <w:b/>
                <w:bCs/>
                <w:i/>
                <w:iCs/>
              </w:rPr>
              <w:t>Due</w:t>
            </w:r>
            <w:r w:rsidRPr="00A121F2">
              <w:t xml:space="preserve"> anni dopo l'entrata in funzione del router e di EPRIS di cui all'articolo 74, e successivamente ogni quattro anni, la Commissione presenta una valutazione globale del quadro Prüm II comprendente:</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234</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8</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8.</w:t>
            </w:r>
            <w:r w:rsidRPr="00A121F2">
              <w:tab/>
              <w:t xml:space="preserve">Gli Stati membri ed Europol comunicano a eu-LISA e alla Commissione le informazioni necessarie per redigere le relazioni di cui ai paragrafi 2 e 5. Tali informazioni non mettono a repentaglio i metodi di lavoro né comprendono indicazioni sulle fonti, sui membri del personale o sulle indagini delle autorità </w:t>
            </w:r>
            <w:r w:rsidRPr="00A121F2">
              <w:rPr>
                <w:b/>
                <w:i/>
              </w:rPr>
              <w:t>designate</w:t>
            </w:r>
            <w:r w:rsidRPr="00A121F2">
              <w:t>.</w:t>
            </w:r>
          </w:p>
        </w:tc>
        <w:tc>
          <w:tcPr>
            <w:tcW w:w="4876" w:type="dxa"/>
          </w:tcPr>
          <w:p w:rsidR="00AF580A" w:rsidRPr="00A121F2" w:rsidRDefault="00AF580A" w:rsidP="00AC4477">
            <w:pPr>
              <w:pStyle w:val="Normal6"/>
              <w:rPr>
                <w:szCs w:val="24"/>
              </w:rPr>
            </w:pPr>
            <w:r w:rsidRPr="00A121F2">
              <w:t>8.</w:t>
            </w:r>
            <w:r w:rsidRPr="00A121F2">
              <w:tab/>
              <w:t xml:space="preserve">Gli Stati membri ed Europol comunicano a eu-LISA e alla Commissione le informazioni necessarie per redigere le relazioni di cui ai paragrafi 2 e 5. Tali informazioni non mettono a repentaglio i metodi di lavoro né comprendono indicazioni sulle fonti, sui membri del personale o sulle indagini delle autorità </w:t>
            </w:r>
            <w:r w:rsidRPr="00A121F2">
              <w:rPr>
                <w:b/>
                <w:i/>
              </w:rPr>
              <w:t>di contrasto competenti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235</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9</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9.</w:t>
            </w:r>
            <w:r w:rsidRPr="00A121F2">
              <w:tab/>
              <w:t xml:space="preserve">Gli Stati membri comunicano a Europol e alla Commissione le informazioni necessarie per redigere le relazioni di cui ai paragrafi 3 e 6. Tali informazioni non mettono a repentaglio i metodi di lavoro né comprendono indicazioni sulle fonti, sui membri del personale o sulle indagini delle autorità </w:t>
            </w:r>
            <w:r w:rsidRPr="00A121F2">
              <w:rPr>
                <w:b/>
                <w:i/>
              </w:rPr>
              <w:t>designate</w:t>
            </w:r>
            <w:r w:rsidRPr="00A121F2">
              <w:t>.</w:t>
            </w:r>
          </w:p>
        </w:tc>
        <w:tc>
          <w:tcPr>
            <w:tcW w:w="4876" w:type="dxa"/>
          </w:tcPr>
          <w:p w:rsidR="00AF580A" w:rsidRPr="00A121F2" w:rsidRDefault="00AF580A" w:rsidP="00AC4477">
            <w:pPr>
              <w:pStyle w:val="Normal6"/>
              <w:rPr>
                <w:szCs w:val="24"/>
              </w:rPr>
            </w:pPr>
            <w:r w:rsidRPr="00A121F2">
              <w:t>9.</w:t>
            </w:r>
            <w:r w:rsidRPr="00A121F2">
              <w:tab/>
              <w:t xml:space="preserve">Gli Stati membri comunicano a Europol e alla Commissione le informazioni necessarie per redigere le relazioni di cui ai paragrafi 3 e 6. Tali informazioni non mettono a repentaglio i metodi di lavoro né comprendono indicazioni sulle fonti, sui membri del personale o sulle indagini delle autorità </w:t>
            </w:r>
            <w:r w:rsidRPr="00A121F2">
              <w:rPr>
                <w:b/>
                <w:i/>
              </w:rPr>
              <w:t>di contrasto competenti</w:t>
            </w:r>
            <w:r w:rsidRPr="00A121F2">
              <w:t>.</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w:t>
      </w:r>
    </w:p>
    <w:p w:rsidR="00AF580A" w:rsidRPr="00A121F2" w:rsidRDefault="00AF580A" w:rsidP="00AF580A">
      <w:pPr>
        <w:pStyle w:val="AMNumberTabs0"/>
        <w:keepNext/>
      </w:pPr>
      <w:r w:rsidRPr="00A121F2">
        <w:rPr>
          <w:rStyle w:val="HideTWBExt"/>
          <w:b w:val="0"/>
          <w:noProof w:val="0"/>
          <w:color w:val="auto"/>
        </w:rPr>
        <w:t>&lt;Amend&gt;</w:t>
      </w:r>
      <w:r w:rsidRPr="00A121F2">
        <w:t>Emendamento</w:t>
      </w:r>
      <w:r w:rsidRPr="00A121F2">
        <w:tab/>
      </w:r>
      <w:r w:rsidRPr="00A121F2">
        <w:tab/>
      </w:r>
      <w:r w:rsidRPr="00A121F2">
        <w:rPr>
          <w:rStyle w:val="HideTWBExt"/>
          <w:b w:val="0"/>
          <w:noProof w:val="0"/>
          <w:color w:val="auto"/>
        </w:rPr>
        <w:t>&lt;NumAm&gt;</w:t>
      </w:r>
      <w:r w:rsidRPr="00A121F2">
        <w:t>236</w:t>
      </w:r>
      <w:r w:rsidRPr="00A121F2">
        <w:rPr>
          <w:rStyle w:val="HideTWBExt"/>
          <w:b w:val="0"/>
          <w:noProof w:val="0"/>
          <w:color w:val="auto"/>
        </w:rPr>
        <w:t>&lt;/NumAm&gt;</w:t>
      </w:r>
    </w:p>
    <w:p w:rsidR="00AF580A" w:rsidRPr="00A121F2" w:rsidRDefault="00AF580A" w:rsidP="00AF580A">
      <w:pPr>
        <w:pStyle w:val="NormalBold12b"/>
        <w:keepNext/>
      </w:pPr>
      <w:r w:rsidRPr="00A121F2">
        <w:rPr>
          <w:rStyle w:val="HideTWBExt"/>
          <w:b w:val="0"/>
          <w:noProof w:val="0"/>
          <w:color w:val="auto"/>
        </w:rPr>
        <w:t>&lt;DocAmend&gt;</w:t>
      </w:r>
      <w:r w:rsidRPr="00A121F2">
        <w:t>Proposta di regolamento</w:t>
      </w:r>
      <w:bookmarkStart w:id="2" w:name="_GoBack"/>
      <w:bookmarkEnd w:id="2"/>
      <w:r w:rsidRPr="00A121F2">
        <w:rPr>
          <w:rStyle w:val="HideTWBExt"/>
          <w:b w:val="0"/>
          <w:noProof w:val="0"/>
          <w:color w:val="auto"/>
        </w:rPr>
        <w:t>&lt;/DocAmend&gt;</w:t>
      </w:r>
    </w:p>
    <w:p w:rsidR="00AF580A" w:rsidRPr="00A121F2" w:rsidRDefault="00AF580A" w:rsidP="00AF580A">
      <w:pPr>
        <w:pStyle w:val="NormalBold"/>
      </w:pPr>
      <w:r w:rsidRPr="00A121F2">
        <w:rPr>
          <w:rStyle w:val="HideTWBExt"/>
          <w:b w:val="0"/>
          <w:noProof w:val="0"/>
          <w:color w:val="auto"/>
        </w:rPr>
        <w:t>&lt;Article&gt;</w:t>
      </w:r>
      <w:r w:rsidRPr="00A121F2">
        <w:t>Articolo 79 –  paragrafo 10</w:t>
      </w:r>
      <w:r w:rsidRPr="00A121F2">
        <w:rPr>
          <w:rStyle w:val="HideTWBExt"/>
          <w:b w:val="0"/>
          <w:noProof w:val="0"/>
          <w:color w:val="auto"/>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AF580A" w:rsidRPr="00A121F2" w:rsidTr="00AC4477">
        <w:trPr>
          <w:jc w:val="center"/>
        </w:trPr>
        <w:tc>
          <w:tcPr>
            <w:tcW w:w="9752" w:type="dxa"/>
            <w:gridSpan w:val="2"/>
          </w:tcPr>
          <w:p w:rsidR="00AF580A" w:rsidRPr="00A121F2" w:rsidRDefault="00AF580A" w:rsidP="00AC4477">
            <w:pPr>
              <w:keepNext/>
            </w:pPr>
          </w:p>
        </w:tc>
      </w:tr>
      <w:tr w:rsidR="00AF580A" w:rsidRPr="00A121F2" w:rsidTr="00AC4477">
        <w:trPr>
          <w:jc w:val="center"/>
        </w:trPr>
        <w:tc>
          <w:tcPr>
            <w:tcW w:w="4876" w:type="dxa"/>
          </w:tcPr>
          <w:p w:rsidR="00AF580A" w:rsidRPr="00A121F2" w:rsidRDefault="00AF580A" w:rsidP="00AC4477">
            <w:pPr>
              <w:pStyle w:val="ColumnHeading"/>
              <w:keepNext/>
            </w:pPr>
            <w:r w:rsidRPr="00A121F2">
              <w:t>Testo della Commissione</w:t>
            </w:r>
          </w:p>
        </w:tc>
        <w:tc>
          <w:tcPr>
            <w:tcW w:w="4876" w:type="dxa"/>
          </w:tcPr>
          <w:p w:rsidR="00AF580A" w:rsidRPr="00A121F2" w:rsidRDefault="00AF580A" w:rsidP="00AC4477">
            <w:pPr>
              <w:pStyle w:val="ColumnHeading"/>
              <w:keepNext/>
            </w:pPr>
            <w:r w:rsidRPr="00A121F2">
              <w:t>Emendamento</w:t>
            </w:r>
          </w:p>
        </w:tc>
      </w:tr>
      <w:tr w:rsidR="00AF580A" w:rsidRPr="00A121F2" w:rsidTr="00AC4477">
        <w:trPr>
          <w:jc w:val="center"/>
        </w:trPr>
        <w:tc>
          <w:tcPr>
            <w:tcW w:w="4876" w:type="dxa"/>
          </w:tcPr>
          <w:p w:rsidR="00AF580A" w:rsidRPr="00A121F2" w:rsidRDefault="00AF580A" w:rsidP="00AC4477">
            <w:pPr>
              <w:pStyle w:val="Normal6"/>
            </w:pPr>
            <w:r w:rsidRPr="00A121F2">
              <w:t>10.</w:t>
            </w:r>
            <w:r w:rsidRPr="00A121F2">
              <w:tab/>
            </w:r>
            <w:r w:rsidRPr="00A121F2">
              <w:rPr>
                <w:b/>
                <w:i/>
              </w:rPr>
              <w:t>Gli</w:t>
            </w:r>
            <w:r w:rsidRPr="00A121F2">
              <w:t xml:space="preserve"> Stati membri, eu-LISA ed Europol comunicano alla Commissione le informazioni necessarie per redigere le valutazioni di cui al paragrafo 7. Gli Stati membri comunicano altresì alla Commissione il numero di corrispondenze confermate rispetto alla banca dati di ciascuno Stato membro per ciascuna categoria di dati.</w:t>
            </w:r>
          </w:p>
        </w:tc>
        <w:tc>
          <w:tcPr>
            <w:tcW w:w="4876" w:type="dxa"/>
          </w:tcPr>
          <w:p w:rsidR="00AF580A" w:rsidRPr="00A121F2" w:rsidRDefault="00AF580A" w:rsidP="00AC4477">
            <w:pPr>
              <w:pStyle w:val="Normal6"/>
              <w:rPr>
                <w:szCs w:val="24"/>
              </w:rPr>
            </w:pPr>
            <w:r w:rsidRPr="00A121F2">
              <w:t>10.</w:t>
            </w:r>
            <w:r w:rsidRPr="00A121F2">
              <w:tab/>
            </w:r>
            <w:r w:rsidRPr="00A121F2">
              <w:rPr>
                <w:b/>
                <w:i/>
              </w:rPr>
              <w:t>Fatte salve le clausole di riservatezza e la protezione delle indagini in corso, gli</w:t>
            </w:r>
            <w:r w:rsidRPr="00A121F2">
              <w:t xml:space="preserve"> Stati membri, eu-LISA ed Europol comunicano alla Commissione le informazioni necessarie per redigere le valutazioni di cui al paragrafo 7. Gli Stati membri comunicano altresì alla Commissione il numero di corrispondenze confermate rispetto alla banca dati di ciascuno Stato membro per ciascuna categoria di dati.</w:t>
            </w:r>
          </w:p>
        </w:tc>
      </w:tr>
    </w:tbl>
    <w:p w:rsidR="00AF580A" w:rsidRPr="00A121F2" w:rsidRDefault="00AF580A" w:rsidP="00AF580A">
      <w:pPr>
        <w:pStyle w:val="Olang"/>
        <w:rPr>
          <w:noProof w:val="0"/>
        </w:rPr>
      </w:pPr>
      <w:r w:rsidRPr="00A121F2">
        <w:rPr>
          <w:noProof w:val="0"/>
        </w:rPr>
        <w:t xml:space="preserve">Or. </w:t>
      </w:r>
      <w:r w:rsidRPr="00A121F2">
        <w:rPr>
          <w:rStyle w:val="HideTWBExt"/>
          <w:noProof w:val="0"/>
          <w:color w:val="auto"/>
        </w:rPr>
        <w:t>&lt;Original&gt;</w:t>
      </w:r>
      <w:r w:rsidRPr="00A121F2">
        <w:rPr>
          <w:rStyle w:val="HideTWBInt"/>
          <w:noProof w:val="0"/>
          <w:color w:val="auto"/>
        </w:rPr>
        <w:t>{EN}</w:t>
      </w:r>
      <w:r w:rsidRPr="00A121F2">
        <w:rPr>
          <w:noProof w:val="0"/>
        </w:rPr>
        <w:t>en</w:t>
      </w:r>
      <w:r w:rsidRPr="00A121F2">
        <w:rPr>
          <w:rStyle w:val="HideTWBExt"/>
          <w:noProof w:val="0"/>
          <w:color w:val="auto"/>
        </w:rPr>
        <w:t>&lt;/Original&gt;</w:t>
      </w:r>
    </w:p>
    <w:p w:rsidR="00AF580A" w:rsidRPr="00A121F2" w:rsidRDefault="00AF580A" w:rsidP="00AF580A">
      <w:r w:rsidRPr="00A121F2">
        <w:rPr>
          <w:rStyle w:val="HideTWBExt"/>
          <w:noProof w:val="0"/>
          <w:color w:val="auto"/>
        </w:rPr>
        <w:t>&lt;/Amend&gt;&lt;/RepeatBlock-Amend&gt;</w:t>
      </w:r>
    </w:p>
    <w:p w:rsidR="00AF580A" w:rsidRPr="00A121F2" w:rsidRDefault="00AF580A" w:rsidP="00AF580A"/>
    <w:p w:rsidR="00AF580A" w:rsidRPr="00A121F2" w:rsidRDefault="00AF580A" w:rsidP="00AF580A">
      <w:pPr>
        <w:pStyle w:val="EPComma"/>
      </w:pPr>
    </w:p>
    <w:p w:rsidR="00AF580A" w:rsidRPr="00A121F2" w:rsidRDefault="00AF580A" w:rsidP="00726F60"/>
    <w:sectPr w:rsidR="00AF580A" w:rsidRPr="00A121F2" w:rsidSect="00AF580A">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A121F2" w:rsidRDefault="004660B6">
      <w:r w:rsidRPr="00A121F2">
        <w:separator/>
      </w:r>
    </w:p>
  </w:endnote>
  <w:endnote w:type="continuationSeparator" w:id="0">
    <w:p w:rsidR="00000000" w:rsidRPr="00A121F2" w:rsidRDefault="004660B6">
      <w:r w:rsidRPr="00A121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80A" w:rsidRPr="00A121F2" w:rsidRDefault="00AF580A" w:rsidP="00AF580A">
    <w:pPr>
      <w:pStyle w:val="EPFooter"/>
    </w:pPr>
    <w:r w:rsidRPr="00A121F2">
      <w:t>PE</w:t>
    </w:r>
    <w:r w:rsidRPr="00A121F2">
      <w:rPr>
        <w:rStyle w:val="HideTWBExt"/>
        <w:noProof w:val="0"/>
      </w:rPr>
      <w:t>&lt;NoPE&gt;</w:t>
    </w:r>
    <w:r w:rsidRPr="00A121F2">
      <w:t>736.469</w:t>
    </w:r>
    <w:r w:rsidRPr="00A121F2">
      <w:rPr>
        <w:rStyle w:val="HideTWBExt"/>
        <w:noProof w:val="0"/>
      </w:rPr>
      <w:t>&lt;/NoPE&gt;&lt;Version&gt;</w:t>
    </w:r>
    <w:r w:rsidRPr="00A121F2">
      <w:t>v01-00</w:t>
    </w:r>
    <w:r w:rsidRPr="00A121F2">
      <w:rPr>
        <w:rStyle w:val="HideTWBExt"/>
        <w:noProof w:val="0"/>
      </w:rPr>
      <w:t>&lt;/Version&gt;</w:t>
    </w:r>
    <w:r w:rsidRPr="00A121F2">
      <w:tab/>
    </w:r>
    <w:r w:rsidRPr="00A121F2">
      <w:fldChar w:fldCharType="begin"/>
    </w:r>
    <w:r w:rsidRPr="00A121F2">
      <w:instrText xml:space="preserve"> PAGE  \* MERGEFORMAT </w:instrText>
    </w:r>
    <w:r w:rsidRPr="00A121F2">
      <w:fldChar w:fldCharType="separate"/>
    </w:r>
    <w:r w:rsidR="004660B6">
      <w:rPr>
        <w:noProof/>
      </w:rPr>
      <w:t>108</w:t>
    </w:r>
    <w:r w:rsidRPr="00A121F2">
      <w:fldChar w:fldCharType="end"/>
    </w:r>
    <w:r w:rsidRPr="00A121F2">
      <w:t>/</w:t>
    </w:r>
    <w:fldSimple w:instr=" NUMPAGES  \* MERGEFORMAT ">
      <w:r w:rsidR="004660B6">
        <w:rPr>
          <w:noProof/>
        </w:rPr>
        <w:t>109</w:t>
      </w:r>
    </w:fldSimple>
    <w:r w:rsidRPr="00A121F2">
      <w:tab/>
    </w:r>
    <w:r w:rsidRPr="00A121F2">
      <w:rPr>
        <w:rStyle w:val="HideTWBExt"/>
        <w:noProof w:val="0"/>
      </w:rPr>
      <w:t>&lt;PathFdR&gt;</w:t>
    </w:r>
    <w:r w:rsidRPr="00A121F2">
      <w:t>PR\1263010IT.docx</w:t>
    </w:r>
    <w:r w:rsidRPr="00A121F2">
      <w:rPr>
        <w:rStyle w:val="HideTWBExt"/>
        <w:noProof w:val="0"/>
      </w:rPr>
      <w:t>&lt;/PathFdR&gt;</w:t>
    </w:r>
  </w:p>
  <w:p w:rsidR="00FB52FE" w:rsidRPr="00A121F2" w:rsidRDefault="00AF580A" w:rsidP="00AF580A">
    <w:pPr>
      <w:pStyle w:val="EPFooter2"/>
    </w:pPr>
    <w:r w:rsidRPr="00A121F2">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80A" w:rsidRPr="00A121F2" w:rsidRDefault="00AF580A" w:rsidP="00AF580A">
    <w:pPr>
      <w:pStyle w:val="EPFooter"/>
    </w:pPr>
    <w:r w:rsidRPr="00A121F2">
      <w:rPr>
        <w:rStyle w:val="HideTWBExt"/>
        <w:noProof w:val="0"/>
      </w:rPr>
      <w:t>&lt;PathFdR&gt;</w:t>
    </w:r>
    <w:r w:rsidRPr="00A121F2">
      <w:t>PR\1263010IT.docx</w:t>
    </w:r>
    <w:r w:rsidRPr="00A121F2">
      <w:rPr>
        <w:rStyle w:val="HideTWBExt"/>
        <w:noProof w:val="0"/>
      </w:rPr>
      <w:t>&lt;/PathFdR&gt;</w:t>
    </w:r>
    <w:r w:rsidRPr="00A121F2">
      <w:tab/>
    </w:r>
    <w:r w:rsidRPr="00A121F2">
      <w:fldChar w:fldCharType="begin"/>
    </w:r>
    <w:r w:rsidRPr="00A121F2">
      <w:instrText xml:space="preserve"> PAGE  \* MERGEFORMAT </w:instrText>
    </w:r>
    <w:r w:rsidRPr="00A121F2">
      <w:fldChar w:fldCharType="separate"/>
    </w:r>
    <w:r w:rsidR="004660B6">
      <w:rPr>
        <w:noProof/>
      </w:rPr>
      <w:t>109</w:t>
    </w:r>
    <w:r w:rsidRPr="00A121F2">
      <w:fldChar w:fldCharType="end"/>
    </w:r>
    <w:r w:rsidRPr="00A121F2">
      <w:t>/</w:t>
    </w:r>
    <w:fldSimple w:instr=" NUMPAGES  \* MERGEFORMAT ">
      <w:r w:rsidR="004660B6">
        <w:rPr>
          <w:noProof/>
        </w:rPr>
        <w:t>109</w:t>
      </w:r>
    </w:fldSimple>
    <w:r w:rsidRPr="00A121F2">
      <w:tab/>
      <w:t>PE</w:t>
    </w:r>
    <w:r w:rsidRPr="00A121F2">
      <w:rPr>
        <w:rStyle w:val="HideTWBExt"/>
        <w:noProof w:val="0"/>
      </w:rPr>
      <w:t>&lt;NoPE&gt;</w:t>
    </w:r>
    <w:r w:rsidRPr="00A121F2">
      <w:t>736.469</w:t>
    </w:r>
    <w:r w:rsidRPr="00A121F2">
      <w:rPr>
        <w:rStyle w:val="HideTWBExt"/>
        <w:noProof w:val="0"/>
      </w:rPr>
      <w:t>&lt;/NoPE&gt;&lt;Version&gt;</w:t>
    </w:r>
    <w:r w:rsidRPr="00A121F2">
      <w:t>v01-00</w:t>
    </w:r>
    <w:r w:rsidRPr="00A121F2">
      <w:rPr>
        <w:rStyle w:val="HideTWBExt"/>
        <w:noProof w:val="0"/>
      </w:rPr>
      <w:t>&lt;/Version&gt;</w:t>
    </w:r>
  </w:p>
  <w:p w:rsidR="00FB52FE" w:rsidRPr="00A121F2" w:rsidRDefault="00AF580A" w:rsidP="00AF580A">
    <w:pPr>
      <w:pStyle w:val="EPFooter2"/>
    </w:pPr>
    <w:r w:rsidRPr="00A121F2">
      <w:tab/>
    </w:r>
    <w:r w:rsidRPr="00A121F2">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80A" w:rsidRPr="00A121F2" w:rsidRDefault="00AF580A" w:rsidP="00AF580A">
    <w:pPr>
      <w:pStyle w:val="EPFooter"/>
    </w:pPr>
    <w:r w:rsidRPr="00A121F2">
      <w:rPr>
        <w:rStyle w:val="HideTWBExt"/>
        <w:noProof w:val="0"/>
      </w:rPr>
      <w:t>&lt;PathFdR&gt;</w:t>
    </w:r>
    <w:r w:rsidRPr="00A121F2">
      <w:t>PR\1263010IT.docx</w:t>
    </w:r>
    <w:r w:rsidRPr="00A121F2">
      <w:rPr>
        <w:rStyle w:val="HideTWBExt"/>
        <w:noProof w:val="0"/>
      </w:rPr>
      <w:t>&lt;/PathFdR&gt;</w:t>
    </w:r>
    <w:r w:rsidRPr="00A121F2">
      <w:tab/>
    </w:r>
    <w:r w:rsidRPr="00A121F2">
      <w:tab/>
      <w:t>PE</w:t>
    </w:r>
    <w:r w:rsidRPr="00A121F2">
      <w:rPr>
        <w:rStyle w:val="HideTWBExt"/>
        <w:noProof w:val="0"/>
      </w:rPr>
      <w:t>&lt;NoPE&gt;</w:t>
    </w:r>
    <w:r w:rsidRPr="00A121F2">
      <w:t>736.469</w:t>
    </w:r>
    <w:r w:rsidRPr="00A121F2">
      <w:rPr>
        <w:rStyle w:val="HideTWBExt"/>
        <w:noProof w:val="0"/>
      </w:rPr>
      <w:t>&lt;/NoPE&gt;&lt;Version&gt;</w:t>
    </w:r>
    <w:r w:rsidRPr="00A121F2">
      <w:t>v01-00</w:t>
    </w:r>
    <w:r w:rsidRPr="00A121F2">
      <w:rPr>
        <w:rStyle w:val="HideTWBExt"/>
        <w:noProof w:val="0"/>
      </w:rPr>
      <w:t>&lt;/Version&gt;</w:t>
    </w:r>
  </w:p>
  <w:p w:rsidR="00FB52FE" w:rsidRPr="00A121F2" w:rsidRDefault="00AF580A" w:rsidP="00AF580A">
    <w:pPr>
      <w:pStyle w:val="EPFooter2"/>
    </w:pPr>
    <w:r w:rsidRPr="00A121F2">
      <w:t>IT</w:t>
    </w:r>
    <w:r w:rsidRPr="00A121F2">
      <w:tab/>
    </w:r>
    <w:r w:rsidRPr="00A121F2">
      <w:rPr>
        <w:b w:val="0"/>
        <w:i/>
        <w:color w:val="C0C0C0"/>
        <w:sz w:val="22"/>
      </w:rPr>
      <w:t>Unita nella diversità</w:t>
    </w:r>
    <w:r w:rsidRPr="00A121F2">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A121F2" w:rsidRDefault="004660B6">
      <w:r w:rsidRPr="00A121F2">
        <w:separator/>
      </w:r>
    </w:p>
  </w:footnote>
  <w:footnote w:type="continuationSeparator" w:id="0">
    <w:p w:rsidR="00000000" w:rsidRPr="00A121F2" w:rsidRDefault="004660B6">
      <w:r w:rsidRPr="00A121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E24" w:rsidRDefault="00627E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E24" w:rsidRDefault="00627E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E24" w:rsidRDefault="00627E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OMKEY" w:val="LIBE"/>
    <w:docVar w:name="DOCMNU" w:val=" 1"/>
    <w:docVar w:name="LastEditedSection" w:val=" 1"/>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5\fbidi \froman\fcharset238\fprq2 Times New Roman CE;}{\f306\fbidi \froman\fcharset204\fprq2 Times New Roman Cyr;}_x000d__x000a_{\f308\fbidi \froman\fcharset161\fprq2 Times New Roman Greek;}{\f309\fbidi \froman\fcharset162\fprq2 Times New Roman Tur;}{\f310\fbidi \froman\fcharset177\fprq2 Times New Roman (Hebrew);}{\f311\fbidi \froman\fcharset178\fprq2 Times New Roman (Arabic);}_x000d__x000a_{\f312\fbidi \froman\fcharset186\fprq2 Times New Roman Baltic;}{\f313\fbidi \froman\fcharset163\fprq2 Times New Roman (Vietnamese);}{\f315\fbidi \fswiss\fcharset238\fprq2 Arial CE;}{\f316\fbidi \fswiss\fcharset204\fprq2 Arial Cyr;}_x000d__x000a_{\f318\fbidi \fswiss\fcharset161\fprq2 Arial Greek;}{\f319\fbidi \fswiss\fcharset162\fprq2 Arial Tur;}{\f320\fbidi \fswiss\fcharset177\fprq2 Arial (Hebrew);}{\f321\fbidi \fswiss\fcharset178\fprq2 Arial (Arabic);}_x000d__x000a_{\f322\fbidi \fswiss\fcharset186\fprq2 Arial Baltic;}{\f323\fbidi \fswiss\fcharset163\fprq2 Arial (Vietnamese);}{\f645\fbidi \froman\fcharset238\fprq2 Cambria Math CE;}{\f646\fbidi \froman\fcharset204\fprq2 Cambria Math Cyr;}_x000d__x000a_{\f648\fbidi \froman\fcharset161\fprq2 Cambria Math Greek;}{\f649\fbidi \froman\fcharset162\fprq2 Cambria Math Tur;}{\f652\fbidi \froman\fcharset186\fprq2 Cambria Math Baltic;}{\f65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640532 HideTWBExt;}{\*\cs18 \additive \v\f1\fs20\cf15 _x000d__x000a_\spriority0 \styrsid5640532 HideTWBInt;}{\s19\ql \li0\ri0\sa120\nowidctlpar\wrapdefault\aspalpha\aspnum\faauto\adjustright\rin0\lin0\itap0 \rtlch\fcs1 \af0\afs20\alang1025 \ltrch\fcs0 \fs24\lang1040\langfe2057\cgrid\langnp1040\langfenp2057 _x000d__x000a_\sbasedon0 \snext19 \spriority0 \styrsid5640532 Normal6a;}{\s20\ql \li0\ri0\nowidctlpar\wrapdefault\aspalpha\aspnum\faauto\adjustright\rin0\lin0\itap0 \rtlch\fcs1 \af0\afs20\alang1025 \ltrch\fcs0 \b\fs24\lang1040\langfe2057\cgrid\langnp1040\langfenp2057 _x000d__x000a_\sbasedon0 \snext20 \spriority0 \styrsid5640532 NormalBold;}{\s21\ql \li0\ri0\sa240\nowidctlpar\wrapdefault\aspalpha\aspnum\faauto\adjustright\rin0\lin0\itap0 \rtlch\fcs1 \af0\afs20\alang1025 \ltrch\fcs0 _x000d__x000a_\i\fs24\lang1040\langfe2057\cgrid\langnp1040\langfenp2057 \sbasedon0 \snext21 \spriority0 \styrsid5640532 AmJustText;}{\s22\qc \li0\ri0\sb240\sa240\nowidctlpar\wrapdefault\aspalpha\aspnum\faauto\adjustright\rin0\lin0\itap0 \rtlch\fcs1 _x000d__x000a_\af0\afs20\alang1025 \ltrch\fcs0 \i\fs24\lang1040\langfe2057\cgrid\langnp1040\langfenp2057 \sbasedon0 \snext22 \spriority0 \styrsid5640532 AmCrossRef;}{_x000d__x000a_\s23\qc \li0\ri0\sb240\sa240\keepn\nowidctlpar\wrapdefault\aspalpha\aspnum\faauto\adjustright\rin0\lin0\itap0 \rtlch\fcs1 \af0\afs20\alang1025 \ltrch\fcs0 \i\fs24\lang1040\langfe2057\cgrid\langnp1040\langfenp2057 _x000d__x000a_\sbasedon0 \snext21 \spriority0 \styrsid5640532 AmJustTitle;}{\s24\qr \li0\ri0\sb240\sa240\nowidctlpar\wrapdefault\aspalpha\aspnum\faauto\adjustright\rin0\lin0\itap0 \rtlch\fcs1 \af0\afs20\alang1025 \ltrch\fcs0 _x000d__x000a_\fs24\lang1040\langfe2057\cgrid\langnp1040\langfenp2057 \sbasedon0 \snext24 \spriority0 \styrsid5640532 AmOrLang;}{\s25\qc \li0\ri0\sa240\nowidctlpar\wrapdefault\aspalpha\aspnum\faauto\adjustright\rin0\lin0\itap0 \rtlch\fcs1 \af0\afs20\alang1025 _x000d__x000a_\ltrch\fcs0 \i\fs24\lang1040\langfe2057\cgrid\langnp1040\langfenp2057 \sbasedon0 \snext25 \spriority0 \styrsid56405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5640532 AmNumberTabs;}{\s27\ql \li0\ri0\sb240\nowidctlpar\wrapdefault\aspalpha\aspnum\faauto\adjustright\rin0\lin0\itap0 \rtlch\fcs1 _x000d__x000a_\af0\afs20\alang1025 \ltrch\fcs0 \b\fs24\lang1040\langfe2057\cgrid\langnp1040\langfenp2057 \sbasedon0 \snext27 \spriority0 \styrsid5640532 NormalBold12b;}}{\*\rsidtbl \rsid24658\rsid223860\rsid342545\rsid735077\rsid1718133\rsid2892074\rsid3565327_x000d__x000a_\rsid4666813\rsid5640532\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LATERZA Angela}{\operator LATERZA Angela}{\creatim\yr2022\mo9\dy28\hr14\min15}{\revtim\yr2022\mo9\dy28\hr14\min15}{\version1}{\edmins0}{\nofpages1}_x000d__x000a_{\nofwords101}{\nofchars608}{\nofcharsws70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640532\newtblstyruls\nogrowautofit\usenormstyforlist\noindnmbrts\felnbrelev\nocxsptable\indrlsweleven\noafcnsttbl\afelev\utinl\hwelev\spltpgpar\notcvasp\notbrkcnstfrctbl\notvatxbx\krnprsnet\cachedcolbal _x000d__x000a_\nouicompat \fet0{\*\wgrffmtfilter 013f}\nofeaturethrottle1\ilfomacatclnup0{\*\template C:\\Users\\alaterza\\AppData\\Local\\Temp\\Blank1.dotx}{\*\ftnsep \ltrpar \pard\plain \ltrpar_x000d__x000a_\ql \li0\ri0\widctlpar\wrapdefault\aspalpha\aspnum\faauto\adjustright\rin0\lin0\itap0 \rtlch\fcs1 \af0\afs20\alang1025 \ltrch\fcs0 \fs24\lang2057\langfe2057\cgrid\langnp2057\langfenp2057 {\rtlch\fcs1 \af0 \ltrch\fcs0 \insrsid342545 \chftnsep _x000d__x000a_\par }}{\*\ftnsepc \ltrpar \pard\plain \ltrpar\ql \li0\ri0\widctlpar\wrapdefault\aspalpha\aspnum\faauto\adjustright\rin0\lin0\itap0 \rtlch\fcs1 \af0\afs20\alang1025 \ltrch\fcs0 \fs24\lang2057\langfe2057\cgrid\langnp2057\langfenp2057 {\rtlch\fcs1 \af0 _x000d__x000a_\ltrch\fcs0 \insrsid342545 \chftnsepc _x000d__x000a_\par }}{\*\aftnsep \ltrpar \pard\plain \ltrpar\ql \li0\ri0\widctlpar\wrapdefault\aspalpha\aspnum\faauto\adjustright\rin0\lin0\itap0 \rtlch\fcs1 \af0\afs20\alang1025 \ltrch\fcs0 \fs24\lang2057\langfe2057\cgrid\langnp2057\langfenp2057 {\rtlch\fcs1 \af0 _x000d__x000a_\ltrch\fcs0 \insrsid342545 \chftnsep _x000d__x000a_\par }}{\*\aftnsepc \ltrpar \pard\plain \ltrpar\ql \li0\ri0\widctlpar\wrapdefault\aspalpha\aspnum\faauto\adjustright\rin0\lin0\itap0 \rtlch\fcs1 \af0\afs20\alang1025 \ltrch\fcs0 \fs24\lang2057\langfe2057\cgrid\langnp2057\langfenp2057 {\rtlch\fcs1 \af0 _x000d__x000a_\ltrch\fcs0 \insrsid3425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640532 \rtlch\fcs1 _x000d__x000a_\af0\afs20\alang1025 \ltrch\fcs0 \b\fs24\lang1040\langfe2057\cgrid\langnp1040\langfenp2057 {\rtlch\fcs1 \af0 \ltrch\fcs0 \cs17\b0\v\fs20\cf9\loch\af1\hich\af1\dbch\af31501\insrsid5640532\charrsid3233645 {\*\bkmkstart restart}_x000d__x000a_\hich\af1\dbch\af31501\loch\f1 &lt;Amend&gt;}{\rtlch\fcs1 \af0 \ltrch\fcs0 \insrsid5640532\charrsid3233645 Emendamento\tab \tab }{\rtlch\fcs1 \af0 \ltrch\fcs0 \cs17\b0\v\fs20\cf9\loch\af1\hich\af1\dbch\af31501\insrsid5640532\charrsid3233645 _x000d__x000a_\hich\af1\dbch\af31501\loch\f1 &lt;NumAm&gt;}{\rtlch\fcs1 \af0 \ltrch\fcs0 \insrsid5640532\charrsid3233645 #}{\rtlch\fcs1 \af1 \ltrch\fcs0 \cs18\v\f1\fs20\cf15\insrsid5640532\charrsid3233645 ENMIENDA@NRAM@}{\rtlch\fcs1 \af0 \ltrch\fcs0 _x000d__x000a_\insrsid5640532\charrsid3233645 #}{\rtlch\fcs1 \af0 \ltrch\fcs0 \cs17\b0\v\fs20\cf9\loch\af1\hich\af1\dbch\af31501\insrsid5640532\charrsid3233645 \hich\af1\dbch\af31501\loch\f1 &lt;/NumAm&gt;}{\rtlch\fcs1 \af0 \ltrch\fcs0 \insrsid5640532\charrsid3233645 _x000d__x000a_\par }\pard\plain \ltrpar\s27\ql \li0\ri0\sb240\keepn\nowidctlpar\wrapdefault\aspalpha\aspnum\faauto\adjustright\rin0\lin0\itap0\pararsid5640532 \rtlch\fcs1 \af0\afs20\alang1025 \ltrch\fcs0 \b\fs24\lang1040\langfe2057\cgrid\langnp1040\langfenp2057 {_x000d__x000a_\rtlch\fcs1 \af0 \ltrch\fcs0 \cs17\b0\v\fs20\cf9\loch\af1\hich\af1\dbch\af31501\insrsid5640532\charrsid3233645 \hich\af1\dbch\af31501\loch\f1 &lt;DocAmend&gt;}{\rtlch\fcs1 \af0 \ltrch\fcs0 \insrsid5640532\charrsid3233645 Proposta di #}{\rtlch\fcs1 \af1 _x000d__x000a_\ltrch\fcs0 \cs18\v\f1\fs20\cf15\insrsid5640532\charrsid3233645 MNU[DOC1][DOC2][DOC3]@DOCMSG@DOCMNU}{\rtlch\fcs1 \af0 \ltrch\fcs0 \insrsid5640532\charrsid3233645 ##}{\rtlch\fcs1 \af1 \ltrch\fcs0 \cs18\v\f1\fs20\cf15\insrsid5640532\charrsid3233645 _x000d__x000a_MNU[AMACTYES][NOTAPP]@CHOICE@AMACTMNU}{\rtlch\fcs1 \af0 \ltrch\fcs0 \insrsid5640532\charrsid3233645 #}{\rtlch\fcs1 \af0 \ltrch\fcs0 \cs17\b0\v\fs20\cf9\loch\af1\hich\af1\dbch\af31501\insrsid5640532\charrsid3233645 \hich\af1\dbch\af31501\loch\f1 _x000d__x000a_&lt;/DocAmend&gt;}{\rtlch\fcs1 \af0 \ltrch\fcs0 \insrsid5640532\charrsid3233645 _x000d__x000a_\par }\pard\plain \ltrpar\s20\ql \li0\ri0\keepn\nowidctlpar\wrapdefault\aspalpha\aspnum\faauto\adjustright\rin0\lin0\itap0\pararsid5640532 \rtlch\fcs1 \af0\afs20\alang1025 \ltrch\fcs0 \b\fs24\lang1040\langfe2057\cgrid\langnp1040\langfenp2057 {\rtlch\fcs1 \af0 _x000d__x000a_\ltrch\fcs0 \cs17\b0\v\fs20\cf9\loch\af1\hich\af1\dbch\af31501\insrsid5640532\charrsid3233645 \hich\af1\dbch\af31501\loch\f1 &lt;Article&gt;}{\rtlch\fcs1 \af0 \ltrch\fcs0 \insrsid5640532\charrsid3233645 #}{\rtlch\fcs1 \af1 \ltrch\fcs0 _x000d__x000a_\cs18\v\f1\fs20\cf15\insrsid5640532\charrsid3233645 MNU[AMACTPARTYES][AMACTPARTNO]@CHOICE@AMACTMNU}{\rtlch\fcs1 \af0 \ltrch\fcs0 \insrsid5640532\charrsid3233645 #}{\rtlch\fcs1 \af0 \ltrch\fcs0 _x000d__x000a_\cs17\b0\v\fs20\cf9\loch\af1\hich\af1\dbch\af31501\insrsid5640532\charrsid3233645 \hich\af1\dbch\af31501\loch\f1 &lt;/Article&gt;}{\rtlch\fcs1 \af0 \ltrch\fcs0 \insrsid5640532\charrsid3233645 _x000d__x000a_\par }\pard\plain \ltrpar\ql \li0\ri0\keepn\widctlpar\wrapdefault\aspalpha\aspnum\faauto\adjustright\rin0\lin0\itap0\pararsid5640532 \rtlch\fcs1 \af0\afs20\alang1025 \ltrch\fcs0 \fs24\lang2057\langfe2057\cgrid\langnp2057\langfenp2057 {\rtlch\fcs1 \af0 _x000d__x000a_\ltrch\fcs0 \cs17\v\fs20\cf9\lang1040\langfe2057\loch\af1\hich\af1\dbch\af31501\langnp1040\insrsid5640532\charrsid3233645 \hich\af1\dbch\af31501\loch\f1 &lt;DocAmend2&gt;&lt;OptDel&gt;}{\rtlch\fcs1 \af0 \ltrch\fcs0 _x000d__x000a_\lang1040\langfe2057\langnp1040\insrsid5640532\charrsid3233645 #}{\rtlch\fcs1 \af1 \ltrch\fcs0 \cs18\v\f1\fs20\cf15\lang1040\langfe2057\langnp1040\insrsid5640532\charrsid3233645 MNU[OPTNRACTYES][NOTAPP]@CHOICE@AMACTMNU}{\rtlch\fcs1 \af0 \ltrch\fcs0 _x000d__x000a_\lang1040\langfe2057\langnp1040\insrsid5640532\charrsid3233645 #}{\rtlch\fcs1 \af0 \ltrch\fcs0 \cs17\v\fs20\cf9\lang1040\langfe2057\loch\af1\hich\af1\dbch\af31501\langnp1040\insrsid5640532\charrsid3233645 \hich\af1\dbch\af31501\loch\f1 _x000d__x000a_&lt;/OptDel&gt;&lt;/DocAmend2&gt;}{\rtlch\fcs1 \af0 \ltrch\fcs0 \lang1040\langfe2057\langnp1040\insrsid5640532\charrsid3233645 _x000d__x000a_\par }\pard \ltrpar\ql \li0\ri0\widctlpar\wrapdefault\aspalpha\aspnum\faauto\adjustright\rin0\lin0\itap0\pararsid5640532 {\rtlch\fcs1 \af0 \ltrch\fcs0 _x000d__x000a_\cs17\v\fs20\cf9\lang1040\langfe2057\loch\af1\hich\af1\dbch\af31501\langnp1040\insrsid5640532\charrsid3233645 \hich\af1\dbch\af31501\loch\f1 &lt;Article2&gt;&lt;OptDel&gt;}{\rtlch\fcs1 \af0 \ltrch\fcs0 \lang1040\langfe2057\langnp1040\insrsid5640532\charrsid3233645 #}_x000d__x000a_{\rtlch\fcs1 \af1 \ltrch\fcs0 \cs18\v\f1\fs20\cf15\lang1040\langfe2057\langnp1040\insrsid5640532\charrsid3233645 MNU[OPTACTPARTYES][NOTAPP]@CHOICE@AMACTMNU}{\rtlch\fcs1 \af0 \ltrch\fcs0 \lang1040\langfe2057\langnp1040\insrsid5640532\charrsid3233645 #}{_x000d__x000a_\rtlch\fcs1 \af0 \ltrch\fcs0 \cs17\v\fs20\cf9\lang1040\langfe2057\loch\af1\hich\af1\dbch\af31501\langnp1040\insrsid5640532\charrsid3233645 \hich\af1\dbch\af31501\loch\f1 &lt;/OptDel&gt;&lt;/Article2&gt;}{\rtlch\fcs1 \af0 \ltrch\fcs0 _x000d__x000a_\lang1040\langfe2057\langnp1040\insrsid5640532\charrsid3233645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40\langfe2057\langnp1040\insrsid5640532\charrsid3233645 \cell }\pard\plain \ltrpar_x000d__x000a_\ql \li0\ri0\widctlpar\intbl\wrapdefault\aspalpha\aspnum\faauto\adjustright\rin0\lin0 \rtlch\fcs1 \af0\afs20\alang1025 \ltrch\fcs0 \fs24\lang2057\langfe2057\cgrid\langnp2057\langfenp2057 {\rtlch\fcs1 \af0 \ltrch\fcs0 _x000d__x000a_\lang1040\langfe2057\langnp1040\insrsid5640532\charrsid3233645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5640532\charrsid3233645 #}{\rtlch\fcs1 \af1 \ltrch\fcs0 \cs18\v\f1\fs20\cf15\insrsid5640532\charrsid3233645 MNU[OPTLEFTAMACT][LEFTPROP]@CHOICE@AMACTMNU}{\rtlch\fcs1 \af0 \ltrch\fcs0 \insrsid5640532\charrsid3233645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5640532\charrsid3233645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40\langfe2057\cgrid\langnp1040\langfenp2057 {\rtlch\fcs1 \af0 \ltrch\fcs0 _x000d__x000a_\insrsid5640532\charrsid3233645 #}{\rtlch\fcs1 \af1 \ltrch\fcs0 \cs18\v\f1\fs20\cf15\insrsid5640532\charrsid3233645 TESTO}{\rtlch\fcs1 \af0 \ltrch\fcs0 \insrsid5640532\charrsid3233645 #\cell #}{\rtlch\fcs1 \af1 \ltrch\fcs0 _x000d__x000a_\cs18\v\f1\fs20\cf15\insrsid5640532\charrsid3233645 TESTO}{\rtlch\fcs1 \af0 \ltrch\fcs0 \insrsid5640532\charrsid3233645 #}{\rtlch\fcs1 \af0\afs24 \ltrch\fcs0 \insrsid5640532\charrsid3233645 \cell }\pard\plain \ltrpar_x000d__x000a_\ql \li0\ri0\widctlpar\intbl\wrapdefault\aspalpha\aspnum\faauto\adjustright\rin0\lin0 \rtlch\fcs1 \af0\afs20\alang1025 \ltrch\fcs0 \fs24\lang2057\langfe2057\cgrid\langnp2057\langfenp2057 {\rtlch\fcs1 \af0 \ltrch\fcs0 _x000d__x000a_\lang1040\langfe2057\langnp1040\insrsid5640532\charrsid3233645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5640532 \rtlch\fcs1 \af0\afs20\alang1025 \ltrch\fcs0 \fs24\lang1040\langfe2057\cgrid\langnp1040\langfenp2057 {\rtlch\fcs1 \af0 \ltrch\fcs0 _x000d__x000a_\insrsid5640532\charrsid3233645 Or. }{\rtlch\fcs1 \af0 \ltrch\fcs0 \cs17\v\fs20\cf9\loch\af1\hich\af1\dbch\af31501\insrsid5640532\charrsid3233645 \hich\af1\dbch\af31501\loch\f1 &lt;Original&gt;}{\rtlch\fcs1 \af0 \ltrch\fcs0 \insrsid5640532\charrsid3233645 #}{_x000d__x000a_\rtlch\fcs1 \af1 \ltrch\fcs0 \cs18\v\f1\fs20\cf15\insrsid5640532\charrsid3233645 MNU[ORLANGONE][ORLANGMORE]@CHOICE@ORLANGMNU}{\rtlch\fcs1 \af0 \ltrch\fcs0 \insrsid5640532\charrsid3233645 #}{\rtlch\fcs1 \af0 \ltrch\fcs0 _x000d__x000a_\cs17\v\fs20\cf9\loch\af1\hich\af1\dbch\af31501\insrsid5640532\charrsid3233645 \hich\af1\dbch\af31501\loch\f1 &lt;/Original&gt;}{\rtlch\fcs1 \af0 \ltrch\fcs0 \insrsid5640532\charrsid3233645 _x000d__x000a_\par }\pard\plain \ltrpar\s22\qc \li0\ri0\sb240\sa240\nowidctlpar\wrapdefault\aspalpha\aspnum\faauto\adjustright\rin0\lin0\itap0\pararsid5640532 \rtlch\fcs1 \af0\afs20\alang1025 \ltrch\fcs0 \i\fs24\lang1040\langfe2057\cgrid\langnp1040\langfenp2057 {_x000d__x000a_\rtlch\fcs1 \af0 \ltrch\fcs0 \cs17\i0\v\fs20\cf9\loch\af1\hich\af1\dbch\af31501\insrsid5640532\charrsid3233645 \hich\af1\dbch\af31501\loch\f1 &lt;OptDel&gt;}{\rtlch\fcs1 \af0 \ltrch\fcs0 \insrsid5640532\charrsid3233645 #}{\rtlch\fcs1 \af1 \ltrch\fcs0 _x000d__x000a_\cs18\v\f1\fs20\cf15\insrsid5640532\charrsid3233645 MNU[CROSSREFNO][CROSSREFYES]@CHOICE@}{\rtlch\fcs1 \af0 \ltrch\fcs0 \insrsid5640532\charrsid3233645 #}{\rtlch\fcs1 \af0 \ltrch\fcs0 _x000d__x000a_\cs17\i0\v\fs20\cf9\loch\af1\hich\af1\dbch\af31501\insrsid5640532\charrsid3233645 \hich\af1\dbch\af31501\loch\f1 &lt;/OptDel&gt;}{\rtlch\fcs1 \af0 \ltrch\fcs0 \insrsid5640532\charrsid3233645 _x000d__x000a_\par }\pard\plain \ltrpar\s23\qc \li0\ri0\sb240\sa240\keepn\nowidctlpar\wrapdefault\aspalpha\aspnum\faauto\adjustright\rin0\lin0\itap0\pararsid5640532 \rtlch\fcs1 \af0\afs20\alang1025 \ltrch\fcs0 \i\fs24\lang1040\langfe2057\cgrid\langnp1040\langfenp2057 {_x000d__x000a_\rtlch\fcs1 \af0 \ltrch\fcs0 \cs17\i0\v\fs20\cf9\loch\af1\hich\af1\dbch\af31501\insrsid5640532\charrsid3233645 \hich\af1\dbch\af31501\loch\f1 &lt;TitreJust&gt;}{\rtlch\fcs1 \af0 \ltrch\fcs0 \insrsid5640532\charrsid3233645 Motivazione}{\rtlch\fcs1 \af0 _x000d__x000a_\ltrch\fcs0 \cs17\i0\v\fs20\cf9\loch\af1\hich\af1\dbch\af31501\insrsid5640532\charrsid3233645 \hich\af1\dbch\af31501\loch\f1 &lt;/TitreJust&gt;}{\rtlch\fcs1 \af0 \ltrch\fcs0 \insrsid5640532\charrsid3233645 _x000d__x000a_\par }\pard\plain \ltrpar\s21\ql \li0\ri0\sa240\nowidctlpar\wrapdefault\aspalpha\aspnum\faauto\adjustright\rin0\lin0\itap0\pararsid5640532 \rtlch\fcs1 \af0\afs20\alang1025 \ltrch\fcs0 \i\fs24\lang1040\langfe2057\cgrid\langnp1040\langfenp2057 {\rtlch\fcs1 \af0 _x000d__x000a_\ltrch\fcs0 \cs17\i0\v\fs20\cf9\loch\af1\hich\af1\dbch\af31501\insrsid5640532\charrsid3233645 \hich\af1\dbch\af31501\loch\f1 &lt;OptDelPrev&gt;}{\rtlch\fcs1 \af0 \ltrch\fcs0 \insrsid5640532\charrsid3233645 #}{\rtlch\fcs1 \af1 \ltrch\fcs0 _x000d__x000a_\cs18\v\f1\fs20\cf15\insrsid5640532\charrsid3233645 MNU[TEXTJUSTYES][TEXTJUSTNO]@CHOICE@}{\rtlch\fcs1 \af0 \ltrch\fcs0 \insrsid5640532\charrsid3233645 #}{\rtlch\fcs1 \af0 \ltrch\fcs0 _x000d__x000a_\cs17\i0\v\fs20\cf9\loch\af1\hich\af1\dbch\af31501\insrsid5640532\charrsid3233645 \hich\af1\dbch\af31501\loch\f1 &lt;/OptDelPrev&gt;}{\rtlch\fcs1 \af0 \ltrch\fcs0 \insrsid5640532\charrsid3233645 _x000d__x000a_\par }\pard\plain \ltrpar\ql \li0\ri0\widctlpar\wrapdefault\aspalpha\aspnum\faauto\adjustright\rin0\lin0\itap0\pararsid5640532 \rtlch\fcs1 \af0\afs20\alang1025 \ltrch\fcs0 \fs24\lang2057\langfe2057\cgrid\langnp2057\langfenp2057 {\rtlch\fcs1 \af0 \ltrch\fcs0 _x000d__x000a_\cs17\v\fs20\cf9\lang1040\langfe2057\loch\af1\hich\af1\dbch\af31501\langnp1040\insrsid5640532\charrsid323364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ae_x000d__x000a_1c0734d3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63"/>
    <w:docVar w:name="TXTAUTHOR" w:val="Paulo Rangel"/>
    <w:docVar w:name="TXTLANGUE" w:val="IT"/>
    <w:docVar w:name="TXTLANGUEMIN" w:val="it"/>
    <w:docVar w:name="TXTNRC" w:val="0455/2021"/>
    <w:docVar w:name="TXTNRCOD" w:val="2021/0410"/>
    <w:docVar w:name="TXTNRCOM" w:val="(2021)0784"/>
    <w:docVar w:name="TXTNRPE" w:val="736.469"/>
    <w:docVar w:name="TXTPEorAP" w:val="PE"/>
    <w:docVar w:name="TXTROUTE" w:val="PR\1263010IT.docx"/>
    <w:docVar w:name="TXTTITLE" w:val="sullo scambio automatizzato di dati per la cooperazione di polizia (&quot;Prüm II&quot;), che modifica le decisioni 2008/615/GAI e 2008/616/GAI del Consiglio e i regolamenti (UE) 2018/1726, (UE) 2019/817 e (UE) 2019/818 del Parlamento europeo e del Consiglio"/>
    <w:docVar w:name="TXTVERSION" w:val="01-00"/>
  </w:docVars>
  <w:rsids>
    <w:rsidRoot w:val="0031576D"/>
    <w:rsid w:val="00011AAB"/>
    <w:rsid w:val="00012351"/>
    <w:rsid w:val="000139E5"/>
    <w:rsid w:val="00084DD2"/>
    <w:rsid w:val="00084E89"/>
    <w:rsid w:val="000B7489"/>
    <w:rsid w:val="000F1096"/>
    <w:rsid w:val="00120948"/>
    <w:rsid w:val="00123DD5"/>
    <w:rsid w:val="001277AE"/>
    <w:rsid w:val="00142215"/>
    <w:rsid w:val="001444EA"/>
    <w:rsid w:val="001767E2"/>
    <w:rsid w:val="00187008"/>
    <w:rsid w:val="001B3829"/>
    <w:rsid w:val="001C5592"/>
    <w:rsid w:val="001C5B44"/>
    <w:rsid w:val="001C6FFC"/>
    <w:rsid w:val="001F7C7C"/>
    <w:rsid w:val="00212B84"/>
    <w:rsid w:val="002346B0"/>
    <w:rsid w:val="002667C3"/>
    <w:rsid w:val="002669B6"/>
    <w:rsid w:val="00275D31"/>
    <w:rsid w:val="00290BED"/>
    <w:rsid w:val="002D13EE"/>
    <w:rsid w:val="002E33EE"/>
    <w:rsid w:val="002F39E1"/>
    <w:rsid w:val="002F40BB"/>
    <w:rsid w:val="002F4B02"/>
    <w:rsid w:val="0031576D"/>
    <w:rsid w:val="00323EF8"/>
    <w:rsid w:val="003316DD"/>
    <w:rsid w:val="00366A46"/>
    <w:rsid w:val="00370AC3"/>
    <w:rsid w:val="003777C3"/>
    <w:rsid w:val="003824EE"/>
    <w:rsid w:val="003B4689"/>
    <w:rsid w:val="003C2068"/>
    <w:rsid w:val="003C37CF"/>
    <w:rsid w:val="004100B1"/>
    <w:rsid w:val="00426E47"/>
    <w:rsid w:val="00455743"/>
    <w:rsid w:val="00461601"/>
    <w:rsid w:val="004660B6"/>
    <w:rsid w:val="004C0915"/>
    <w:rsid w:val="004D424E"/>
    <w:rsid w:val="004E42C8"/>
    <w:rsid w:val="004E733D"/>
    <w:rsid w:val="004F3FA5"/>
    <w:rsid w:val="0051271F"/>
    <w:rsid w:val="00521F46"/>
    <w:rsid w:val="00551111"/>
    <w:rsid w:val="00551123"/>
    <w:rsid w:val="00570A6A"/>
    <w:rsid w:val="00586E50"/>
    <w:rsid w:val="0059583D"/>
    <w:rsid w:val="005A42D9"/>
    <w:rsid w:val="005C2BEF"/>
    <w:rsid w:val="005D1A99"/>
    <w:rsid w:val="005D7609"/>
    <w:rsid w:val="005D7EE8"/>
    <w:rsid w:val="00627E24"/>
    <w:rsid w:val="00642325"/>
    <w:rsid w:val="0069092A"/>
    <w:rsid w:val="006A2F5D"/>
    <w:rsid w:val="006F7907"/>
    <w:rsid w:val="00726F60"/>
    <w:rsid w:val="0073251B"/>
    <w:rsid w:val="00743189"/>
    <w:rsid w:val="00743D33"/>
    <w:rsid w:val="007932B3"/>
    <w:rsid w:val="00793EA9"/>
    <w:rsid w:val="007D6F68"/>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F24BE"/>
    <w:rsid w:val="009F6C2F"/>
    <w:rsid w:val="009F767A"/>
    <w:rsid w:val="00A121F2"/>
    <w:rsid w:val="00A22533"/>
    <w:rsid w:val="00A26F46"/>
    <w:rsid w:val="00A34FD3"/>
    <w:rsid w:val="00A36929"/>
    <w:rsid w:val="00A50548"/>
    <w:rsid w:val="00A60EE7"/>
    <w:rsid w:val="00A910C9"/>
    <w:rsid w:val="00AA35B0"/>
    <w:rsid w:val="00AD18C8"/>
    <w:rsid w:val="00AD7FA6"/>
    <w:rsid w:val="00AE4643"/>
    <w:rsid w:val="00AF0416"/>
    <w:rsid w:val="00AF580A"/>
    <w:rsid w:val="00B10CB4"/>
    <w:rsid w:val="00B13D6F"/>
    <w:rsid w:val="00B23B72"/>
    <w:rsid w:val="00B42702"/>
    <w:rsid w:val="00B57B8B"/>
    <w:rsid w:val="00B85407"/>
    <w:rsid w:val="00B95702"/>
    <w:rsid w:val="00BC6489"/>
    <w:rsid w:val="00BD480C"/>
    <w:rsid w:val="00C20954"/>
    <w:rsid w:val="00C23324"/>
    <w:rsid w:val="00C42A41"/>
    <w:rsid w:val="00C47E74"/>
    <w:rsid w:val="00C57A72"/>
    <w:rsid w:val="00C73602"/>
    <w:rsid w:val="00C85D0F"/>
    <w:rsid w:val="00CF60C8"/>
    <w:rsid w:val="00CF7292"/>
    <w:rsid w:val="00D30DE2"/>
    <w:rsid w:val="00D32924"/>
    <w:rsid w:val="00D503A3"/>
    <w:rsid w:val="00DA6ED0"/>
    <w:rsid w:val="00DC5011"/>
    <w:rsid w:val="00E171B6"/>
    <w:rsid w:val="00E72695"/>
    <w:rsid w:val="00EB1753"/>
    <w:rsid w:val="00EB6CFF"/>
    <w:rsid w:val="00EE3996"/>
    <w:rsid w:val="00EF6AA3"/>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1ABAF"/>
  <w15:chartTrackingRefBased/>
  <w15:docId w15:val="{4F7AFE01-62E6-4743-8577-36527300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EF6AA3"/>
    <w:pPr>
      <w:tabs>
        <w:tab w:val="right" w:pos="454"/>
        <w:tab w:val="left" w:pos="737"/>
      </w:tabs>
      <w:ind w:left="737" w:hanging="737"/>
    </w:pPr>
    <w:rPr>
      <w:snapToGrid w:val="0"/>
      <w:sz w:val="18"/>
      <w:lang w:eastAsia="en-US"/>
    </w:rPr>
  </w:style>
  <w:style w:type="paragraph" w:customStyle="1" w:styleId="Lgendetitre">
    <w:name w:val="Légende titre"/>
    <w:basedOn w:val="Normal"/>
    <w:rsid w:val="00EF6AA3"/>
    <w:pPr>
      <w:spacing w:before="240" w:after="240"/>
    </w:pPr>
    <w:rPr>
      <w:b/>
      <w:i/>
      <w:snapToGrid w:val="0"/>
      <w:lang w:eastAsia="en-US"/>
    </w:rPr>
  </w:style>
  <w:style w:type="paragraph" w:customStyle="1" w:styleId="Lgendestandard">
    <w:name w:val="Légende standard"/>
    <w:basedOn w:val="Normal"/>
    <w:rsid w:val="00EF6AA3"/>
    <w:rPr>
      <w:sz w:val="18"/>
    </w:rPr>
  </w:style>
  <w:style w:type="paragraph" w:customStyle="1" w:styleId="EntPE">
    <w:name w:val="EntPE"/>
    <w:basedOn w:val="Normal12"/>
    <w:rsid w:val="00EF6AA3"/>
    <w:pPr>
      <w:jc w:val="center"/>
    </w:pPr>
    <w:rPr>
      <w:noProof w:val="0"/>
      <w:sz w:val="56"/>
    </w:rPr>
  </w:style>
  <w:style w:type="paragraph" w:customStyle="1" w:styleId="Normal12">
    <w:name w:val="Normal12"/>
    <w:basedOn w:val="Normal"/>
    <w:link w:val="Normal12Char"/>
    <w:rsid w:val="00EF6AA3"/>
    <w:pPr>
      <w:spacing w:after="240"/>
    </w:pPr>
    <w:rPr>
      <w:noProof/>
    </w:rPr>
  </w:style>
  <w:style w:type="paragraph" w:customStyle="1" w:styleId="CommitteeAM">
    <w:name w:val="CommitteeAM"/>
    <w:basedOn w:val="Normal"/>
    <w:rsid w:val="00EF6AA3"/>
    <w:pPr>
      <w:spacing w:before="240" w:after="600"/>
      <w:jc w:val="center"/>
    </w:pPr>
    <w:rPr>
      <w:i/>
    </w:rPr>
  </w:style>
  <w:style w:type="paragraph" w:customStyle="1" w:styleId="ZDateAM">
    <w:name w:val="ZDateAM"/>
    <w:basedOn w:val="Normal"/>
    <w:rsid w:val="00EF6AA3"/>
    <w:pPr>
      <w:tabs>
        <w:tab w:val="right" w:pos="9356"/>
      </w:tabs>
      <w:spacing w:after="480"/>
    </w:pPr>
    <w:rPr>
      <w:noProof/>
    </w:rPr>
  </w:style>
  <w:style w:type="paragraph" w:customStyle="1" w:styleId="ProjRap">
    <w:name w:val="ProjRap"/>
    <w:basedOn w:val="Normal"/>
    <w:rsid w:val="00EF6AA3"/>
    <w:pPr>
      <w:tabs>
        <w:tab w:val="right" w:pos="9356"/>
      </w:tabs>
    </w:pPr>
    <w:rPr>
      <w:b/>
      <w:noProof/>
    </w:rPr>
  </w:style>
  <w:style w:type="character" w:customStyle="1" w:styleId="Normal12Char">
    <w:name w:val="Normal12 Char"/>
    <w:basedOn w:val="DefaultParagraphFont"/>
    <w:link w:val="Normal12"/>
    <w:locked/>
    <w:rsid w:val="00EF6AA3"/>
    <w:rPr>
      <w:noProof/>
      <w:sz w:val="24"/>
    </w:rPr>
  </w:style>
  <w:style w:type="paragraph" w:customStyle="1" w:styleId="PELeft">
    <w:name w:val="PELeft"/>
    <w:basedOn w:val="Normal"/>
    <w:rsid w:val="00EF6AA3"/>
    <w:pPr>
      <w:spacing w:before="40" w:after="40"/>
    </w:pPr>
    <w:rPr>
      <w:rFonts w:ascii="Arial" w:hAnsi="Arial" w:cs="Arial"/>
      <w:sz w:val="22"/>
      <w:szCs w:val="22"/>
    </w:rPr>
  </w:style>
  <w:style w:type="paragraph" w:customStyle="1" w:styleId="PERight">
    <w:name w:val="PERight"/>
    <w:basedOn w:val="Normal"/>
    <w:next w:val="Normal"/>
    <w:rsid w:val="00EF6AA3"/>
    <w:pPr>
      <w:jc w:val="right"/>
    </w:pPr>
    <w:rPr>
      <w:rFonts w:ascii="Arial" w:hAnsi="Arial" w:cs="Arial"/>
      <w:sz w:val="22"/>
      <w:szCs w:val="22"/>
    </w:rPr>
  </w:style>
  <w:style w:type="paragraph" w:customStyle="1" w:styleId="Normal6">
    <w:name w:val="Normal6"/>
    <w:basedOn w:val="Normal"/>
    <w:link w:val="Normal6Char"/>
    <w:rsid w:val="00EF6AA3"/>
    <w:pPr>
      <w:spacing w:after="120"/>
    </w:pPr>
  </w:style>
  <w:style w:type="paragraph" w:customStyle="1" w:styleId="Normal12Italic">
    <w:name w:val="Normal12Italic"/>
    <w:basedOn w:val="Normal12"/>
    <w:rsid w:val="00EF6AA3"/>
    <w:rPr>
      <w:i/>
    </w:rPr>
  </w:style>
  <w:style w:type="character" w:customStyle="1" w:styleId="NormalBoldChar">
    <w:name w:val="NormalBold Char"/>
    <w:basedOn w:val="DefaultParagraphFont"/>
    <w:link w:val="NormalBold"/>
    <w:rsid w:val="00EF6AA3"/>
    <w:rPr>
      <w:b/>
      <w:sz w:val="24"/>
      <w:lang w:val="it-IT"/>
    </w:rPr>
  </w:style>
  <w:style w:type="paragraph" w:customStyle="1" w:styleId="JustificationTitle">
    <w:name w:val="JustificationTitle"/>
    <w:basedOn w:val="Normal"/>
    <w:next w:val="Normal12"/>
    <w:rsid w:val="00EF6AA3"/>
    <w:pPr>
      <w:keepNext/>
      <w:spacing w:before="240" w:after="240"/>
      <w:jc w:val="center"/>
    </w:pPr>
    <w:rPr>
      <w:i/>
      <w:noProof/>
    </w:rPr>
  </w:style>
  <w:style w:type="paragraph" w:customStyle="1" w:styleId="Olang">
    <w:name w:val="Olang"/>
    <w:basedOn w:val="Normal"/>
    <w:rsid w:val="00EF6AA3"/>
    <w:pPr>
      <w:spacing w:before="240" w:after="240"/>
      <w:jc w:val="right"/>
    </w:pPr>
    <w:rPr>
      <w:noProof/>
      <w:szCs w:val="24"/>
    </w:rPr>
  </w:style>
  <w:style w:type="character" w:customStyle="1" w:styleId="Normal6Char">
    <w:name w:val="Normal6 Char"/>
    <w:basedOn w:val="DefaultParagraphFont"/>
    <w:link w:val="Normal6"/>
    <w:rsid w:val="00EF6AA3"/>
    <w:rPr>
      <w:sz w:val="24"/>
      <w:lang w:val="it-IT"/>
    </w:rPr>
  </w:style>
  <w:style w:type="paragraph" w:customStyle="1" w:styleId="ColumnHeading">
    <w:name w:val="ColumnHeading"/>
    <w:basedOn w:val="Normal"/>
    <w:rsid w:val="00EF6AA3"/>
    <w:pPr>
      <w:spacing w:after="240"/>
      <w:jc w:val="center"/>
    </w:pPr>
    <w:rPr>
      <w:i/>
    </w:rPr>
  </w:style>
  <w:style w:type="paragraph" w:customStyle="1" w:styleId="AMNumberTabs0">
    <w:name w:val="AMNumberTabs"/>
    <w:basedOn w:val="Normal"/>
    <w:rsid w:val="00EF6AA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F6AA3"/>
    <w:pPr>
      <w:spacing w:before="240"/>
      <w:jc w:val="center"/>
    </w:pPr>
    <w:rPr>
      <w:i/>
    </w:rPr>
  </w:style>
  <w:style w:type="paragraph" w:styleId="Footer">
    <w:name w:val="footer"/>
    <w:link w:val="FooterChar"/>
    <w:rsid w:val="00EF6AA3"/>
    <w:pPr>
      <w:tabs>
        <w:tab w:val="center" w:pos="4536"/>
        <w:tab w:val="right" w:pos="9072"/>
      </w:tabs>
      <w:spacing w:before="240" w:after="240" w:line="221" w:lineRule="auto"/>
    </w:pPr>
    <w:rPr>
      <w:sz w:val="22"/>
    </w:rPr>
  </w:style>
  <w:style w:type="character" w:customStyle="1" w:styleId="FooterChar">
    <w:name w:val="Footer Char"/>
    <w:basedOn w:val="DefaultParagraphFont"/>
    <w:link w:val="Footer"/>
    <w:rsid w:val="00EF6AA3"/>
    <w:rPr>
      <w:sz w:val="22"/>
    </w:rPr>
  </w:style>
  <w:style w:type="paragraph" w:customStyle="1" w:styleId="Footer2">
    <w:name w:val="Footer2"/>
    <w:basedOn w:val="Normal12"/>
    <w:rsid w:val="00EF6AA3"/>
    <w:pPr>
      <w:tabs>
        <w:tab w:val="center" w:pos="4535"/>
        <w:tab w:val="right" w:pos="9923"/>
      </w:tabs>
      <w:spacing w:line="480" w:lineRule="auto"/>
      <w:ind w:left="-851"/>
    </w:pPr>
    <w:rPr>
      <w:rFonts w:ascii="Arial" w:cs="Arial"/>
      <w:b/>
      <w:sz w:val="48"/>
    </w:rPr>
  </w:style>
  <w:style w:type="character" w:customStyle="1" w:styleId="Footer2Middle">
    <w:name w:val="Footer2Middle"/>
    <w:rsid w:val="00EF6AA3"/>
    <w:rPr>
      <w:rFonts w:ascii="Arial" w:cs="Arial"/>
      <w:b w:val="0"/>
      <w:i/>
      <w:color w:val="C0C0C0"/>
      <w:sz w:val="22"/>
    </w:rPr>
  </w:style>
  <w:style w:type="paragraph" w:styleId="BalloonText">
    <w:name w:val="Balloon Text"/>
    <w:basedOn w:val="Normal"/>
    <w:link w:val="BalloonTextChar"/>
    <w:semiHidden/>
    <w:unhideWhenUsed/>
    <w:rsid w:val="00EF6AA3"/>
    <w:rPr>
      <w:rFonts w:ascii="Segoe UI" w:hAnsi="Segoe UI" w:cs="Segoe UI"/>
      <w:sz w:val="18"/>
      <w:szCs w:val="18"/>
    </w:rPr>
  </w:style>
  <w:style w:type="character" w:customStyle="1" w:styleId="BalloonTextChar">
    <w:name w:val="Balloon Text Char"/>
    <w:basedOn w:val="DefaultParagraphFont"/>
    <w:link w:val="BalloonText"/>
    <w:semiHidden/>
    <w:rsid w:val="00EF6AA3"/>
    <w:rPr>
      <w:rFonts w:ascii="Segoe UI" w:hAnsi="Segoe UI" w:cs="Segoe UI"/>
      <w:sz w:val="18"/>
      <w:szCs w:val="18"/>
    </w:rPr>
  </w:style>
  <w:style w:type="character" w:styleId="CommentReference">
    <w:name w:val="annotation reference"/>
    <w:basedOn w:val="DefaultParagraphFont"/>
    <w:rsid w:val="00EF6AA3"/>
    <w:rPr>
      <w:sz w:val="16"/>
      <w:szCs w:val="16"/>
    </w:rPr>
  </w:style>
  <w:style w:type="paragraph" w:styleId="CommentText">
    <w:name w:val="annotation text"/>
    <w:basedOn w:val="Normal"/>
    <w:link w:val="CommentTextChar"/>
    <w:rsid w:val="00EF6AA3"/>
    <w:rPr>
      <w:sz w:val="20"/>
    </w:rPr>
  </w:style>
  <w:style w:type="character" w:customStyle="1" w:styleId="CommentTextChar">
    <w:name w:val="Comment Text Char"/>
    <w:basedOn w:val="DefaultParagraphFont"/>
    <w:link w:val="CommentText"/>
    <w:rsid w:val="00EF6AA3"/>
  </w:style>
  <w:style w:type="paragraph" w:styleId="CommentSubject">
    <w:name w:val="annotation subject"/>
    <w:basedOn w:val="CommentText"/>
    <w:next w:val="CommentText"/>
    <w:link w:val="CommentSubjectChar"/>
    <w:semiHidden/>
    <w:unhideWhenUsed/>
    <w:rsid w:val="00EF6AA3"/>
    <w:rPr>
      <w:b/>
      <w:bCs/>
    </w:rPr>
  </w:style>
  <w:style w:type="character" w:customStyle="1" w:styleId="CommentSubjectChar">
    <w:name w:val="Comment Subject Char"/>
    <w:basedOn w:val="CommentTextChar"/>
    <w:link w:val="CommentSubject"/>
    <w:semiHidden/>
    <w:rsid w:val="00EF6AA3"/>
    <w:rPr>
      <w:b/>
      <w:bCs/>
    </w:rPr>
  </w:style>
  <w:style w:type="paragraph" w:customStyle="1" w:styleId="norm">
    <w:name w:val="norm"/>
    <w:basedOn w:val="Normal"/>
    <w:rsid w:val="00EF6AA3"/>
    <w:pPr>
      <w:widowControl/>
      <w:spacing w:before="100" w:beforeAutospacing="1" w:after="100" w:afterAutospacing="1"/>
    </w:pPr>
    <w:rPr>
      <w:szCs w:val="24"/>
    </w:rPr>
  </w:style>
  <w:style w:type="character" w:styleId="Hyperlink">
    <w:name w:val="Hyperlink"/>
    <w:basedOn w:val="DefaultParagraphFont"/>
    <w:uiPriority w:val="99"/>
    <w:unhideWhenUsed/>
    <w:rsid w:val="00EF6AA3"/>
    <w:rPr>
      <w:color w:val="0000FF"/>
      <w:u w:val="single"/>
    </w:rPr>
  </w:style>
  <w:style w:type="character" w:customStyle="1" w:styleId="superscript">
    <w:name w:val="superscript"/>
    <w:basedOn w:val="DefaultParagraphFont"/>
    <w:rsid w:val="00EF6AA3"/>
  </w:style>
  <w:style w:type="paragraph" w:styleId="Revision">
    <w:name w:val="Revision"/>
    <w:hidden/>
    <w:uiPriority w:val="99"/>
    <w:semiHidden/>
    <w:rsid w:val="00EF6AA3"/>
    <w:rPr>
      <w:sz w:val="24"/>
    </w:rPr>
  </w:style>
  <w:style w:type="character" w:styleId="FollowedHyperlink">
    <w:name w:val="FollowedHyperlink"/>
    <w:basedOn w:val="DefaultParagraphFont"/>
    <w:rsid w:val="00EF6AA3"/>
    <w:rPr>
      <w:color w:val="954F72" w:themeColor="followedHyperlink"/>
      <w:u w:val="single"/>
    </w:rPr>
  </w:style>
  <w:style w:type="character" w:customStyle="1" w:styleId="Heading1Char">
    <w:name w:val="Heading 1 Char"/>
    <w:basedOn w:val="DefaultParagraphFont"/>
    <w:link w:val="Heading1"/>
    <w:rsid w:val="00AF580A"/>
    <w:rPr>
      <w:rFonts w:ascii="Arial" w:hAnsi="Arial"/>
      <w:b/>
      <w:kern w:val="28"/>
      <w:sz w:val="28"/>
    </w:rPr>
  </w:style>
  <w:style w:type="character" w:customStyle="1" w:styleId="Heading2Char">
    <w:name w:val="Heading 2 Char"/>
    <w:basedOn w:val="DefaultParagraphFont"/>
    <w:link w:val="Heading2"/>
    <w:semiHidden/>
    <w:rsid w:val="00AF580A"/>
    <w:rPr>
      <w:rFonts w:ascii="Arial" w:hAnsi="Arial"/>
      <w:b/>
      <w:i/>
      <w:sz w:val="24"/>
    </w:rPr>
  </w:style>
  <w:style w:type="character" w:customStyle="1" w:styleId="Heading3Char">
    <w:name w:val="Heading 3 Char"/>
    <w:basedOn w:val="DefaultParagraphFont"/>
    <w:link w:val="Heading3"/>
    <w:semiHidden/>
    <w:rsid w:val="00AF580A"/>
    <w:rPr>
      <w:rFonts w:ascii="Arial" w:hAnsi="Arial"/>
      <w:sz w:val="24"/>
    </w:rPr>
  </w:style>
  <w:style w:type="character" w:customStyle="1" w:styleId="Heading4Char">
    <w:name w:val="Heading 4 Char"/>
    <w:basedOn w:val="DefaultParagraphFont"/>
    <w:link w:val="Heading4"/>
    <w:semiHidden/>
    <w:rsid w:val="00AF580A"/>
    <w:rPr>
      <w:rFonts w:ascii="Arial" w:hAnsi="Arial"/>
      <w:b/>
      <w:sz w:val="24"/>
    </w:rPr>
  </w:style>
  <w:style w:type="character" w:customStyle="1" w:styleId="Heading5Char">
    <w:name w:val="Heading 5 Char"/>
    <w:basedOn w:val="DefaultParagraphFont"/>
    <w:link w:val="Heading5"/>
    <w:semiHidden/>
    <w:rsid w:val="00AF580A"/>
    <w:rPr>
      <w:sz w:val="22"/>
    </w:rPr>
  </w:style>
  <w:style w:type="character" w:customStyle="1" w:styleId="Heading6Char">
    <w:name w:val="Heading 6 Char"/>
    <w:basedOn w:val="DefaultParagraphFont"/>
    <w:link w:val="Heading6"/>
    <w:semiHidden/>
    <w:rsid w:val="00AF580A"/>
    <w:rPr>
      <w:i/>
      <w:sz w:val="22"/>
    </w:rPr>
  </w:style>
  <w:style w:type="character" w:customStyle="1" w:styleId="Heading7Char">
    <w:name w:val="Heading 7 Char"/>
    <w:basedOn w:val="DefaultParagraphFont"/>
    <w:link w:val="Heading7"/>
    <w:semiHidden/>
    <w:rsid w:val="00AF580A"/>
    <w:rPr>
      <w:rFonts w:ascii="Arial" w:hAnsi="Arial"/>
      <w:sz w:val="24"/>
    </w:rPr>
  </w:style>
  <w:style w:type="character" w:customStyle="1" w:styleId="Heading8Char">
    <w:name w:val="Heading 8 Char"/>
    <w:basedOn w:val="DefaultParagraphFont"/>
    <w:link w:val="Heading8"/>
    <w:semiHidden/>
    <w:rsid w:val="00AF580A"/>
    <w:rPr>
      <w:rFonts w:ascii="Arial" w:hAnsi="Arial"/>
      <w:i/>
      <w:sz w:val="24"/>
    </w:rPr>
  </w:style>
  <w:style w:type="character" w:customStyle="1" w:styleId="Heading9Char">
    <w:name w:val="Heading 9 Char"/>
    <w:basedOn w:val="DefaultParagraphFont"/>
    <w:link w:val="Heading9"/>
    <w:semiHidden/>
    <w:rsid w:val="00AF580A"/>
    <w:rPr>
      <w:rFonts w:ascii="Arial" w:hAnsi="Arial"/>
      <w:b/>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ur-lex.europa.eu/legal-content/IT/TXT/?uri=CELEX:02018R1726-20220621" TargetMode="External"/><Relationship Id="rId4" Type="http://schemas.openxmlformats.org/officeDocument/2006/relationships/settings" Target="settings.xml"/><Relationship Id="rId9" Type="http://schemas.openxmlformats.org/officeDocument/2006/relationships/hyperlink" Target="https://eur-lex.europa.eu/legal-content/IT/TXT/?uri=CELEX:02018R1726-2022062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9AE10-6454-44BB-941D-E4D3123CA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109</Pages>
  <Words>27892</Words>
  <Characters>162338</Characters>
  <Application>Microsoft Office Word</Application>
  <DocSecurity>0</DocSecurity>
  <Lines>6764</Lines>
  <Paragraphs>2679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LATERZA Angela</dc:creator>
  <cp:lastModifiedBy>LATERZA Angela</cp:lastModifiedBy>
  <cp:revision>2</cp:revision>
  <cp:lastPrinted>2004-11-04T09:41:00Z</cp:lastPrinted>
  <dcterms:created xsi:type="dcterms:W3CDTF">2022-10-07T07:18:00Z</dcterms:created>
  <dcterms:modified xsi:type="dcterms:W3CDTF">2022-10-07T07:18:00Z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1263010</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\\eiciLUXpr1\pdocep$\DocEP\TRANSFIL\IT\PR_COD_1amCom.IT(29/06/2022 10:24:01)</vt:lpwstr>
  </property>
  <property fmtid="{D5CDD505-2E9C-101B-9397-08002B2CF9AE}" pid="7" name="&lt;Type&gt;">
    <vt:lpwstr>PR</vt:lpwstr>
  </property>
  <property fmtid="{D5CDD505-2E9C-101B-9397-08002B2CF9AE}" pid="8" name="Bookout">
    <vt:lpwstr>OK - 2022/10/07 09:17</vt:lpwstr>
  </property>
  <property fmtid="{D5CDD505-2E9C-101B-9397-08002B2CF9AE}" pid="9" name="Created with">
    <vt:lpwstr>9.11.0 Build [20211103]</vt:lpwstr>
  </property>
  <property fmtid="{D5CDD505-2E9C-101B-9397-08002B2CF9AE}" pid="10" name="FooterPath">
    <vt:lpwstr>PR\1263010IT.docx</vt:lpwstr>
  </property>
  <property fmtid="{D5CDD505-2E9C-101B-9397-08002B2CF9AE}" pid="11" name="LastEdited with">
    <vt:lpwstr>9.11.0 Build [20211103]</vt:lpwstr>
  </property>
  <property fmtid="{D5CDD505-2E9C-101B-9397-08002B2CF9AE}" pid="12" name="PE number">
    <vt:lpwstr>736.469</vt:lpwstr>
  </property>
  <property fmtid="{D5CDD505-2E9C-101B-9397-08002B2CF9AE}" pid="13" name="SDLStudio">
    <vt:lpwstr/>
  </property>
</Properties>
</file>