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152A" w:rsidRPr="002B5B1B" w:rsidTr="00D27444">
        <w:trPr>
          <w:trHeight w:hRule="exact" w:val="1418"/>
        </w:trPr>
        <w:tc>
          <w:tcPr>
            <w:tcW w:w="6804" w:type="dxa"/>
            <w:shd w:val="clear" w:color="auto" w:fill="auto"/>
            <w:vAlign w:val="center"/>
          </w:tcPr>
          <w:p w:rsidR="00B13D6F" w:rsidRPr="002B5B1B" w:rsidRDefault="00D10947" w:rsidP="00D27444">
            <w:pPr>
              <w:pStyle w:val="EPName"/>
            </w:pPr>
            <w:r w:rsidRPr="002B5B1B">
              <w:t>Parlamento Europeu</w:t>
            </w:r>
          </w:p>
          <w:p w:rsidR="00B13D6F" w:rsidRPr="002B5B1B" w:rsidRDefault="00D10947" w:rsidP="004F57A0">
            <w:pPr>
              <w:pStyle w:val="EPTerm"/>
            </w:pPr>
            <w:r w:rsidRPr="002B5B1B">
              <w:t>2019-2024</w:t>
            </w:r>
          </w:p>
        </w:tc>
        <w:tc>
          <w:tcPr>
            <w:tcW w:w="2268" w:type="dxa"/>
            <w:shd w:val="clear" w:color="auto" w:fill="auto"/>
          </w:tcPr>
          <w:p w:rsidR="00B13D6F" w:rsidRPr="002B5B1B" w:rsidRDefault="00D10947" w:rsidP="00D27444">
            <w:pPr>
              <w:pStyle w:val="EPLogo"/>
            </w:pPr>
            <w:r w:rsidRPr="002B5B1B">
              <w:rPr>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0318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B5B1B" w:rsidRDefault="00461601" w:rsidP="00461601">
      <w:pPr>
        <w:pStyle w:val="LineTop"/>
      </w:pPr>
    </w:p>
    <w:p w:rsidR="00461601" w:rsidRPr="002B5B1B" w:rsidRDefault="00D10947" w:rsidP="00461601">
      <w:pPr>
        <w:pStyle w:val="EPBody"/>
      </w:pPr>
      <w:r w:rsidRPr="002B5B1B">
        <w:rPr>
          <w:rStyle w:val="HideTWBExt"/>
          <w:noProof w:val="0"/>
        </w:rPr>
        <w:t>&lt;</w:t>
      </w:r>
      <w:r w:rsidRPr="002B5B1B">
        <w:rPr>
          <w:rStyle w:val="HideTWBExt"/>
          <w:i w:val="0"/>
          <w:noProof w:val="0"/>
        </w:rPr>
        <w:t>Commission</w:t>
      </w:r>
      <w:r w:rsidRPr="002B5B1B">
        <w:rPr>
          <w:rStyle w:val="HideTWBExt"/>
          <w:noProof w:val="0"/>
        </w:rPr>
        <w:t>&gt;</w:t>
      </w:r>
      <w:r w:rsidRPr="002B5B1B">
        <w:rPr>
          <w:rStyle w:val="HideTWBInt"/>
          <w:color w:val="auto"/>
        </w:rPr>
        <w:t>{LIBE}</w:t>
      </w:r>
      <w:r w:rsidRPr="002B5B1B">
        <w:t>Comissão das Liberdades Cívicas, da Justiça e dos Assuntos Internos</w:t>
      </w:r>
      <w:r w:rsidRPr="002B5B1B">
        <w:rPr>
          <w:rStyle w:val="HideTWBExt"/>
          <w:noProof w:val="0"/>
        </w:rPr>
        <w:t>&lt;/</w:t>
      </w:r>
      <w:r w:rsidRPr="002B5B1B">
        <w:rPr>
          <w:rStyle w:val="HideTWBExt"/>
          <w:i w:val="0"/>
          <w:noProof w:val="0"/>
        </w:rPr>
        <w:t>Commission</w:t>
      </w:r>
      <w:r w:rsidRPr="002B5B1B">
        <w:rPr>
          <w:rStyle w:val="HideTWBExt"/>
          <w:noProof w:val="0"/>
        </w:rPr>
        <w:t>&gt;</w:t>
      </w:r>
    </w:p>
    <w:p w:rsidR="00461601" w:rsidRPr="002B5B1B" w:rsidRDefault="00461601" w:rsidP="00461601">
      <w:pPr>
        <w:pStyle w:val="LineBottom"/>
      </w:pPr>
    </w:p>
    <w:p w:rsidR="00793EA9" w:rsidRPr="002B5B1B" w:rsidRDefault="00D10947">
      <w:pPr>
        <w:pStyle w:val="CoverReference"/>
      </w:pPr>
      <w:r w:rsidRPr="002B5B1B">
        <w:rPr>
          <w:rStyle w:val="HideTWBExt"/>
          <w:b w:val="0"/>
          <w:noProof w:val="0"/>
        </w:rPr>
        <w:t>&lt;RefProc&gt;</w:t>
      </w:r>
      <w:r w:rsidRPr="002B5B1B">
        <w:t>2021/0410</w:t>
      </w:r>
      <w:r w:rsidRPr="002B5B1B">
        <w:rPr>
          <w:rStyle w:val="HideTWBExt"/>
          <w:b w:val="0"/>
          <w:noProof w:val="0"/>
        </w:rPr>
        <w:t>&lt;/RefProc&gt;&lt;RefTypeProc&gt;</w:t>
      </w:r>
      <w:r w:rsidRPr="002B5B1B">
        <w:t>(COD)</w:t>
      </w:r>
      <w:r w:rsidRPr="002B5B1B">
        <w:rPr>
          <w:rStyle w:val="HideTWBExt"/>
          <w:b w:val="0"/>
          <w:noProof w:val="0"/>
        </w:rPr>
        <w:t>&lt;/RefTypeProc&gt;</w:t>
      </w:r>
    </w:p>
    <w:p w:rsidR="00793EA9" w:rsidRPr="002B5B1B" w:rsidRDefault="00D10947">
      <w:pPr>
        <w:pStyle w:val="CoverDate"/>
      </w:pPr>
      <w:r w:rsidRPr="002B5B1B">
        <w:rPr>
          <w:rStyle w:val="HideTWBExt"/>
          <w:noProof w:val="0"/>
        </w:rPr>
        <w:t>&lt;Date&gt;</w:t>
      </w:r>
      <w:r w:rsidRPr="002B5B1B">
        <w:rPr>
          <w:rStyle w:val="HideTWBInt"/>
          <w:color w:val="auto"/>
        </w:rPr>
        <w:t>{19/09/2022}</w:t>
      </w:r>
      <w:r w:rsidRPr="002B5B1B">
        <w:t>19.9.2022</w:t>
      </w:r>
      <w:r w:rsidRPr="002B5B1B">
        <w:rPr>
          <w:rStyle w:val="HideTWBExt"/>
          <w:noProof w:val="0"/>
        </w:rPr>
        <w:t>&lt;/Date&gt;</w:t>
      </w:r>
    </w:p>
    <w:p w:rsidR="00793EA9" w:rsidRPr="002B5B1B" w:rsidRDefault="00D10947">
      <w:pPr>
        <w:pStyle w:val="CoverDocType"/>
      </w:pPr>
      <w:r w:rsidRPr="002B5B1B">
        <w:rPr>
          <w:rStyle w:val="HideTWBExt"/>
          <w:b w:val="0"/>
          <w:noProof w:val="0"/>
        </w:rPr>
        <w:t>&lt;RefProcLect&gt;</w:t>
      </w:r>
      <w:r w:rsidRPr="002B5B1B">
        <w:t>***I</w:t>
      </w:r>
      <w:r w:rsidRPr="002B5B1B">
        <w:rPr>
          <w:rStyle w:val="HideTWBExt"/>
          <w:b w:val="0"/>
          <w:noProof w:val="0"/>
        </w:rPr>
        <w:t>&lt;/RefProcLect&gt;</w:t>
      </w:r>
    </w:p>
    <w:p w:rsidR="00793EA9" w:rsidRPr="002B5B1B" w:rsidRDefault="00D10947">
      <w:pPr>
        <w:pStyle w:val="CoverDocType24a"/>
      </w:pPr>
      <w:r w:rsidRPr="002B5B1B">
        <w:rPr>
          <w:rStyle w:val="HideTWBExt"/>
          <w:b w:val="0"/>
          <w:noProof w:val="0"/>
        </w:rPr>
        <w:t>&lt;TitreType&gt;</w:t>
      </w:r>
      <w:r w:rsidRPr="002B5B1B">
        <w:t>PROJETO DE RELATÓRIO</w:t>
      </w:r>
      <w:r w:rsidRPr="002B5B1B">
        <w:rPr>
          <w:rStyle w:val="HideTWBExt"/>
          <w:b w:val="0"/>
          <w:noProof w:val="0"/>
        </w:rPr>
        <w:t>&lt;/TitreType&gt;</w:t>
      </w:r>
    </w:p>
    <w:p w:rsidR="00793EA9" w:rsidRPr="002B5B1B" w:rsidRDefault="00D10947">
      <w:pPr>
        <w:pStyle w:val="CoverNormal"/>
      </w:pPr>
      <w:r w:rsidRPr="002B5B1B">
        <w:rPr>
          <w:rStyle w:val="HideTWBExt"/>
          <w:noProof w:val="0"/>
        </w:rPr>
        <w:t>&lt;Titre&gt;</w:t>
      </w:r>
      <w:r w:rsidRPr="002B5B1B">
        <w:t>sobre a proposta de regulamento do Parlamento Europeu e do Conselho relativo ao intercâmbio automatizado de dados para efeitos de cooperação policial («Prüm II»), que altera as Decisões 2008</w:t>
      </w:r>
      <w:r w:rsidRPr="002B5B1B">
        <w:t>/615/JAI e 2008/616/JAI do Conselho e os Regulamentos (UE) 2018/1726, (UE) 2019/817 e (UE) 2019/818 do Parlamento Europeu e do Conselho</w:t>
      </w:r>
      <w:r w:rsidRPr="002B5B1B">
        <w:rPr>
          <w:rStyle w:val="HideTWBExt"/>
          <w:noProof w:val="0"/>
        </w:rPr>
        <w:t>&lt;/Titre&gt;</w:t>
      </w:r>
    </w:p>
    <w:p w:rsidR="00793EA9" w:rsidRPr="002B5B1B" w:rsidRDefault="00D10947">
      <w:pPr>
        <w:pStyle w:val="CoverNormal24a"/>
      </w:pPr>
      <w:r w:rsidRPr="002B5B1B">
        <w:rPr>
          <w:rStyle w:val="HideTWBExt"/>
          <w:noProof w:val="0"/>
        </w:rPr>
        <w:t>&lt;DocRef&gt;</w:t>
      </w:r>
      <w:r w:rsidRPr="002B5B1B">
        <w:t>(COM(2021)0784 – C9</w:t>
      </w:r>
      <w:r w:rsidRPr="002B5B1B">
        <w:noBreakHyphen/>
        <w:t>0455/2021 – 2021/0410(COD))</w:t>
      </w:r>
      <w:bookmarkStart w:id="0" w:name="_GoBack"/>
      <w:bookmarkEnd w:id="0"/>
      <w:r w:rsidRPr="002B5B1B">
        <w:rPr>
          <w:rStyle w:val="HideTWBExt"/>
          <w:noProof w:val="0"/>
        </w:rPr>
        <w:t>&lt;/DocRef&gt;</w:t>
      </w:r>
    </w:p>
    <w:p w:rsidR="00793EA9" w:rsidRPr="002B5B1B" w:rsidRDefault="00D10947">
      <w:pPr>
        <w:pStyle w:val="CoverNormal24a"/>
      </w:pPr>
      <w:r w:rsidRPr="002B5B1B">
        <w:rPr>
          <w:rStyle w:val="HideTWBExt"/>
          <w:noProof w:val="0"/>
        </w:rPr>
        <w:t>&lt;Commission&gt;</w:t>
      </w:r>
      <w:r w:rsidRPr="002B5B1B">
        <w:rPr>
          <w:rStyle w:val="HideTWBInt"/>
          <w:color w:val="auto"/>
        </w:rPr>
        <w:t>{LIBE}</w:t>
      </w:r>
      <w:r w:rsidRPr="002B5B1B">
        <w:t>Comissão das Liberdades Cívic</w:t>
      </w:r>
      <w:r w:rsidRPr="002B5B1B">
        <w:t>as, da Justiça e dos Assuntos Internos</w:t>
      </w:r>
      <w:r w:rsidRPr="002B5B1B">
        <w:rPr>
          <w:rStyle w:val="HideTWBExt"/>
          <w:noProof w:val="0"/>
        </w:rPr>
        <w:t>&lt;/Commission&gt;</w:t>
      </w:r>
    </w:p>
    <w:p w:rsidR="00793EA9" w:rsidRPr="002B5B1B" w:rsidRDefault="00D10947">
      <w:pPr>
        <w:pStyle w:val="CoverNormal24a"/>
      </w:pPr>
      <w:r w:rsidRPr="002B5B1B">
        <w:t xml:space="preserve">Relator de parecer: </w:t>
      </w:r>
      <w:r w:rsidRPr="002B5B1B">
        <w:rPr>
          <w:rStyle w:val="HideTWBExt"/>
          <w:noProof w:val="0"/>
        </w:rPr>
        <w:t>&lt;Depute&gt;</w:t>
      </w:r>
      <w:r w:rsidRPr="002B5B1B">
        <w:t>Paulo Rangel</w:t>
      </w:r>
      <w:r w:rsidRPr="002B5B1B">
        <w:rPr>
          <w:rStyle w:val="HideTWBExt"/>
          <w:noProof w:val="0"/>
        </w:rPr>
        <w:t>&lt;/Depute&gt;</w:t>
      </w:r>
    </w:p>
    <w:p w:rsidR="001C5B44" w:rsidRPr="002B5B1B" w:rsidRDefault="001C5B44" w:rsidP="001C5B44">
      <w:pPr>
        <w:pStyle w:val="CoverNormal"/>
      </w:pPr>
    </w:p>
    <w:p w:rsidR="004F57A0" w:rsidRPr="002B5B1B" w:rsidRDefault="00D10947" w:rsidP="00D27444">
      <w:r w:rsidRPr="002B5B1B">
        <w:br w:type="page"/>
      </w:r>
      <w:r w:rsidRPr="002B5B1B">
        <w:lastRenderedPageBreak/>
        <w:fldChar w:fldCharType="begin"/>
      </w:r>
      <w:r w:rsidRPr="002B5B1B">
        <w:instrText xml:space="preserve"> TITLE  \* MERGEFORMAT </w:instrText>
      </w:r>
      <w:r w:rsidRPr="002B5B1B">
        <w:fldChar w:fldCharType="separate"/>
      </w:r>
      <w:r>
        <w:t>PR_COD_1amCom</w:t>
      </w:r>
      <w:r w:rsidRPr="002B5B1B">
        <w:fldChar w:fldCharType="end"/>
      </w:r>
    </w:p>
    <w:p w:rsidR="004F57A0" w:rsidRPr="002B5B1B" w:rsidRDefault="004F57A0" w:rsidP="00D27444"/>
    <w:p w:rsidR="004F57A0" w:rsidRPr="002B5B1B" w:rsidRDefault="004F57A0" w:rsidP="00D2744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B152A" w:rsidRPr="002B5B1B">
        <w:tc>
          <w:tcPr>
            <w:tcW w:w="5811" w:type="dxa"/>
          </w:tcPr>
          <w:p w:rsidR="004F57A0" w:rsidRPr="002B5B1B" w:rsidRDefault="00D10947" w:rsidP="00D27444">
            <w:pPr>
              <w:pStyle w:val="Lgendetitre"/>
            </w:pPr>
            <w:r w:rsidRPr="002B5B1B">
              <w:t>Legenda dos símbolos utilizados</w:t>
            </w:r>
          </w:p>
        </w:tc>
      </w:tr>
      <w:tr w:rsidR="008B152A" w:rsidRPr="002B5B1B" w:rsidTr="00D27444">
        <w:trPr>
          <w:cantSplit/>
          <w:trHeight w:val="1807"/>
        </w:trPr>
        <w:tc>
          <w:tcPr>
            <w:tcW w:w="5811" w:type="dxa"/>
            <w:tcBorders>
              <w:bottom w:val="single" w:sz="4" w:space="0" w:color="auto"/>
            </w:tcBorders>
          </w:tcPr>
          <w:p w:rsidR="004F57A0" w:rsidRPr="002B5B1B" w:rsidRDefault="00D10947" w:rsidP="00D27444">
            <w:pPr>
              <w:pStyle w:val="Lgendesigne"/>
            </w:pPr>
            <w:r w:rsidRPr="002B5B1B">
              <w:tab/>
              <w:t>*</w:t>
            </w:r>
            <w:r w:rsidRPr="002B5B1B">
              <w:tab/>
              <w:t>Processo de consulta</w:t>
            </w:r>
          </w:p>
          <w:p w:rsidR="004F57A0" w:rsidRPr="002B5B1B" w:rsidRDefault="00D10947" w:rsidP="00D27444">
            <w:pPr>
              <w:pStyle w:val="Lgendesigne"/>
            </w:pPr>
            <w:r w:rsidRPr="002B5B1B">
              <w:tab/>
              <w:t>***</w:t>
            </w:r>
            <w:r w:rsidRPr="002B5B1B">
              <w:tab/>
              <w:t>Processo de aprovação</w:t>
            </w:r>
          </w:p>
          <w:p w:rsidR="004F57A0" w:rsidRPr="002B5B1B" w:rsidRDefault="00D10947" w:rsidP="00D27444">
            <w:pPr>
              <w:pStyle w:val="Lgendesigne"/>
            </w:pPr>
            <w:r w:rsidRPr="002B5B1B">
              <w:tab/>
              <w:t>***I</w:t>
            </w:r>
            <w:r w:rsidRPr="002B5B1B">
              <w:tab/>
              <w:t>Processo legislativo</w:t>
            </w:r>
            <w:r w:rsidRPr="002B5B1B">
              <w:t xml:space="preserve"> ordinário (primeira leitura)</w:t>
            </w:r>
          </w:p>
          <w:p w:rsidR="004F57A0" w:rsidRPr="002B5B1B" w:rsidRDefault="00D10947" w:rsidP="00D27444">
            <w:pPr>
              <w:pStyle w:val="Lgendesigne"/>
            </w:pPr>
            <w:r w:rsidRPr="002B5B1B">
              <w:tab/>
              <w:t>***II</w:t>
            </w:r>
            <w:r w:rsidRPr="002B5B1B">
              <w:tab/>
              <w:t>Processo legislativo ordinário (segunda leitura)</w:t>
            </w:r>
          </w:p>
          <w:p w:rsidR="004F57A0" w:rsidRPr="002B5B1B" w:rsidRDefault="00D10947" w:rsidP="00D27444">
            <w:pPr>
              <w:pStyle w:val="Lgendesigne"/>
            </w:pPr>
            <w:r w:rsidRPr="002B5B1B">
              <w:tab/>
              <w:t>***III</w:t>
            </w:r>
            <w:r w:rsidRPr="002B5B1B">
              <w:tab/>
              <w:t>Processo legislativo ordinário (terceira leitura)</w:t>
            </w:r>
          </w:p>
          <w:p w:rsidR="004F57A0" w:rsidRPr="002B5B1B" w:rsidRDefault="004F57A0" w:rsidP="00D27444">
            <w:pPr>
              <w:pStyle w:val="Lgendestandard"/>
            </w:pPr>
          </w:p>
          <w:p w:rsidR="004F57A0" w:rsidRPr="002B5B1B" w:rsidRDefault="00D10947" w:rsidP="00D27444">
            <w:pPr>
              <w:pStyle w:val="Lgendestandard"/>
            </w:pPr>
            <w:r w:rsidRPr="002B5B1B">
              <w:t>(O processo indicado tem por fundamento a base jurídica proposta no projeto de ato,)</w:t>
            </w:r>
          </w:p>
          <w:p w:rsidR="004F57A0" w:rsidRPr="002B5B1B" w:rsidRDefault="004F57A0" w:rsidP="00D27444">
            <w:pPr>
              <w:pStyle w:val="Lgendestandard"/>
            </w:pPr>
          </w:p>
        </w:tc>
      </w:tr>
    </w:tbl>
    <w:p w:rsidR="004F57A0" w:rsidRPr="002B5B1B" w:rsidRDefault="004F57A0" w:rsidP="00D27444"/>
    <w:p w:rsidR="004F57A0" w:rsidRPr="002B5B1B" w:rsidRDefault="004F57A0" w:rsidP="00D27444"/>
    <w:p w:rsidR="004F57A0" w:rsidRPr="002B5B1B" w:rsidRDefault="004F57A0" w:rsidP="00D27444"/>
    <w:p w:rsidR="004F57A0" w:rsidRPr="002B5B1B" w:rsidRDefault="004F57A0" w:rsidP="00D2744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B152A" w:rsidRPr="002B5B1B">
        <w:tc>
          <w:tcPr>
            <w:tcW w:w="5811" w:type="dxa"/>
          </w:tcPr>
          <w:p w:rsidR="004F57A0" w:rsidRPr="002B5B1B" w:rsidRDefault="00D10947" w:rsidP="00D27444">
            <w:pPr>
              <w:pStyle w:val="Lgendetitre"/>
            </w:pPr>
            <w:r w:rsidRPr="002B5B1B">
              <w:t xml:space="preserve">Alterações a um </w:t>
            </w:r>
            <w:r w:rsidRPr="002B5B1B">
              <w:t>projeto de ato</w:t>
            </w:r>
          </w:p>
        </w:tc>
      </w:tr>
      <w:tr w:rsidR="008B152A" w:rsidRPr="002B5B1B" w:rsidTr="00D27444">
        <w:trPr>
          <w:trHeight w:val="4496"/>
        </w:trPr>
        <w:tc>
          <w:tcPr>
            <w:tcW w:w="5811" w:type="dxa"/>
          </w:tcPr>
          <w:p w:rsidR="004F57A0" w:rsidRPr="002B5B1B" w:rsidRDefault="00D10947" w:rsidP="00D27444">
            <w:pPr>
              <w:pStyle w:val="Lgendestandard"/>
              <w:rPr>
                <w:szCs w:val="24"/>
              </w:rPr>
            </w:pPr>
            <w:r w:rsidRPr="002B5B1B">
              <w:rPr>
                <w:b/>
              </w:rPr>
              <w:t>Alterações do Parlamento apresentadas em duas colunas</w:t>
            </w:r>
          </w:p>
          <w:p w:rsidR="004F57A0" w:rsidRPr="002B5B1B" w:rsidRDefault="004F57A0" w:rsidP="00D27444">
            <w:pPr>
              <w:pStyle w:val="Lgendestandard"/>
              <w:rPr>
                <w:szCs w:val="24"/>
              </w:rPr>
            </w:pPr>
          </w:p>
          <w:p w:rsidR="004F57A0" w:rsidRPr="002B5B1B" w:rsidRDefault="00D10947" w:rsidP="00D27444">
            <w:pPr>
              <w:pStyle w:val="Lgendestandard"/>
              <w:rPr>
                <w:szCs w:val="24"/>
              </w:rPr>
            </w:pPr>
            <w:r w:rsidRPr="002B5B1B">
              <w:t xml:space="preserve">As supressões são assinaladas em </w:t>
            </w:r>
            <w:r w:rsidRPr="002B5B1B">
              <w:rPr>
                <w:b/>
                <w:i/>
              </w:rPr>
              <w:t>itálico</w:t>
            </w:r>
            <w:r w:rsidRPr="002B5B1B">
              <w:t xml:space="preserve"> e a </w:t>
            </w:r>
            <w:r w:rsidRPr="002B5B1B">
              <w:rPr>
                <w:b/>
                <w:i/>
              </w:rPr>
              <w:t>negrito</w:t>
            </w:r>
            <w:r w:rsidRPr="002B5B1B">
              <w:t xml:space="preserve"> na coluna da esquerda. As substituições são assinaladas em </w:t>
            </w:r>
            <w:r w:rsidRPr="002B5B1B">
              <w:rPr>
                <w:b/>
                <w:i/>
              </w:rPr>
              <w:t>itálico</w:t>
            </w:r>
            <w:r w:rsidRPr="002B5B1B">
              <w:t xml:space="preserve"> e a </w:t>
            </w:r>
            <w:r w:rsidRPr="002B5B1B">
              <w:rPr>
                <w:b/>
                <w:i/>
              </w:rPr>
              <w:t>negrito</w:t>
            </w:r>
            <w:r w:rsidRPr="002B5B1B">
              <w:t xml:space="preserve"> na coluna da esquerda e na coluna da direita. O texto</w:t>
            </w:r>
            <w:r w:rsidRPr="002B5B1B">
              <w:t xml:space="preserve"> novo é assinalado em </w:t>
            </w:r>
            <w:r w:rsidRPr="002B5B1B">
              <w:rPr>
                <w:b/>
                <w:i/>
              </w:rPr>
              <w:t>itálico</w:t>
            </w:r>
            <w:r w:rsidRPr="002B5B1B">
              <w:t xml:space="preserve"> e a </w:t>
            </w:r>
            <w:r w:rsidRPr="002B5B1B">
              <w:rPr>
                <w:b/>
                <w:i/>
              </w:rPr>
              <w:t>negrito</w:t>
            </w:r>
            <w:r w:rsidRPr="002B5B1B">
              <w:t xml:space="preserve"> na coluna da direita.</w:t>
            </w:r>
          </w:p>
          <w:p w:rsidR="004F57A0" w:rsidRPr="002B5B1B" w:rsidRDefault="004F57A0" w:rsidP="00D27444">
            <w:pPr>
              <w:pStyle w:val="Lgendestandard"/>
              <w:rPr>
                <w:szCs w:val="24"/>
              </w:rPr>
            </w:pPr>
          </w:p>
          <w:p w:rsidR="004F57A0" w:rsidRPr="002B5B1B" w:rsidRDefault="00D10947" w:rsidP="00D27444">
            <w:pPr>
              <w:pStyle w:val="Lgendestandard"/>
              <w:rPr>
                <w:szCs w:val="24"/>
              </w:rPr>
            </w:pPr>
            <w:r w:rsidRPr="002B5B1B">
              <w:t xml:space="preserve">A primeira e a segunda linhas do cabeçalho de cada alteração identificam o passo relevante do projeto de ato em apreço. Se uma alteração disser respeito a um ato já existente, que o projeto </w:t>
            </w:r>
            <w:r w:rsidRPr="002B5B1B">
              <w:t>de ato pretenda modificar, o cabeçalho comporta ainda uma terceira e uma quarta linhas, que identificam, respetivamente, o ato existente e a disposição visada do ato em causa.</w:t>
            </w:r>
          </w:p>
          <w:p w:rsidR="004F57A0" w:rsidRPr="002B5B1B" w:rsidRDefault="004F57A0" w:rsidP="00D27444">
            <w:pPr>
              <w:pStyle w:val="Lgendestandard"/>
              <w:rPr>
                <w:szCs w:val="24"/>
              </w:rPr>
            </w:pPr>
          </w:p>
          <w:p w:rsidR="004F57A0" w:rsidRPr="002B5B1B" w:rsidRDefault="00D10947" w:rsidP="00D27444">
            <w:pPr>
              <w:pStyle w:val="Lgendestandard"/>
              <w:rPr>
                <w:b/>
                <w:szCs w:val="24"/>
              </w:rPr>
            </w:pPr>
            <w:r w:rsidRPr="002B5B1B">
              <w:rPr>
                <w:b/>
              </w:rPr>
              <w:t>Alterações do Parlamento apresentadas sob a forma de texto consolidado</w:t>
            </w:r>
          </w:p>
          <w:p w:rsidR="004F57A0" w:rsidRPr="002B5B1B" w:rsidRDefault="004F57A0" w:rsidP="00D27444">
            <w:pPr>
              <w:pStyle w:val="Lgendestandard"/>
              <w:rPr>
                <w:szCs w:val="24"/>
              </w:rPr>
            </w:pPr>
          </w:p>
          <w:p w:rsidR="004F57A0" w:rsidRPr="002B5B1B" w:rsidRDefault="00D10947" w:rsidP="00D27444">
            <w:pPr>
              <w:pStyle w:val="Lgendestandard"/>
              <w:rPr>
                <w:szCs w:val="24"/>
              </w:rPr>
            </w:pPr>
            <w:r w:rsidRPr="002B5B1B">
              <w:t>Os trec</w:t>
            </w:r>
            <w:r w:rsidRPr="002B5B1B">
              <w:t xml:space="preserve">hos novos são assinalados em </w:t>
            </w:r>
            <w:r w:rsidRPr="002B5B1B">
              <w:rPr>
                <w:b/>
                <w:i/>
              </w:rPr>
              <w:t>itálico</w:t>
            </w:r>
            <w:r w:rsidRPr="002B5B1B">
              <w:t xml:space="preserve"> e a </w:t>
            </w:r>
            <w:r w:rsidRPr="002B5B1B">
              <w:rPr>
                <w:b/>
                <w:i/>
              </w:rPr>
              <w:t>negrito</w:t>
            </w:r>
            <w:r w:rsidRPr="002B5B1B">
              <w:t xml:space="preserve">. Os trechos suprimidos são assinalados pelo símbolo ▌ou rasurados. As substituições são assinaladas formatando o texto novo em </w:t>
            </w:r>
            <w:r w:rsidRPr="002B5B1B">
              <w:rPr>
                <w:b/>
                <w:i/>
              </w:rPr>
              <w:t>itálico</w:t>
            </w:r>
            <w:r w:rsidRPr="002B5B1B">
              <w:t xml:space="preserve"> e a </w:t>
            </w:r>
            <w:r w:rsidRPr="002B5B1B">
              <w:rPr>
                <w:b/>
                <w:i/>
              </w:rPr>
              <w:t>negrito</w:t>
            </w:r>
            <w:r w:rsidRPr="002B5B1B">
              <w:t xml:space="preserve"> e suprimindo, ou rasurando, o texto substituído. </w:t>
            </w:r>
          </w:p>
          <w:p w:rsidR="004F57A0" w:rsidRPr="002B5B1B" w:rsidRDefault="00D10947" w:rsidP="00D27444">
            <w:pPr>
              <w:pStyle w:val="Lgendestandard"/>
            </w:pPr>
            <w:r w:rsidRPr="002B5B1B">
              <w:t>Exceção: a</w:t>
            </w:r>
            <w:r w:rsidRPr="002B5B1B">
              <w:t>s modificações de natureza estritamente técnica introduzidas pelos serviços com vista à elaboração do texto final não são assinaladas.</w:t>
            </w:r>
          </w:p>
          <w:p w:rsidR="004F57A0" w:rsidRPr="002B5B1B" w:rsidRDefault="004F57A0" w:rsidP="00D27444">
            <w:pPr>
              <w:pStyle w:val="Lgendestandard"/>
            </w:pPr>
          </w:p>
        </w:tc>
      </w:tr>
    </w:tbl>
    <w:p w:rsidR="004F57A0" w:rsidRPr="002B5B1B" w:rsidRDefault="004F57A0" w:rsidP="00D27444"/>
    <w:p w:rsidR="00793EA9" w:rsidRPr="002B5B1B" w:rsidRDefault="00793EA9" w:rsidP="00012351">
      <w:pPr>
        <w:widowControl/>
        <w:tabs>
          <w:tab w:val="center" w:pos="4677"/>
        </w:tabs>
      </w:pPr>
    </w:p>
    <w:p w:rsidR="00793EA9" w:rsidRPr="002B5B1B" w:rsidRDefault="00D10947">
      <w:pPr>
        <w:pStyle w:val="TOCHeading"/>
      </w:pPr>
      <w:r w:rsidRPr="002B5B1B">
        <w:br w:type="page"/>
      </w:r>
      <w:r w:rsidRPr="002B5B1B">
        <w:lastRenderedPageBreak/>
        <w:t>ÍNDICE</w:t>
      </w:r>
    </w:p>
    <w:p w:rsidR="00793EA9" w:rsidRPr="002B5B1B" w:rsidRDefault="00D10947">
      <w:pPr>
        <w:pStyle w:val="TOCPage"/>
      </w:pPr>
      <w:r w:rsidRPr="002B5B1B">
        <w:t>Página</w:t>
      </w:r>
    </w:p>
    <w:p w:rsidR="00D10947" w:rsidRDefault="00D10947">
      <w:pPr>
        <w:pStyle w:val="TOC1"/>
        <w:tabs>
          <w:tab w:val="right" w:leader="dot" w:pos="9060"/>
        </w:tabs>
        <w:rPr>
          <w:rFonts w:asciiTheme="minorHAnsi" w:eastAsiaTheme="minorEastAsia" w:hAnsiTheme="minorHAnsi" w:cstheme="minorBidi"/>
          <w:noProof/>
          <w:sz w:val="22"/>
          <w:szCs w:val="22"/>
          <w:lang w:eastAsia="pt-PT"/>
        </w:rPr>
      </w:pPr>
      <w:r w:rsidRPr="002B5B1B">
        <w:rPr>
          <w:b/>
        </w:rPr>
        <w:fldChar w:fldCharType="begin"/>
      </w:r>
      <w:r w:rsidRPr="002B5B1B">
        <w:rPr>
          <w:b/>
        </w:rPr>
        <w:instrText xml:space="preserve"> TOC \t "PageHeading</w:instrText>
      </w:r>
      <w:r>
        <w:rPr>
          <w:b/>
        </w:rPr>
        <w:instrText>;</w:instrText>
      </w:r>
      <w:r w:rsidRPr="002B5B1B">
        <w:rPr>
          <w:b/>
        </w:rPr>
        <w:instrText xml:space="preserve">1" </w:instrText>
      </w:r>
      <w:r w:rsidRPr="002B5B1B">
        <w:rPr>
          <w:b/>
        </w:rPr>
        <w:fldChar w:fldCharType="separate"/>
      </w:r>
      <w:r>
        <w:rPr>
          <w:noProof/>
        </w:rPr>
        <w:t>PROJETO DE RESOLUÇÃO LEGISLATIVA DO PARLAMENTO EUROPEU</w:t>
      </w:r>
      <w:r>
        <w:rPr>
          <w:noProof/>
        </w:rPr>
        <w:tab/>
      </w:r>
      <w:r>
        <w:rPr>
          <w:noProof/>
        </w:rPr>
        <w:fldChar w:fldCharType="begin"/>
      </w:r>
      <w:r>
        <w:rPr>
          <w:noProof/>
        </w:rPr>
        <w:instrText xml:space="preserve"> PAGEREF _Toc115965601 \h </w:instrText>
      </w:r>
      <w:r>
        <w:rPr>
          <w:noProof/>
        </w:rPr>
      </w:r>
      <w:r>
        <w:rPr>
          <w:noProof/>
        </w:rPr>
        <w:fldChar w:fldCharType="separate"/>
      </w:r>
      <w:r>
        <w:rPr>
          <w:noProof/>
        </w:rPr>
        <w:t>5</w:t>
      </w:r>
      <w:r>
        <w:rPr>
          <w:noProof/>
        </w:rPr>
        <w:fldChar w:fldCharType="end"/>
      </w:r>
    </w:p>
    <w:p w:rsidR="002346B0" w:rsidRPr="002B5B1B" w:rsidRDefault="00D10947" w:rsidP="00C23324">
      <w:r w:rsidRPr="002B5B1B">
        <w:rPr>
          <w:b/>
        </w:rPr>
        <w:fldChar w:fldCharType="end"/>
      </w:r>
    </w:p>
    <w:p w:rsidR="00793EA9" w:rsidRPr="002B5B1B" w:rsidRDefault="00D10947">
      <w:pPr>
        <w:pStyle w:val="PageHeading"/>
      </w:pPr>
      <w:r w:rsidRPr="002B5B1B">
        <w:br w:type="page"/>
      </w:r>
      <w:r w:rsidRPr="002B5B1B">
        <w:lastRenderedPageBreak/>
        <w:br w:type="page"/>
      </w:r>
      <w:bookmarkStart w:id="1" w:name="_Toc115965601"/>
      <w:r w:rsidRPr="002B5B1B">
        <w:lastRenderedPageBreak/>
        <w:t>PROJETO DE RESOLUÇÃO LEGISLATIVA DO PARLAMENTO EUROPEU</w:t>
      </w:r>
      <w:bookmarkEnd w:id="1"/>
    </w:p>
    <w:p w:rsidR="00793EA9" w:rsidRPr="002B5B1B" w:rsidRDefault="00D10947">
      <w:pPr>
        <w:pStyle w:val="NormalBold"/>
      </w:pPr>
      <w:r w:rsidRPr="002B5B1B">
        <w:t>sobre a proposta de regulamento do Parlamento Europeu e do Conselho relativo ao intercâmbio automatizado de dados para efeitos d</w:t>
      </w:r>
      <w:r w:rsidRPr="002B5B1B">
        <w:t>e cooperação policial («Prüm II»), que altera as Decisões 2008/615/JAI e 2008/616/JAI do Conselho e os Regulamentos (UE) 2018/1726, (UE) 2019/817 e (UE) 2019/818 do Parlamento Europeu e do Conselho</w:t>
      </w:r>
    </w:p>
    <w:p w:rsidR="00793EA9" w:rsidRPr="002B5B1B" w:rsidRDefault="00D10947">
      <w:pPr>
        <w:pStyle w:val="NormalBold12a"/>
      </w:pPr>
      <w:r w:rsidRPr="002B5B1B">
        <w:t>(COM(2021)0784 – C9</w:t>
      </w:r>
      <w:r w:rsidRPr="002B5B1B">
        <w:noBreakHyphen/>
        <w:t>0455/2021 – 2021/0410(COD))</w:t>
      </w:r>
    </w:p>
    <w:p w:rsidR="00793EA9" w:rsidRPr="002B5B1B" w:rsidRDefault="00D10947" w:rsidP="00A910C9">
      <w:pPr>
        <w:pStyle w:val="NormalBold"/>
      </w:pPr>
      <w:r w:rsidRPr="002B5B1B">
        <w:t xml:space="preserve">(Processo </w:t>
      </w:r>
      <w:r w:rsidRPr="002B5B1B">
        <w:t>legislativo ordinário: primeira leitura)</w:t>
      </w:r>
    </w:p>
    <w:p w:rsidR="00793EA9" w:rsidRPr="002B5B1B" w:rsidRDefault="00D10947" w:rsidP="00A910C9">
      <w:pPr>
        <w:pStyle w:val="EPComma"/>
      </w:pPr>
      <w:r w:rsidRPr="002B5B1B">
        <w:rPr>
          <w:i/>
        </w:rPr>
        <w:t>O Parlamento Europeu</w:t>
      </w:r>
      <w:r w:rsidRPr="002B5B1B">
        <w:t>,</w:t>
      </w:r>
    </w:p>
    <w:p w:rsidR="00793EA9" w:rsidRPr="002B5B1B" w:rsidRDefault="00D10947">
      <w:pPr>
        <w:pStyle w:val="NormalHanging12a"/>
      </w:pPr>
      <w:r w:rsidRPr="002B5B1B">
        <w:t>–</w:t>
      </w:r>
      <w:r w:rsidRPr="002B5B1B">
        <w:tab/>
        <w:t>Tendo em conta a proposta da Comissão ao Parlamento Europeu e ao Conselho (COM(2021)0784),</w:t>
      </w:r>
    </w:p>
    <w:p w:rsidR="00793EA9" w:rsidRPr="002B5B1B" w:rsidRDefault="00D10947">
      <w:pPr>
        <w:pStyle w:val="NormalHanging12a"/>
      </w:pPr>
      <w:r w:rsidRPr="002B5B1B">
        <w:t>–</w:t>
      </w:r>
      <w:r w:rsidRPr="002B5B1B">
        <w:tab/>
        <w:t>Tendo em conta o artigo 294.º, n.º 2, o artigo 16.º, n.º 2, o artigo 87.º, n.º 2, alínea a), e o a</w:t>
      </w:r>
      <w:r w:rsidRPr="002B5B1B">
        <w:t>rtigo 88.º, n.º 2, do Tratado sobre o Funcionamento da União Europeia, nos termos dos quais a proposta lhe foi apresentada pela Comissão (C9</w:t>
      </w:r>
      <w:r w:rsidRPr="002B5B1B">
        <w:noBreakHyphen/>
        <w:t>0455/2021),</w:t>
      </w:r>
    </w:p>
    <w:p w:rsidR="00A26F46" w:rsidRPr="002B5B1B" w:rsidRDefault="00D10947" w:rsidP="00A26F46">
      <w:pPr>
        <w:pStyle w:val="NormalHanging12a"/>
      </w:pPr>
      <w:r w:rsidRPr="002B5B1B">
        <w:t>–</w:t>
      </w:r>
      <w:r w:rsidRPr="002B5B1B">
        <w:tab/>
        <w:t>Tendo em conta o artigo 294.º, n.º 3, do Tratado sobre o Funcionamento da União Europeia,</w:t>
      </w:r>
    </w:p>
    <w:p w:rsidR="00793EA9" w:rsidRPr="002B5B1B" w:rsidRDefault="00D10947">
      <w:pPr>
        <w:pStyle w:val="NormalHanging12a"/>
      </w:pPr>
      <w:r w:rsidRPr="002B5B1B">
        <w:t>–</w:t>
      </w:r>
      <w:r w:rsidRPr="002B5B1B">
        <w:tab/>
        <w:t xml:space="preserve">Tendo em </w:t>
      </w:r>
      <w:r w:rsidRPr="002B5B1B">
        <w:t>conta o artigo 59.º do seu Regimento,</w:t>
      </w:r>
    </w:p>
    <w:p w:rsidR="006A2F5D" w:rsidRPr="002B5B1B" w:rsidRDefault="00D10947" w:rsidP="006A2F5D">
      <w:pPr>
        <w:pStyle w:val="NormalHanging12a"/>
      </w:pPr>
      <w:r w:rsidRPr="002B5B1B">
        <w:t>–</w:t>
      </w:r>
      <w:r w:rsidRPr="002B5B1B">
        <w:tab/>
        <w:t>Tendo em conta o relatório da Comissão das Liberdades Cívicas, da Justiça e dos Assuntos Internos (A9</w:t>
      </w:r>
      <w:r w:rsidRPr="002B5B1B">
        <w:noBreakHyphen/>
        <w:t>0000/2022),</w:t>
      </w:r>
    </w:p>
    <w:p w:rsidR="009F6C2F" w:rsidRPr="002B5B1B" w:rsidRDefault="00D10947" w:rsidP="009F6C2F">
      <w:pPr>
        <w:pStyle w:val="NormalHanging12a"/>
      </w:pPr>
      <w:r w:rsidRPr="002B5B1B">
        <w:t>1.</w:t>
      </w:r>
      <w:r w:rsidRPr="002B5B1B">
        <w:tab/>
        <w:t>Aprova a posição em primeira leitura que se segue;</w:t>
      </w:r>
    </w:p>
    <w:p w:rsidR="009F6C2F" w:rsidRPr="002B5B1B" w:rsidRDefault="00D10947" w:rsidP="009F6C2F">
      <w:pPr>
        <w:pStyle w:val="NormalHanging12a"/>
      </w:pPr>
      <w:r w:rsidRPr="002B5B1B">
        <w:t>2.</w:t>
      </w:r>
      <w:r w:rsidRPr="002B5B1B">
        <w:tab/>
        <w:t>Requer à Comissão que lhe submeta de novo a s</w:t>
      </w:r>
      <w:r w:rsidRPr="002B5B1B">
        <w:t>ua proposta, se a substituir, se a alterar substancialmente ou se pretender alterá-la substancialmente;</w:t>
      </w:r>
    </w:p>
    <w:p w:rsidR="009F6C2F" w:rsidRPr="002B5B1B" w:rsidRDefault="00D10947" w:rsidP="009F6C2F">
      <w:pPr>
        <w:pStyle w:val="NormalHanging12a"/>
      </w:pPr>
      <w:r w:rsidRPr="002B5B1B">
        <w:t>3.</w:t>
      </w:r>
      <w:r w:rsidRPr="002B5B1B">
        <w:tab/>
        <w:t>Encarrega o seu Presidente de transmitir a posição do Parlamento ao Conselho e à Comissão, bem como aos parlamentos nacionais.</w:t>
      </w:r>
    </w:p>
    <w:p w:rsidR="00D30DE2" w:rsidRPr="002B5B1B" w:rsidRDefault="00D30DE2" w:rsidP="00D30DE2"/>
    <w:p w:rsidR="002669B6" w:rsidRPr="002B5B1B" w:rsidRDefault="00D10947" w:rsidP="00212B84">
      <w:pPr>
        <w:pStyle w:val="AmNumberTabs"/>
        <w:keepNext/>
      </w:pPr>
      <w:r w:rsidRPr="002B5B1B">
        <w:rPr>
          <w:rStyle w:val="HideTWBExt"/>
          <w:b w:val="0"/>
          <w:noProof w:val="0"/>
        </w:rPr>
        <w:t>&lt;RepeatBlock-Amend&gt;</w:t>
      </w:r>
      <w:bookmarkStart w:id="2" w:name="restart"/>
      <w:r w:rsidRPr="002B5B1B">
        <w:rPr>
          <w:rStyle w:val="HideTWBExt"/>
          <w:b w:val="0"/>
          <w:noProof w:val="0"/>
        </w:rPr>
        <w:t>&lt;A</w:t>
      </w:r>
      <w:r w:rsidRPr="002B5B1B">
        <w:rPr>
          <w:rStyle w:val="HideTWBExt"/>
          <w:b w:val="0"/>
          <w:noProof w:val="0"/>
        </w:rPr>
        <w:t>mend&gt;</w:t>
      </w:r>
      <w:r w:rsidRPr="002B5B1B">
        <w:t>Alteração</w:t>
      </w:r>
      <w:r w:rsidRPr="002B5B1B">
        <w:tab/>
      </w:r>
      <w:r w:rsidRPr="002B5B1B">
        <w:tab/>
      </w:r>
      <w:r w:rsidRPr="002B5B1B">
        <w:rPr>
          <w:rStyle w:val="HideTWBExt"/>
          <w:b w:val="0"/>
          <w:noProof w:val="0"/>
        </w:rPr>
        <w:t>&lt;NumAm&gt;</w:t>
      </w:r>
      <w:r w:rsidRPr="002B5B1B">
        <w:t>1</w:t>
      </w:r>
      <w:r w:rsidRPr="002B5B1B">
        <w:rPr>
          <w:rStyle w:val="HideTWBExt"/>
          <w:b w:val="0"/>
          <w:noProof w:val="0"/>
        </w:rPr>
        <w:t>&lt;/NumAm&gt;</w:t>
      </w:r>
    </w:p>
    <w:bookmarkEnd w:id="2"/>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Citação 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Tendo em conta o parecer do Comité Económico e Social Europeu</w:t>
            </w:r>
            <w:r w:rsidRPr="002B5B1B">
              <w:rPr>
                <w:vertAlign w:val="superscript"/>
              </w:rPr>
              <w:t>28</w:t>
            </w:r>
            <w:r w:rsidRPr="002B5B1B">
              <w:t>,</w:t>
            </w:r>
          </w:p>
        </w:tc>
        <w:tc>
          <w:tcPr>
            <w:tcW w:w="4876" w:type="dxa"/>
          </w:tcPr>
          <w:p w:rsidR="003F5BF1" w:rsidRPr="002B5B1B" w:rsidRDefault="00D10947" w:rsidP="00D27444">
            <w:pPr>
              <w:pStyle w:val="Normal6"/>
              <w:rPr>
                <w:szCs w:val="24"/>
              </w:rPr>
            </w:pPr>
            <w:r w:rsidRPr="002B5B1B">
              <w:t>Tendo em conta o parecer do Comité Económico e Social</w:t>
            </w:r>
            <w:r w:rsidRPr="002B5B1B">
              <w:t xml:space="preserve"> Europeu</w:t>
            </w:r>
            <w:r w:rsidRPr="002B5B1B">
              <w:rPr>
                <w:vertAlign w:val="superscript"/>
              </w:rPr>
              <w:t>28</w:t>
            </w:r>
            <w:r w:rsidRPr="002B5B1B">
              <w:t>,</w:t>
            </w:r>
          </w:p>
        </w:tc>
      </w:tr>
      <w:tr w:rsidR="008B152A" w:rsidRPr="002B5B1B" w:rsidTr="00D27444">
        <w:trPr>
          <w:jc w:val="center"/>
        </w:trPr>
        <w:tc>
          <w:tcPr>
            <w:tcW w:w="4876" w:type="dxa"/>
          </w:tcPr>
          <w:p w:rsidR="003F5BF1" w:rsidRPr="002B5B1B" w:rsidRDefault="00D10947" w:rsidP="00D27444">
            <w:pPr>
              <w:pStyle w:val="Normal6"/>
            </w:pPr>
            <w:r w:rsidRPr="002B5B1B">
              <w:lastRenderedPageBreak/>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28</w:t>
            </w:r>
            <w:r w:rsidRPr="002B5B1B">
              <w:t xml:space="preserve"> JO C de , p. .</w:t>
            </w:r>
          </w:p>
        </w:tc>
        <w:tc>
          <w:tcPr>
            <w:tcW w:w="4876" w:type="dxa"/>
          </w:tcPr>
          <w:p w:rsidR="003F5BF1" w:rsidRPr="002B5B1B" w:rsidRDefault="00D10947" w:rsidP="007F433A">
            <w:pPr>
              <w:pStyle w:val="Normal6"/>
              <w:rPr>
                <w:szCs w:val="24"/>
              </w:rPr>
            </w:pPr>
            <w:r w:rsidRPr="002B5B1B">
              <w:rPr>
                <w:vertAlign w:val="superscript"/>
              </w:rPr>
              <w:t>28</w:t>
            </w:r>
            <w:r w:rsidRPr="002B5B1B">
              <w:t xml:space="preserve"> JO C </w:t>
            </w:r>
            <w:r w:rsidRPr="002B5B1B">
              <w:rPr>
                <w:b/>
                <w:i/>
              </w:rPr>
              <w:t>323</w:t>
            </w:r>
            <w:r w:rsidRPr="002B5B1B">
              <w:t xml:space="preserve"> de </w:t>
            </w:r>
            <w:r w:rsidRPr="002B5B1B">
              <w:rPr>
                <w:b/>
                <w:i/>
              </w:rPr>
              <w:t>26.8.2022</w:t>
            </w:r>
            <w:r w:rsidRPr="002B5B1B">
              <w:t>,</w:t>
            </w:r>
            <w:r w:rsidRPr="002B5B1B">
              <w:rPr>
                <w:b/>
                <w:i/>
              </w:rPr>
              <w:t xml:space="preserve"> </w:t>
            </w:r>
            <w:r w:rsidRPr="002B5B1B">
              <w:t xml:space="preserve">p. </w:t>
            </w:r>
            <w:r w:rsidRPr="002B5B1B">
              <w:rPr>
                <w:b/>
                <w:i/>
              </w:rPr>
              <w:t>69</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Citação 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Tendo em conta o parecer do Comité das Regiões</w:t>
            </w:r>
            <w:r w:rsidRPr="002B5B1B">
              <w:rPr>
                <w:b/>
                <w:i/>
                <w:vertAlign w:val="superscript"/>
              </w:rPr>
              <w:t>29</w:t>
            </w:r>
            <w:r w:rsidRPr="002B5B1B">
              <w:rPr>
                <w:b/>
                <w:i/>
              </w:rPr>
              <w:t>,</w:t>
            </w:r>
          </w:p>
        </w:tc>
        <w:tc>
          <w:tcPr>
            <w:tcW w:w="4876" w:type="dxa"/>
          </w:tcPr>
          <w:p w:rsidR="003F5BF1" w:rsidRPr="002B5B1B" w:rsidRDefault="00D10947" w:rsidP="00D27444">
            <w:pPr>
              <w:pStyle w:val="Normal6"/>
              <w:rPr>
                <w:szCs w:val="24"/>
              </w:rPr>
            </w:pPr>
            <w:r w:rsidRPr="002B5B1B">
              <w:rPr>
                <w:b/>
                <w:i/>
              </w:rPr>
              <w:t>Suprimido</w:t>
            </w:r>
          </w:p>
        </w:tc>
      </w:tr>
      <w:tr w:rsidR="008B152A" w:rsidRPr="002B5B1B" w:rsidTr="00D27444">
        <w:trPr>
          <w:jc w:val="center"/>
        </w:trPr>
        <w:tc>
          <w:tcPr>
            <w:tcW w:w="4876" w:type="dxa"/>
          </w:tcPr>
          <w:p w:rsidR="003F5BF1" w:rsidRPr="002B5B1B" w:rsidRDefault="00D10947" w:rsidP="00D27444">
            <w:pPr>
              <w:pStyle w:val="Normal6"/>
            </w:pPr>
            <w:r w:rsidRPr="002B5B1B">
              <w:rPr>
                <w:b/>
                <w:i/>
              </w:rPr>
              <w:t>__________________</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vertAlign w:val="superscript"/>
              </w:rPr>
              <w:t>29</w:t>
            </w:r>
            <w:r w:rsidRPr="002B5B1B">
              <w:t xml:space="preserve"> </w:t>
            </w:r>
            <w:r w:rsidRPr="002B5B1B">
              <w:rPr>
                <w:b/>
                <w:i/>
              </w:rPr>
              <w:t>JO C de , p. .</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Por conseguinte, o objetivo do presente regulamento consiste em melhorar, agilizar e facilitar o intercâmbio de informações </w:t>
            </w:r>
            <w:r w:rsidRPr="002B5B1B">
              <w:rPr>
                <w:b/>
                <w:i/>
              </w:rPr>
              <w:t>criminais</w:t>
            </w:r>
            <w:r w:rsidRPr="002B5B1B">
              <w:t xml:space="preserve"> entre as autoridades de aplicação da lei dos Estados-</w:t>
            </w:r>
            <w:r w:rsidRPr="002B5B1B">
              <w:t>Membros, mas também com a Agência da União Europeia para a Cooperação Policial, criada pelo Regulamento (UE) 2016/794 do Parlamento Europeu e do Conselho</w:t>
            </w:r>
            <w:r w:rsidRPr="002B5B1B">
              <w:rPr>
                <w:vertAlign w:val="superscript"/>
              </w:rPr>
              <w:t>30</w:t>
            </w:r>
            <w:r w:rsidRPr="002B5B1B">
              <w:t xml:space="preserve"> (Europol), enquanto a plataforma de informações criminais da União.</w:t>
            </w:r>
          </w:p>
        </w:tc>
        <w:tc>
          <w:tcPr>
            <w:tcW w:w="4876" w:type="dxa"/>
          </w:tcPr>
          <w:p w:rsidR="003F5BF1" w:rsidRPr="002B5B1B" w:rsidRDefault="00D10947" w:rsidP="007F433A">
            <w:pPr>
              <w:pStyle w:val="Normal6"/>
              <w:rPr>
                <w:szCs w:val="24"/>
              </w:rPr>
            </w:pPr>
            <w:r w:rsidRPr="002B5B1B">
              <w:t>(3)</w:t>
            </w:r>
            <w:r w:rsidRPr="002B5B1B">
              <w:tab/>
            </w:r>
            <w:r w:rsidRPr="002B5B1B">
              <w:t xml:space="preserve">Por conseguinte, o objetivo do presente regulamento consiste em melhorar, agilizar e facilitar o intercâmbio de informações </w:t>
            </w:r>
            <w:r w:rsidRPr="002B5B1B">
              <w:rPr>
                <w:b/>
                <w:i/>
              </w:rPr>
              <w:t>não só</w:t>
            </w:r>
            <w:r w:rsidRPr="002B5B1B">
              <w:t xml:space="preserve"> entre as autoridades de aplicação da lei </w:t>
            </w:r>
            <w:r w:rsidRPr="002B5B1B">
              <w:rPr>
                <w:b/>
                <w:i/>
              </w:rPr>
              <w:t>competentes</w:t>
            </w:r>
            <w:r w:rsidRPr="002B5B1B">
              <w:t xml:space="preserve"> dos Estados-Membros </w:t>
            </w:r>
            <w:r w:rsidRPr="002B5B1B">
              <w:rPr>
                <w:b/>
                <w:i/>
              </w:rPr>
              <w:t>para efeitos de prevenção ou deteção de infrações pe</w:t>
            </w:r>
            <w:r w:rsidRPr="002B5B1B">
              <w:rPr>
                <w:b/>
                <w:i/>
              </w:rPr>
              <w:t>nais e das investigações nessa matéria</w:t>
            </w:r>
            <w:r w:rsidRPr="002B5B1B">
              <w:t>, mas também com a Agência da União Europeia para a Cooperação Policial, criada pelo Regulamento (UE) 2016/794 do Parlamento Europeu e do Conselho</w:t>
            </w:r>
            <w:r w:rsidRPr="002B5B1B">
              <w:rPr>
                <w:vertAlign w:val="superscript"/>
              </w:rPr>
              <w:t>30</w:t>
            </w:r>
            <w:r w:rsidRPr="002B5B1B">
              <w:t xml:space="preserve"> (Europol), enquanto a plataforma de informações criminais da União. </w:t>
            </w:r>
            <w:r w:rsidRPr="002B5B1B">
              <w:rPr>
                <w:b/>
                <w:i/>
              </w:rPr>
              <w:t>O</w:t>
            </w:r>
            <w:r w:rsidRPr="002B5B1B">
              <w:rPr>
                <w:b/>
                <w:i/>
              </w:rPr>
              <w:t xml:space="preserve"> presente regulamento tem igualmente por objetivo permitir que essas autoridades competentes efetuem buscas de pessoas </w:t>
            </w:r>
            <w:r w:rsidRPr="002B5B1B">
              <w:rPr>
                <w:b/>
                <w:i/>
              </w:rPr>
              <w:lastRenderedPageBreak/>
              <w:t>desaparecidas e de restos mortais humanos não identificados.</w:t>
            </w:r>
          </w:p>
        </w:tc>
      </w:tr>
      <w:tr w:rsidR="008B152A" w:rsidRPr="002B5B1B" w:rsidTr="00D27444">
        <w:trPr>
          <w:jc w:val="center"/>
        </w:trPr>
        <w:tc>
          <w:tcPr>
            <w:tcW w:w="4876" w:type="dxa"/>
          </w:tcPr>
          <w:p w:rsidR="003F5BF1" w:rsidRPr="002B5B1B" w:rsidRDefault="00D10947" w:rsidP="00D27444">
            <w:pPr>
              <w:pStyle w:val="Normal6"/>
            </w:pPr>
            <w:r w:rsidRPr="002B5B1B">
              <w:lastRenderedPageBreak/>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30</w:t>
            </w:r>
            <w:r w:rsidRPr="002B5B1B">
              <w:t xml:space="preserve"> Regulamento (UE) 2016/794 do Parlamento Europeu e do Conselho, de 11 de maio de 2016, que cria a Agência da União Europeia para a Cooperação Policial (Europol) e que substitui e revoga as Decisões 2009/371/JAI, 2009/934/JAI, 2009/935/JAI, 2009/936/JAI e 2</w:t>
            </w:r>
            <w:r w:rsidRPr="002B5B1B">
              <w:t>009/968/JAI do Conselho (JO L 135 de 24.5.2016, p. 53).</w:t>
            </w:r>
          </w:p>
        </w:tc>
        <w:tc>
          <w:tcPr>
            <w:tcW w:w="4876" w:type="dxa"/>
          </w:tcPr>
          <w:p w:rsidR="003F5BF1" w:rsidRPr="002B5B1B" w:rsidRDefault="00D10947" w:rsidP="00D27444">
            <w:pPr>
              <w:pStyle w:val="Normal6"/>
              <w:rPr>
                <w:szCs w:val="24"/>
              </w:rPr>
            </w:pPr>
            <w:r w:rsidRPr="002B5B1B">
              <w:rPr>
                <w:vertAlign w:val="superscript"/>
              </w:rPr>
              <w:t>30</w:t>
            </w:r>
            <w:r w:rsidRPr="002B5B1B">
              <w:t xml:space="preserve"> Regulamento (UE) 2016/794 do Parlamento Europeu e do Conselho, de 11 de maio de 2016, que cria a Agência da União Europeia para a Cooperação Policial (Europol) e que substitui e revoga as Decisões </w:t>
            </w:r>
            <w:r w:rsidRPr="002B5B1B">
              <w:t>2009/371/JAI, 2009/934/JAI, 2009/935/JAI, 2009/936/JAI e 2009/968/JAI do Conselho (JO L 135 de 24.5.2016, p. 53).</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w:t>
      </w:r>
      <w:r w:rsidRPr="002B5B1B">
        <w:t>o 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(4)</w:t>
            </w:r>
            <w:r w:rsidRPr="002B5B1B">
              <w:tab/>
              <w:t>As Decisões 2008/615/JAI</w:t>
            </w:r>
            <w:r w:rsidRPr="002B5B1B">
              <w:rPr>
                <w:vertAlign w:val="superscript"/>
              </w:rPr>
              <w:t>31</w:t>
            </w:r>
            <w:r w:rsidRPr="002B5B1B">
              <w:t xml:space="preserve"> e 2008/616/JAI</w:t>
            </w:r>
            <w:r w:rsidRPr="002B5B1B">
              <w:rPr>
                <w:vertAlign w:val="superscript"/>
              </w:rPr>
              <w:t>32</w:t>
            </w:r>
            <w:r w:rsidRPr="002B5B1B">
              <w:t xml:space="preserve"> do Conselho que estabelecem regras para o intercâmbio de informações entre as autoridades responsáveis pela prevenção e investigação de infrações penais através da transferência automatizada de perfis de ADN, dados dactiloscópicos e determinados dados de </w:t>
            </w:r>
            <w:r w:rsidRPr="002B5B1B">
              <w:t>registo de veículos revelaram-se importantes para combater o terrorismo e a criminalidade transfronteiras.</w:t>
            </w:r>
          </w:p>
        </w:tc>
        <w:tc>
          <w:tcPr>
            <w:tcW w:w="4876" w:type="dxa"/>
          </w:tcPr>
          <w:p w:rsidR="003F5BF1" w:rsidRPr="002B5B1B" w:rsidRDefault="00D10947" w:rsidP="00D27444">
            <w:pPr>
              <w:pStyle w:val="Normal6"/>
              <w:rPr>
                <w:szCs w:val="24"/>
              </w:rPr>
            </w:pPr>
            <w:r w:rsidRPr="002B5B1B">
              <w:t>(4)</w:t>
            </w:r>
            <w:r w:rsidRPr="002B5B1B">
              <w:tab/>
              <w:t>As Decisões 2008/615/JAI</w:t>
            </w:r>
            <w:r w:rsidRPr="002B5B1B">
              <w:rPr>
                <w:vertAlign w:val="superscript"/>
              </w:rPr>
              <w:t>31</w:t>
            </w:r>
            <w:r w:rsidRPr="002B5B1B">
              <w:t xml:space="preserve"> e 2008/616/JAI</w:t>
            </w:r>
            <w:r w:rsidRPr="002B5B1B">
              <w:rPr>
                <w:vertAlign w:val="superscript"/>
              </w:rPr>
              <w:t>32</w:t>
            </w:r>
            <w:r w:rsidRPr="002B5B1B">
              <w:t xml:space="preserve"> do Conselho que estabelecem regras para o intercâmbio de informações entre as autoridades responsáveis pela prevenção e investigação de infrações penais através da transferência automatizada de perfis de ADN, dados dactiloscópicos e determinados dados de </w:t>
            </w:r>
            <w:r w:rsidRPr="002B5B1B">
              <w:t>registo de veículos revelaram-se importantes para combater o terrorismo e a criminalidade transfronteiras</w:t>
            </w:r>
            <w:r w:rsidRPr="002B5B1B">
              <w:rPr>
                <w:b/>
                <w:i/>
              </w:rPr>
              <w:t>, protegendo assim a segurança interna da União e a segurança dos seus cidadãos</w:t>
            </w:r>
            <w:r w:rsidRPr="002B5B1B">
              <w:t>.</w:t>
            </w:r>
          </w:p>
        </w:tc>
      </w:tr>
      <w:tr w:rsidR="008B152A" w:rsidRPr="002B5B1B" w:rsidTr="00D27444">
        <w:trPr>
          <w:jc w:val="center"/>
        </w:trPr>
        <w:tc>
          <w:tcPr>
            <w:tcW w:w="4876" w:type="dxa"/>
          </w:tcPr>
          <w:p w:rsidR="003F5BF1" w:rsidRPr="002B5B1B" w:rsidRDefault="00D10947" w:rsidP="00D27444">
            <w:pPr>
              <w:pStyle w:val="Normal6"/>
            </w:pPr>
            <w:r w:rsidRPr="002B5B1B">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31</w:t>
            </w:r>
            <w:r w:rsidRPr="002B5B1B">
              <w:t xml:space="preserve"> Decisão 2008/615/JAI do Con</w:t>
            </w:r>
            <w:r w:rsidRPr="002B5B1B">
              <w:t>selho, de 23 de junho de 2008, relativa ao aprofundamento da cooperação transfronteiras, em particular no domínio da luta contra o terrorismo e a criminalidade transfronteiras (JO L 210 de 6.8.2008, p. 1).</w:t>
            </w:r>
          </w:p>
        </w:tc>
        <w:tc>
          <w:tcPr>
            <w:tcW w:w="4876" w:type="dxa"/>
          </w:tcPr>
          <w:p w:rsidR="003F5BF1" w:rsidRPr="002B5B1B" w:rsidRDefault="00D10947" w:rsidP="00D27444">
            <w:pPr>
              <w:pStyle w:val="Normal6"/>
              <w:rPr>
                <w:szCs w:val="24"/>
              </w:rPr>
            </w:pPr>
            <w:r w:rsidRPr="002B5B1B">
              <w:rPr>
                <w:vertAlign w:val="superscript"/>
              </w:rPr>
              <w:t>31</w:t>
            </w:r>
            <w:r w:rsidRPr="002B5B1B">
              <w:t xml:space="preserve"> Decisão 2008/615/JAI do Conselho, de 23 de junh</w:t>
            </w:r>
            <w:r w:rsidRPr="002B5B1B">
              <w:t>o de 2008, relativa ao aprofundamento da cooperação transfronteiras, em particular no domínio da luta contra o terrorismo e a criminalidade transfronteiras (JO L 210 de 6.8.2008, p. 1).</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32</w:t>
            </w:r>
            <w:r w:rsidRPr="002B5B1B">
              <w:t xml:space="preserve"> Decisão 2008/616/JAI do Conselho, de </w:t>
            </w:r>
            <w:r w:rsidRPr="002B5B1B">
              <w:lastRenderedPageBreak/>
              <w:t>23 de junho de 2008, referent</w:t>
            </w:r>
            <w:r w:rsidRPr="002B5B1B">
              <w:t>e à execução da Decisão 2008/615/JAI, relativa ao aprofundamento da cooperação transfronteiras, em particular no domínio da luta contra o terrorismo e da criminalidade transfronteiras (JO L 210 de 6.8.2008, p. 12).</w:t>
            </w:r>
          </w:p>
        </w:tc>
        <w:tc>
          <w:tcPr>
            <w:tcW w:w="4876" w:type="dxa"/>
          </w:tcPr>
          <w:p w:rsidR="003F5BF1" w:rsidRPr="002B5B1B" w:rsidRDefault="00D10947" w:rsidP="00D27444">
            <w:pPr>
              <w:pStyle w:val="Normal6"/>
              <w:rPr>
                <w:szCs w:val="24"/>
              </w:rPr>
            </w:pPr>
            <w:r w:rsidRPr="002B5B1B">
              <w:rPr>
                <w:vertAlign w:val="superscript"/>
              </w:rPr>
              <w:lastRenderedPageBreak/>
              <w:t>32</w:t>
            </w:r>
            <w:r w:rsidRPr="002B5B1B">
              <w:t xml:space="preserve"> Decisão 2008/616/JAI do Conselho, de </w:t>
            </w:r>
            <w:r w:rsidRPr="002B5B1B">
              <w:lastRenderedPageBreak/>
              <w:t>2</w:t>
            </w:r>
            <w:r w:rsidRPr="002B5B1B">
              <w:t>3 de junho de 2008, referente à execução da Decisão 2008/615/JAI, relativa ao aprofundamento da cooperação transfronteiras, em particular no domínio da luta contra o terrorismo e da criminalidade transfronteiras (JO L 210 de 6.8.2008, p. 12).</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w:t>
      </w:r>
      <w:r w:rsidRPr="002B5B1B">
        <w:rPr>
          <w:rStyle w:val="HideTWBExt"/>
          <w:noProof w:val="0"/>
        </w:rPr>
        <w:t>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(5)</w:t>
            </w:r>
            <w:r w:rsidRPr="002B5B1B">
              <w:tab/>
            </w:r>
            <w:r w:rsidRPr="002B5B1B">
              <w:t xml:space="preserve">O presente regulamento deve estabelecer as condições e os procedimentos para a </w:t>
            </w:r>
            <w:r w:rsidRPr="002B5B1B">
              <w:rPr>
                <w:b/>
                <w:i/>
              </w:rPr>
              <w:t>transferência automatizada de perfis de ADN, dados dactiloscópicos,</w:t>
            </w:r>
            <w:r w:rsidRPr="002B5B1B">
              <w:t xml:space="preserve"> dados de registo de veículos</w:t>
            </w:r>
            <w:r w:rsidRPr="002B5B1B">
              <w:rPr>
                <w:b/>
                <w:i/>
              </w:rPr>
              <w:t>, imagens faciais</w:t>
            </w:r>
            <w:r w:rsidRPr="002B5B1B">
              <w:t xml:space="preserve"> e ficheiros policiais. Tal não deve prejudicar o tratamento de </w:t>
            </w:r>
            <w:r w:rsidRPr="002B5B1B">
              <w:t>qualquer desses dados no Sistema de Informação de Schengen (SIS), nem o intercâmbio de informações suplementares que lhes digam respeito através dos Gabinetes SIRENE, nem os direitos das pessoas cujos dados são tratados nesse sistema.</w:t>
            </w:r>
          </w:p>
        </w:tc>
        <w:tc>
          <w:tcPr>
            <w:tcW w:w="4876" w:type="dxa"/>
          </w:tcPr>
          <w:p w:rsidR="003F5BF1" w:rsidRPr="002B5B1B" w:rsidRDefault="00D10947" w:rsidP="007F433A">
            <w:pPr>
              <w:pStyle w:val="Normal6"/>
              <w:rPr>
                <w:szCs w:val="24"/>
              </w:rPr>
            </w:pPr>
            <w:r w:rsidRPr="002B5B1B">
              <w:t>(5)</w:t>
            </w:r>
            <w:r w:rsidRPr="002B5B1B">
              <w:tab/>
              <w:t>O presente regula</w:t>
            </w:r>
            <w:r w:rsidRPr="002B5B1B">
              <w:t xml:space="preserve">mento estabelece as condições e os procedimentos para a </w:t>
            </w:r>
            <w:r w:rsidRPr="002B5B1B">
              <w:rPr>
                <w:b/>
                <w:i/>
              </w:rPr>
              <w:t>consulta e o intercâmbio automatizados de dados biométricos contidos nas bases de dados criadas para a prevenção ou deteção de infrações penais e das investigações nessa matéria e de</w:t>
            </w:r>
            <w:r w:rsidRPr="002B5B1B">
              <w:t xml:space="preserve"> dados de registo de veículos e ficheiros policiais. Tal não deve prejudicar o tratamento de qualquer desses dados no Sistema de Informação de Schengen (SIS), nem o intercâmbio de informações suplementares que lhes digam respeito através dos Gabinetes SIRE</w:t>
            </w:r>
            <w:r w:rsidRPr="002B5B1B">
              <w:t xml:space="preserve">NE </w:t>
            </w:r>
            <w:r w:rsidRPr="002B5B1B">
              <w:rPr>
                <w:b/>
                <w:i/>
              </w:rPr>
              <w:t>nos termos do Regulamento (UE) 2018/1862 do Parlamento Europeu e do Conselho</w:t>
            </w:r>
            <w:r w:rsidRPr="002B5B1B">
              <w:rPr>
                <w:b/>
                <w:i/>
                <w:vertAlign w:val="superscript"/>
              </w:rPr>
              <w:t>1-A</w:t>
            </w:r>
            <w:r w:rsidRPr="002B5B1B">
              <w:t>, nem os direitos das pessoas cujos dados são tratados nesse sistema.</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vertAlign w:val="superscript"/>
              </w:rPr>
              <w:t>1-A</w:t>
            </w:r>
            <w:r w:rsidRPr="002B5B1B">
              <w:t xml:space="preserve"> </w:t>
            </w:r>
            <w:r w:rsidRPr="002B5B1B">
              <w:rPr>
                <w:b/>
                <w:i/>
              </w:rPr>
              <w:t xml:space="preserve">Regulamento (UE) 2018/1862 do Parlamento Europeu e do Conselho, de 28 de </w:t>
            </w:r>
            <w:r w:rsidRPr="002B5B1B">
              <w:rPr>
                <w:b/>
                <w:i/>
              </w:rPr>
              <w:t xml:space="preserve">novembro de 2018, relativo ao estabelecimento, ao funcionamento e à utilização do Sistema de Informação de Schengen (SIS) no domínio da cooperação policial e da cooperação judiciária em matéria penal, e que altera e revoga a Decisão 2007/533/JAI do </w:t>
            </w:r>
            <w:r w:rsidRPr="002B5B1B">
              <w:rPr>
                <w:b/>
                <w:i/>
              </w:rPr>
              <w:lastRenderedPageBreak/>
              <w:t>Conselh</w:t>
            </w:r>
            <w:r w:rsidRPr="002B5B1B">
              <w:rPr>
                <w:b/>
                <w:i/>
              </w:rPr>
              <w:t>o e revoga o Regulamento (CE) n.º 1986/2006 do Parlamento Europeu e do Conselho e a Decisão 2010/261/UE da Comissão (JO L 312 de 7.12.2018, p. 56).</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w:t>
      </w:r>
      <w:r w:rsidRPr="002B5B1B">
        <w:t>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6</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(6)</w:t>
            </w:r>
            <w:r w:rsidRPr="002B5B1B">
              <w:tab/>
            </w:r>
            <w:r w:rsidRPr="002B5B1B">
              <w:rPr>
                <w:b/>
                <w:i/>
              </w:rPr>
              <w:t>O</w:t>
            </w:r>
            <w:r w:rsidRPr="002B5B1B">
              <w:t xml:space="preserve"> tratamento de dados pessoais e o intercâmbio de dados pessoais para efeitos do presente regulamento não devem resultar na discriminação de pessoas por nenhum motivo. Devem</w:t>
            </w:r>
            <w:r w:rsidRPr="002B5B1B">
              <w:t xml:space="preserve"> respeitar plenamente a dignidade e integridade humanas e outros direitos fundamentais, incluindo o direito ao respeito pela vida privada e à proteção dos dados pessoais, nos termos da Carta dos Direitos Fundamentais da União Europeia.</w:t>
            </w:r>
          </w:p>
        </w:tc>
        <w:tc>
          <w:tcPr>
            <w:tcW w:w="4876" w:type="dxa"/>
          </w:tcPr>
          <w:p w:rsidR="003F5BF1" w:rsidRPr="002B5B1B" w:rsidRDefault="00D10947">
            <w:pPr>
              <w:pStyle w:val="Normal6"/>
              <w:rPr>
                <w:szCs w:val="24"/>
              </w:rPr>
            </w:pPr>
            <w:r w:rsidRPr="002B5B1B">
              <w:t>(6)</w:t>
            </w:r>
            <w:r w:rsidRPr="002B5B1B">
              <w:tab/>
            </w:r>
            <w:r w:rsidRPr="002B5B1B">
              <w:rPr>
                <w:b/>
                <w:i/>
              </w:rPr>
              <w:t>Qualquer</w:t>
            </w:r>
            <w:r w:rsidRPr="002B5B1B">
              <w:t xml:space="preserve"> tratame</w:t>
            </w:r>
            <w:r w:rsidRPr="002B5B1B">
              <w:t xml:space="preserve">nto de dados pessoais e o intercâmbio de dados pessoais para efeitos do presente regulamento </w:t>
            </w:r>
            <w:r w:rsidRPr="002B5B1B">
              <w:rPr>
                <w:b/>
                <w:i/>
              </w:rPr>
              <w:t>devem ser efetuados em conformidade com o capítulo 6 do presente regulamento e, se for caso disso, com a Diretiva (UE) 2016/680 do Parlamento Europeu e do Conselho</w:t>
            </w:r>
            <w:r w:rsidRPr="002B5B1B">
              <w:rPr>
                <w:b/>
                <w:i/>
                <w:vertAlign w:val="superscript"/>
              </w:rPr>
              <w:t>1-A</w:t>
            </w:r>
            <w:r w:rsidRPr="002B5B1B">
              <w:rPr>
                <w:b/>
                <w:i/>
              </w:rPr>
              <w:t>, o Regulamento (UE) 2018/1725 do Parlamento Europeu e do Conselho</w:t>
            </w:r>
            <w:r w:rsidRPr="002B5B1B">
              <w:rPr>
                <w:b/>
                <w:i/>
                <w:vertAlign w:val="superscript"/>
              </w:rPr>
              <w:t>1-B</w:t>
            </w:r>
            <w:r w:rsidRPr="002B5B1B">
              <w:rPr>
                <w:vertAlign w:val="superscript"/>
              </w:rPr>
              <w:t xml:space="preserve"> </w:t>
            </w:r>
            <w:r w:rsidRPr="002B5B1B">
              <w:rPr>
                <w:b/>
                <w:i/>
              </w:rPr>
              <w:t>e o Regulamento (UE) 2016/794. O tratamento e o intercâmbio de dados pessoais para efeitos do presente regulamento</w:t>
            </w:r>
            <w:r w:rsidRPr="002B5B1B">
              <w:t xml:space="preserve"> não devem resultar na discriminação de pessoas por nenhum motivo. </w:t>
            </w:r>
            <w:r w:rsidRPr="002B5B1B">
              <w:t>Devem respeitar plenamente a dignidade e integridade humanas e outros direitos fundamentais, incluindo o direito ao respeito pela vida privada e à proteção dos dados pessoais, nos termos da Carta dos Direitos Fundamentais da União Europeia.</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t>_____________</w:t>
            </w:r>
            <w:r w:rsidRPr="002B5B1B">
              <w:t>_____</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vertAlign w:val="superscript"/>
              </w:rPr>
              <w:t>1-A</w:t>
            </w:r>
            <w:r w:rsidRPr="002B5B1B">
              <w:t xml:space="preserve"> </w:t>
            </w:r>
            <w:r w:rsidRPr="002B5B1B">
              <w:rPr>
                <w:b/>
                <w:i/>
              </w:rPr>
              <w:t>Diretiva (UE) 2016/680 do Parlamento Europeu e do Conselho, de 27 de abril de 2016, relativa à proteção das pessoas singulares no que diz respeito ao tratamento de dados pessoais pelas autoridades competentes para efeitos de prevenção, investig</w:t>
            </w:r>
            <w:r w:rsidRPr="002B5B1B">
              <w:rPr>
                <w:b/>
                <w:i/>
              </w:rPr>
              <w:t xml:space="preserve">ação, deteção ou </w:t>
            </w:r>
            <w:r w:rsidRPr="002B5B1B">
              <w:rPr>
                <w:b/>
                <w:i/>
              </w:rPr>
              <w:lastRenderedPageBreak/>
              <w:t xml:space="preserve">repressão de infrações penais ou execução de sanções penais, e à livre circulação desses dados, e que revoga a Decisão-Quadro 2008/977/JAI do Conselho (JO L 119 de 4.5.2016, p. 89). </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vertAlign w:val="superscript"/>
              </w:rPr>
              <w:t>1-B</w:t>
            </w:r>
            <w:r w:rsidRPr="002B5B1B">
              <w:t xml:space="preserve"> </w:t>
            </w:r>
            <w:r w:rsidRPr="002B5B1B">
              <w:rPr>
                <w:b/>
                <w:i/>
              </w:rPr>
              <w:t>Regulamento (UE) 2018/1725 do Parlamento Europeu e</w:t>
            </w:r>
            <w:r w:rsidRPr="002B5B1B">
              <w:rPr>
                <w:b/>
                <w:i/>
              </w:rPr>
              <w:t xml:space="preserve"> do Conselho, de 23 de outubro de 2018, relativo à proteção das pessoas singulares no que diz respeito ao tratamento de dados pessoais pelas instituições e pelos órgãos e organismos da União e à livre circulação desses dados, e que revoga o Regulamento (CE</w:t>
            </w:r>
            <w:r w:rsidRPr="002B5B1B">
              <w:rPr>
                <w:b/>
                <w:i/>
              </w:rPr>
              <w:t xml:space="preserve">) n.º 45/2001 e a Decisão n.º 1247/2002/CE (JO L 295 de 21.11.2018, p. 39).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7</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(7)</w:t>
            </w:r>
            <w:r w:rsidRPr="002B5B1B">
              <w:tab/>
              <w:t xml:space="preserve">Ao prever a consulta automatizada </w:t>
            </w:r>
            <w:r w:rsidRPr="002B5B1B">
              <w:rPr>
                <w:b/>
                <w:i/>
              </w:rPr>
              <w:t>ou a comparação</w:t>
            </w:r>
            <w:r w:rsidRPr="002B5B1B">
              <w:t xml:space="preserve"> de perfis de ADN, dados dactiloscópicos, dados de registo de veículos, imagens faciais e ficheiros policiais, o presente regulamento tem igualmente por objetivo permitir a consulta de pessoas</w:t>
            </w:r>
            <w:r w:rsidRPr="002B5B1B">
              <w:t xml:space="preserve"> desaparecidas e de restos mortais humanos não identificados. Tal não deve prejudicar a introdução de indicações no SIS sobre pessoas desaparecidas e o intercâmbio de informações suplementares sobre essas indicações ao abrigo do Regulamento (UE) 2018/1862 </w:t>
            </w:r>
            <w:r w:rsidRPr="002B5B1B">
              <w:t>do Parlamento Europeu e do Conselho.</w:t>
            </w:r>
            <w:r w:rsidRPr="002B5B1B">
              <w:rPr>
                <w:b/>
                <w:i/>
                <w:vertAlign w:val="superscript"/>
              </w:rPr>
              <w:t>33</w:t>
            </w:r>
          </w:p>
        </w:tc>
        <w:tc>
          <w:tcPr>
            <w:tcW w:w="4876" w:type="dxa"/>
          </w:tcPr>
          <w:p w:rsidR="003F5BF1" w:rsidRPr="002B5B1B" w:rsidRDefault="00D10947" w:rsidP="00D27444">
            <w:pPr>
              <w:pStyle w:val="Normal6"/>
              <w:rPr>
                <w:szCs w:val="24"/>
              </w:rPr>
            </w:pPr>
            <w:r w:rsidRPr="002B5B1B">
              <w:t>(7)</w:t>
            </w:r>
            <w:r w:rsidRPr="002B5B1B">
              <w:tab/>
              <w:t xml:space="preserve">Ao prever a consulta automatizada de perfis de ADN, dados dactiloscópicos, </w:t>
            </w:r>
            <w:r w:rsidRPr="002B5B1B">
              <w:rPr>
                <w:b/>
                <w:i/>
              </w:rPr>
              <w:t>determinados</w:t>
            </w:r>
            <w:r w:rsidRPr="002B5B1B">
              <w:t xml:space="preserve"> dados de registo de veículos, imagens faciais e ficheiros policiais, o presente regulamento tem igualmente por objetivo permitir a consulta de pessoas desaparecidas e </w:t>
            </w:r>
            <w:r w:rsidRPr="002B5B1B">
              <w:rPr>
                <w:b/>
                <w:i/>
              </w:rPr>
              <w:t>a identificação</w:t>
            </w:r>
            <w:r w:rsidRPr="002B5B1B">
              <w:t xml:space="preserve"> de restos mortais humanos não identificados. Tal não deve prejudicar a i</w:t>
            </w:r>
            <w:r w:rsidRPr="002B5B1B">
              <w:t>ntrodução de indicações no SIS sobre pessoas desaparecidas e o intercâmbio de informações suplementares sobre essas indicações ao abrigo do Regulamento (UE) 2018/1862 do Parlamento Europeu e do Conselho.</w:t>
            </w:r>
          </w:p>
        </w:tc>
      </w:tr>
      <w:tr w:rsidR="008B152A" w:rsidRPr="002B5B1B" w:rsidTr="00D27444">
        <w:trPr>
          <w:jc w:val="center"/>
        </w:trPr>
        <w:tc>
          <w:tcPr>
            <w:tcW w:w="4876" w:type="dxa"/>
          </w:tcPr>
          <w:p w:rsidR="003F5BF1" w:rsidRPr="002B5B1B" w:rsidRDefault="00D10947" w:rsidP="00D27444">
            <w:pPr>
              <w:pStyle w:val="Normal6"/>
            </w:pPr>
            <w:r w:rsidRPr="002B5B1B">
              <w:t>__________________</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vertAlign w:val="superscript"/>
              </w:rPr>
              <w:t>33</w:t>
            </w:r>
            <w:r w:rsidRPr="002B5B1B">
              <w:t xml:space="preserve"> </w:t>
            </w:r>
            <w:r w:rsidRPr="002B5B1B">
              <w:rPr>
                <w:b/>
                <w:i/>
              </w:rPr>
              <w:t xml:space="preserve">Regulamento (UE) 2018/1862 </w:t>
            </w:r>
            <w:r w:rsidRPr="002B5B1B">
              <w:rPr>
                <w:b/>
                <w:i/>
              </w:rPr>
              <w:t xml:space="preserve">do Parlamento Europeu e do Conselho, de 28 de novembro de 2018, relativo ao estabelecimento, ao funcionamento e à </w:t>
            </w:r>
            <w:r w:rsidRPr="002B5B1B">
              <w:rPr>
                <w:b/>
                <w:i/>
              </w:rPr>
              <w:lastRenderedPageBreak/>
              <w:t>utilização do Sistema de Informação Schengen (SIS) no domínio da cooperação policial e da cooperação judiciária em matéria penal, e que altera</w:t>
            </w:r>
            <w:r w:rsidRPr="002B5B1B">
              <w:rPr>
                <w:b/>
                <w:i/>
              </w:rPr>
              <w:t xml:space="preserve"> e revoga a Decisão 2007/533/JAI do Conselho e revoga o Regulamento (CE) n.º 1986/2006 do Parlamento Europeu e do Conselho e a Decisão 2010/261/UE da Comissão (JO L 312 de 7.12.2018, p. 56).</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8</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(8)</w:t>
            </w:r>
            <w:r w:rsidRPr="002B5B1B">
              <w:tab/>
              <w:t>A Diretiva (UE) .../... [relativa ao intercâmbio de informações entre as autoridades de aplicação da lei dos Estados-Membros]</w:t>
            </w:r>
            <w:r w:rsidRPr="002B5B1B">
              <w:t xml:space="preserve"> proporciona um quadro jurídico coerente da União para garantir que as autoridades de aplicação da lei têm um acesso equivalente às informações detidas por outros Estados-Membros quando delas necessitem para combater a criminalidade e o terrorismo. A fim d</w:t>
            </w:r>
            <w:r w:rsidRPr="002B5B1B">
              <w:t xml:space="preserve">e reforçar o intercâmbio de informações, a referida diretiva formaliza e clarifica os procedimentos de partilha de informações entre </w:t>
            </w:r>
            <w:r w:rsidRPr="002B5B1B">
              <w:rPr>
                <w:b/>
                <w:i/>
              </w:rPr>
              <w:t>os</w:t>
            </w:r>
            <w:r w:rsidRPr="002B5B1B">
              <w:t xml:space="preserve"> Estados-Membros, em especial para efeitos de investigação, incluindo o papel do «ponto de contacto único» para esses int</w:t>
            </w:r>
            <w:r w:rsidRPr="002B5B1B">
              <w:t>ercâmbios, e faz pleno uso da Aplicação de Intercâmbio Seguro de Informações (SIENA) da Europol. Qualquer intercâmbio de informações para além do previsto no presente regulamento deve ser regulado pela Diretiva (UE) .../... [relativa ao intercâmbio de info</w:t>
            </w:r>
            <w:r w:rsidRPr="002B5B1B">
              <w:t>rmações entre as autoridades de aplicação da lei dos Estados-Membros].</w:t>
            </w:r>
          </w:p>
        </w:tc>
        <w:tc>
          <w:tcPr>
            <w:tcW w:w="4876" w:type="dxa"/>
          </w:tcPr>
          <w:p w:rsidR="003F5BF1" w:rsidRPr="002B5B1B" w:rsidRDefault="00D10947" w:rsidP="007F433A">
            <w:pPr>
              <w:pStyle w:val="Normal6"/>
              <w:rPr>
                <w:szCs w:val="24"/>
              </w:rPr>
            </w:pPr>
            <w:r w:rsidRPr="002B5B1B">
              <w:t>(8)</w:t>
            </w:r>
            <w:r w:rsidRPr="002B5B1B">
              <w:tab/>
              <w:t>A Diretiva (UE) .../... [relativa ao intercâmbio de informações entre as autoridades de aplicação da lei dos Estados-Membros] proporciona um quadro jurídico coerente da União para g</w:t>
            </w:r>
            <w:r w:rsidRPr="002B5B1B">
              <w:t xml:space="preserve">arantir que as autoridades de aplicação da lei </w:t>
            </w:r>
            <w:r w:rsidRPr="002B5B1B">
              <w:rPr>
                <w:b/>
                <w:i/>
              </w:rPr>
              <w:t>competentes</w:t>
            </w:r>
            <w:r w:rsidRPr="002B5B1B">
              <w:t xml:space="preserve"> têm um acesso equivalente às informações detidas por outros Estados-Membros quando delas necessitem para combater a criminalidade e o terrorismo. A fim de reforçar o intercâmbio de informações, a r</w:t>
            </w:r>
            <w:r w:rsidRPr="002B5B1B">
              <w:t xml:space="preserve">eferida diretiva formaliza e clarifica </w:t>
            </w:r>
            <w:r w:rsidRPr="002B5B1B">
              <w:rPr>
                <w:b/>
                <w:i/>
              </w:rPr>
              <w:t>as regras e</w:t>
            </w:r>
            <w:r w:rsidRPr="002B5B1B">
              <w:t xml:space="preserve"> os procedimentos de partilha de informações entre </w:t>
            </w:r>
            <w:r w:rsidRPr="002B5B1B">
              <w:rPr>
                <w:b/>
                <w:i/>
              </w:rPr>
              <w:t>as autoridades de aplicação da lei competentes dos</w:t>
            </w:r>
            <w:r w:rsidRPr="002B5B1B">
              <w:t xml:space="preserve"> Estados-Membros, em especial para efeitos de investigação, incluindo o papel do «ponto de contacto único» para esses intercâmbios, e faz pleno uso da Aplicação de Intercâmbio Seguro de Informações (SIENA) da Europol. Qualquer intercâmbio de informações </w:t>
            </w:r>
            <w:r w:rsidRPr="002B5B1B">
              <w:rPr>
                <w:b/>
                <w:i/>
              </w:rPr>
              <w:t>en</w:t>
            </w:r>
            <w:r w:rsidRPr="002B5B1B">
              <w:rPr>
                <w:b/>
                <w:i/>
              </w:rPr>
              <w:t>tre as autoridades de aplicação da lei competentes</w:t>
            </w:r>
            <w:r w:rsidRPr="002B5B1B">
              <w:t xml:space="preserve"> para além do previsto no presente regulamento</w:t>
            </w:r>
            <w:r w:rsidRPr="002B5B1B">
              <w:rPr>
                <w:b/>
                <w:i/>
              </w:rPr>
              <w:t xml:space="preserve">, nomeadamente a consulta automatizada de dados biométricos, determinados dados de </w:t>
            </w:r>
            <w:r w:rsidRPr="002B5B1B">
              <w:rPr>
                <w:b/>
                <w:i/>
              </w:rPr>
              <w:lastRenderedPageBreak/>
              <w:t>registo de veículos e ficheiros policiais e o intercâmbio de dados de base na</w:t>
            </w:r>
            <w:r w:rsidRPr="002B5B1B">
              <w:rPr>
                <w:b/>
                <w:i/>
              </w:rPr>
              <w:t xml:space="preserve"> sequência de uma correspondência confirmada,</w:t>
            </w:r>
            <w:r w:rsidRPr="002B5B1B">
              <w:t xml:space="preserve"> deve ser regulado pela Diretiva (UE) .../... [relativa ao intercâmbio de informações entre as autoridades de aplicação da lei dos Estados-Membros].</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9</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(9)</w:t>
            </w:r>
            <w:r w:rsidRPr="002B5B1B">
              <w:tab/>
              <w:t>Para a consulta automatizada dos dados de registo de veículos, os Estados-Membros devem utilizar o Sistema Europeu de Informa</w:t>
            </w:r>
            <w:r w:rsidRPr="002B5B1B">
              <w:t>ção sobre Veículos e Cartas de Condução (EUCARIS), criado pelo Tratado relativo a um Sistema Europeu de Informação sobre Veículos e Cartas de Condução (EUCARIS), concebido para o efeito</w:t>
            </w:r>
            <w:r w:rsidRPr="002B5B1B">
              <w:rPr>
                <w:b/>
                <w:i/>
              </w:rPr>
              <w:t>. O EUCARIS deve ligar</w:t>
            </w:r>
            <w:r w:rsidRPr="002B5B1B">
              <w:t xml:space="preserve"> todos os Estados-Membros participantes numa rede</w:t>
            </w:r>
            <w:r w:rsidRPr="002B5B1B">
              <w:t>. Não é necessário um componente central para estabelecer a comunicação, uma vez que cada Estado-Membro comunica diretamente aos outros Estados-Membros ligados.</w:t>
            </w:r>
          </w:p>
        </w:tc>
        <w:tc>
          <w:tcPr>
            <w:tcW w:w="4876" w:type="dxa"/>
          </w:tcPr>
          <w:p w:rsidR="003F5BF1" w:rsidRPr="002B5B1B" w:rsidRDefault="00D10947">
            <w:pPr>
              <w:pStyle w:val="Normal6"/>
              <w:rPr>
                <w:szCs w:val="24"/>
              </w:rPr>
            </w:pPr>
            <w:r w:rsidRPr="002B5B1B">
              <w:t>(9)</w:t>
            </w:r>
            <w:r w:rsidRPr="002B5B1B">
              <w:tab/>
              <w:t xml:space="preserve">Para a consulta automatizada dos dados de registo de veículos, os Estados-Membros </w:t>
            </w:r>
            <w:r w:rsidRPr="002B5B1B">
              <w:rPr>
                <w:b/>
                <w:i/>
              </w:rPr>
              <w:t xml:space="preserve">e a </w:t>
            </w:r>
            <w:r w:rsidRPr="002B5B1B">
              <w:rPr>
                <w:b/>
                <w:i/>
              </w:rPr>
              <w:t>Europol</w:t>
            </w:r>
            <w:r w:rsidRPr="002B5B1B">
              <w:t xml:space="preserve"> devem utilizar o Sistema Europeu de Informação sobre Veículos e Cartas de Condução (EUCARIS), criado pelo Tratado relativo a um Sistema Europeu de Informação sobre Veículos e Cartas de Condução (EUCARIS), concebido para o efeito</w:t>
            </w:r>
            <w:r w:rsidRPr="002B5B1B">
              <w:rPr>
                <w:b/>
                <w:i/>
              </w:rPr>
              <w:t>, que liga</w:t>
            </w:r>
            <w:r w:rsidRPr="002B5B1B">
              <w:t xml:space="preserve"> todos os </w:t>
            </w:r>
            <w:r w:rsidRPr="002B5B1B">
              <w:t xml:space="preserve">Estados-Membros participantes numa rede. Não é necessário um componente central para estabelecer a comunicação, uma vez que cada Estado-Membro comunica diretamente aos outros Estados-Membros ligados </w:t>
            </w:r>
            <w:r w:rsidRPr="002B5B1B">
              <w:rPr>
                <w:b/>
                <w:i/>
              </w:rPr>
              <w:t>e a Europol comunica diretamente aos Estados-Membros liga</w:t>
            </w:r>
            <w:r w:rsidRPr="002B5B1B">
              <w:rPr>
                <w:b/>
                <w:i/>
              </w:rPr>
              <w:t>dos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10</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(10)</w:t>
            </w:r>
            <w:r w:rsidRPr="002B5B1B">
              <w:tab/>
              <w:t xml:space="preserve">A identificação de um criminoso é </w:t>
            </w:r>
            <w:r w:rsidRPr="002B5B1B">
              <w:lastRenderedPageBreak/>
              <w:t xml:space="preserve">essencial para o êxito </w:t>
            </w:r>
            <w:r w:rsidRPr="002B5B1B">
              <w:t xml:space="preserve">da investigação criminal e da ação penal. A consulta automatizada de imagens faciais de suspeitos e </w:t>
            </w:r>
            <w:r w:rsidRPr="002B5B1B">
              <w:rPr>
                <w:b/>
                <w:i/>
              </w:rPr>
              <w:t>criminosos condenados</w:t>
            </w:r>
            <w:r w:rsidRPr="002B5B1B">
              <w:t xml:space="preserve"> deve facultar informações adicionais para o êxito da identificação de criminosos e da luta contra a criminalidade.</w:t>
            </w:r>
          </w:p>
        </w:tc>
        <w:tc>
          <w:tcPr>
            <w:tcW w:w="4876" w:type="dxa"/>
          </w:tcPr>
          <w:p w:rsidR="003F5BF1" w:rsidRPr="002B5B1B" w:rsidRDefault="00D10947" w:rsidP="00D27444">
            <w:pPr>
              <w:pStyle w:val="Normal6"/>
              <w:rPr>
                <w:szCs w:val="24"/>
              </w:rPr>
            </w:pPr>
            <w:r w:rsidRPr="002B5B1B">
              <w:lastRenderedPageBreak/>
              <w:t>(10)</w:t>
            </w:r>
            <w:r w:rsidRPr="002B5B1B">
              <w:tab/>
              <w:t>A identificaçã</w:t>
            </w:r>
            <w:r w:rsidRPr="002B5B1B">
              <w:t xml:space="preserve">o de um criminoso é </w:t>
            </w:r>
            <w:r w:rsidRPr="002B5B1B">
              <w:lastRenderedPageBreak/>
              <w:t xml:space="preserve">essencial para o êxito da investigação criminal e da ação penal. A consulta automatizada de imagens faciais de suspeitos e </w:t>
            </w:r>
            <w:r w:rsidRPr="002B5B1B">
              <w:rPr>
                <w:b/>
                <w:i/>
              </w:rPr>
              <w:t xml:space="preserve">pessoas condenadas recolhidas, em conformidade com a respetiva legislação nacional, nas bases de dados nacionais </w:t>
            </w:r>
            <w:r w:rsidRPr="002B5B1B">
              <w:rPr>
                <w:b/>
                <w:i/>
              </w:rPr>
              <w:t>criadas para efeitos de prevenção ou deteção de infrações penais e das investigações nessa matéria</w:t>
            </w:r>
            <w:r w:rsidRPr="002B5B1B">
              <w:t xml:space="preserve"> deve facultar informações adicionais para o êxito da identificação de criminosos e da luta contra a criminalidade.</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(11)</w:t>
            </w:r>
            <w:r w:rsidRPr="002B5B1B">
              <w:rPr>
                <w:b/>
                <w:i/>
              </w:rPr>
              <w:tab/>
              <w:t xml:space="preserve">A consulta automatizada ou a comparação de dados biométricos (perfis de ADN, dados dactiloscópicos e </w:t>
            </w:r>
            <w:r w:rsidRPr="002B5B1B">
              <w:rPr>
                <w:b/>
                <w:i/>
              </w:rPr>
              <w:t>imagens faciais) entre as autoridades responsáveis pela prevenção ou deteção de infrações penais e das investigações nessa matéria ao abrigo do presente regulamento só deve dizer respeito aos dados contidos nas bases de dados criadas para a prevenção ou de</w:t>
            </w:r>
            <w:r w:rsidRPr="002B5B1B">
              <w:rPr>
                <w:b/>
                <w:i/>
              </w:rPr>
              <w:t>teção de infrações penais e das investigações nessa matéria.</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(12)</w:t>
            </w:r>
            <w:r w:rsidRPr="002B5B1B">
              <w:tab/>
              <w:t xml:space="preserve">A participação no intercâmbio de ficheiros policiais deve continuar a ser </w:t>
            </w:r>
            <w:r w:rsidRPr="002B5B1B">
              <w:lastRenderedPageBreak/>
              <w:t xml:space="preserve">voluntária. Caso os Estados-Membros decidam participar, </w:t>
            </w:r>
            <w:r w:rsidRPr="002B5B1B">
              <w:rPr>
                <w:b/>
                <w:i/>
              </w:rPr>
              <w:t>num espírito de reciprocidade, não</w:t>
            </w:r>
            <w:r w:rsidRPr="002B5B1B">
              <w:t xml:space="preserve"> devem </w:t>
            </w:r>
            <w:r w:rsidRPr="002B5B1B">
              <w:rPr>
                <w:b/>
                <w:i/>
              </w:rPr>
              <w:t>poder consultar as bases de dados de outros</w:t>
            </w:r>
            <w:r w:rsidRPr="002B5B1B">
              <w:t xml:space="preserve"> Estados-Membros</w:t>
            </w:r>
            <w:r w:rsidRPr="002B5B1B">
              <w:rPr>
                <w:b/>
                <w:i/>
              </w:rPr>
              <w:t>, se não d</w:t>
            </w:r>
            <w:r w:rsidRPr="002B5B1B">
              <w:rPr>
                <w:b/>
                <w:i/>
              </w:rPr>
              <w:t>isponibilizarem</w:t>
            </w:r>
            <w:r w:rsidRPr="002B5B1B">
              <w:t xml:space="preserve"> </w:t>
            </w:r>
            <w:r w:rsidRPr="002B5B1B">
              <w:rPr>
                <w:b/>
                <w:i/>
              </w:rPr>
              <w:t>os seus</w:t>
            </w:r>
            <w:r w:rsidRPr="002B5B1B">
              <w:t xml:space="preserve"> </w:t>
            </w:r>
            <w:r w:rsidRPr="002B5B1B">
              <w:rPr>
                <w:b/>
                <w:i/>
              </w:rPr>
              <w:t>próprios dados para consulta por</w:t>
            </w:r>
            <w:r w:rsidRPr="002B5B1B">
              <w:t xml:space="preserve"> outros Estados-Membros.</w:t>
            </w:r>
          </w:p>
        </w:tc>
        <w:tc>
          <w:tcPr>
            <w:tcW w:w="4876" w:type="dxa"/>
          </w:tcPr>
          <w:p w:rsidR="003F5BF1" w:rsidRPr="002B5B1B" w:rsidRDefault="00D10947">
            <w:pPr>
              <w:pStyle w:val="Normal6"/>
              <w:rPr>
                <w:szCs w:val="24"/>
              </w:rPr>
            </w:pPr>
            <w:r w:rsidRPr="002B5B1B">
              <w:lastRenderedPageBreak/>
              <w:t>(12)</w:t>
            </w:r>
            <w:r w:rsidRPr="002B5B1B">
              <w:tab/>
              <w:t xml:space="preserve">A participação </w:t>
            </w:r>
            <w:r w:rsidRPr="002B5B1B">
              <w:rPr>
                <w:b/>
                <w:i/>
              </w:rPr>
              <w:t>na consulta e</w:t>
            </w:r>
            <w:r w:rsidRPr="002B5B1B">
              <w:t xml:space="preserve"> no intercâmbio </w:t>
            </w:r>
            <w:r w:rsidRPr="002B5B1B">
              <w:rPr>
                <w:b/>
                <w:i/>
              </w:rPr>
              <w:t>automatizados</w:t>
            </w:r>
            <w:r w:rsidRPr="002B5B1B">
              <w:t xml:space="preserve"> de ficheiros </w:t>
            </w:r>
            <w:r w:rsidRPr="002B5B1B">
              <w:lastRenderedPageBreak/>
              <w:t xml:space="preserve">policiais deve continuar a ser voluntária. Caso os Estados-Membros decidam participar, devem </w:t>
            </w:r>
            <w:r w:rsidRPr="002B5B1B">
              <w:rPr>
                <w:b/>
                <w:i/>
              </w:rPr>
              <w:t>assegu</w:t>
            </w:r>
            <w:r w:rsidRPr="002B5B1B">
              <w:rPr>
                <w:b/>
                <w:i/>
              </w:rPr>
              <w:t>rar a disponibilidade de índices nacionais de ficheiros policiais que contenham conjuntos de dados biográficos de suspeitos e pessoas condenadas provenientes de bases de dados nacionais criadas para a prevenção ou deteção de infrações penais e das investig</w:t>
            </w:r>
            <w:r w:rsidRPr="002B5B1B">
              <w:rPr>
                <w:b/>
                <w:i/>
              </w:rPr>
              <w:t>ações nessa matéria. Dada a sensibilidade dos dados em causa, apenas deve ser possível efetuar a consulta e o intercâmbio automatizados de ficheiros policiais relacionados com suspeitos e pessoas condenadas pela prática de infrações referidas no artigo 3.º</w:t>
            </w:r>
            <w:r w:rsidRPr="002B5B1B">
              <w:rPr>
                <w:b/>
                <w:i/>
              </w:rPr>
              <w:t xml:space="preserve"> do Regulamento (UE) 2016/794 ou no artigo 2.º, n.º 2, da Decisão-Quadro 2002/584/JAI do Conselho</w:t>
            </w:r>
            <w:r w:rsidRPr="002B5B1B">
              <w:rPr>
                <w:b/>
                <w:i/>
                <w:vertAlign w:val="superscript"/>
              </w:rPr>
              <w:t>1-A</w:t>
            </w:r>
            <w:r w:rsidRPr="002B5B1B">
              <w:rPr>
                <w:b/>
                <w:i/>
              </w:rPr>
              <w:t>. Ao criar índices nacionais de ficheiros policiais, é importante que os</w:t>
            </w:r>
            <w:r w:rsidRPr="002B5B1B">
              <w:t xml:space="preserve"> Estados-Membros </w:t>
            </w:r>
            <w:r w:rsidRPr="002B5B1B">
              <w:rPr>
                <w:b/>
                <w:i/>
              </w:rPr>
              <w:t>utilizem dados provenientes das bases de dados nacionais criadas pa</w:t>
            </w:r>
            <w:r w:rsidRPr="002B5B1B">
              <w:rPr>
                <w:b/>
                <w:i/>
              </w:rPr>
              <w:t>ra fins de aplicação da lei.</w:t>
            </w:r>
            <w:r w:rsidRPr="002B5B1B">
              <w:t xml:space="preserve"> </w:t>
            </w:r>
            <w:r w:rsidRPr="002B5B1B">
              <w:rPr>
                <w:b/>
                <w:i/>
              </w:rPr>
              <w:t>As autoridades de aplicação da lei dos Estados-Membros verificam esses dados nos índices nacionais de ficheiros policiais ao receberem os pedidos de informação das autoridades de aplicação da lei competentes de</w:t>
            </w:r>
            <w:r w:rsidRPr="002B5B1B">
              <w:t xml:space="preserve"> outros Estados-M</w:t>
            </w:r>
            <w:r w:rsidRPr="002B5B1B">
              <w:t xml:space="preserve">embros. </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vertAlign w:val="superscript"/>
              </w:rPr>
              <w:t>1-A</w:t>
            </w:r>
            <w:r w:rsidRPr="002B5B1B">
              <w:t xml:space="preserve"> </w:t>
            </w:r>
            <w:r w:rsidRPr="002B5B1B">
              <w:rPr>
                <w:b/>
                <w:i/>
              </w:rPr>
              <w:t>Decisão-Quadro 2002/584/JAI do Conselho, de 13 de junho de 2002, relativa ao mandado de detenção europeu e aos processos de entrega entre os Estados-Membros (JO L 190 de 18.7.2002, p. 1)</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12-A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F433A">
            <w:pPr>
              <w:pStyle w:val="Normal6"/>
              <w:rPr>
                <w:szCs w:val="24"/>
              </w:rPr>
            </w:pPr>
            <w:r w:rsidRPr="002B5B1B">
              <w:rPr>
                <w:b/>
                <w:i/>
              </w:rPr>
              <w:t>(12-A)</w:t>
            </w:r>
            <w:r w:rsidRPr="002B5B1B">
              <w:rPr>
                <w:b/>
                <w:i/>
              </w:rPr>
              <w:tab/>
              <w:t xml:space="preserve">Os Estados-Membros asseguram que os dados incluídos no seu índice nacional de </w:t>
            </w:r>
            <w:r w:rsidRPr="002B5B1B">
              <w:rPr>
                <w:b/>
                <w:i/>
              </w:rPr>
              <w:t>ficheiros policiais são exatos, completos e atualizados e estabelecem garantias, nomeadamente a pseudonimização, para proteger os dados pessoais consultados. Num espírito de reciprocidade, um Estado-Membro não deve poder consultar as bases de dados de outr</w:t>
            </w:r>
            <w:r w:rsidRPr="002B5B1B">
              <w:rPr>
                <w:b/>
                <w:i/>
              </w:rPr>
              <w:t>os Estados-Membros, se não disponibilizar os seus próprios índices nacionais de ficheiros policiais para consulta por outros Estados-Membros.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(13)</w:t>
            </w:r>
            <w:r w:rsidRPr="002B5B1B">
              <w:tab/>
              <w:t xml:space="preserve">Nos últimos anos, a Europol recebeu uma grande quantidade de dados biométricos provenientes de </w:t>
            </w:r>
            <w:r w:rsidRPr="002B5B1B">
              <w:rPr>
                <w:b/>
                <w:i/>
              </w:rPr>
              <w:t>vários</w:t>
            </w:r>
            <w:r w:rsidRPr="002B5B1B">
              <w:t xml:space="preserve"> </w:t>
            </w:r>
            <w:r w:rsidRPr="002B5B1B">
              <w:rPr>
                <w:b/>
                <w:i/>
              </w:rPr>
              <w:t>países terceiros</w:t>
            </w:r>
            <w:r w:rsidRPr="002B5B1B">
              <w:t xml:space="preserve"> sobre terroristas e criminosos suspeitos e condenados.</w:t>
            </w:r>
            <w:r w:rsidRPr="002B5B1B">
              <w:t xml:space="preserve"> É necessário incluir no quadro jurídico de Prüm os dados provenientes de países terceiros conservados na Europol e disponibilizá-los às autoridades de aplicação da lei, a fim de melhorar a prevenção e a investigação de infrações penais. Este processo cont</w:t>
            </w:r>
            <w:r w:rsidRPr="002B5B1B">
              <w:t>ribui igualmente para a criação de sinergias entre os diferentes instrumentos de aplicação da lei.</w:t>
            </w:r>
          </w:p>
        </w:tc>
        <w:tc>
          <w:tcPr>
            <w:tcW w:w="4876" w:type="dxa"/>
          </w:tcPr>
          <w:p w:rsidR="003F5BF1" w:rsidRPr="002B5B1B" w:rsidRDefault="00D10947" w:rsidP="00936E24">
            <w:pPr>
              <w:pStyle w:val="Normal6"/>
              <w:rPr>
                <w:szCs w:val="24"/>
              </w:rPr>
            </w:pPr>
            <w:r w:rsidRPr="002B5B1B">
              <w:t>(13)</w:t>
            </w:r>
            <w:r w:rsidRPr="002B5B1B">
              <w:tab/>
              <w:t xml:space="preserve">Nos últimos anos, a Europol recebeu uma grande quantidade de dados biométricos provenientes de </w:t>
            </w:r>
            <w:r w:rsidRPr="002B5B1B">
              <w:rPr>
                <w:b/>
                <w:i/>
              </w:rPr>
              <w:t>autoridades de</w:t>
            </w:r>
            <w:r w:rsidRPr="002B5B1B">
              <w:t xml:space="preserve"> países terceiros</w:t>
            </w:r>
            <w:r w:rsidRPr="002B5B1B">
              <w:rPr>
                <w:b/>
                <w:i/>
              </w:rPr>
              <w:t>, nomeadamente informações</w:t>
            </w:r>
            <w:r w:rsidRPr="002B5B1B">
              <w:rPr>
                <w:b/>
                <w:i/>
              </w:rPr>
              <w:t xml:space="preserve"> provenientes do campo de batalha de zonas de guerra,</w:t>
            </w:r>
            <w:r w:rsidRPr="002B5B1B">
              <w:t xml:space="preserve"> sobre terroristas e criminosos suspeitos e condenados.</w:t>
            </w:r>
            <w:r w:rsidRPr="002B5B1B">
              <w:rPr>
                <w:b/>
                <w:i/>
              </w:rPr>
              <w:t xml:space="preserve"> Muitas vezes não é possível fazer pleno uso desses dados porque nem sempre estão disponíveis para as autoridades de aplicação da lei competentes do</w:t>
            </w:r>
            <w:r w:rsidRPr="002B5B1B">
              <w:rPr>
                <w:b/>
                <w:i/>
              </w:rPr>
              <w:t>s Estados-Membros</w:t>
            </w:r>
            <w:r w:rsidRPr="002B5B1B">
              <w:t xml:space="preserve">. É necessário incluir no quadro jurídico de Prüm os dados provenientes de países terceiros conservados na Europol e disponibilizá-los às autoridades de aplicação da lei </w:t>
            </w:r>
            <w:r w:rsidRPr="002B5B1B">
              <w:rPr>
                <w:b/>
                <w:i/>
              </w:rPr>
              <w:t>competentes</w:t>
            </w:r>
            <w:r w:rsidRPr="002B5B1B">
              <w:t>, a fim de melhorar a prevenção e a investigação de infraç</w:t>
            </w:r>
            <w:r w:rsidRPr="002B5B1B">
              <w:t xml:space="preserve">ões penais. Este processo contribui igualmente para a criação de sinergias </w:t>
            </w:r>
            <w:r w:rsidRPr="002B5B1B">
              <w:lastRenderedPageBreak/>
              <w:t xml:space="preserve">entre os diferentes instrumentos de aplicação da lei </w:t>
            </w:r>
            <w:r w:rsidRPr="002B5B1B">
              <w:rPr>
                <w:b/>
                <w:i/>
              </w:rPr>
              <w:t>e assegura que os dados são utilizados da forma mais eficiente</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(14)</w:t>
            </w:r>
            <w:r w:rsidRPr="002B5B1B">
              <w:tab/>
              <w:t>A Europol deve poder consultar as bases de dados dos Estados-Membros no âmbito do quadro jurídico de Prüm com base nos dad</w:t>
            </w:r>
            <w:r w:rsidRPr="002B5B1B">
              <w:t xml:space="preserve">os recebidos de países terceiros, a fim de estabelecer relações transfronteiras entre processos penais. A possibilidade de utilizar os dados do Prüm, juntamente com outras bases de dados à disposição da Europol, deve permitir a realização de </w:t>
            </w:r>
            <w:r w:rsidRPr="002B5B1B">
              <w:rPr>
                <w:b/>
                <w:i/>
              </w:rPr>
              <w:t>análises</w:t>
            </w:r>
            <w:r w:rsidRPr="002B5B1B">
              <w:t xml:space="preserve"> mais </w:t>
            </w:r>
            <w:r w:rsidRPr="002B5B1B">
              <w:rPr>
                <w:b/>
                <w:i/>
              </w:rPr>
              <w:t>completas e informadas sobre as investigações criminais e permitir</w:t>
            </w:r>
            <w:r w:rsidRPr="002B5B1B">
              <w:t xml:space="preserve"> que a Europol preste um melhor apoio às autoridades de aplicação da lei dos Estados-Membros. Em caso de correspondência entre os dados utilizados para a consulta e os dados conservados nas </w:t>
            </w:r>
            <w:r w:rsidRPr="002B5B1B">
              <w:t xml:space="preserve">bases de dados dos Estados-Membros, os Estados-Membros </w:t>
            </w:r>
            <w:r w:rsidRPr="002B5B1B">
              <w:rPr>
                <w:b/>
                <w:i/>
              </w:rPr>
              <w:t>podem</w:t>
            </w:r>
            <w:r w:rsidRPr="002B5B1B">
              <w:t xml:space="preserve"> transmitir à Europol as informações necessárias para o desempenho das suas funções.</w:t>
            </w:r>
          </w:p>
        </w:tc>
        <w:tc>
          <w:tcPr>
            <w:tcW w:w="4876" w:type="dxa"/>
          </w:tcPr>
          <w:p w:rsidR="003F5BF1" w:rsidRPr="002B5B1B" w:rsidRDefault="00D10947" w:rsidP="00936E24">
            <w:pPr>
              <w:pStyle w:val="Normal6"/>
              <w:rPr>
                <w:szCs w:val="24"/>
              </w:rPr>
            </w:pPr>
            <w:r w:rsidRPr="002B5B1B">
              <w:t>(14)</w:t>
            </w:r>
            <w:r w:rsidRPr="002B5B1B">
              <w:tab/>
              <w:t xml:space="preserve">A Europol deve poder consultar as bases de dados dos Estados-Membros no âmbito do quadro jurídico de Prüm </w:t>
            </w:r>
            <w:r w:rsidRPr="002B5B1B">
              <w:t xml:space="preserve">com base nos dados recebidos de </w:t>
            </w:r>
            <w:r w:rsidRPr="002B5B1B">
              <w:rPr>
                <w:b/>
                <w:i/>
              </w:rPr>
              <w:t>autoridades de</w:t>
            </w:r>
            <w:r w:rsidRPr="002B5B1B">
              <w:t xml:space="preserve"> países terceiros</w:t>
            </w:r>
            <w:r w:rsidRPr="002B5B1B">
              <w:rPr>
                <w:b/>
                <w:i/>
              </w:rPr>
              <w:t>, no pleno respeito das regras e condições previstas no Regulamento (UE) 2016/794</w:t>
            </w:r>
            <w:r w:rsidRPr="002B5B1B">
              <w:t xml:space="preserve">, a fim de estabelecer relações transfronteiras entre processos penais. A possibilidade de utilizar os dados do </w:t>
            </w:r>
            <w:r w:rsidRPr="002B5B1B">
              <w:t xml:space="preserve">Prüm, juntamente com outras bases de dados à disposição da Europol, deve permitir a realização de </w:t>
            </w:r>
            <w:r w:rsidRPr="002B5B1B">
              <w:rPr>
                <w:b/>
                <w:i/>
              </w:rPr>
              <w:t>uma análise</w:t>
            </w:r>
            <w:r w:rsidRPr="002B5B1B">
              <w:t xml:space="preserve"> mais </w:t>
            </w:r>
            <w:r w:rsidRPr="002B5B1B">
              <w:rPr>
                <w:b/>
                <w:i/>
              </w:rPr>
              <w:t>completa e informada, permitindo assim</w:t>
            </w:r>
            <w:r w:rsidRPr="002B5B1B">
              <w:t xml:space="preserve"> que a Europol preste um melhor apoio às autoridades de aplicação da lei </w:t>
            </w:r>
            <w:r w:rsidRPr="002B5B1B">
              <w:rPr>
                <w:b/>
                <w:i/>
              </w:rPr>
              <w:t>competentes</w:t>
            </w:r>
            <w:r w:rsidRPr="002B5B1B">
              <w:t xml:space="preserve"> dos Estados-Membros </w:t>
            </w:r>
            <w:r w:rsidRPr="002B5B1B">
              <w:rPr>
                <w:b/>
                <w:i/>
              </w:rPr>
              <w:t>quando realizam investigações criminais</w:t>
            </w:r>
            <w:r w:rsidRPr="002B5B1B">
              <w:t xml:space="preserve">. Em caso de correspondência entre os dados utilizados para a consulta e os dados conservados nas bases de dados dos Estados-Membros, os Estados-Membros </w:t>
            </w:r>
            <w:r w:rsidRPr="002B5B1B">
              <w:rPr>
                <w:b/>
                <w:i/>
              </w:rPr>
              <w:t>devem ser autorizadas a</w:t>
            </w:r>
            <w:r w:rsidRPr="002B5B1B">
              <w:t xml:space="preserve"> transmitir à Europo</w:t>
            </w:r>
            <w:r w:rsidRPr="002B5B1B">
              <w:t>l as informações necessárias para o desempenho das suas funções.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(15)</w:t>
            </w:r>
            <w:r w:rsidRPr="002B5B1B">
              <w:tab/>
              <w:t xml:space="preserve">As Decisões 2008/615/JAI e 2008/616/JAI preveem uma rede de ligações bilaterais entre as bases de dados nacionais dos Estados-Membros. Em consequência desta arquitetura técnica, cada Estado-Membro </w:t>
            </w:r>
            <w:r w:rsidRPr="002B5B1B">
              <w:rPr>
                <w:b/>
                <w:i/>
              </w:rPr>
              <w:t>deve</w:t>
            </w:r>
            <w:r w:rsidRPr="002B5B1B">
              <w:t xml:space="preserve"> criar, pelo menos, 26 ligações, o que significa u</w:t>
            </w:r>
            <w:r w:rsidRPr="002B5B1B">
              <w:t xml:space="preserve">ma ligação a cada Estado-Membro, por categoria de dados. O encaminhador e o sistema europeu de indexação de ficheiros policiais (EPRIS) estabelecidos pelo presente regulamento </w:t>
            </w:r>
            <w:r w:rsidRPr="002B5B1B">
              <w:rPr>
                <w:b/>
                <w:i/>
              </w:rPr>
              <w:t>devem simplificar</w:t>
            </w:r>
            <w:r w:rsidRPr="002B5B1B">
              <w:t xml:space="preserve"> a arquitetura técnica do quadro jurídico de Prüm e </w:t>
            </w:r>
            <w:r w:rsidRPr="002B5B1B">
              <w:rPr>
                <w:b/>
                <w:i/>
              </w:rPr>
              <w:t>servir</w:t>
            </w:r>
            <w:r w:rsidRPr="002B5B1B">
              <w:t xml:space="preserve"> de p</w:t>
            </w:r>
            <w:r w:rsidRPr="002B5B1B">
              <w:t>ontos de ligação entre todos os Estados-Membros. O encaminhador deve exigir uma única ligação por Estado-Membro em relação aos dados biométricos e o EPRIS deve exigir uma única ligação por Estado-Membro em relação aos ficheiros policiais.</w:t>
            </w:r>
          </w:p>
        </w:tc>
        <w:tc>
          <w:tcPr>
            <w:tcW w:w="4876" w:type="dxa"/>
          </w:tcPr>
          <w:p w:rsidR="003F5BF1" w:rsidRPr="002B5B1B" w:rsidRDefault="00D10947">
            <w:pPr>
              <w:pStyle w:val="Normal6"/>
              <w:rPr>
                <w:szCs w:val="24"/>
              </w:rPr>
            </w:pPr>
            <w:r w:rsidRPr="002B5B1B">
              <w:t>(15)</w:t>
            </w:r>
            <w:r w:rsidRPr="002B5B1B">
              <w:tab/>
              <w:t xml:space="preserve">As </w:t>
            </w:r>
            <w:r w:rsidRPr="002B5B1B">
              <w:t xml:space="preserve">Decisões 2008/615/JAI e 2008/616/JAI preveem uma rede de ligações bilaterais entre as bases de dados nacionais dos Estados-Membros. Em consequência desta arquitetura técnica, cada Estado-Membro </w:t>
            </w:r>
            <w:r w:rsidRPr="002B5B1B">
              <w:rPr>
                <w:b/>
                <w:i/>
              </w:rPr>
              <w:t>teve de</w:t>
            </w:r>
            <w:r w:rsidRPr="002B5B1B">
              <w:t xml:space="preserve"> criar, pelo menos, 26 ligações, o que significa uma li</w:t>
            </w:r>
            <w:r w:rsidRPr="002B5B1B">
              <w:t xml:space="preserve">gação a cada Estado-Membro </w:t>
            </w:r>
            <w:r w:rsidRPr="002B5B1B">
              <w:rPr>
                <w:b/>
                <w:i/>
              </w:rPr>
              <w:t>que participa no intercâmbio automatizado</w:t>
            </w:r>
            <w:r w:rsidRPr="002B5B1B">
              <w:t xml:space="preserve">, por categoria de dados. O encaminhador e o sistema europeu de indexação de ficheiros policiais (EPRIS) estabelecidos pelo presente regulamento </w:t>
            </w:r>
            <w:r w:rsidRPr="002B5B1B">
              <w:rPr>
                <w:b/>
                <w:i/>
              </w:rPr>
              <w:t>simplificam</w:t>
            </w:r>
            <w:r w:rsidRPr="002B5B1B">
              <w:t xml:space="preserve"> a arquitetura técnica do quadro</w:t>
            </w:r>
            <w:r w:rsidRPr="002B5B1B">
              <w:t xml:space="preserve"> jurídico de Prüm e </w:t>
            </w:r>
            <w:r w:rsidRPr="002B5B1B">
              <w:rPr>
                <w:b/>
                <w:i/>
              </w:rPr>
              <w:t>servem</w:t>
            </w:r>
            <w:r w:rsidRPr="002B5B1B">
              <w:t xml:space="preserve"> de pontos de ligação entre todos os Estados-Membros. O encaminhador deve exigir uma única ligação por Estado-Membro em relação aos dados biométricos e o EPRIS deve exigir uma única ligação por Estado-Membro </w:t>
            </w:r>
            <w:r w:rsidRPr="002B5B1B">
              <w:rPr>
                <w:b/>
                <w:i/>
              </w:rPr>
              <w:t>participante</w:t>
            </w:r>
            <w:r w:rsidRPr="002B5B1B">
              <w:t xml:space="preserve"> </w:t>
            </w:r>
            <w:r w:rsidRPr="002B5B1B">
              <w:rPr>
                <w:b/>
                <w:i/>
              </w:rPr>
              <w:t>e à Europ</w:t>
            </w:r>
            <w:r w:rsidRPr="002B5B1B">
              <w:rPr>
                <w:b/>
                <w:i/>
              </w:rPr>
              <w:t>ol</w:t>
            </w:r>
            <w:r w:rsidRPr="002B5B1B">
              <w:t xml:space="preserve"> em relação aos ficheiros policiais.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16</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(16)</w:t>
            </w:r>
            <w:r w:rsidRPr="002B5B1B">
              <w:tab/>
              <w:t xml:space="preserve">O encaminhador deve </w:t>
            </w:r>
            <w:r w:rsidRPr="002B5B1B">
              <w:t>estar ligado ao portal europeu de pesquisa criado pelo artigo 6.º do Regulamento (UE) 2019/817 do Parlamento Europeu e do Conselho</w:t>
            </w:r>
            <w:r w:rsidRPr="002B5B1B">
              <w:rPr>
                <w:vertAlign w:val="superscript"/>
              </w:rPr>
              <w:t>34</w:t>
            </w:r>
            <w:r w:rsidRPr="002B5B1B">
              <w:t xml:space="preserve"> e pelo artigo 6.º do Regulamento (UE) 2019/818 do Parlamento Europeu e do Conselho</w:t>
            </w:r>
            <w:r w:rsidRPr="002B5B1B">
              <w:rPr>
                <w:vertAlign w:val="superscript"/>
              </w:rPr>
              <w:t>35</w:t>
            </w:r>
            <w:r w:rsidRPr="002B5B1B">
              <w:t xml:space="preserve">, a fim de permitir que as autoridades </w:t>
            </w:r>
            <w:r w:rsidRPr="002B5B1B">
              <w:t xml:space="preserve">dos Estados-Membros e a Europol iniciem consultas às bases de dados nacionais ao abrigo do presente regulamento simultaneamente </w:t>
            </w:r>
            <w:r w:rsidRPr="002B5B1B">
              <w:lastRenderedPageBreak/>
              <w:t>para consultas ao repositório comum de dados de identificação criado pelo artigo 17.º do Regulamento (UE) 2019/817 e pelo artigo</w:t>
            </w:r>
            <w:r w:rsidRPr="002B5B1B">
              <w:t> 17.º do Regulamento (UE) 2019/818 para efeitos de aplicação da lei.</w:t>
            </w:r>
          </w:p>
        </w:tc>
        <w:tc>
          <w:tcPr>
            <w:tcW w:w="4876" w:type="dxa"/>
          </w:tcPr>
          <w:p w:rsidR="003F5BF1" w:rsidRPr="002B5B1B" w:rsidRDefault="00D10947" w:rsidP="00D27444">
            <w:pPr>
              <w:pStyle w:val="Normal6"/>
              <w:rPr>
                <w:szCs w:val="24"/>
              </w:rPr>
            </w:pPr>
            <w:r w:rsidRPr="002B5B1B">
              <w:lastRenderedPageBreak/>
              <w:t>(16)</w:t>
            </w:r>
            <w:r w:rsidRPr="002B5B1B">
              <w:tab/>
              <w:t>O encaminhador deve estar ligado ao portal europeu de pesquisa criado pelo artigo 6.º do Regulamento (UE) 2019/817 do Parlamento Europeu e do Conselho</w:t>
            </w:r>
            <w:r w:rsidRPr="002B5B1B">
              <w:rPr>
                <w:vertAlign w:val="superscript"/>
              </w:rPr>
              <w:t>34</w:t>
            </w:r>
            <w:r w:rsidRPr="002B5B1B">
              <w:t xml:space="preserve"> e pelo artigo 6.º do Regulame</w:t>
            </w:r>
            <w:r w:rsidRPr="002B5B1B">
              <w:t>nto (UE) 2019/818 do Parlamento Europeu e do Conselho</w:t>
            </w:r>
            <w:r w:rsidRPr="002B5B1B">
              <w:rPr>
                <w:vertAlign w:val="superscript"/>
              </w:rPr>
              <w:t>35</w:t>
            </w:r>
            <w:r w:rsidRPr="002B5B1B">
              <w:t xml:space="preserve">, a fim de permitir que as autoridades </w:t>
            </w:r>
            <w:r w:rsidRPr="002B5B1B">
              <w:rPr>
                <w:b/>
                <w:i/>
              </w:rPr>
              <w:t>de aplicação da lei competentes</w:t>
            </w:r>
            <w:r w:rsidRPr="002B5B1B">
              <w:t xml:space="preserve"> dos Estados-Membros e a Europol iniciem consultas às bases de dados nacionais ao abrigo do presente </w:t>
            </w:r>
            <w:r w:rsidRPr="002B5B1B">
              <w:lastRenderedPageBreak/>
              <w:t>regulamento simultaneamente pa</w:t>
            </w:r>
            <w:r w:rsidRPr="002B5B1B">
              <w:t xml:space="preserve">ra consultas ao repositório comum de dados de identificação criado pelo artigo 17.º do Regulamento (UE) 2019/817 e pelo artigo 17.º do Regulamento (UE) 2019/818 para efeitos de aplicação da lei. </w:t>
            </w:r>
            <w:r w:rsidRPr="002B5B1B">
              <w:rPr>
                <w:b/>
                <w:i/>
              </w:rPr>
              <w:t xml:space="preserve">Por conseguinte, esses dois regulamentos devem ser alterados </w:t>
            </w:r>
            <w:r w:rsidRPr="002B5B1B">
              <w:rPr>
                <w:b/>
                <w:i/>
              </w:rPr>
              <w:t>em conformidade. O Regulamento (UE) 2019/818 deve ainda ser alterado com vista a permitir a conservação de relatórios e estatísticas do encaminhador no repositório comum de dados de identificação.</w:t>
            </w:r>
          </w:p>
        </w:tc>
      </w:tr>
      <w:tr w:rsidR="008B152A" w:rsidRPr="002B5B1B" w:rsidTr="00D27444">
        <w:trPr>
          <w:jc w:val="center"/>
        </w:trPr>
        <w:tc>
          <w:tcPr>
            <w:tcW w:w="4876" w:type="dxa"/>
          </w:tcPr>
          <w:p w:rsidR="003F5BF1" w:rsidRPr="002B5B1B" w:rsidRDefault="00D10947" w:rsidP="00D27444">
            <w:pPr>
              <w:pStyle w:val="Normal6"/>
            </w:pPr>
            <w:r w:rsidRPr="002B5B1B">
              <w:lastRenderedPageBreak/>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34</w:t>
            </w:r>
            <w:r w:rsidRPr="002B5B1B">
              <w:t xml:space="preserve"> Regulamento (UE)</w:t>
            </w:r>
            <w:r w:rsidRPr="002B5B1B">
              <w:t> 2019/817 do Parlamento Europeu e do Conselho, de 20 de maio de 2019, relativo à criação de um regime de interoperabilidade entre os sistemas de informação da UE no domínio das fronteiras e vistos e que altera os Regulamentos (CE) n.º 767/2008, (UE) 2016/3</w:t>
            </w:r>
            <w:r w:rsidRPr="002B5B1B">
              <w:t>99, (UE) 2017/2226, (UE) 2018/1240, (UE) 2018/1726 e (UE) 2018/1861 do Parlamento Europeu e do Conselho, e as Decisões 2004/512/CE e 2008/633/JAI do Conselho (JO L 135 de 22.5.2019, p. 27).</w:t>
            </w:r>
          </w:p>
        </w:tc>
        <w:tc>
          <w:tcPr>
            <w:tcW w:w="4876" w:type="dxa"/>
          </w:tcPr>
          <w:p w:rsidR="003F5BF1" w:rsidRPr="002B5B1B" w:rsidRDefault="00D10947" w:rsidP="00D27444">
            <w:pPr>
              <w:pStyle w:val="Normal6"/>
              <w:rPr>
                <w:szCs w:val="24"/>
              </w:rPr>
            </w:pPr>
            <w:r w:rsidRPr="002B5B1B">
              <w:rPr>
                <w:vertAlign w:val="superscript"/>
              </w:rPr>
              <w:t>34</w:t>
            </w:r>
            <w:r w:rsidRPr="002B5B1B">
              <w:t xml:space="preserve"> Regulamento (UE) 2019/817 do Parlamento Europeu e do Conselho, </w:t>
            </w:r>
            <w:r w:rsidRPr="002B5B1B">
              <w:t>de 20 de maio de 2019, relativo à criação de um regime de interoperabilidade entre os sistemas de informação da UE no domínio das fronteiras e vistos e que altera os Regulamentos (CE) n.º 767/2008, (UE) 2016/399, (UE) 2017/2226, (UE) 2018/1240, (UE) 2018/1</w:t>
            </w:r>
            <w:r w:rsidRPr="002B5B1B">
              <w:t>726 e (UE) 2018/1861 do Parlamento Europeu e do Conselho, e as Decisões 2004/512/CE e 2008/633/JAI do Conselho (JO L 135 de 22.5.2019, p. 27).</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35</w:t>
            </w:r>
            <w:r w:rsidRPr="002B5B1B">
              <w:t xml:space="preserve"> Regulamento (UE) 2019/818 do Parlamento Europeu e do Conselho, de 20 de maio de 2019, relativo à criação de u</w:t>
            </w:r>
            <w:r w:rsidRPr="002B5B1B">
              <w:t>m regime de interoperabilidade entre os sistemas de informação da UE no domínio da cooperação policial e judiciária, asilo e migração, e que altera os Regulamentos (UE) 2018/1726, (UE) 2018/1862 e (UE) 2019/816 (OJ L 135, 22.5.2019, p. 85).</w:t>
            </w:r>
          </w:p>
        </w:tc>
        <w:tc>
          <w:tcPr>
            <w:tcW w:w="4876" w:type="dxa"/>
          </w:tcPr>
          <w:p w:rsidR="003F5BF1" w:rsidRPr="002B5B1B" w:rsidRDefault="00D10947" w:rsidP="00D27444">
            <w:pPr>
              <w:pStyle w:val="Normal6"/>
              <w:rPr>
                <w:szCs w:val="24"/>
              </w:rPr>
            </w:pPr>
            <w:r w:rsidRPr="002B5B1B">
              <w:rPr>
                <w:vertAlign w:val="superscript"/>
              </w:rPr>
              <w:t>35</w:t>
            </w:r>
            <w:r w:rsidRPr="002B5B1B">
              <w:t xml:space="preserve"> Regulamento </w:t>
            </w:r>
            <w:r w:rsidRPr="002B5B1B">
              <w:t>(UE) 2019/818 do Parlamento Europeu e do Conselho, de 20 de maio de 2019, relativo à criação de um regime de interoperabilidade entre os sistemas de informação da UE no domínio da cooperação policial e judiciária, asilo e migração, e que altera os Regulame</w:t>
            </w:r>
            <w:r w:rsidRPr="002B5B1B">
              <w:t>ntos (UE) 2018/1726, (UE) 2018/1862 e (UE) 2019/816 (OJ L 135, 22.5.2019, p. 85).</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17</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(17)</w:t>
            </w:r>
            <w:r w:rsidRPr="002B5B1B">
              <w:tab/>
              <w:t xml:space="preserve">Em caso de correspondência entre os dados utilizados para a consulta </w:t>
            </w:r>
            <w:r w:rsidRPr="002B5B1B">
              <w:rPr>
                <w:b/>
                <w:i/>
              </w:rPr>
              <w:t>ou comparação</w:t>
            </w:r>
            <w:r w:rsidRPr="002B5B1B">
              <w:t xml:space="preserve"> e os dados conservados na base de dados nacional do ou dos Estados-Membros requeridos, e após confirmação dessa correspondência pelo Estado-Membro r</w:t>
            </w:r>
            <w:r w:rsidRPr="002B5B1B">
              <w:t xml:space="preserve">equerente, o Estado-Membro requerido deve enviar um conjunto limitado de dados de base através do encaminhador no prazo de 24 horas. O prazo </w:t>
            </w:r>
            <w:r w:rsidRPr="002B5B1B">
              <w:rPr>
                <w:b/>
                <w:i/>
              </w:rPr>
              <w:t>garantiria</w:t>
            </w:r>
            <w:r w:rsidRPr="002B5B1B">
              <w:t xml:space="preserve"> um rápido intercâmbio de comunicação entre as autoridades dos Estados-Membros. Os Estados-Membros devem </w:t>
            </w:r>
            <w:r w:rsidRPr="002B5B1B">
              <w:t xml:space="preserve">manter o controlo da divulgação deste conjunto limitado de dados de base. Importa conservar um certo grau de intervenção humana em pontos fundamentais do processo, </w:t>
            </w:r>
            <w:r w:rsidRPr="002B5B1B">
              <w:rPr>
                <w:b/>
                <w:i/>
              </w:rPr>
              <w:t>inclusive no atinente à</w:t>
            </w:r>
            <w:r w:rsidRPr="002B5B1B">
              <w:t xml:space="preserve"> decisão de divulgar dados pessoais ao Estado-Membro requerente, a fi</w:t>
            </w:r>
            <w:r w:rsidRPr="002B5B1B">
              <w:t>m de garantir que não há um intercâmbio automatizado de dados de base.</w:t>
            </w:r>
          </w:p>
        </w:tc>
        <w:tc>
          <w:tcPr>
            <w:tcW w:w="4876" w:type="dxa"/>
          </w:tcPr>
          <w:p w:rsidR="003F5BF1" w:rsidRPr="002B5B1B" w:rsidRDefault="00D10947">
            <w:pPr>
              <w:pStyle w:val="Normal6"/>
              <w:rPr>
                <w:szCs w:val="24"/>
              </w:rPr>
            </w:pPr>
            <w:r w:rsidRPr="002B5B1B">
              <w:t>(17)</w:t>
            </w:r>
            <w:r w:rsidRPr="002B5B1B">
              <w:tab/>
              <w:t>Em caso de correspondência entre os dados utilizados para a consulta e os dados conservados na base de dados nacional do ou dos Estados-Membros requeridos, e após confirmação dessa</w:t>
            </w:r>
            <w:r w:rsidRPr="002B5B1B">
              <w:t xml:space="preserve"> correspondência pelo Estado-Membro requerente, o Estado-Membro requerido deve enviar um conjunto limitado de dados de base</w:t>
            </w:r>
            <w:r w:rsidRPr="002B5B1B">
              <w:rPr>
                <w:b/>
                <w:i/>
              </w:rPr>
              <w:t>, na medida em que estejam disponíveis,</w:t>
            </w:r>
            <w:r w:rsidRPr="002B5B1B">
              <w:t xml:space="preserve"> através do encaminhador no prazo de 24 horas. </w:t>
            </w:r>
            <w:r w:rsidRPr="002B5B1B">
              <w:rPr>
                <w:b/>
                <w:i/>
              </w:rPr>
              <w:t>Se o Estado-Membro requerido necessitar de obte</w:t>
            </w:r>
            <w:r w:rsidRPr="002B5B1B">
              <w:rPr>
                <w:b/>
                <w:i/>
              </w:rPr>
              <w:t>r uma autorização judicial antes da transmissão dos dados de base, o prazo de 24 horas não se aplica e, em vez disso, o Estado-Membro assegura que os dados de base são enviados no prazo de 72 horas.</w:t>
            </w:r>
            <w:r w:rsidRPr="002B5B1B">
              <w:t xml:space="preserve"> O prazo </w:t>
            </w:r>
            <w:r w:rsidRPr="002B5B1B">
              <w:rPr>
                <w:b/>
                <w:i/>
              </w:rPr>
              <w:t>garantirá</w:t>
            </w:r>
            <w:r w:rsidRPr="002B5B1B">
              <w:t xml:space="preserve"> um rápido intercâmbio de comunicação en</w:t>
            </w:r>
            <w:r w:rsidRPr="002B5B1B">
              <w:t xml:space="preserve">tre as autoridades </w:t>
            </w:r>
            <w:r w:rsidRPr="002B5B1B">
              <w:rPr>
                <w:b/>
                <w:i/>
              </w:rPr>
              <w:t>de aplicação da lei competentes</w:t>
            </w:r>
            <w:r w:rsidRPr="002B5B1B">
              <w:t xml:space="preserve"> dos Estados-Membros. Os Estados-Membros devem manter o controlo da divulgação deste conjunto limitado de dados de base. Importa conservar um certo grau de intervenção humana em pontos fundamentais do proce</w:t>
            </w:r>
            <w:r w:rsidRPr="002B5B1B">
              <w:t xml:space="preserve">sso </w:t>
            </w:r>
            <w:r w:rsidRPr="002B5B1B">
              <w:rPr>
                <w:b/>
                <w:i/>
              </w:rPr>
              <w:t>e</w:t>
            </w:r>
            <w:r w:rsidRPr="002B5B1B">
              <w:t xml:space="preserve">, </w:t>
            </w:r>
            <w:r w:rsidRPr="002B5B1B">
              <w:rPr>
                <w:b/>
                <w:i/>
              </w:rPr>
              <w:t>pelo menos, no lançamento do pedido, para efeitos da confirmação da correspondência, do lançamento de um pedido de receção de dados de base após a confirmação da correspondência, e da</w:t>
            </w:r>
            <w:r w:rsidRPr="002B5B1B">
              <w:t xml:space="preserve"> decisão de divulgar dados pessoais ao Estado-Membro requerente, a</w:t>
            </w:r>
            <w:r w:rsidRPr="002B5B1B">
              <w:t xml:space="preserve"> fim de garantir que não há um intercâmbio automatizado de dados de base.</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18</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(18)</w:t>
            </w:r>
            <w:r w:rsidRPr="002B5B1B">
              <w:rPr>
                <w:b/>
                <w:i/>
              </w:rPr>
              <w:tab/>
              <w:t>Os intercâmbios entre as autoridades dos Estados-Membros ou com a Europol, em qualquer fase de um dos processos descritos no presente regulamento, que não sejam explicitamente descritos no presente regulamento devem realizar-se através da S</w:t>
            </w:r>
            <w:r w:rsidRPr="002B5B1B">
              <w:rPr>
                <w:b/>
                <w:i/>
              </w:rPr>
              <w:t>IENA, a fim de garantir que todos os Estados-Membros utilizam um canal de comunicação comum, seguro e fiável.</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19</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(19)</w:t>
            </w:r>
            <w:r w:rsidRPr="002B5B1B">
              <w:tab/>
              <w:t>Deve utilizar-se a norma do formato de mensagem universal (UMF) no desenvolvimento do encaminhador e do EPRIS</w:t>
            </w:r>
            <w:r w:rsidRPr="002B5B1B">
              <w:rPr>
                <w:b/>
                <w:i/>
              </w:rPr>
              <w:t>. Os</w:t>
            </w:r>
            <w:r w:rsidRPr="002B5B1B">
              <w:t xml:space="preserve"> intercâmbios automatizados de dados nos termos do presente regulamento </w:t>
            </w:r>
            <w:r w:rsidRPr="002B5B1B">
              <w:rPr>
                <w:b/>
                <w:i/>
              </w:rPr>
              <w:t>devem uti</w:t>
            </w:r>
            <w:r w:rsidRPr="002B5B1B">
              <w:rPr>
                <w:b/>
                <w:i/>
              </w:rPr>
              <w:t>lizar a norma UMF</w:t>
            </w:r>
            <w:r w:rsidRPr="002B5B1B">
              <w:t>. As autoridades dos Estados-Membros e a Europol são incentivadas a utilizar a norma UMF igualmente em relação a qualquer outro intercâmbio de dados entre si, no contexto do quadro jurídico de Prüm II. A norma UMF deve constituir a norma p</w:t>
            </w:r>
            <w:r w:rsidRPr="002B5B1B">
              <w:t>ara o intercâmbio de informações transfronteiriço estruturado entre os sistemas de informação, as autoridades ou as organizações no domínio da Justiça e Assuntos Internos.</w:t>
            </w:r>
          </w:p>
        </w:tc>
        <w:tc>
          <w:tcPr>
            <w:tcW w:w="4876" w:type="dxa"/>
          </w:tcPr>
          <w:p w:rsidR="003F5BF1" w:rsidRPr="002B5B1B" w:rsidRDefault="00D10947">
            <w:pPr>
              <w:pStyle w:val="Normal6"/>
              <w:rPr>
                <w:szCs w:val="24"/>
              </w:rPr>
            </w:pPr>
            <w:r w:rsidRPr="002B5B1B">
              <w:t>(19)</w:t>
            </w:r>
            <w:r w:rsidRPr="002B5B1B">
              <w:tab/>
            </w:r>
            <w:r w:rsidRPr="002B5B1B">
              <w:rPr>
                <w:b/>
                <w:i/>
              </w:rPr>
              <w:t>Na medida em que for aplicável,</w:t>
            </w:r>
            <w:r w:rsidRPr="002B5B1B">
              <w:t xml:space="preserve"> deve utilizar-se a norma do formato de mensagem</w:t>
            </w:r>
            <w:r w:rsidRPr="002B5B1B">
              <w:t xml:space="preserve"> universal (UMF) no desenvolvimento do encaminhador e do EPRIS </w:t>
            </w:r>
            <w:r w:rsidRPr="002B5B1B">
              <w:rPr>
                <w:b/>
                <w:i/>
              </w:rPr>
              <w:t>e nos</w:t>
            </w:r>
            <w:r w:rsidRPr="002B5B1B">
              <w:t xml:space="preserve"> intercâmbios automatizados de dados nos termos do presente regulamento. As autoridades </w:t>
            </w:r>
            <w:r w:rsidRPr="002B5B1B">
              <w:rPr>
                <w:b/>
                <w:i/>
              </w:rPr>
              <w:t>de aplicação da lei competentes</w:t>
            </w:r>
            <w:r w:rsidRPr="002B5B1B">
              <w:t xml:space="preserve"> dos Estados-Membros e a Europol são incentivadas a utilizar a norma </w:t>
            </w:r>
            <w:r w:rsidRPr="002B5B1B">
              <w:t>UMF igualmente em relação a qualquer outro intercâmbio de dados entre si, no contexto do quadro jurídico de Prüm II. A norma UMF deve constituir a norma para o intercâmbio de informações transfronteiriço estruturado entre os sistemas de informação, as auto</w:t>
            </w:r>
            <w:r w:rsidRPr="002B5B1B">
              <w:t>ridades ou as organizações no domínio da Justiça e Assuntos Internos.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21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(21)</w:t>
            </w:r>
            <w:r w:rsidRPr="002B5B1B">
              <w:tab/>
              <w:t xml:space="preserve">O presente regulamento não pode cobrir exaustivamente determinados aspetos do quadro jurídico de Prüm II em razão da natureza técnica, altamente pormenorizada e em frequente evolução destes últimos. Estes aspetos incluem, por exemplo, </w:t>
            </w:r>
            <w:r w:rsidRPr="002B5B1B">
              <w:rPr>
                <w:b/>
                <w:i/>
              </w:rPr>
              <w:t>espec</w:t>
            </w:r>
            <w:r w:rsidRPr="002B5B1B">
              <w:rPr>
                <w:b/>
                <w:i/>
              </w:rPr>
              <w:t>ificações e</w:t>
            </w:r>
            <w:r w:rsidRPr="002B5B1B">
              <w:t xml:space="preserve"> disposições técnicas para os procedimentos de consulta automatizada, as normas para o intercâmbio de dados e os elementos de dados a partilhar. Devem ser atribuídas competências de execução à Comissão, a fim de assegurar condições uniformes par</w:t>
            </w:r>
            <w:r w:rsidRPr="002B5B1B">
              <w:t>a a aplicação do presente regulamento. Essas competências devem ser exercidas em conformidade com o Regulamento (UE) n.º 182/2011 do Parlamento Europeu e do Conselho</w:t>
            </w:r>
            <w:r w:rsidRPr="002B5B1B">
              <w:rPr>
                <w:vertAlign w:val="superscript"/>
              </w:rPr>
              <w:t>36</w:t>
            </w:r>
            <w:r w:rsidRPr="002B5B1B">
              <w:t>.</w:t>
            </w:r>
          </w:p>
        </w:tc>
        <w:tc>
          <w:tcPr>
            <w:tcW w:w="4876" w:type="dxa"/>
          </w:tcPr>
          <w:p w:rsidR="003F5BF1" w:rsidRPr="002B5B1B" w:rsidRDefault="00D10947" w:rsidP="00D27444">
            <w:pPr>
              <w:pStyle w:val="Normal6"/>
              <w:rPr>
                <w:szCs w:val="24"/>
              </w:rPr>
            </w:pPr>
            <w:r w:rsidRPr="002B5B1B">
              <w:t>(21)</w:t>
            </w:r>
            <w:r w:rsidRPr="002B5B1B">
              <w:tab/>
              <w:t>O presente regulamento não pode cobrir exaustivamente determinados aspetos do quad</w:t>
            </w:r>
            <w:r w:rsidRPr="002B5B1B">
              <w:t>ro jurídico de Prüm II em razão da natureza técnica, altamente pormenorizada e em frequente evolução destes últimos. Estes aspetos incluem, por exemplo, disposições técnicas para os procedimentos de consulta automatizada, as normas</w:t>
            </w:r>
            <w:r w:rsidRPr="002B5B1B">
              <w:rPr>
                <w:b/>
                <w:i/>
              </w:rPr>
              <w:t>, incluindo normas mínima</w:t>
            </w:r>
            <w:r w:rsidRPr="002B5B1B">
              <w:rPr>
                <w:b/>
                <w:i/>
              </w:rPr>
              <w:t>s de qualidade,</w:t>
            </w:r>
            <w:r w:rsidRPr="002B5B1B">
              <w:t xml:space="preserve"> para o intercâmbio de dados e os elementos de dados a partilhar. Devem ser atribuídas competências de execução à Comissão, a fim de assegurar condições uniformes para a aplicação do presente regulamento. Essas competências devem ser exercid</w:t>
            </w:r>
            <w:r w:rsidRPr="002B5B1B">
              <w:t>as em conformidade com o Regulamento (UE) n.º 182/2011 do Parlamento Europeu e do Conselho</w:t>
            </w:r>
            <w:r w:rsidRPr="002B5B1B">
              <w:rPr>
                <w:vertAlign w:val="superscript"/>
              </w:rPr>
              <w:t>36</w:t>
            </w:r>
            <w:r w:rsidRPr="002B5B1B">
              <w:t>.</w:t>
            </w:r>
          </w:p>
        </w:tc>
      </w:tr>
      <w:tr w:rsidR="008B152A" w:rsidRPr="002B5B1B" w:rsidTr="00D27444">
        <w:trPr>
          <w:jc w:val="center"/>
        </w:trPr>
        <w:tc>
          <w:tcPr>
            <w:tcW w:w="4876" w:type="dxa"/>
          </w:tcPr>
          <w:p w:rsidR="003F5BF1" w:rsidRPr="002B5B1B" w:rsidRDefault="00D10947" w:rsidP="00D27444">
            <w:pPr>
              <w:pStyle w:val="Normal6"/>
            </w:pPr>
            <w:r w:rsidRPr="002B5B1B">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36</w:t>
            </w:r>
            <w:r w:rsidRPr="002B5B1B">
              <w:t xml:space="preserve"> Regulamento (UE) n.º 182/2011 do Parlamento Europeu e do Conselho, de 16 de fevereiro de 2011, que estabelece as regras</w:t>
            </w:r>
            <w:r w:rsidRPr="002B5B1B">
              <w:t xml:space="preserve"> e os princípios gerais relativos aos mecanismos de controlo pelos Estados-Membros do exercício das competências de execução pela Comissão (JO L 55 de 28.2.2011, p. 13).</w:t>
            </w:r>
          </w:p>
        </w:tc>
        <w:tc>
          <w:tcPr>
            <w:tcW w:w="4876" w:type="dxa"/>
          </w:tcPr>
          <w:p w:rsidR="003F5BF1" w:rsidRPr="002B5B1B" w:rsidRDefault="00D10947" w:rsidP="00D27444">
            <w:pPr>
              <w:pStyle w:val="Normal6"/>
              <w:rPr>
                <w:szCs w:val="24"/>
              </w:rPr>
            </w:pPr>
            <w:r w:rsidRPr="002B5B1B">
              <w:rPr>
                <w:vertAlign w:val="superscript"/>
              </w:rPr>
              <w:t>36</w:t>
            </w:r>
            <w:r w:rsidRPr="002B5B1B">
              <w:t xml:space="preserve"> Regulamento (UE) n.º 182/2011 do Parlamento Europeu e do Conselho, de 16 de fevereiro de 2011, que estabelece as regras e os princípios gerais relativos aos mecanismos de controlo pelos Estados-Membros do exercício das competências de execução pela Comiss</w:t>
            </w:r>
            <w:r w:rsidRPr="002B5B1B">
              <w:t>ão (JO L 55 de 28.2.2011, p. 13).</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23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(23)</w:t>
            </w:r>
            <w:r w:rsidRPr="002B5B1B">
              <w:tab/>
              <w:t xml:space="preserve">Uma vez que o encaminhador </w:t>
            </w:r>
            <w:r w:rsidRPr="002B5B1B">
              <w:t xml:space="preserve">deve ser desenvolvido e gerido pela Agência da </w:t>
            </w:r>
            <w:r w:rsidRPr="002B5B1B">
              <w:lastRenderedPageBreak/>
              <w:t>União Europeia para a Gestão Operacional de Sistemas Informáticos de Grande Escala no Espaço de Liberdade, Segurança e Justiça criada pelo Regulamento (UE) 2018/1726 do Parlamento Europeu e do Conselho</w:t>
            </w:r>
            <w:r w:rsidRPr="002B5B1B">
              <w:rPr>
                <w:vertAlign w:val="superscript"/>
              </w:rPr>
              <w:t>37</w:t>
            </w:r>
            <w:r w:rsidRPr="002B5B1B">
              <w:t xml:space="preserve"> (eu-L</w:t>
            </w:r>
            <w:r w:rsidRPr="002B5B1B">
              <w:t xml:space="preserve">ISA), é necessário alterar o Regulamento (UE) 2018/1726, </w:t>
            </w:r>
            <w:r w:rsidRPr="002B5B1B">
              <w:rPr>
                <w:b/>
                <w:i/>
              </w:rPr>
              <w:t>acrescentando</w:t>
            </w:r>
            <w:r w:rsidRPr="002B5B1B">
              <w:t xml:space="preserve"> essa atribuição às funções da eu-LISA. </w:t>
            </w:r>
            <w:r w:rsidRPr="002B5B1B">
              <w:rPr>
                <w:b/>
                <w:i/>
              </w:rPr>
              <w:t>A fim de permitir a ligação do encaminhador ao portal europeu de pesquisa para efetuar consultas simultâneas ao encaminhador e ao repositório comu</w:t>
            </w:r>
            <w:r w:rsidRPr="002B5B1B">
              <w:rPr>
                <w:b/>
                <w:i/>
              </w:rPr>
              <w:t>m de dados de identificação, é necessário alterar o Regulamento (UE) 2019/817. A fim de permitir que o encaminhador seja ligado ao portal europeu de pesquisa para efetuar consultas simultâneas ao encaminhador e ao repositório comum de dados de identificaçã</w:t>
            </w:r>
            <w:r w:rsidRPr="002B5B1B">
              <w:rPr>
                <w:b/>
                <w:i/>
              </w:rPr>
              <w:t>o, bem como para conservar relatórios e estatísticas do encaminhador no repositório central para a elaboração de relatórios e estatísticas, é necessário alterar o Regulamento (UE) 2019/818. Os referidos regulamentos devem, por conseguinte, ser alterados em</w:t>
            </w:r>
            <w:r w:rsidRPr="002B5B1B">
              <w:rPr>
                <w:b/>
                <w:i/>
              </w:rPr>
              <w:t xml:space="preserve"> conformidade.</w:t>
            </w:r>
          </w:p>
        </w:tc>
        <w:tc>
          <w:tcPr>
            <w:tcW w:w="4876" w:type="dxa"/>
          </w:tcPr>
          <w:p w:rsidR="003F5BF1" w:rsidRPr="002B5B1B" w:rsidRDefault="00D10947" w:rsidP="00D27444">
            <w:pPr>
              <w:pStyle w:val="Normal6"/>
              <w:rPr>
                <w:szCs w:val="24"/>
              </w:rPr>
            </w:pPr>
            <w:r w:rsidRPr="002B5B1B">
              <w:lastRenderedPageBreak/>
              <w:t>(23)</w:t>
            </w:r>
            <w:r w:rsidRPr="002B5B1B">
              <w:tab/>
              <w:t xml:space="preserve">Uma vez que o encaminhador deve ser desenvolvido e gerido pela Agência da </w:t>
            </w:r>
            <w:r w:rsidRPr="002B5B1B">
              <w:lastRenderedPageBreak/>
              <w:t>União Europeia para a Gestão Operacional de Sistemas Informáticos de Grande Escala no Espaço de Liberdade, Segurança e Justiça criada pelo Regulamento (UE) 2018/1</w:t>
            </w:r>
            <w:r w:rsidRPr="002B5B1B">
              <w:t>726 do Parlamento Europeu e do Conselho</w:t>
            </w:r>
            <w:r w:rsidRPr="002B5B1B">
              <w:rPr>
                <w:vertAlign w:val="superscript"/>
              </w:rPr>
              <w:t>37</w:t>
            </w:r>
            <w:r w:rsidRPr="002B5B1B">
              <w:t xml:space="preserve"> (eu-LISA), é necessário alterar o Regulamento (UE) 2018/1726, </w:t>
            </w:r>
            <w:r w:rsidRPr="002B5B1B">
              <w:rPr>
                <w:b/>
                <w:i/>
              </w:rPr>
              <w:t>a fim de acrescentar</w:t>
            </w:r>
            <w:r w:rsidRPr="002B5B1B">
              <w:t xml:space="preserve"> essa atribuição às funções da eu-LISA.</w:t>
            </w:r>
          </w:p>
        </w:tc>
      </w:tr>
      <w:tr w:rsidR="008B152A" w:rsidRPr="002B5B1B" w:rsidTr="00D27444">
        <w:trPr>
          <w:jc w:val="center"/>
        </w:trPr>
        <w:tc>
          <w:tcPr>
            <w:tcW w:w="4876" w:type="dxa"/>
          </w:tcPr>
          <w:p w:rsidR="003F5BF1" w:rsidRPr="002B5B1B" w:rsidRDefault="00D10947" w:rsidP="00D27444">
            <w:pPr>
              <w:pStyle w:val="Normal6"/>
            </w:pPr>
            <w:r w:rsidRPr="002B5B1B">
              <w:lastRenderedPageBreak/>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37</w:t>
            </w:r>
            <w:r w:rsidRPr="002B5B1B">
              <w:t xml:space="preserve"> Regulamento (UE) 2018/1726 do Parlamento Europeu </w:t>
            </w:r>
            <w:r w:rsidRPr="002B5B1B">
              <w:t>e do Conselho, de 14 de novembro de 2018, relativo à Agência da União Europeia para a Gestão Operacional de Sistemas Informáticos de Grande Escala no Espaço de Liberdade, Segurança e Justiça (eu-LISA), que altera o Regulamento (CE) n.º 1987/2006 e a Decisã</w:t>
            </w:r>
            <w:r w:rsidRPr="002B5B1B">
              <w:t>o 2007/533/JAI do Conselho, e que revoga o Regulamento (UE) n.º 1077/2011 (JO L 295 de 21.11.2018, p. 99).</w:t>
            </w:r>
          </w:p>
        </w:tc>
        <w:tc>
          <w:tcPr>
            <w:tcW w:w="4876" w:type="dxa"/>
          </w:tcPr>
          <w:p w:rsidR="003F5BF1" w:rsidRPr="002B5B1B" w:rsidRDefault="00D10947" w:rsidP="00D27444">
            <w:pPr>
              <w:pStyle w:val="Normal6"/>
              <w:rPr>
                <w:szCs w:val="24"/>
              </w:rPr>
            </w:pPr>
            <w:r w:rsidRPr="002B5B1B">
              <w:rPr>
                <w:vertAlign w:val="superscript"/>
              </w:rPr>
              <w:t>37</w:t>
            </w:r>
            <w:r w:rsidRPr="002B5B1B">
              <w:t xml:space="preserve"> Regulamento (UE) 2018/1726 do Parlamento Europeu e do Conselho, de 14 de novembro de 2018, relativo à Agência da União Europeia para a Gestão Oper</w:t>
            </w:r>
            <w:r w:rsidRPr="002B5B1B">
              <w:t>acional de Sistemas Informáticos de Grande Escala no Espaço de Liberdade, Segurança e Justiça (eu-LISA), que altera o Regulamento (CE) n.º 1987/2006 e a Decisão 2007/533/JAI do Conselho, e que revoga o Regulamento (UE) n.º 1077/2011 (JO L 295 de 21.11.2018</w:t>
            </w:r>
            <w:r w:rsidRPr="002B5B1B">
              <w:t>, p. 99).</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23-A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36E24">
            <w:pPr>
              <w:pStyle w:val="Normal6"/>
              <w:rPr>
                <w:szCs w:val="24"/>
              </w:rPr>
            </w:pPr>
            <w:r w:rsidRPr="002B5B1B">
              <w:rPr>
                <w:b/>
                <w:i/>
              </w:rPr>
              <w:t>(23-A)</w:t>
            </w:r>
            <w:r w:rsidRPr="002B5B1B">
              <w:rPr>
                <w:b/>
                <w:i/>
              </w:rPr>
              <w:tab/>
              <w:t>Atendendo a que os objetivos do presente</w:t>
            </w:r>
            <w:r w:rsidRPr="002B5B1B">
              <w:rPr>
                <w:b/>
                <w:i/>
              </w:rPr>
              <w:t xml:space="preserve"> regulamento, a saber, reforçar a cooperação policial transfronteiriça e permitir que as autoridades de aplicação da lei competentes dos Estados-Membros efetuem buscas de pessoas desaparecidas e de restos mortais humanos não identificados, não podem ser su</w:t>
            </w:r>
            <w:r w:rsidRPr="002B5B1B">
              <w:rPr>
                <w:b/>
                <w:i/>
              </w:rPr>
              <w:t>ficientemente alcançados pelos Estados-Membros, mas podem, devido à dimensão e efeitos da ação, ser mais bem alcançados ao nível da União, esta pode tomar medidas em conformidade com o princípio da subsidiariedade consagrado no artigo 5.º do Tratado da Uni</w:t>
            </w:r>
            <w:r w:rsidRPr="002B5B1B">
              <w:rPr>
                <w:b/>
                <w:i/>
              </w:rPr>
              <w:t>ão Europeia. Em conformidade com o princípio da proporcionalidade consagrado no mesmo artigo, o presente regulamento não excede o necessário para alcançar esses objetivos.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w:t>
      </w:r>
      <w:r w:rsidRPr="002B5B1B">
        <w:rPr>
          <w:rStyle w:val="HideTWBExt"/>
          <w:b w:val="0"/>
          <w:noProof w:val="0"/>
        </w:rPr>
        <w:t>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Considerando 26</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(26)</w:t>
            </w:r>
            <w:r w:rsidRPr="002B5B1B">
              <w:tab/>
              <w:t xml:space="preserve">A Autoridade Europeia para a Proteção de Dados foi consultada nos termos do disposto no artigo 42.º, n.º 1, do Regulamento (UE) 2018/1725 do </w:t>
            </w:r>
            <w:r w:rsidRPr="002B5B1B">
              <w:t>Parlamento Europeu e do Conselho</w:t>
            </w:r>
            <w:r w:rsidRPr="002B5B1B">
              <w:rPr>
                <w:vertAlign w:val="superscript"/>
              </w:rPr>
              <w:t>38</w:t>
            </w:r>
            <w:r w:rsidRPr="002B5B1B">
              <w:t xml:space="preserve"> e emitiu parecer em </w:t>
            </w:r>
            <w:r w:rsidRPr="002B5B1B">
              <w:rPr>
                <w:b/>
                <w:i/>
              </w:rPr>
              <w:t>[XX]</w:t>
            </w:r>
            <w:r w:rsidRPr="002B5B1B">
              <w:rPr>
                <w:vertAlign w:val="superscript"/>
              </w:rPr>
              <w:t>39</w:t>
            </w:r>
            <w:r w:rsidRPr="002B5B1B">
              <w:t>,</w:t>
            </w:r>
          </w:p>
        </w:tc>
        <w:tc>
          <w:tcPr>
            <w:tcW w:w="4876" w:type="dxa"/>
          </w:tcPr>
          <w:p w:rsidR="003F5BF1" w:rsidRPr="002B5B1B" w:rsidRDefault="00D10947" w:rsidP="00D27444">
            <w:pPr>
              <w:pStyle w:val="Normal6"/>
              <w:rPr>
                <w:szCs w:val="24"/>
              </w:rPr>
            </w:pPr>
            <w:r w:rsidRPr="002B5B1B">
              <w:t>(26)</w:t>
            </w:r>
            <w:r w:rsidRPr="002B5B1B">
              <w:tab/>
              <w:t>A Autoridade Europeia para a Proteção de Dados foi consultada nos termos do disposto no artigo 42.º, n.º 1, do Regulamento (UE) 2018/1725 do Parlamento Europeu e do Conselho</w:t>
            </w:r>
            <w:r w:rsidRPr="002B5B1B">
              <w:rPr>
                <w:vertAlign w:val="superscript"/>
              </w:rPr>
              <w:t>38</w:t>
            </w:r>
            <w:r w:rsidRPr="002B5B1B">
              <w:t xml:space="preserve"> e emitiu par</w:t>
            </w:r>
            <w:r w:rsidRPr="002B5B1B">
              <w:t xml:space="preserve">ecer em </w:t>
            </w:r>
            <w:r w:rsidRPr="002B5B1B">
              <w:rPr>
                <w:b/>
                <w:i/>
              </w:rPr>
              <w:t>2 de março de 2022</w:t>
            </w:r>
            <w:r w:rsidRPr="002B5B1B">
              <w:rPr>
                <w:vertAlign w:val="superscript"/>
              </w:rPr>
              <w:t>39</w:t>
            </w:r>
            <w:r w:rsidRPr="002B5B1B">
              <w:t>,</w:t>
            </w:r>
          </w:p>
        </w:tc>
      </w:tr>
      <w:tr w:rsidR="008B152A" w:rsidRPr="002B5B1B" w:rsidTr="00D27444">
        <w:trPr>
          <w:jc w:val="center"/>
        </w:trPr>
        <w:tc>
          <w:tcPr>
            <w:tcW w:w="4876" w:type="dxa"/>
          </w:tcPr>
          <w:p w:rsidR="003F5BF1" w:rsidRPr="002B5B1B" w:rsidRDefault="00D10947" w:rsidP="00D27444">
            <w:pPr>
              <w:pStyle w:val="Normal6"/>
            </w:pPr>
            <w:r w:rsidRPr="002B5B1B">
              <w:t>__________________</w:t>
            </w:r>
          </w:p>
        </w:tc>
        <w:tc>
          <w:tcPr>
            <w:tcW w:w="4876" w:type="dxa"/>
          </w:tcPr>
          <w:p w:rsidR="003F5BF1" w:rsidRPr="002B5B1B" w:rsidRDefault="00D10947" w:rsidP="00D27444">
            <w:pPr>
              <w:pStyle w:val="Normal6"/>
              <w:rPr>
                <w:szCs w:val="24"/>
              </w:rPr>
            </w:pPr>
            <w:r w:rsidRPr="002B5B1B">
              <w:t>__________________</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t>38</w:t>
            </w:r>
            <w:r w:rsidRPr="002B5B1B">
              <w:t xml:space="preserve"> Regulamento (UE) 2018/1725 do Parlamento Europeu e do Conselho, de 23 </w:t>
            </w:r>
            <w:r w:rsidRPr="002B5B1B">
              <w:lastRenderedPageBreak/>
              <w:t>de outubro de 2018, relativo à proteção das pessoas singulares no que diz respeito ao tratamento de dados pessoais pelas instituições e pelos órgãos e organismos da União e à livre circ</w:t>
            </w:r>
            <w:r w:rsidRPr="002B5B1B">
              <w:t>ulação desses dados, e que revoga o Regulamento (CE) n.º 45/2001 e a Decisão n.º 1247/2002/CE (JO L 295 de 21.11.2018, p. 39).</w:t>
            </w:r>
          </w:p>
        </w:tc>
        <w:tc>
          <w:tcPr>
            <w:tcW w:w="4876" w:type="dxa"/>
          </w:tcPr>
          <w:p w:rsidR="003F5BF1" w:rsidRPr="002B5B1B" w:rsidRDefault="00D10947" w:rsidP="00D27444">
            <w:pPr>
              <w:pStyle w:val="Normal6"/>
              <w:rPr>
                <w:szCs w:val="24"/>
              </w:rPr>
            </w:pPr>
            <w:r w:rsidRPr="002B5B1B">
              <w:rPr>
                <w:vertAlign w:val="superscript"/>
              </w:rPr>
              <w:lastRenderedPageBreak/>
              <w:t>38</w:t>
            </w:r>
            <w:r w:rsidRPr="002B5B1B">
              <w:t xml:space="preserve"> Regulamento (UE) 2018/1725 do Parlamento Europeu e do Conselho, de 23 </w:t>
            </w:r>
            <w:r w:rsidRPr="002B5B1B">
              <w:lastRenderedPageBreak/>
              <w:t>de outubro de 2018, relativo à proteção das pessoas sing</w:t>
            </w:r>
            <w:r w:rsidRPr="002B5B1B">
              <w:t>ulares no que diz respeito ao tratamento de dados pessoais pelas instituições e pelos órgãos e organismos da União e à livre circulação desses dados, e que revoga o Regulamento (CE) n.º 45/2001 e a Decisão n.º 1247/2002/CE (JO L 295 de 21.11.2018, p. 39).</w:t>
            </w:r>
          </w:p>
        </w:tc>
      </w:tr>
      <w:tr w:rsidR="008B152A" w:rsidRPr="002B5B1B" w:rsidTr="00D27444">
        <w:trPr>
          <w:jc w:val="center"/>
        </w:trPr>
        <w:tc>
          <w:tcPr>
            <w:tcW w:w="4876" w:type="dxa"/>
          </w:tcPr>
          <w:p w:rsidR="003F5BF1" w:rsidRPr="002B5B1B" w:rsidRDefault="00D10947" w:rsidP="00D27444">
            <w:pPr>
              <w:pStyle w:val="Normal6"/>
            </w:pPr>
            <w:r w:rsidRPr="002B5B1B">
              <w:rPr>
                <w:vertAlign w:val="superscript"/>
              </w:rPr>
              <w:lastRenderedPageBreak/>
              <w:t>39</w:t>
            </w:r>
            <w:r w:rsidRPr="002B5B1B">
              <w:t xml:space="preserve"> </w:t>
            </w:r>
            <w:r w:rsidRPr="002B5B1B">
              <w:rPr>
                <w:b/>
                <w:i/>
              </w:rPr>
              <w:t>[JO C …]</w:t>
            </w:r>
            <w:r w:rsidRPr="002B5B1B">
              <w:t>.</w:t>
            </w:r>
          </w:p>
        </w:tc>
        <w:tc>
          <w:tcPr>
            <w:tcW w:w="4876" w:type="dxa"/>
          </w:tcPr>
          <w:p w:rsidR="003F5BF1" w:rsidRPr="002B5B1B" w:rsidRDefault="00D10947" w:rsidP="00D27444">
            <w:pPr>
              <w:pStyle w:val="Normal6"/>
              <w:rPr>
                <w:szCs w:val="24"/>
              </w:rPr>
            </w:pPr>
            <w:r w:rsidRPr="002B5B1B">
              <w:rPr>
                <w:vertAlign w:val="superscript"/>
              </w:rPr>
              <w:t>39</w:t>
            </w:r>
            <w:r w:rsidRPr="002B5B1B">
              <w:t xml:space="preserve"> </w:t>
            </w:r>
            <w:r w:rsidRPr="002B5B1B">
              <w:rPr>
                <w:b/>
                <w:i/>
              </w:rPr>
              <w:t>JO C 225 de 9.6.2022, p</w:t>
            </w:r>
            <w:r w:rsidRPr="002B5B1B">
              <w:t xml:space="preserve">. </w:t>
            </w:r>
            <w:r w:rsidRPr="002B5B1B">
              <w:rPr>
                <w:b/>
                <w:i/>
              </w:rPr>
              <w:t>6</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presente regulamento estabelece um quadro para o intercâmbio de informações entre as autoridades </w:t>
            </w:r>
            <w:r w:rsidRPr="002B5B1B">
              <w:rPr>
                <w:b/>
                <w:i/>
              </w:rPr>
              <w:t>responsáveis pela prevenção ou deteção de infrações penais e das investigações nessa matéria</w:t>
            </w:r>
            <w:r w:rsidRPr="002B5B1B">
              <w:t xml:space="preserve"> (Prüm II).</w:t>
            </w:r>
          </w:p>
        </w:tc>
        <w:tc>
          <w:tcPr>
            <w:tcW w:w="4876" w:type="dxa"/>
          </w:tcPr>
          <w:p w:rsidR="003F5BF1" w:rsidRPr="002B5B1B" w:rsidRDefault="00D10947" w:rsidP="00936E24">
            <w:pPr>
              <w:pStyle w:val="Normal6"/>
              <w:rPr>
                <w:szCs w:val="24"/>
              </w:rPr>
            </w:pPr>
            <w:r w:rsidRPr="002B5B1B">
              <w:t>O presente regulamento estabelece um quadro para o in</w:t>
            </w:r>
            <w:r w:rsidRPr="002B5B1B">
              <w:t xml:space="preserve">tercâmbio de informações entre as autoridades </w:t>
            </w:r>
            <w:r w:rsidRPr="002B5B1B">
              <w:rPr>
                <w:b/>
                <w:i/>
              </w:rPr>
              <w:t>de aplicação da lei competentes dos Estados-Membros</w:t>
            </w:r>
            <w:r w:rsidRPr="002B5B1B">
              <w:t xml:space="preserve"> (Prüm II).</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1 – </w:t>
      </w:r>
      <w:r w:rsidRPr="002B5B1B">
        <w:t>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presente regulamento estabelece as condições e os procedimentos para a consulta automatizada de </w:t>
            </w:r>
            <w:r w:rsidRPr="002B5B1B">
              <w:rPr>
                <w:b/>
                <w:i/>
              </w:rPr>
              <w:t>perfis de ADN, dados dactiloscópicos, imagens faciais</w:t>
            </w:r>
            <w:r w:rsidRPr="002B5B1B">
              <w:t xml:space="preserve">, ficheiros policiais e determinados dados de </w:t>
            </w:r>
            <w:r w:rsidRPr="002B5B1B">
              <w:t>registo de veículos, bem como as regras relativas ao intercâmbio de dados de base na sequência de uma correspondência.</w:t>
            </w:r>
          </w:p>
        </w:tc>
        <w:tc>
          <w:tcPr>
            <w:tcW w:w="4876" w:type="dxa"/>
          </w:tcPr>
          <w:p w:rsidR="003F5BF1" w:rsidRPr="002B5B1B" w:rsidRDefault="00D10947">
            <w:pPr>
              <w:pStyle w:val="Normal6"/>
              <w:rPr>
                <w:szCs w:val="24"/>
              </w:rPr>
            </w:pPr>
            <w:r w:rsidRPr="002B5B1B">
              <w:t xml:space="preserve">O presente regulamento estabelece as condições e os procedimentos para a consulta automatizada de </w:t>
            </w:r>
            <w:r w:rsidRPr="002B5B1B">
              <w:rPr>
                <w:b/>
                <w:i/>
              </w:rPr>
              <w:t>dados biométricos</w:t>
            </w:r>
            <w:r w:rsidRPr="002B5B1B">
              <w:t xml:space="preserve">, ficheiros policiais </w:t>
            </w:r>
            <w:r w:rsidRPr="002B5B1B">
              <w:t xml:space="preserve">e determinados dados de registo de veículos, bem como as regras relativas ao intercâmbio de dados de base na sequência de uma correspondência </w:t>
            </w:r>
            <w:r w:rsidRPr="002B5B1B">
              <w:rPr>
                <w:b/>
                <w:i/>
              </w:rPr>
              <w:t>confirmada de dados biométricos</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w:t>
      </w:r>
      <w:r w:rsidRPr="002B5B1B">
        <w:rPr>
          <w:rStyle w:val="HideTWBExt"/>
          <w:b w:val="0"/>
          <w:noProof w:val="0"/>
        </w:rPr>
        <w:t>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objetivo do Prüm II consiste em reforçar a cooperação transfronteiras nas matérias abrangidas pelo capítulo 5 do título V da parte III do Tratado sobre o Funcionamento da União Europeia, nomeadamente o intercâmbio de informações entre as autoridades </w:t>
            </w:r>
            <w:r w:rsidRPr="002B5B1B">
              <w:rPr>
                <w:b/>
                <w:i/>
              </w:rPr>
              <w:t>resp</w:t>
            </w:r>
            <w:r w:rsidRPr="002B5B1B">
              <w:rPr>
                <w:b/>
                <w:i/>
              </w:rPr>
              <w:t>onsáveis pela prevenção ou deteção de infrações penais e das investigações nessa matéria</w:t>
            </w:r>
            <w:r w:rsidRPr="002B5B1B">
              <w:t>.</w:t>
            </w:r>
          </w:p>
        </w:tc>
        <w:tc>
          <w:tcPr>
            <w:tcW w:w="4876" w:type="dxa"/>
          </w:tcPr>
          <w:p w:rsidR="003F5BF1" w:rsidRPr="002B5B1B" w:rsidRDefault="00D10947" w:rsidP="00936E24">
            <w:pPr>
              <w:pStyle w:val="Normal6"/>
              <w:rPr>
                <w:szCs w:val="24"/>
              </w:rPr>
            </w:pPr>
            <w:r w:rsidRPr="002B5B1B">
              <w:t>O objetivo do Prüm II consiste em reforçar a cooperação transfronteiras nas matérias abrangidas pelo capítulo 5 do título V da parte III do Tratado sobre o Funcioname</w:t>
            </w:r>
            <w:r w:rsidRPr="002B5B1B">
              <w:t xml:space="preserve">nto da União Europeia, nomeadamente o intercâmbio de informações entre as autoridades </w:t>
            </w:r>
            <w:r w:rsidRPr="002B5B1B">
              <w:rPr>
                <w:b/>
                <w:i/>
              </w:rPr>
              <w:t>de aplicação da lei competentes dos Estados-Membros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w:t>
      </w:r>
      <w:r w:rsidRPr="002B5B1B">
        <w:rPr>
          <w:rStyle w:val="HideTWBExt"/>
          <w:b w:val="0"/>
          <w:noProof w:val="0"/>
        </w:rPr>
        <w:t>mend&gt;</w:t>
      </w:r>
    </w:p>
    <w:p w:rsidR="003F5BF1" w:rsidRPr="002B5B1B" w:rsidRDefault="00D10947" w:rsidP="003F5BF1">
      <w:pPr>
        <w:pStyle w:val="NormalBold"/>
      </w:pPr>
      <w:r w:rsidRPr="002B5B1B">
        <w:rPr>
          <w:rStyle w:val="HideTWBExt"/>
          <w:b w:val="0"/>
          <w:noProof w:val="0"/>
        </w:rPr>
        <w:t>&lt;Article&gt;</w:t>
      </w:r>
      <w:r w:rsidRPr="002B5B1B">
        <w:t>Artigo 2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objetivo do Prüm II consiste igualmente em permitir que as autoridades </w:t>
            </w:r>
            <w:r w:rsidRPr="002B5B1B">
              <w:rPr>
                <w:b/>
                <w:i/>
              </w:rPr>
              <w:t>responsáveis pela prevenção ou deteção de infrações penais e das investigações nessa matéria</w:t>
            </w:r>
            <w:r w:rsidRPr="002B5B1B">
              <w:t xml:space="preserve"> efetuem buscas de pessoas desaparecidas e de restos mortais humanos não identificados.</w:t>
            </w:r>
          </w:p>
        </w:tc>
        <w:tc>
          <w:tcPr>
            <w:tcW w:w="4876" w:type="dxa"/>
          </w:tcPr>
          <w:p w:rsidR="003F5BF1" w:rsidRPr="002B5B1B" w:rsidRDefault="00D10947" w:rsidP="00936E24">
            <w:pPr>
              <w:pStyle w:val="Normal6"/>
              <w:rPr>
                <w:szCs w:val="24"/>
              </w:rPr>
            </w:pPr>
            <w:r w:rsidRPr="002B5B1B">
              <w:t xml:space="preserve">O objetivo do Prüm II consiste igualmente em permitir que as autoridades </w:t>
            </w:r>
            <w:r w:rsidRPr="002B5B1B">
              <w:rPr>
                <w:b/>
                <w:i/>
              </w:rPr>
              <w:t>de aplicação da lei competentes dos Estados-Membros</w:t>
            </w:r>
            <w:r w:rsidRPr="002B5B1B">
              <w:t xml:space="preserve"> efetuem buscas de pessoas desaparecidas e </w:t>
            </w:r>
            <w:r w:rsidRPr="002B5B1B">
              <w:rPr>
                <w:b/>
                <w:i/>
              </w:rPr>
              <w:t>a</w:t>
            </w:r>
            <w:r w:rsidRPr="002B5B1B">
              <w:rPr>
                <w:b/>
                <w:i/>
              </w:rPr>
              <w:t xml:space="preserve"> identificação</w:t>
            </w:r>
            <w:r w:rsidRPr="002B5B1B">
              <w:t xml:space="preserve"> de restos mortais humanos não identificados</w:t>
            </w:r>
            <w:r w:rsidRPr="002B5B1B">
              <w:rPr>
                <w:b/>
                <w:i/>
              </w:rPr>
              <w:t>, desde que essas autoridades estejam habilitadas a efetuar tais buscas e identificações ao abrigo da legislação nacional</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presente regulamento é aplicável às bases de dados nacionais utilizadas para a transferência automatizada das categorias de </w:t>
            </w:r>
            <w:r w:rsidRPr="002B5B1B">
              <w:t>perfis de ADN, dados dactiloscópicos, imagens faciais, ficheiros policiais e determinados dados de registo de veículos.</w:t>
            </w:r>
          </w:p>
        </w:tc>
        <w:tc>
          <w:tcPr>
            <w:tcW w:w="4876" w:type="dxa"/>
          </w:tcPr>
          <w:p w:rsidR="003F5BF1" w:rsidRPr="002B5B1B" w:rsidRDefault="00D10947" w:rsidP="00D27444">
            <w:pPr>
              <w:pStyle w:val="Normal6"/>
              <w:rPr>
                <w:szCs w:val="24"/>
              </w:rPr>
            </w:pPr>
            <w:r w:rsidRPr="002B5B1B">
              <w:t xml:space="preserve">O presente regulamento é aplicável às bases de dados nacionais utilizadas para a transferência automatizada das categorias de </w:t>
            </w:r>
            <w:r w:rsidRPr="002B5B1B">
              <w:rPr>
                <w:b/>
                <w:i/>
              </w:rPr>
              <w:t>dados dos</w:t>
            </w:r>
            <w:r w:rsidRPr="002B5B1B">
              <w:t xml:space="preserve"> </w:t>
            </w:r>
            <w:r w:rsidRPr="002B5B1B">
              <w:t>perfis de ADN, dados dactiloscópicos, imagens faciais, ficheiros policiais e determinados dados de registo de veículos.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w:t>
            </w:r>
            <w:r w:rsidRPr="002B5B1B">
              <w:rPr>
                <w:i/>
                <w:iCs/>
              </w:rPr>
              <w:t>Loci</w:t>
            </w:r>
            <w:r w:rsidRPr="002B5B1B">
              <w:t xml:space="preserve">», </w:t>
            </w:r>
            <w:r w:rsidRPr="002B5B1B">
              <w:rPr>
                <w:b/>
                <w:i/>
              </w:rPr>
              <w:t>a estrutura molecular específica presente nos diversos</w:t>
            </w:r>
            <w:r w:rsidRPr="002B5B1B">
              <w:t xml:space="preserve"> segmentos de ADN;</w:t>
            </w:r>
          </w:p>
        </w:tc>
        <w:tc>
          <w:tcPr>
            <w:tcW w:w="4876" w:type="dxa"/>
          </w:tcPr>
          <w:p w:rsidR="003F5BF1" w:rsidRPr="002B5B1B" w:rsidRDefault="00D10947" w:rsidP="00D27444">
            <w:pPr>
              <w:pStyle w:val="Normal6"/>
              <w:rPr>
                <w:szCs w:val="24"/>
              </w:rPr>
            </w:pPr>
            <w:r w:rsidRPr="002B5B1B">
              <w:t>(1)</w:t>
            </w:r>
            <w:r w:rsidRPr="002B5B1B">
              <w:tab/>
              <w:t>«</w:t>
            </w:r>
            <w:r w:rsidRPr="002B5B1B">
              <w:rPr>
                <w:i/>
                <w:iCs/>
              </w:rPr>
              <w:t>Loci</w:t>
            </w:r>
            <w:r w:rsidRPr="002B5B1B">
              <w:t xml:space="preserve">», segmentos de ADN </w:t>
            </w:r>
            <w:r w:rsidRPr="002B5B1B">
              <w:rPr>
                <w:b/>
                <w:i/>
              </w:rPr>
              <w:t xml:space="preserve">que contêm características de identificação de uma amostra de ADN </w:t>
            </w:r>
            <w:r w:rsidRPr="002B5B1B">
              <w:rPr>
                <w:b/>
                <w:i/>
              </w:rPr>
              <w:t>humano analisado</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r>
            <w:r w:rsidRPr="002B5B1B">
              <w:t xml:space="preserve">«Perfil de ADN», um código alfanumérico que representa um conjunto de </w:t>
            </w:r>
            <w:r w:rsidRPr="002B5B1B">
              <w:rPr>
                <w:b/>
                <w:i/>
              </w:rPr>
              <w:t>características de identificação da parte não portadora de códigos de uma amostra de ADN humano analisada, ou seja,</w:t>
            </w:r>
            <w:r w:rsidRPr="002B5B1B">
              <w:t xml:space="preserve"> a estrutura molecular específica presente nos diversos </w:t>
            </w:r>
            <w:r w:rsidRPr="002B5B1B">
              <w:rPr>
                <w:b/>
                <w:i/>
              </w:rPr>
              <w:t>segmentos de AD</w:t>
            </w:r>
            <w:r w:rsidRPr="002B5B1B">
              <w:rPr>
                <w:b/>
                <w:i/>
              </w:rPr>
              <w:t>N</w:t>
            </w:r>
            <w:r w:rsidRPr="002B5B1B">
              <w:t>;</w:t>
            </w:r>
          </w:p>
        </w:tc>
        <w:tc>
          <w:tcPr>
            <w:tcW w:w="4876" w:type="dxa"/>
          </w:tcPr>
          <w:p w:rsidR="003F5BF1" w:rsidRPr="002B5B1B" w:rsidRDefault="00D10947" w:rsidP="00D27444">
            <w:pPr>
              <w:pStyle w:val="Normal6"/>
              <w:rPr>
                <w:szCs w:val="24"/>
              </w:rPr>
            </w:pPr>
            <w:r w:rsidRPr="002B5B1B">
              <w:t>(2)</w:t>
            </w:r>
            <w:r w:rsidRPr="002B5B1B">
              <w:tab/>
              <w:t xml:space="preserve">«Perfil de ADN», um código alfanumérico que representa um conjunto de </w:t>
            </w:r>
            <w:r w:rsidRPr="002B5B1B">
              <w:rPr>
                <w:b/>
                <w:i/>
              </w:rPr>
              <w:t>loci, ou</w:t>
            </w:r>
            <w:r w:rsidRPr="002B5B1B">
              <w:t xml:space="preserve"> a estrutura molecular específica presente nos diversos </w:t>
            </w:r>
            <w:r w:rsidRPr="002B5B1B">
              <w:rPr>
                <w:b/>
                <w:i/>
              </w:rPr>
              <w:t>loci</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(3)</w:t>
            </w:r>
            <w:r w:rsidRPr="002B5B1B">
              <w:rPr>
                <w:b/>
                <w:i/>
              </w:rPr>
              <w:tab/>
              <w:t>«Parte não portadora de códigos de ADN», as zonas de cromossomas sem expressão genética, ou seja, inaptas a fornecer quaisquer propriedades funcio</w:t>
            </w:r>
            <w:r w:rsidRPr="002B5B1B">
              <w:rPr>
                <w:b/>
                <w:i/>
              </w:rPr>
              <w:t>nais de um organismo;</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(5)</w:t>
            </w:r>
            <w:r w:rsidRPr="002B5B1B">
              <w:tab/>
            </w:r>
            <w:r w:rsidRPr="002B5B1B">
              <w:t xml:space="preserve">«Perfil de ADN </w:t>
            </w:r>
            <w:r w:rsidRPr="002B5B1B">
              <w:rPr>
                <w:b/>
                <w:i/>
              </w:rPr>
              <w:t>de referência</w:t>
            </w:r>
            <w:r w:rsidRPr="002B5B1B">
              <w:t>», o perfil de ADN de uma pessoa identificada;</w:t>
            </w:r>
          </w:p>
        </w:tc>
        <w:tc>
          <w:tcPr>
            <w:tcW w:w="4876" w:type="dxa"/>
          </w:tcPr>
          <w:p w:rsidR="003F5BF1" w:rsidRPr="002B5B1B" w:rsidRDefault="00D10947" w:rsidP="00D27444">
            <w:pPr>
              <w:pStyle w:val="Normal6"/>
              <w:rPr>
                <w:szCs w:val="24"/>
              </w:rPr>
            </w:pPr>
            <w:r w:rsidRPr="002B5B1B">
              <w:t>(5)</w:t>
            </w:r>
            <w:r w:rsidRPr="002B5B1B">
              <w:tab/>
              <w:t xml:space="preserve">«Perfil de ADN </w:t>
            </w:r>
            <w:r w:rsidRPr="002B5B1B">
              <w:rPr>
                <w:b/>
                <w:i/>
              </w:rPr>
              <w:t>identificado</w:t>
            </w:r>
            <w:r w:rsidRPr="002B5B1B">
              <w:t>», o perfil de ADN de uma pessoa identificada;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8-B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36E24">
            <w:pPr>
              <w:pStyle w:val="Normal6"/>
              <w:rPr>
                <w:szCs w:val="24"/>
              </w:rPr>
            </w:pPr>
            <w:r w:rsidRPr="002B5B1B">
              <w:rPr>
                <w:b/>
                <w:i/>
              </w:rPr>
              <w:t>(8-B)</w:t>
            </w:r>
            <w:r w:rsidRPr="002B5B1B">
              <w:rPr>
                <w:b/>
                <w:i/>
              </w:rPr>
              <w:tab/>
              <w:t xml:space="preserve">«Dados dactiloscópicos não identificados», dados dactiloscópicos obtidos a partir de vestígios recolhidos durante a investigação de </w:t>
            </w:r>
            <w:r w:rsidRPr="002B5B1B">
              <w:rPr>
                <w:b/>
                <w:i/>
              </w:rPr>
              <w:t>uma infração penal que pertencem a uma pessoa ainda não identificada;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10-A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(10-A)</w:t>
            </w:r>
            <w:r w:rsidRPr="002B5B1B">
              <w:rPr>
                <w:b/>
                <w:i/>
              </w:rPr>
              <w:tab/>
              <w:t>«Dados de referência da imagem facial», a imagem facial e o índice de referência a que se refere o artigo 23.º;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10-C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36E24">
            <w:pPr>
              <w:pStyle w:val="Normal6"/>
              <w:rPr>
                <w:szCs w:val="24"/>
              </w:rPr>
            </w:pPr>
            <w:r w:rsidRPr="002B5B1B">
              <w:rPr>
                <w:b/>
                <w:i/>
              </w:rPr>
              <w:t>(10-C)</w:t>
            </w:r>
            <w:r w:rsidRPr="002B5B1B">
              <w:rPr>
                <w:b/>
                <w:i/>
              </w:rPr>
              <w:tab/>
              <w:t>«Imagem facial não identificada», uma imagem facial recolhida durante a investigação de uma infração penal que pertence a uma pessoa</w:t>
            </w:r>
            <w:r w:rsidRPr="002B5B1B">
              <w:rPr>
                <w:b/>
                <w:i/>
              </w:rPr>
              <w:t xml:space="preserve"> ainda não identificada;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11-A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(11-A)</w:t>
            </w:r>
            <w:r w:rsidRPr="002B5B1B">
              <w:rPr>
                <w:b/>
                <w:i/>
              </w:rPr>
              <w:tab/>
              <w:t xml:space="preserve">«Dados </w:t>
            </w:r>
            <w:r w:rsidRPr="002B5B1B">
              <w:rPr>
                <w:b/>
                <w:i/>
              </w:rPr>
              <w:t>alfanuméricos», os dados representados por letras, dígitos, carateres especiais, espaços e sinais de pontuação;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w:t>
      </w:r>
      <w:r w:rsidRPr="002B5B1B">
        <w:t>arágrafo 1 – ponto 12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(12)</w:t>
            </w:r>
            <w:r w:rsidRPr="002B5B1B">
              <w:tab/>
              <w:t xml:space="preserve">«Correspondência», existência de uma correspondência em resultado de uma comparação automatizada de dados pessoais registados </w:t>
            </w:r>
            <w:r w:rsidRPr="002B5B1B">
              <w:rPr>
                <w:b/>
                <w:i/>
              </w:rPr>
              <w:t>ou em curso de registo</w:t>
            </w:r>
            <w:r w:rsidRPr="002B5B1B">
              <w:t xml:space="preserve"> </w:t>
            </w:r>
            <w:r w:rsidRPr="002B5B1B">
              <w:rPr>
                <w:b/>
                <w:i/>
              </w:rPr>
              <w:t>num sistema de informação ou</w:t>
            </w:r>
            <w:r w:rsidRPr="002B5B1B">
              <w:t xml:space="preserve"> numa base de dados;</w:t>
            </w:r>
          </w:p>
        </w:tc>
        <w:tc>
          <w:tcPr>
            <w:tcW w:w="4876" w:type="dxa"/>
          </w:tcPr>
          <w:p w:rsidR="003F5BF1" w:rsidRPr="002B5B1B" w:rsidRDefault="00D10947" w:rsidP="00D27444">
            <w:pPr>
              <w:pStyle w:val="Normal6"/>
              <w:rPr>
                <w:szCs w:val="24"/>
              </w:rPr>
            </w:pPr>
            <w:r w:rsidRPr="002B5B1B">
              <w:t>(12)</w:t>
            </w:r>
            <w:r w:rsidRPr="002B5B1B">
              <w:tab/>
              <w:t xml:space="preserve">«Correspondência», existência de uma correspondência em resultado de uma comparação automatizada de dados pessoais </w:t>
            </w:r>
            <w:r w:rsidRPr="002B5B1B">
              <w:rPr>
                <w:b/>
                <w:i/>
              </w:rPr>
              <w:t>na posse do Estado-Membro requerente e os dados pessoais</w:t>
            </w:r>
            <w:r w:rsidRPr="002B5B1B">
              <w:t xml:space="preserve"> registados numa base de dados </w:t>
            </w:r>
            <w:r w:rsidRPr="002B5B1B">
              <w:rPr>
                <w:b/>
                <w:i/>
              </w:rPr>
              <w:t>do Estado-Membro requerido</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39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(15)</w:t>
            </w:r>
            <w:r w:rsidRPr="002B5B1B">
              <w:tab/>
              <w:t xml:space="preserve">«Estado-Membro requerido», o Estado-Membro </w:t>
            </w:r>
            <w:r w:rsidRPr="002B5B1B">
              <w:t>em cujas bases de dados o Estado-Membro requerente efetua a consulta através do Prüm II;</w:t>
            </w:r>
          </w:p>
        </w:tc>
        <w:tc>
          <w:tcPr>
            <w:tcW w:w="4876" w:type="dxa"/>
          </w:tcPr>
          <w:p w:rsidR="003F5BF1" w:rsidRPr="002B5B1B" w:rsidRDefault="00D10947" w:rsidP="00D27444">
            <w:pPr>
              <w:pStyle w:val="Normal6"/>
              <w:rPr>
                <w:szCs w:val="24"/>
              </w:rPr>
            </w:pPr>
            <w:r w:rsidRPr="002B5B1B">
              <w:t>(15)</w:t>
            </w:r>
            <w:r w:rsidRPr="002B5B1B">
              <w:tab/>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4 – parágrafo 1 – </w:t>
      </w:r>
      <w:r w:rsidRPr="002B5B1B">
        <w:t>ponto 16</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(16)</w:t>
            </w:r>
            <w:r w:rsidRPr="002B5B1B">
              <w:tab/>
              <w:t xml:space="preserve">«Ficheiros policiais», </w:t>
            </w:r>
            <w:r w:rsidRPr="002B5B1B">
              <w:rPr>
                <w:b/>
                <w:i/>
              </w:rPr>
              <w:t>quaisquer</w:t>
            </w:r>
            <w:r w:rsidRPr="002B5B1B">
              <w:t xml:space="preserve"> informações disponíveis </w:t>
            </w:r>
            <w:r w:rsidRPr="002B5B1B">
              <w:rPr>
                <w:b/>
                <w:i/>
              </w:rPr>
              <w:t>no ou nos registos</w:t>
            </w:r>
            <w:r w:rsidRPr="002B5B1B">
              <w:t xml:space="preserve"> nacionais </w:t>
            </w:r>
            <w:r w:rsidRPr="002B5B1B">
              <w:rPr>
                <w:b/>
                <w:i/>
              </w:rPr>
              <w:t>que documentem dados das autoridades competentes</w:t>
            </w:r>
            <w:r w:rsidRPr="002B5B1B">
              <w:t xml:space="preserve"> para a prevenção ou a deteção de infrações penais e das </w:t>
            </w:r>
            <w:r w:rsidRPr="002B5B1B">
              <w:lastRenderedPageBreak/>
              <w:t>investigaç</w:t>
            </w:r>
            <w:r w:rsidRPr="002B5B1B">
              <w:t>ões nessa matéria;</w:t>
            </w:r>
          </w:p>
        </w:tc>
        <w:tc>
          <w:tcPr>
            <w:tcW w:w="4876" w:type="dxa"/>
          </w:tcPr>
          <w:p w:rsidR="003F5BF1" w:rsidRPr="002B5B1B" w:rsidRDefault="00D10947">
            <w:pPr>
              <w:pStyle w:val="Normal6"/>
              <w:rPr>
                <w:szCs w:val="24"/>
              </w:rPr>
            </w:pPr>
            <w:r w:rsidRPr="002B5B1B">
              <w:lastRenderedPageBreak/>
              <w:t>(16)</w:t>
            </w:r>
            <w:r w:rsidRPr="002B5B1B">
              <w:tab/>
              <w:t xml:space="preserve">«Ficheiros policiais», informações </w:t>
            </w:r>
            <w:r w:rsidRPr="002B5B1B">
              <w:rPr>
                <w:b/>
                <w:i/>
              </w:rPr>
              <w:t>biográficas sobre suspeitos e pessoas condenadas</w:t>
            </w:r>
            <w:r w:rsidRPr="002B5B1B">
              <w:t xml:space="preserve"> disponíveis </w:t>
            </w:r>
            <w:r w:rsidRPr="002B5B1B">
              <w:rPr>
                <w:b/>
                <w:i/>
              </w:rPr>
              <w:t>nas bases de dados</w:t>
            </w:r>
            <w:r w:rsidRPr="002B5B1B">
              <w:t xml:space="preserve"> nacionais </w:t>
            </w:r>
            <w:r w:rsidRPr="002B5B1B">
              <w:rPr>
                <w:b/>
                <w:i/>
              </w:rPr>
              <w:t>criadas</w:t>
            </w:r>
            <w:r w:rsidRPr="002B5B1B">
              <w:t xml:space="preserve"> para a prevenção ou a deteção de infrações penais e das </w:t>
            </w:r>
            <w:r w:rsidRPr="002B5B1B">
              <w:lastRenderedPageBreak/>
              <w:t>investigações nessa matéria;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w:t>
      </w:r>
      <w:r w:rsidRPr="002B5B1B">
        <w:rPr>
          <w:rStyle w:val="HideTWBExt"/>
          <w:noProof w:val="0"/>
        </w:rPr>
        <w:t>&gt;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17</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(17)</w:t>
            </w:r>
            <w:r w:rsidRPr="002B5B1B">
              <w:tab/>
              <w:t xml:space="preserve">«Pseudonimização», </w:t>
            </w:r>
            <w:r w:rsidRPr="002B5B1B">
              <w:rPr>
                <w:b/>
                <w:i/>
              </w:rPr>
              <w:t>o tratamento de dados pessoais de forma</w:t>
            </w:r>
            <w:r w:rsidRPr="002B5B1B">
              <w:rPr>
                <w:b/>
                <w:i/>
              </w:rPr>
              <w:t xml:space="preserve"> que deixem de poder ser atribuídos a um titular de dados específico sem recurso a informações suplementares, desde que essas informações suplementares sejam mantidas separadamente e sujeitas a medidas técnicas e organizativas para assegurar que os dados p</w:t>
            </w:r>
            <w:r w:rsidRPr="002B5B1B">
              <w:rPr>
                <w:b/>
                <w:i/>
              </w:rPr>
              <w:t>essoais não possam ser atribuídos a uma pessoa singular identificada ou identificável</w:t>
            </w:r>
            <w:r w:rsidRPr="002B5B1B">
              <w:t>;</w:t>
            </w:r>
          </w:p>
        </w:tc>
        <w:tc>
          <w:tcPr>
            <w:tcW w:w="4876" w:type="dxa"/>
          </w:tcPr>
          <w:p w:rsidR="003F5BF1" w:rsidRPr="002B5B1B" w:rsidRDefault="00D10947" w:rsidP="00D36159">
            <w:pPr>
              <w:pStyle w:val="Normal6"/>
              <w:rPr>
                <w:szCs w:val="24"/>
              </w:rPr>
            </w:pPr>
            <w:r w:rsidRPr="002B5B1B">
              <w:t>(17)</w:t>
            </w:r>
            <w:r w:rsidRPr="002B5B1B">
              <w:tab/>
              <w:t xml:space="preserve">«Pseudonimização», </w:t>
            </w:r>
            <w:r w:rsidRPr="002B5B1B">
              <w:rPr>
                <w:b/>
                <w:i/>
              </w:rPr>
              <w:t>a pseudonimização na aceção do artigo 2.º, ponto 5, da Diretiva (UE) 2016/680</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2E029A" w:rsidRPr="002B5B1B" w:rsidRDefault="00D10947" w:rsidP="002E029A">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42</w:t>
      </w:r>
      <w:r w:rsidRPr="002B5B1B">
        <w:rPr>
          <w:rStyle w:val="HideTWBExt"/>
          <w:b w:val="0"/>
          <w:noProof w:val="0"/>
        </w:rPr>
        <w:t>&lt;/NumAm&gt;</w:t>
      </w:r>
    </w:p>
    <w:p w:rsidR="002E029A" w:rsidRPr="002B5B1B" w:rsidRDefault="00D10947" w:rsidP="002E029A">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2E029A" w:rsidRPr="002B5B1B" w:rsidRDefault="00D10947" w:rsidP="002E029A">
      <w:pPr>
        <w:pStyle w:val="NormalBold"/>
      </w:pPr>
      <w:r w:rsidRPr="002B5B1B">
        <w:rPr>
          <w:rStyle w:val="HideTWBExt"/>
          <w:b w:val="0"/>
          <w:noProof w:val="0"/>
        </w:rPr>
        <w:t>&lt;Article&gt;</w:t>
      </w:r>
      <w:r w:rsidRPr="002B5B1B">
        <w:t>Artigo 4 – parágrafo 1 – ponto 17-A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9175C9">
        <w:trPr>
          <w:jc w:val="center"/>
        </w:trPr>
        <w:tc>
          <w:tcPr>
            <w:tcW w:w="9752" w:type="dxa"/>
            <w:gridSpan w:val="2"/>
          </w:tcPr>
          <w:p w:rsidR="002E029A" w:rsidRPr="002B5B1B" w:rsidRDefault="002E029A" w:rsidP="009175C9">
            <w:pPr>
              <w:keepNext/>
            </w:pPr>
          </w:p>
        </w:tc>
      </w:tr>
      <w:tr w:rsidR="008B152A" w:rsidRPr="002B5B1B" w:rsidTr="009175C9">
        <w:trPr>
          <w:jc w:val="center"/>
        </w:trPr>
        <w:tc>
          <w:tcPr>
            <w:tcW w:w="4876" w:type="dxa"/>
          </w:tcPr>
          <w:p w:rsidR="002E029A" w:rsidRPr="002B5B1B" w:rsidRDefault="00D10947" w:rsidP="009175C9">
            <w:pPr>
              <w:pStyle w:val="ColumnHeading"/>
              <w:keepNext/>
            </w:pPr>
            <w:r w:rsidRPr="002B5B1B">
              <w:t>Texto da Comissão</w:t>
            </w:r>
          </w:p>
        </w:tc>
        <w:tc>
          <w:tcPr>
            <w:tcW w:w="4876" w:type="dxa"/>
          </w:tcPr>
          <w:p w:rsidR="002E029A" w:rsidRPr="002B5B1B" w:rsidRDefault="00D10947" w:rsidP="009175C9">
            <w:pPr>
              <w:pStyle w:val="ColumnHeading"/>
              <w:keepNext/>
            </w:pPr>
            <w:r w:rsidRPr="002B5B1B">
              <w:t>Alteração</w:t>
            </w:r>
          </w:p>
        </w:tc>
      </w:tr>
      <w:tr w:rsidR="008B152A" w:rsidRPr="002B5B1B" w:rsidTr="009175C9">
        <w:trPr>
          <w:jc w:val="center"/>
        </w:trPr>
        <w:tc>
          <w:tcPr>
            <w:tcW w:w="4876" w:type="dxa"/>
          </w:tcPr>
          <w:p w:rsidR="002E029A" w:rsidRPr="002B5B1B" w:rsidRDefault="002E029A" w:rsidP="009175C9">
            <w:pPr>
              <w:pStyle w:val="Normal6"/>
            </w:pPr>
          </w:p>
        </w:tc>
        <w:tc>
          <w:tcPr>
            <w:tcW w:w="4876" w:type="dxa"/>
          </w:tcPr>
          <w:p w:rsidR="002E029A" w:rsidRPr="002B5B1B" w:rsidRDefault="00D10947" w:rsidP="009175C9">
            <w:pPr>
              <w:pStyle w:val="Normal6"/>
              <w:rPr>
                <w:b/>
                <w:i/>
                <w:szCs w:val="24"/>
              </w:rPr>
            </w:pPr>
            <w:r w:rsidRPr="002B5B1B">
              <w:rPr>
                <w:b/>
                <w:i/>
              </w:rPr>
              <w:t>(17-A)</w:t>
            </w:r>
            <w:r w:rsidRPr="002B5B1B">
              <w:rPr>
                <w:b/>
                <w:i/>
              </w:rPr>
              <w:tab/>
              <w:t>«Vítima de criminalidade grave ou de terrorismo», uma pessoa prejudicada por uma infração pr</w:t>
            </w:r>
            <w:r w:rsidRPr="002B5B1B">
              <w:rPr>
                <w:b/>
                <w:i/>
              </w:rPr>
              <w:t>evista na legislação nacional que corresponda ou seja equivalente a uma das infrações referidas na Diretiva (UE) 2017/541 do Parlamento Europeu e do Conselho ou a uma infração que corresponda ou seja equivalente a uma das infrações referidas no artigo 2.º,</w:t>
            </w:r>
            <w:r w:rsidRPr="002B5B1B">
              <w:rPr>
                <w:b/>
                <w:i/>
              </w:rPr>
              <w:t xml:space="preserve"> nº 2, da Decisão-Quadro 2002/584/JAI do Conselho, se for punível ao abrigo da legislação nacional com uma pena ou medida de segurança privativas </w:t>
            </w:r>
            <w:r w:rsidRPr="002B5B1B">
              <w:rPr>
                <w:b/>
                <w:i/>
              </w:rPr>
              <w:lastRenderedPageBreak/>
              <w:t>de liberdade de duração máxima não inferior a três anos;</w:t>
            </w:r>
          </w:p>
        </w:tc>
      </w:tr>
    </w:tbl>
    <w:p w:rsidR="002E029A" w:rsidRPr="002B5B1B" w:rsidRDefault="00D10947" w:rsidP="002E029A">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2E029A" w:rsidRPr="002B5B1B" w:rsidRDefault="00D10947" w:rsidP="002E029A">
      <w:r w:rsidRPr="002B5B1B">
        <w:rPr>
          <w:rStyle w:val="HideTWBExt"/>
          <w:noProof w:val="0"/>
        </w:rPr>
        <w:t>&lt;/Amend&gt;</w:t>
      </w:r>
    </w:p>
    <w:p w:rsidR="00CE4748" w:rsidRPr="002B5B1B" w:rsidRDefault="00D10947" w:rsidP="00CE4748">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43</w:t>
      </w:r>
      <w:r w:rsidRPr="002B5B1B">
        <w:rPr>
          <w:rStyle w:val="HideTWBExt"/>
          <w:b w:val="0"/>
          <w:noProof w:val="0"/>
        </w:rPr>
        <w:t>&lt;/NumAm&gt;</w:t>
      </w:r>
    </w:p>
    <w:p w:rsidR="00CE4748" w:rsidRPr="002B5B1B" w:rsidRDefault="00D10947" w:rsidP="00CE4748">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CE4748" w:rsidRPr="002B5B1B" w:rsidRDefault="00D10947" w:rsidP="00CE4748">
      <w:pPr>
        <w:pStyle w:val="NormalBold"/>
      </w:pPr>
      <w:r w:rsidRPr="002B5B1B">
        <w:rPr>
          <w:rStyle w:val="HideTWBExt"/>
          <w:b w:val="0"/>
          <w:noProof w:val="0"/>
        </w:rPr>
        <w:t>&lt;Article&gt;</w:t>
      </w:r>
      <w:r w:rsidRPr="002B5B1B">
        <w:t>Artigo 4 – parágrafo 1 – ponto 17-B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406CFA">
        <w:trPr>
          <w:jc w:val="center"/>
        </w:trPr>
        <w:tc>
          <w:tcPr>
            <w:tcW w:w="9752" w:type="dxa"/>
            <w:gridSpan w:val="2"/>
          </w:tcPr>
          <w:p w:rsidR="00CE4748" w:rsidRPr="002B5B1B" w:rsidRDefault="00CE4748" w:rsidP="00406CFA">
            <w:pPr>
              <w:keepNext/>
            </w:pPr>
          </w:p>
        </w:tc>
      </w:tr>
      <w:tr w:rsidR="008B152A" w:rsidRPr="002B5B1B" w:rsidTr="00406CFA">
        <w:trPr>
          <w:jc w:val="center"/>
        </w:trPr>
        <w:tc>
          <w:tcPr>
            <w:tcW w:w="4876" w:type="dxa"/>
          </w:tcPr>
          <w:p w:rsidR="00CE4748" w:rsidRPr="002B5B1B" w:rsidRDefault="00D10947" w:rsidP="00406CFA">
            <w:pPr>
              <w:pStyle w:val="ColumnHeading"/>
              <w:keepNext/>
            </w:pPr>
            <w:r w:rsidRPr="002B5B1B">
              <w:t>Texto da Comissão</w:t>
            </w:r>
          </w:p>
        </w:tc>
        <w:tc>
          <w:tcPr>
            <w:tcW w:w="4876" w:type="dxa"/>
          </w:tcPr>
          <w:p w:rsidR="00CE4748" w:rsidRPr="002B5B1B" w:rsidRDefault="00D10947" w:rsidP="00406CFA">
            <w:pPr>
              <w:pStyle w:val="ColumnHeading"/>
              <w:keepNext/>
            </w:pPr>
            <w:r w:rsidRPr="002B5B1B">
              <w:t>Alteração</w:t>
            </w:r>
          </w:p>
        </w:tc>
      </w:tr>
      <w:tr w:rsidR="008B152A" w:rsidRPr="002B5B1B" w:rsidTr="00406CFA">
        <w:trPr>
          <w:jc w:val="center"/>
        </w:trPr>
        <w:tc>
          <w:tcPr>
            <w:tcW w:w="4876" w:type="dxa"/>
          </w:tcPr>
          <w:p w:rsidR="00CE4748" w:rsidRPr="002B5B1B" w:rsidRDefault="00CE4748" w:rsidP="00406CFA">
            <w:pPr>
              <w:pStyle w:val="Normal6"/>
            </w:pPr>
          </w:p>
        </w:tc>
        <w:tc>
          <w:tcPr>
            <w:tcW w:w="4876" w:type="dxa"/>
          </w:tcPr>
          <w:p w:rsidR="00CE4748" w:rsidRPr="002B5B1B" w:rsidRDefault="00D10947" w:rsidP="00406CFA">
            <w:pPr>
              <w:pStyle w:val="Normal6"/>
              <w:rPr>
                <w:b/>
                <w:i/>
                <w:szCs w:val="24"/>
              </w:rPr>
            </w:pPr>
            <w:r w:rsidRPr="002B5B1B">
              <w:rPr>
                <w:b/>
                <w:i/>
              </w:rPr>
              <w:t>«(17-B)</w:t>
            </w:r>
            <w:r w:rsidRPr="002B5B1B">
              <w:rPr>
                <w:b/>
                <w:i/>
              </w:rPr>
              <w:tab/>
              <w:t xml:space="preserve">«Autoridades designadas», as autoridades designadas dos Estados-Membros na </w:t>
            </w:r>
            <w:r w:rsidRPr="002B5B1B">
              <w:rPr>
                <w:b/>
                <w:i/>
              </w:rPr>
              <w:t>aceção do artigo 3.º, n.º 1, ponto 26, do Regulamento (UE) 2017/2226 do Parlamento Europeu e do Conselho</w:t>
            </w:r>
            <w:r w:rsidRPr="002B5B1B">
              <w:rPr>
                <w:b/>
                <w:i/>
                <w:vertAlign w:val="superscript"/>
              </w:rPr>
              <w:t>1-A</w:t>
            </w:r>
            <w:r w:rsidRPr="002B5B1B">
              <w:rPr>
                <w:b/>
                <w:i/>
              </w:rPr>
              <w:t>, do artigo 2.º, n.º 1, alínea e), da Decisão 2008/633/JAI do Conselho</w:t>
            </w:r>
            <w:r w:rsidRPr="002B5B1B">
              <w:rPr>
                <w:b/>
                <w:i/>
                <w:vertAlign w:val="superscript"/>
              </w:rPr>
              <w:t>1-B</w:t>
            </w:r>
            <w:r w:rsidRPr="002B5B1B">
              <w:rPr>
                <w:b/>
                <w:i/>
              </w:rPr>
              <w:t xml:space="preserve"> e do artigo 3.º, n.º 1, ponto 21, do Regulamento (UE) 2018/1240 do Parlamen</w:t>
            </w:r>
            <w:r w:rsidRPr="002B5B1B">
              <w:rPr>
                <w:b/>
                <w:i/>
              </w:rPr>
              <w:t>to Europeu e do Conselho</w:t>
            </w:r>
            <w:r w:rsidRPr="002B5B1B">
              <w:rPr>
                <w:b/>
                <w:i/>
                <w:vertAlign w:val="superscript"/>
              </w:rPr>
              <w:t>1-C</w:t>
            </w:r>
            <w:r w:rsidRPr="002B5B1B">
              <w:rPr>
                <w:b/>
                <w:i/>
              </w:rPr>
              <w:t>;</w:t>
            </w:r>
          </w:p>
        </w:tc>
      </w:tr>
      <w:tr w:rsidR="008B152A" w:rsidRPr="002B5B1B" w:rsidTr="00406CFA">
        <w:trPr>
          <w:jc w:val="center"/>
        </w:trPr>
        <w:tc>
          <w:tcPr>
            <w:tcW w:w="4876" w:type="dxa"/>
          </w:tcPr>
          <w:p w:rsidR="002E029A" w:rsidRPr="002B5B1B" w:rsidRDefault="002E029A" w:rsidP="00406CFA">
            <w:pPr>
              <w:pStyle w:val="Normal6"/>
            </w:pPr>
          </w:p>
        </w:tc>
        <w:tc>
          <w:tcPr>
            <w:tcW w:w="4876" w:type="dxa"/>
          </w:tcPr>
          <w:p w:rsidR="002E029A" w:rsidRPr="002B5B1B" w:rsidRDefault="00D10947" w:rsidP="00406CFA">
            <w:pPr>
              <w:pStyle w:val="Normal6"/>
              <w:rPr>
                <w:b/>
                <w:i/>
                <w:szCs w:val="24"/>
              </w:rPr>
            </w:pPr>
            <w:r w:rsidRPr="002B5B1B">
              <w:rPr>
                <w:b/>
                <w:i/>
              </w:rPr>
              <w:t>___________</w:t>
            </w:r>
          </w:p>
        </w:tc>
      </w:tr>
      <w:tr w:rsidR="008B152A" w:rsidRPr="002B5B1B" w:rsidTr="00406CFA">
        <w:trPr>
          <w:jc w:val="center"/>
        </w:trPr>
        <w:tc>
          <w:tcPr>
            <w:tcW w:w="4876" w:type="dxa"/>
          </w:tcPr>
          <w:p w:rsidR="002E029A" w:rsidRPr="002B5B1B" w:rsidRDefault="002E029A" w:rsidP="00445260">
            <w:pPr>
              <w:pStyle w:val="Normal6"/>
              <w:rPr>
                <w:b/>
                <w:bCs/>
                <w:i/>
                <w:iCs/>
              </w:rPr>
            </w:pPr>
          </w:p>
        </w:tc>
        <w:tc>
          <w:tcPr>
            <w:tcW w:w="4876" w:type="dxa"/>
          </w:tcPr>
          <w:p w:rsidR="002E029A" w:rsidRPr="002B5B1B" w:rsidRDefault="00D10947" w:rsidP="00445260">
            <w:pPr>
              <w:pStyle w:val="Normal6"/>
              <w:rPr>
                <w:b/>
                <w:bCs/>
                <w:i/>
                <w:iCs/>
              </w:rPr>
            </w:pPr>
            <w:r w:rsidRPr="002B5B1B">
              <w:rPr>
                <w:b/>
                <w:i/>
                <w:vertAlign w:val="superscript"/>
              </w:rPr>
              <w:t>1-A</w:t>
            </w:r>
            <w:r w:rsidRPr="002B5B1B">
              <w:rPr>
                <w:b/>
                <w:i/>
              </w:rPr>
              <w:tab/>
              <w:t>Regulamento (UE) 2017/2226 do Parlamento Europeu e do Conselho, de 30 de novembro de 2017, que estabelece o Sistema de Entrada/Saída (SES) para registo dos dados das entradas e saídas e dos dados das recusas</w:t>
            </w:r>
            <w:r w:rsidRPr="002B5B1B">
              <w:rPr>
                <w:b/>
                <w:i/>
              </w:rPr>
              <w:t xml:space="preserve"> de entrada dos nacionais de países terceiros aquando da passagem das fronteiras externas dos Estados­‑Membros, que determina as condições de acesso ao SES para efeitos de aplicação da lei, e que altera a Convenção de Aplicação do Acordo de Schengen e os R</w:t>
            </w:r>
            <w:r w:rsidRPr="002B5B1B">
              <w:rPr>
                <w:b/>
                <w:i/>
              </w:rPr>
              <w:t>egulamentos (CE) n.º 767/2008 e (UE) n.º 1077/2011 (JO L 327 de 9.12.2017, p. 20).</w:t>
            </w:r>
          </w:p>
        </w:tc>
      </w:tr>
      <w:tr w:rsidR="008B152A" w:rsidRPr="002B5B1B" w:rsidTr="00406CFA">
        <w:trPr>
          <w:jc w:val="center"/>
        </w:trPr>
        <w:tc>
          <w:tcPr>
            <w:tcW w:w="4876" w:type="dxa"/>
          </w:tcPr>
          <w:p w:rsidR="002E029A" w:rsidRPr="002B5B1B" w:rsidRDefault="002E029A" w:rsidP="00445260">
            <w:pPr>
              <w:pStyle w:val="Normal6"/>
              <w:rPr>
                <w:b/>
                <w:bCs/>
                <w:i/>
                <w:iCs/>
              </w:rPr>
            </w:pPr>
          </w:p>
        </w:tc>
        <w:tc>
          <w:tcPr>
            <w:tcW w:w="4876" w:type="dxa"/>
          </w:tcPr>
          <w:p w:rsidR="002E029A" w:rsidRPr="002B5B1B" w:rsidRDefault="00D10947" w:rsidP="00445260">
            <w:pPr>
              <w:pStyle w:val="Normal6"/>
              <w:rPr>
                <w:b/>
                <w:bCs/>
                <w:i/>
                <w:iCs/>
              </w:rPr>
            </w:pPr>
            <w:r w:rsidRPr="002B5B1B">
              <w:rPr>
                <w:b/>
                <w:i/>
                <w:vertAlign w:val="superscript"/>
              </w:rPr>
              <w:t>1-B</w:t>
            </w:r>
            <w:r w:rsidRPr="002B5B1B">
              <w:rPr>
                <w:b/>
                <w:i/>
              </w:rPr>
              <w:tab/>
              <w:t>Decisão 2008/633/JAI do Conselho, de 23 de junho de 2008, relativa ao acesso para consulta ao Sistema de Informação sobre Vistos (VIS) por parte das autoridades design</w:t>
            </w:r>
            <w:r w:rsidRPr="002B5B1B">
              <w:rPr>
                <w:b/>
                <w:i/>
              </w:rPr>
              <w:t xml:space="preserve">adas dos Estados‐Membros e por parte da Europol </w:t>
            </w:r>
            <w:r w:rsidRPr="002B5B1B">
              <w:rPr>
                <w:b/>
                <w:i/>
              </w:rPr>
              <w:lastRenderedPageBreak/>
              <w:t>para efeitos de prevenção, deteção e investigação de infrações terroristas e outras infrações penais graves (JO L 218 de 13.8.2008, p. 129).</w:t>
            </w:r>
          </w:p>
        </w:tc>
      </w:tr>
      <w:tr w:rsidR="008B152A" w:rsidRPr="002B5B1B" w:rsidTr="00406CFA">
        <w:trPr>
          <w:jc w:val="center"/>
        </w:trPr>
        <w:tc>
          <w:tcPr>
            <w:tcW w:w="4876" w:type="dxa"/>
          </w:tcPr>
          <w:p w:rsidR="002E029A" w:rsidRPr="002B5B1B" w:rsidRDefault="002E029A" w:rsidP="00445260">
            <w:pPr>
              <w:pStyle w:val="Normal6"/>
              <w:rPr>
                <w:b/>
                <w:bCs/>
                <w:i/>
                <w:iCs/>
              </w:rPr>
            </w:pPr>
          </w:p>
        </w:tc>
        <w:tc>
          <w:tcPr>
            <w:tcW w:w="4876" w:type="dxa"/>
          </w:tcPr>
          <w:p w:rsidR="002E029A" w:rsidRPr="002B5B1B" w:rsidRDefault="00D10947" w:rsidP="00445260">
            <w:pPr>
              <w:pStyle w:val="Normal6"/>
              <w:rPr>
                <w:b/>
                <w:bCs/>
                <w:i/>
                <w:iCs/>
              </w:rPr>
            </w:pPr>
            <w:r w:rsidRPr="002B5B1B">
              <w:rPr>
                <w:b/>
                <w:i/>
                <w:vertAlign w:val="superscript"/>
              </w:rPr>
              <w:t>1-C.</w:t>
            </w:r>
            <w:r w:rsidRPr="002B5B1B">
              <w:rPr>
                <w:b/>
                <w:i/>
              </w:rPr>
              <w:tab/>
              <w:t xml:space="preserve">Regulamento (UE) 2018/1240 do Parlamento Europeu e do </w:t>
            </w:r>
            <w:r w:rsidRPr="002B5B1B">
              <w:rPr>
                <w:b/>
                <w:i/>
              </w:rPr>
              <w:t>Conselho, de 12 de setembro de 2018, que cria um Sistema Europeu de Informação e Autorização de Viagem (ETIAS) e altera os Regulamentos (UE) n.º 1077/2011, (UE) n.º 515/2014, (UE) 2016/399, (UE) 2016/1624 e (UE) 2017/2226 (JO L 236 de 19.9.2018, p. 1).»</w:t>
            </w:r>
          </w:p>
        </w:tc>
      </w:tr>
    </w:tbl>
    <w:p w:rsidR="00CE4748" w:rsidRPr="002B5B1B" w:rsidRDefault="00D10947" w:rsidP="00CE4748">
      <w:pPr>
        <w:pStyle w:val="Olang"/>
        <w:rPr>
          <w:noProof w:val="0"/>
        </w:rPr>
      </w:pPr>
      <w:r w:rsidRPr="002B5B1B">
        <w:rPr>
          <w:noProof w:val="0"/>
        </w:rPr>
        <w:t>O</w:t>
      </w:r>
      <w:r w:rsidRPr="002B5B1B">
        <w:rPr>
          <w:noProof w:val="0"/>
        </w:rPr>
        <w:t xml:space="preserve">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CE4748" w:rsidRPr="002B5B1B" w:rsidRDefault="00D10947" w:rsidP="00CE4748">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18</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(18)</w:t>
            </w:r>
            <w:r w:rsidRPr="002B5B1B">
              <w:tab/>
              <w:t xml:space="preserve">«Dados da Europol», quaisquer dados pessoais </w:t>
            </w:r>
            <w:r w:rsidRPr="002B5B1B">
              <w:t>tratados pela Europol em conformidade com o Regulamento (UE) 2016/794;</w:t>
            </w:r>
          </w:p>
        </w:tc>
        <w:tc>
          <w:tcPr>
            <w:tcW w:w="4876" w:type="dxa"/>
          </w:tcPr>
          <w:p w:rsidR="003F5BF1" w:rsidRPr="002B5B1B" w:rsidRDefault="00D10947" w:rsidP="00D27444">
            <w:pPr>
              <w:pStyle w:val="Normal6"/>
              <w:rPr>
                <w:szCs w:val="24"/>
              </w:rPr>
            </w:pPr>
            <w:r w:rsidRPr="002B5B1B">
              <w:t>(18)</w:t>
            </w:r>
            <w:r w:rsidRPr="002B5B1B">
              <w:tab/>
              <w:t xml:space="preserve">«Dados da Europol», quaisquer dados pessoais </w:t>
            </w:r>
            <w:r w:rsidRPr="002B5B1B">
              <w:rPr>
                <w:b/>
                <w:i/>
              </w:rPr>
              <w:t>operacionais</w:t>
            </w:r>
            <w:r w:rsidRPr="002B5B1B">
              <w:t xml:space="preserve"> tratados pela Europol em conformidade com o Regulamento (UE) 2016/794;</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18-A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640B89">
            <w:pPr>
              <w:pStyle w:val="Normal6"/>
              <w:rPr>
                <w:szCs w:val="24"/>
              </w:rPr>
            </w:pPr>
            <w:r w:rsidRPr="002B5B1B">
              <w:rPr>
                <w:b/>
                <w:i/>
              </w:rPr>
              <w:t>(18-A)</w:t>
            </w:r>
            <w:r w:rsidRPr="002B5B1B">
              <w:rPr>
                <w:b/>
                <w:i/>
              </w:rPr>
              <w:tab/>
              <w:t xml:space="preserve">«Autoridade de aplicação da lei competente», qualquer autoridade policial, </w:t>
            </w:r>
            <w:r w:rsidRPr="002B5B1B">
              <w:rPr>
                <w:b/>
                <w:i/>
              </w:rPr>
              <w:t xml:space="preserve">aduaneira ou outra de um Estado-Membro competente nos termos do direito nacional para exercer autoridade e tomar medidas coercivas para efeitos de prevenção ou deteção de </w:t>
            </w:r>
            <w:r w:rsidRPr="002B5B1B">
              <w:rPr>
                <w:b/>
                <w:i/>
              </w:rPr>
              <w:lastRenderedPageBreak/>
              <w:t>infrações penais e das investigações nessa matéria;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20</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(20)</w:t>
            </w:r>
            <w:r w:rsidRPr="002B5B1B">
              <w:tab/>
              <w:t>«SIENA», a Aplicação de Intercâmbio Seguro de Informações, gerida pela Europo</w:t>
            </w:r>
            <w:r w:rsidRPr="002B5B1B">
              <w:t xml:space="preserve">l, destinada a facilitar o intercâmbio de informações </w:t>
            </w:r>
            <w:r w:rsidRPr="002B5B1B">
              <w:rPr>
                <w:b/>
                <w:i/>
              </w:rPr>
              <w:t>entre os Estados-Membros e a Europol</w:t>
            </w:r>
            <w:r w:rsidRPr="002B5B1B">
              <w:t>;</w:t>
            </w:r>
          </w:p>
        </w:tc>
        <w:tc>
          <w:tcPr>
            <w:tcW w:w="4876" w:type="dxa"/>
          </w:tcPr>
          <w:p w:rsidR="003F5BF1" w:rsidRPr="002B5B1B" w:rsidRDefault="00D10947" w:rsidP="00D27444">
            <w:pPr>
              <w:pStyle w:val="Normal6"/>
              <w:rPr>
                <w:szCs w:val="24"/>
              </w:rPr>
            </w:pPr>
            <w:r w:rsidRPr="002B5B1B">
              <w:t>(20)</w:t>
            </w:r>
            <w:r w:rsidRPr="002B5B1B">
              <w:tab/>
              <w:t xml:space="preserve">«SIENA», a Aplicação de Intercâmbio Seguro de Informações, gerida pela Europol </w:t>
            </w:r>
            <w:r w:rsidRPr="002B5B1B">
              <w:rPr>
                <w:b/>
                <w:i/>
              </w:rPr>
              <w:t>em conformidade com o Regulamento (UE) 2016/794</w:t>
            </w:r>
            <w:r w:rsidRPr="002B5B1B">
              <w:t xml:space="preserve">, destinada a facilitar o intercâmbio </w:t>
            </w:r>
            <w:r w:rsidRPr="002B5B1B">
              <w:rPr>
                <w:b/>
                <w:i/>
              </w:rPr>
              <w:t>e a assegurar a transmissão segura</w:t>
            </w:r>
            <w:r w:rsidRPr="002B5B1B">
              <w:t xml:space="preserve"> de informações </w:t>
            </w:r>
            <w:r w:rsidRPr="002B5B1B">
              <w:rPr>
                <w:b/>
                <w:i/>
              </w:rPr>
              <w:t>operacionais e estratégicas relacionadas com a criminalidade</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21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(21)</w:t>
            </w:r>
            <w:r w:rsidRPr="002B5B1B">
              <w:tab/>
              <w:t xml:space="preserve">«Incidente significativo», </w:t>
            </w:r>
            <w:r w:rsidRPr="002B5B1B">
              <w:rPr>
                <w:b/>
                <w:i/>
              </w:rPr>
              <w:t>qualquer</w:t>
            </w:r>
            <w:r w:rsidRPr="002B5B1B">
              <w:t xml:space="preserve"> incidente</w:t>
            </w:r>
            <w:r w:rsidRPr="002B5B1B">
              <w:rPr>
                <w:b/>
                <w:i/>
              </w:rPr>
              <w:t>, a menos que tenha um impacto limitado e seja suscetível de já ser bem compreendido em termos de m</w:t>
            </w:r>
            <w:r w:rsidRPr="002B5B1B">
              <w:rPr>
                <w:b/>
                <w:i/>
              </w:rPr>
              <w:t>étodo ou de tecnologia</w:t>
            </w:r>
            <w:r w:rsidRPr="002B5B1B">
              <w:t>;</w:t>
            </w:r>
          </w:p>
        </w:tc>
        <w:tc>
          <w:tcPr>
            <w:tcW w:w="4876" w:type="dxa"/>
          </w:tcPr>
          <w:p w:rsidR="003F5BF1" w:rsidRPr="002B5B1B" w:rsidRDefault="00D10947" w:rsidP="00936E24">
            <w:pPr>
              <w:pStyle w:val="Normal6"/>
              <w:rPr>
                <w:szCs w:val="24"/>
              </w:rPr>
            </w:pPr>
            <w:r w:rsidRPr="002B5B1B">
              <w:t>(21)</w:t>
            </w:r>
            <w:r w:rsidRPr="002B5B1B">
              <w:tab/>
              <w:t xml:space="preserve">«Incidente significativo», </w:t>
            </w:r>
            <w:r w:rsidRPr="002B5B1B">
              <w:rPr>
                <w:b/>
                <w:i/>
              </w:rPr>
              <w:t>um</w:t>
            </w:r>
            <w:r w:rsidRPr="002B5B1B">
              <w:t xml:space="preserve"> incidente </w:t>
            </w:r>
            <w:r w:rsidRPr="002B5B1B">
              <w:rPr>
                <w:b/>
                <w:i/>
              </w:rPr>
              <w:t>significativo na aceção do artigo 3.º, ponto 7, do Regulamento (UE) .../... do Parlamento Europeu e do Conselho</w:t>
            </w:r>
            <w:r w:rsidRPr="002B5B1B">
              <w:rPr>
                <w:b/>
                <w:i/>
                <w:vertAlign w:val="superscript"/>
              </w:rPr>
              <w:t xml:space="preserve">1-A </w:t>
            </w:r>
            <w:r w:rsidRPr="002B5B1B">
              <w:rPr>
                <w:b/>
                <w:i/>
              </w:rPr>
              <w:t>[2022/0085(COD)]</w:t>
            </w:r>
            <w:r w:rsidRPr="002B5B1B">
              <w:t>;</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b/>
                <w:i/>
                <w:szCs w:val="24"/>
              </w:rPr>
            </w:pPr>
            <w:r w:rsidRPr="002B5B1B">
              <w:rPr>
                <w:b/>
                <w:i/>
              </w:rPr>
              <w:t>__________________</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vertAlign w:val="superscript"/>
              </w:rPr>
              <w:t>1-A</w:t>
            </w:r>
            <w:r w:rsidRPr="002B5B1B">
              <w:t xml:space="preserve"> </w:t>
            </w:r>
            <w:r w:rsidRPr="002B5B1B">
              <w:rPr>
                <w:b/>
                <w:i/>
              </w:rPr>
              <w:t>Regulamento (UE) .../... do</w:t>
            </w:r>
            <w:r w:rsidRPr="002B5B1B">
              <w:rPr>
                <w:b/>
                <w:i/>
              </w:rPr>
              <w:t xml:space="preserve"> Parlamento Europeu e do Conselho que estabelece medidas destinadas a garantir um elevado nível de cibersegurança nas instituições, órgãos e organismos da União (JO...).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w:t>
      </w:r>
      <w:r w:rsidRPr="002B5B1B">
        <w:rPr>
          <w:rStyle w:val="HideTWBExt"/>
          <w:b w:val="0"/>
          <w:noProof w:val="0"/>
        </w:rPr>
        <w:t>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22</w:t>
      </w:r>
      <w:r w:rsidRPr="002B5B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445260">
        <w:trPr>
          <w:jc w:val="center"/>
        </w:trPr>
        <w:tc>
          <w:tcPr>
            <w:tcW w:w="9752" w:type="dxa"/>
            <w:gridSpan w:val="2"/>
          </w:tcPr>
          <w:p w:rsidR="003F5BF1" w:rsidRPr="002B5B1B" w:rsidRDefault="003F5BF1" w:rsidP="00D27444">
            <w:pPr>
              <w:keepNext/>
            </w:pPr>
          </w:p>
        </w:tc>
      </w:tr>
      <w:tr w:rsidR="008B152A" w:rsidRPr="002B5B1B" w:rsidTr="00445260">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445260">
        <w:trPr>
          <w:jc w:val="center"/>
        </w:trPr>
        <w:tc>
          <w:tcPr>
            <w:tcW w:w="4876" w:type="dxa"/>
          </w:tcPr>
          <w:p w:rsidR="003F5BF1" w:rsidRPr="002B5B1B" w:rsidRDefault="00D10947" w:rsidP="00D27444">
            <w:pPr>
              <w:pStyle w:val="Normal6"/>
            </w:pPr>
            <w:r w:rsidRPr="002B5B1B">
              <w:t>(22)</w:t>
            </w:r>
            <w:r w:rsidRPr="002B5B1B">
              <w:tab/>
              <w:t xml:space="preserve">«Ciberameaça significativa», uma ciberameaça </w:t>
            </w:r>
            <w:r w:rsidRPr="002B5B1B">
              <w:rPr>
                <w:b/>
                <w:i/>
              </w:rPr>
              <w:t>com a intenção, a oportunidade e a capacidade de causar um incidente significativo</w:t>
            </w:r>
            <w:r w:rsidRPr="002B5B1B">
              <w:t>;</w:t>
            </w:r>
          </w:p>
        </w:tc>
        <w:tc>
          <w:tcPr>
            <w:tcW w:w="4876" w:type="dxa"/>
          </w:tcPr>
          <w:p w:rsidR="003F5BF1" w:rsidRPr="002B5B1B" w:rsidRDefault="00D10947">
            <w:pPr>
              <w:pStyle w:val="Normal6"/>
              <w:rPr>
                <w:szCs w:val="24"/>
              </w:rPr>
            </w:pPr>
            <w:r w:rsidRPr="002B5B1B">
              <w:t>(22)</w:t>
            </w:r>
            <w:r w:rsidRPr="002B5B1B">
              <w:tab/>
              <w:t xml:space="preserve">«Ciberameaça significativa», uma ciberameaça </w:t>
            </w:r>
            <w:r w:rsidRPr="002B5B1B">
              <w:rPr>
                <w:b/>
                <w:i/>
              </w:rPr>
              <w:t>significativa na aceção do artigo 3.º, ponto 11, do Regulamento (UE) .../... [2022/0085(COD]</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49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 – parágrafo 1 – ponto 23</w:t>
      </w:r>
      <w:r w:rsidRPr="002B5B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445260">
        <w:trPr>
          <w:jc w:val="center"/>
        </w:trPr>
        <w:tc>
          <w:tcPr>
            <w:tcW w:w="9752" w:type="dxa"/>
            <w:gridSpan w:val="2"/>
          </w:tcPr>
          <w:p w:rsidR="003F5BF1" w:rsidRPr="002B5B1B" w:rsidRDefault="003F5BF1" w:rsidP="00D27444">
            <w:pPr>
              <w:keepNext/>
            </w:pPr>
          </w:p>
        </w:tc>
      </w:tr>
      <w:tr w:rsidR="008B152A" w:rsidRPr="002B5B1B" w:rsidTr="00445260">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445260">
        <w:trPr>
          <w:jc w:val="center"/>
        </w:trPr>
        <w:tc>
          <w:tcPr>
            <w:tcW w:w="4876" w:type="dxa"/>
          </w:tcPr>
          <w:p w:rsidR="003F5BF1" w:rsidRPr="002B5B1B" w:rsidRDefault="00D10947" w:rsidP="00D27444">
            <w:pPr>
              <w:pStyle w:val="Normal6"/>
            </w:pPr>
            <w:r w:rsidRPr="002B5B1B">
              <w:t>(23)</w:t>
            </w:r>
            <w:r w:rsidRPr="002B5B1B">
              <w:tab/>
              <w:t xml:space="preserve">«Vulnerabilidade significativa», uma vulnerabilidade </w:t>
            </w:r>
            <w:r w:rsidRPr="002B5B1B">
              <w:rPr>
                <w:b/>
                <w:i/>
              </w:rPr>
              <w:t>suscetível de resultar num incidente significativo, se for explorada</w:t>
            </w:r>
            <w:r w:rsidRPr="002B5B1B">
              <w:t>;</w:t>
            </w:r>
          </w:p>
        </w:tc>
        <w:tc>
          <w:tcPr>
            <w:tcW w:w="4876" w:type="dxa"/>
          </w:tcPr>
          <w:p w:rsidR="003F5BF1" w:rsidRPr="002B5B1B" w:rsidRDefault="00D10947">
            <w:pPr>
              <w:pStyle w:val="Normal6"/>
              <w:rPr>
                <w:szCs w:val="24"/>
              </w:rPr>
            </w:pPr>
            <w:r w:rsidRPr="002B5B1B">
              <w:t>(23)</w:t>
            </w:r>
            <w:r w:rsidRPr="002B5B1B">
              <w:tab/>
            </w:r>
            <w:r w:rsidRPr="002B5B1B">
              <w:t xml:space="preserve">«Vulnerabilidade significativa», uma vulnerabilidade </w:t>
            </w:r>
            <w:r w:rsidRPr="002B5B1B">
              <w:rPr>
                <w:b/>
                <w:i/>
              </w:rPr>
              <w:t>significativa na aceção do artigo 3.º, ponto 13, do Regulamento (UE) .../... [2022/0085(COD]</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w:t>
      </w:r>
      <w:r w:rsidRPr="002B5B1B">
        <w:t>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título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Criação de </w:t>
            </w:r>
            <w:r w:rsidRPr="002B5B1B">
              <w:rPr>
                <w:b/>
                <w:i/>
              </w:rPr>
              <w:t>ficheiros</w:t>
            </w:r>
            <w:r w:rsidRPr="002B5B1B">
              <w:t xml:space="preserve"> nacionais </w:t>
            </w:r>
            <w:r w:rsidRPr="002B5B1B">
              <w:rPr>
                <w:b/>
                <w:i/>
              </w:rPr>
              <w:t>de análise</w:t>
            </w:r>
            <w:r w:rsidRPr="002B5B1B">
              <w:t xml:space="preserve"> de ADN</w:t>
            </w:r>
          </w:p>
        </w:tc>
        <w:tc>
          <w:tcPr>
            <w:tcW w:w="4876" w:type="dxa"/>
          </w:tcPr>
          <w:p w:rsidR="003F5BF1" w:rsidRPr="002B5B1B" w:rsidRDefault="00D10947" w:rsidP="00D27444">
            <w:pPr>
              <w:pStyle w:val="Normal6"/>
              <w:rPr>
                <w:szCs w:val="24"/>
              </w:rPr>
            </w:pPr>
            <w:r w:rsidRPr="002B5B1B">
              <w:t xml:space="preserve">Criação de </w:t>
            </w:r>
            <w:r w:rsidRPr="002B5B1B">
              <w:rPr>
                <w:b/>
                <w:i/>
              </w:rPr>
              <w:t>bases de dados</w:t>
            </w:r>
            <w:r w:rsidRPr="002B5B1B">
              <w:t xml:space="preserve"> nacionais de ADN</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51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criam e mantêm </w:t>
            </w:r>
            <w:r w:rsidRPr="002B5B1B">
              <w:rPr>
                <w:b/>
                <w:i/>
              </w:rPr>
              <w:t>ficheiros</w:t>
            </w:r>
            <w:r w:rsidRPr="002B5B1B">
              <w:t xml:space="preserve"> nacionais </w:t>
            </w:r>
            <w:r w:rsidRPr="002B5B1B">
              <w:rPr>
                <w:b/>
                <w:i/>
              </w:rPr>
              <w:t>de análise</w:t>
            </w:r>
            <w:r w:rsidRPr="002B5B1B">
              <w:t xml:space="preserve"> de ADN para efeitos de investigação de infrações penais</w:t>
            </w:r>
            <w:r w:rsidRPr="002B5B1B">
              <w:t>.</w:t>
            </w:r>
          </w:p>
        </w:tc>
        <w:tc>
          <w:tcPr>
            <w:tcW w:w="4876" w:type="dxa"/>
          </w:tcPr>
          <w:p w:rsidR="003F5BF1" w:rsidRPr="002B5B1B" w:rsidRDefault="00D10947" w:rsidP="00D27444">
            <w:pPr>
              <w:pStyle w:val="Normal6"/>
              <w:rPr>
                <w:szCs w:val="24"/>
              </w:rPr>
            </w:pPr>
            <w:r w:rsidRPr="002B5B1B">
              <w:t>1.</w:t>
            </w:r>
            <w:r w:rsidRPr="002B5B1B">
              <w:tab/>
              <w:t xml:space="preserve">Os Estados-Membros criam e mantêm </w:t>
            </w:r>
            <w:r w:rsidRPr="002B5B1B">
              <w:rPr>
                <w:b/>
                <w:i/>
              </w:rPr>
              <w:t>bases de dados</w:t>
            </w:r>
            <w:r w:rsidRPr="002B5B1B">
              <w:t xml:space="preserve"> de ADN para efeitos de </w:t>
            </w:r>
            <w:r w:rsidRPr="002B5B1B">
              <w:rPr>
                <w:b/>
                <w:i/>
              </w:rPr>
              <w:t>prevenção, deteção e</w:t>
            </w:r>
            <w:r w:rsidRPr="002B5B1B">
              <w:t xml:space="preserve"> investigação de infrações penais.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tratamento dos dados mantidos em tais </w:t>
            </w:r>
            <w:r w:rsidRPr="002B5B1B">
              <w:rPr>
                <w:b/>
                <w:i/>
              </w:rPr>
              <w:t>ficheiros</w:t>
            </w:r>
            <w:r w:rsidRPr="002B5B1B">
              <w:t xml:space="preserve"> é efetuado nos termos do presente regulamento</w:t>
            </w:r>
            <w:r w:rsidRPr="002B5B1B">
              <w:rPr>
                <w:b/>
                <w:i/>
              </w:rPr>
              <w:t>,</w:t>
            </w:r>
            <w:r w:rsidRPr="002B5B1B">
              <w:t xml:space="preserve"> em conformidade com a legislação nacional dos Estados-Membros aplicável ao tra</w:t>
            </w:r>
            <w:r w:rsidRPr="002B5B1B">
              <w:t>tamento desses dados.</w:t>
            </w:r>
          </w:p>
        </w:tc>
        <w:tc>
          <w:tcPr>
            <w:tcW w:w="4876" w:type="dxa"/>
          </w:tcPr>
          <w:p w:rsidR="003F5BF1" w:rsidRPr="002B5B1B" w:rsidRDefault="00D10947" w:rsidP="00D27444">
            <w:pPr>
              <w:pStyle w:val="Normal6"/>
              <w:rPr>
                <w:szCs w:val="24"/>
              </w:rPr>
            </w:pPr>
            <w:r w:rsidRPr="002B5B1B">
              <w:t xml:space="preserve">O tratamento dos dados mantidos em tais </w:t>
            </w:r>
            <w:r w:rsidRPr="002B5B1B">
              <w:rPr>
                <w:b/>
                <w:i/>
              </w:rPr>
              <w:t>bases de dados</w:t>
            </w:r>
            <w:r w:rsidRPr="002B5B1B">
              <w:t xml:space="preserve"> é efetuado nos termos do presente regulamento </w:t>
            </w:r>
            <w:r w:rsidRPr="002B5B1B">
              <w:rPr>
                <w:b/>
                <w:i/>
              </w:rPr>
              <w:t>e</w:t>
            </w:r>
            <w:r w:rsidRPr="002B5B1B">
              <w:t xml:space="preserve"> em conformidade com a legislação nacional dos Estados-Membros aplicável ao tratamento desses dados.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w:t>
      </w:r>
      <w:r w:rsidRPr="002B5B1B">
        <w:rPr>
          <w:rStyle w:val="HideTWBExt"/>
          <w:noProof w:val="0"/>
        </w:rPr>
        <w:t>&gt;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r>
            <w:r w:rsidRPr="002B5B1B">
              <w:t xml:space="preserve">Os Estados-Membros asseguram a disponibilidade de dados de ADN de referência a partir </w:t>
            </w:r>
            <w:r w:rsidRPr="002B5B1B">
              <w:rPr>
                <w:b/>
                <w:i/>
              </w:rPr>
              <w:t>dos seus ficheiros</w:t>
            </w:r>
            <w:r w:rsidRPr="002B5B1B">
              <w:t xml:space="preserve"> nacionais </w:t>
            </w:r>
            <w:r w:rsidRPr="002B5B1B">
              <w:rPr>
                <w:b/>
                <w:i/>
              </w:rPr>
              <w:t>de análise</w:t>
            </w:r>
            <w:r w:rsidRPr="002B5B1B">
              <w:t xml:space="preserve"> de ADN a que se refere o n.º 1.</w:t>
            </w:r>
          </w:p>
        </w:tc>
        <w:tc>
          <w:tcPr>
            <w:tcW w:w="4876" w:type="dxa"/>
          </w:tcPr>
          <w:p w:rsidR="003F5BF1" w:rsidRPr="002B5B1B" w:rsidRDefault="00D10947" w:rsidP="00D27444">
            <w:pPr>
              <w:pStyle w:val="Normal6"/>
              <w:rPr>
                <w:szCs w:val="24"/>
              </w:rPr>
            </w:pPr>
            <w:r w:rsidRPr="002B5B1B">
              <w:t>2.</w:t>
            </w:r>
            <w:r w:rsidRPr="002B5B1B">
              <w:tab/>
              <w:t xml:space="preserve">Os Estados-Membros asseguram a disponibilidade de dados de ADN de referência a partir </w:t>
            </w:r>
            <w:r w:rsidRPr="002B5B1B">
              <w:rPr>
                <w:b/>
                <w:i/>
              </w:rPr>
              <w:t xml:space="preserve">das suas </w:t>
            </w:r>
            <w:r w:rsidRPr="002B5B1B">
              <w:rPr>
                <w:b/>
                <w:i/>
              </w:rPr>
              <w:t>bases de dados</w:t>
            </w:r>
            <w:r w:rsidRPr="002B5B1B">
              <w:t xml:space="preserve"> nacionais de ADN a que se refere o n.º 1 </w:t>
            </w:r>
            <w:r w:rsidRPr="002B5B1B">
              <w:rPr>
                <w:b/>
                <w:i/>
              </w:rPr>
              <w:t>para efeitos de consultas automatizadas por outros Estados-Membros, nos termos do presente regulamento</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w:t>
      </w:r>
      <w:r w:rsidRPr="002B5B1B">
        <w:t xml:space="preserve">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n.º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Os dados de ADN de referência não devem conter dados que permitam a identificação direta da pessoa.</w:t>
            </w:r>
          </w:p>
        </w:tc>
        <w:tc>
          <w:tcPr>
            <w:tcW w:w="4876" w:type="dxa"/>
          </w:tcPr>
          <w:p w:rsidR="003F5BF1" w:rsidRPr="002B5B1B" w:rsidRDefault="00D10947" w:rsidP="00D27444">
            <w:pPr>
              <w:pStyle w:val="Normal6"/>
              <w:rPr>
                <w:szCs w:val="24"/>
              </w:rPr>
            </w:pPr>
            <w:r w:rsidRPr="002B5B1B">
              <w:t>Os dados de ADN de referência não devem conter d</w:t>
            </w:r>
            <w:r w:rsidRPr="002B5B1B">
              <w:t xml:space="preserve">ados </w:t>
            </w:r>
            <w:r w:rsidRPr="002B5B1B">
              <w:rPr>
                <w:b/>
                <w:i/>
              </w:rPr>
              <w:t>nominais adicionais</w:t>
            </w:r>
            <w:r w:rsidRPr="002B5B1B">
              <w:t xml:space="preserve"> que permitam a identificação direta da pessoa.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n.º 2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Os </w:t>
            </w:r>
            <w:r w:rsidRPr="002B5B1B">
              <w:rPr>
                <w:b/>
                <w:i/>
              </w:rPr>
              <w:t>dados de ADN de referência que não sejam atribuídos a uma pessoa («</w:t>
            </w:r>
            <w:r w:rsidRPr="002B5B1B">
              <w:t>perfis de ADN não identificados</w:t>
            </w:r>
            <w:r w:rsidRPr="002B5B1B">
              <w:rPr>
                <w:b/>
                <w:i/>
              </w:rPr>
              <w:t>»)</w:t>
            </w:r>
            <w:r w:rsidRPr="002B5B1B">
              <w:t xml:space="preserve"> são reconhecíveis como tal.</w:t>
            </w:r>
          </w:p>
        </w:tc>
        <w:tc>
          <w:tcPr>
            <w:tcW w:w="4876" w:type="dxa"/>
          </w:tcPr>
          <w:p w:rsidR="003F5BF1" w:rsidRPr="002B5B1B" w:rsidRDefault="00D10947" w:rsidP="00D27444">
            <w:pPr>
              <w:pStyle w:val="Normal6"/>
              <w:rPr>
                <w:szCs w:val="24"/>
              </w:rPr>
            </w:pPr>
            <w:r w:rsidRPr="002B5B1B">
              <w:t>Os perfis de ADN não identificados são reconhecíveis como tal.</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 – n.º 2-A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pPr>
              <w:pStyle w:val="Normal6"/>
              <w:rPr>
                <w:szCs w:val="24"/>
              </w:rPr>
            </w:pPr>
            <w:r w:rsidRPr="002B5B1B">
              <w:rPr>
                <w:b/>
                <w:i/>
              </w:rPr>
              <w:t>2-A.</w:t>
            </w:r>
            <w:r w:rsidRPr="002B5B1B">
              <w:rPr>
                <w:b/>
                <w:i/>
              </w:rPr>
              <w:tab/>
              <w:t>A Comissão adota um ato de execução a fim de especificar as características de identificação</w:t>
            </w:r>
            <w:r w:rsidRPr="002B5B1B">
              <w:rPr>
                <w:b/>
                <w:i/>
              </w:rPr>
              <w:t xml:space="preserve"> de um perfil de ADN a partilhar e os requisitos mínimos para uma correspondência, tendo em conta as normas internacionais e europeias. O referido ato de execução é </w:t>
            </w:r>
            <w:r w:rsidRPr="002B5B1B">
              <w:rPr>
                <w:b/>
                <w:i/>
              </w:rPr>
              <w:lastRenderedPageBreak/>
              <w:t>adotado pelo procedimento a que se refere o artigo 76.º, n.º 2.</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w:t>
      </w:r>
      <w:r w:rsidRPr="002B5B1B">
        <w:rPr>
          <w:rStyle w:val="HideTWBExt"/>
          <w:noProof w:val="0"/>
        </w:rPr>
        <w:t>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permitem que os pontos de contacto nacionais </w:t>
            </w:r>
            <w:r w:rsidRPr="002B5B1B">
              <w:rPr>
                <w:b/>
                <w:i/>
              </w:rPr>
              <w:t>a que</w:t>
            </w:r>
            <w:r w:rsidRPr="002B5B1B">
              <w:rPr>
                <w:b/>
                <w:i/>
              </w:rPr>
              <w:t xml:space="preserve"> se refere o artigo 29.º e o acesso da</w:t>
            </w:r>
            <w:r w:rsidRPr="002B5B1B">
              <w:t xml:space="preserve"> Europol </w:t>
            </w:r>
            <w:r w:rsidRPr="002B5B1B">
              <w:rPr>
                <w:b/>
                <w:i/>
              </w:rPr>
              <w:t>aos dados</w:t>
            </w:r>
            <w:r w:rsidRPr="002B5B1B">
              <w:t xml:space="preserve"> de ADN </w:t>
            </w:r>
            <w:r w:rsidRPr="002B5B1B">
              <w:rPr>
                <w:b/>
                <w:i/>
              </w:rPr>
              <w:t>de referência contidos nos seus ficheiros de análise de ADN realizem consultas automatizadas, ao comparar</w:t>
            </w:r>
            <w:r w:rsidRPr="002B5B1B">
              <w:t xml:space="preserve"> perfis de ADN </w:t>
            </w:r>
            <w:r w:rsidRPr="002B5B1B">
              <w:rPr>
                <w:b/>
                <w:i/>
              </w:rPr>
              <w:t>para efeitos de investigação de infrações penais</w:t>
            </w:r>
            <w:r w:rsidRPr="002B5B1B">
              <w:t>.</w:t>
            </w:r>
          </w:p>
        </w:tc>
        <w:tc>
          <w:tcPr>
            <w:tcW w:w="4876" w:type="dxa"/>
          </w:tcPr>
          <w:p w:rsidR="003F5BF1" w:rsidRPr="002B5B1B" w:rsidRDefault="00D10947">
            <w:pPr>
              <w:pStyle w:val="Normal6"/>
              <w:rPr>
                <w:szCs w:val="24"/>
              </w:rPr>
            </w:pPr>
            <w:r w:rsidRPr="002B5B1B">
              <w:t>1.</w:t>
            </w:r>
            <w:r w:rsidRPr="002B5B1B">
              <w:tab/>
            </w:r>
            <w:r w:rsidRPr="002B5B1B">
              <w:rPr>
                <w:b/>
                <w:i/>
              </w:rPr>
              <w:t xml:space="preserve">Para efeitos de </w:t>
            </w:r>
            <w:r w:rsidRPr="002B5B1B">
              <w:rPr>
                <w:b/>
                <w:i/>
              </w:rPr>
              <w:t>prevenção ou deteção de infrações penais e das investigações nessa matéria,</w:t>
            </w:r>
            <w:r w:rsidRPr="002B5B1B">
              <w:t xml:space="preserve"> os Estados-Membros permitem que os pontos de contacto nacionais </w:t>
            </w:r>
            <w:r w:rsidRPr="002B5B1B">
              <w:rPr>
                <w:b/>
                <w:i/>
              </w:rPr>
              <w:t>dos outros Estados-Membros e a</w:t>
            </w:r>
            <w:r w:rsidRPr="002B5B1B">
              <w:t xml:space="preserve"> Europol </w:t>
            </w:r>
            <w:r w:rsidRPr="002B5B1B">
              <w:rPr>
                <w:b/>
                <w:i/>
              </w:rPr>
              <w:t>efetuem consultas automatizadas de perfis</w:t>
            </w:r>
            <w:r w:rsidRPr="002B5B1B">
              <w:t xml:space="preserve"> de ADN </w:t>
            </w:r>
            <w:r w:rsidRPr="002B5B1B">
              <w:rPr>
                <w:b/>
                <w:i/>
              </w:rPr>
              <w:t>nas suas bases de dados de A</w:t>
            </w:r>
            <w:r w:rsidRPr="002B5B1B">
              <w:rPr>
                <w:b/>
                <w:i/>
              </w:rPr>
              <w:t>DN criadas para o efeito e a compararem esses perfis de ADN com os seus</w:t>
            </w:r>
            <w:r w:rsidRPr="002B5B1B">
              <w:t xml:space="preserve"> perfis de ADN.</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58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 – n.º 1 – parágrafo 1</w:t>
      </w:r>
      <w:r w:rsidRPr="002B5B1B">
        <w:rPr>
          <w:rStyle w:val="HideTWBExt"/>
          <w:b w:val="0"/>
          <w:noProof w:val="0"/>
        </w:rPr>
        <w:t>&lt;/Artic</w:t>
      </w:r>
      <w:r w:rsidRPr="002B5B1B">
        <w:rPr>
          <w:rStyle w:val="HideTWBExt"/>
          <w:b w:val="0"/>
          <w:noProof w:val="0"/>
        </w:rPr>
        <w:t>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As consultas apenas podem ser feitas em casos concretos e em conformidade com a legislação nacional do Estado-Membro requerente.</w:t>
            </w:r>
          </w:p>
        </w:tc>
        <w:tc>
          <w:tcPr>
            <w:tcW w:w="4876" w:type="dxa"/>
          </w:tcPr>
          <w:p w:rsidR="003F5BF1" w:rsidRPr="002B5B1B" w:rsidRDefault="00D10947">
            <w:pPr>
              <w:pStyle w:val="Normal6"/>
              <w:rPr>
                <w:szCs w:val="24"/>
              </w:rPr>
            </w:pPr>
            <w:r w:rsidRPr="002B5B1B">
              <w:t>As consultas apenas podem ser feitas em casos concretos</w:t>
            </w:r>
            <w:r w:rsidRPr="002B5B1B">
              <w:rPr>
                <w:b/>
                <w:i/>
              </w:rPr>
              <w:t>,</w:t>
            </w:r>
            <w:r w:rsidRPr="002B5B1B">
              <w:t xml:space="preserve"> </w:t>
            </w:r>
            <w:r w:rsidRPr="002B5B1B">
              <w:rPr>
                <w:b/>
                <w:i/>
              </w:rPr>
              <w:t xml:space="preserve">quando forem proporcionadas e </w:t>
            </w:r>
            <w:r w:rsidRPr="002B5B1B">
              <w:rPr>
                <w:b/>
                <w:i/>
              </w:rPr>
              <w:t>necessárias para efeitos de prevenção ou deteção de uma infração penal e das investigações nessa matéria,</w:t>
            </w:r>
            <w:r w:rsidRPr="002B5B1B">
              <w:t xml:space="preserve"> e em conformidade com a legislação nacional do Estado-Membro requerente.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59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Caso uma consulta automatizada revele que o perfil de ADN transmitido corresponde a um perfil de ADN </w:t>
            </w:r>
            <w:r w:rsidRPr="002B5B1B">
              <w:rPr>
                <w:b/>
                <w:i/>
              </w:rPr>
              <w:t xml:space="preserve">registado </w:t>
            </w:r>
            <w:r w:rsidRPr="002B5B1B">
              <w:rPr>
                <w:b/>
                <w:i/>
              </w:rPr>
              <w:t>no ficheiro</w:t>
            </w:r>
            <w:r w:rsidRPr="002B5B1B">
              <w:t xml:space="preserve"> do Estado-Membro requerido, o ponto de contacto nacional do Estado-Membro requerente recebe de forma automática os dados de ADN de referência com os quais se verificou a correspondência.</w:t>
            </w:r>
          </w:p>
        </w:tc>
        <w:tc>
          <w:tcPr>
            <w:tcW w:w="4876" w:type="dxa"/>
          </w:tcPr>
          <w:p w:rsidR="003F5BF1" w:rsidRPr="002B5B1B" w:rsidRDefault="00D10947" w:rsidP="00470838">
            <w:pPr>
              <w:pStyle w:val="Normal6"/>
              <w:rPr>
                <w:szCs w:val="24"/>
              </w:rPr>
            </w:pPr>
            <w:r w:rsidRPr="002B5B1B">
              <w:t>2.</w:t>
            </w:r>
            <w:r w:rsidRPr="002B5B1B">
              <w:tab/>
              <w:t xml:space="preserve">Caso uma consulta automatizada revele que o perfil de </w:t>
            </w:r>
            <w:r w:rsidRPr="002B5B1B">
              <w:t xml:space="preserve">ADN transmitido corresponde a um perfil de ADN </w:t>
            </w:r>
            <w:r w:rsidRPr="002B5B1B">
              <w:rPr>
                <w:b/>
                <w:i/>
              </w:rPr>
              <w:t>armazenado na(s) base(s) de dados consultada(s)</w:t>
            </w:r>
            <w:r w:rsidRPr="002B5B1B">
              <w:t xml:space="preserve"> do Estado-Membro requerido, o ponto de contacto nacional do Estado-Membro requerente recebe de forma automática os dados de ADN de referência com os quais se ver</w:t>
            </w:r>
            <w:r w:rsidRPr="002B5B1B">
              <w:t xml:space="preserve">ificou a correspondência.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 – n.º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 xml:space="preserve">Se não houver </w:t>
            </w:r>
            <w:r w:rsidRPr="002B5B1B">
              <w:rPr>
                <w:b/>
                <w:i/>
              </w:rPr>
              <w:t>correspondência, o Estado-Membro requerente é informado de forma automatizada.</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w:t>
            </w:r>
            <w:r w:rsidRPr="002B5B1B">
              <w:t>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O ponto de contacto nacional do Estado-Membro requerente confirma uma correspondência entre os dados </w:t>
            </w:r>
            <w:r w:rsidRPr="002B5B1B">
              <w:rPr>
                <w:b/>
                <w:i/>
              </w:rPr>
              <w:t>dos perfis</w:t>
            </w:r>
            <w:r w:rsidRPr="002B5B1B">
              <w:t xml:space="preserve"> de ADN e os dados de ADN de referência na posse do Estado-Membro requerido, na </w:t>
            </w:r>
            <w:r w:rsidRPr="002B5B1B">
              <w:lastRenderedPageBreak/>
              <w:t>sequência da transmissão automatizada d</w:t>
            </w:r>
            <w:r w:rsidRPr="002B5B1B">
              <w:t>os dados de ADN de referência necessários para a confirmação de uma correspondência.</w:t>
            </w:r>
          </w:p>
        </w:tc>
        <w:tc>
          <w:tcPr>
            <w:tcW w:w="4876" w:type="dxa"/>
          </w:tcPr>
          <w:p w:rsidR="003F5BF1" w:rsidRPr="002B5B1B" w:rsidRDefault="00D10947" w:rsidP="00D27444">
            <w:pPr>
              <w:pStyle w:val="Normal6"/>
              <w:rPr>
                <w:szCs w:val="24"/>
              </w:rPr>
            </w:pPr>
            <w:r w:rsidRPr="002B5B1B">
              <w:lastRenderedPageBreak/>
              <w:t>3.</w:t>
            </w:r>
            <w:r w:rsidRPr="002B5B1B">
              <w:tab/>
              <w:t xml:space="preserve">O ponto de contacto nacional do Estado-Membro requerente confirma </w:t>
            </w:r>
            <w:r w:rsidRPr="002B5B1B">
              <w:rPr>
                <w:b/>
                <w:i/>
              </w:rPr>
              <w:t>manualmente</w:t>
            </w:r>
            <w:r w:rsidRPr="002B5B1B">
              <w:t xml:space="preserve"> uma correspondência entre os dados </w:t>
            </w:r>
            <w:r w:rsidRPr="002B5B1B">
              <w:rPr>
                <w:b/>
                <w:i/>
              </w:rPr>
              <w:t>do perfil</w:t>
            </w:r>
            <w:r w:rsidRPr="002B5B1B">
              <w:t xml:space="preserve"> de ADN e os dados de ADN de referência na pos</w:t>
            </w:r>
            <w:r w:rsidRPr="002B5B1B">
              <w:t>se do Estado-</w:t>
            </w:r>
            <w:r w:rsidRPr="002B5B1B">
              <w:lastRenderedPageBreak/>
              <w:t>Membro requerido, na sequência da transmissão automatizada dos dados de ADN de referência necessários para a confirmação de uma correspondência.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w:t>
      </w:r>
      <w:r w:rsidRPr="002B5B1B">
        <w:t>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Os Estados-Membros podem comparar, de comum acordo e através dos seus pontos de contacto nacionais, os perfis de ADN dos seus perfis de ADN não identificados co</w:t>
            </w:r>
            <w:r w:rsidRPr="002B5B1B">
              <w:t xml:space="preserve">m todos os perfis de ADN contidos </w:t>
            </w:r>
            <w:r w:rsidRPr="002B5B1B">
              <w:rPr>
                <w:b/>
                <w:i/>
              </w:rPr>
              <w:t>nos ficheiros</w:t>
            </w:r>
            <w:r w:rsidRPr="002B5B1B">
              <w:t xml:space="preserve"> nacionais </w:t>
            </w:r>
            <w:r w:rsidRPr="002B5B1B">
              <w:rPr>
                <w:b/>
                <w:i/>
              </w:rPr>
              <w:t>de análise</w:t>
            </w:r>
            <w:r w:rsidRPr="002B5B1B">
              <w:t xml:space="preserve"> de ADN, para efeitos de investigação de infrações penais. A transmissão e a comparação são feitas de modo automatizado.</w:t>
            </w:r>
          </w:p>
        </w:tc>
        <w:tc>
          <w:tcPr>
            <w:tcW w:w="4876" w:type="dxa"/>
          </w:tcPr>
          <w:p w:rsidR="003F5BF1" w:rsidRPr="002B5B1B" w:rsidRDefault="00D10947" w:rsidP="00D27444">
            <w:pPr>
              <w:pStyle w:val="Normal6"/>
              <w:rPr>
                <w:szCs w:val="24"/>
              </w:rPr>
            </w:pPr>
            <w:r w:rsidRPr="002B5B1B">
              <w:t>1.</w:t>
            </w:r>
            <w:r w:rsidRPr="002B5B1B">
              <w:tab/>
              <w:t>Os Estados-Membros podem comparar, de comum acordo e através dos</w:t>
            </w:r>
            <w:r w:rsidRPr="002B5B1B">
              <w:t xml:space="preserve"> seus pontos de contacto nacionais, os perfis de ADN dos seus perfis de ADN não identificados com todos os perfis de ADN contidos </w:t>
            </w:r>
            <w:r w:rsidRPr="002B5B1B">
              <w:rPr>
                <w:b/>
                <w:i/>
              </w:rPr>
              <w:t>nas bases de dados</w:t>
            </w:r>
            <w:r w:rsidRPr="002B5B1B">
              <w:t xml:space="preserve"> nacionais de ADN, para efeitos de investigação de infrações penais. A transmissão e a comparação são feitas</w:t>
            </w:r>
            <w:r w:rsidRPr="002B5B1B">
              <w:t xml:space="preserve"> de modo automatizado.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r>
            <w:r w:rsidRPr="002B5B1B">
              <w:t xml:space="preserve">Se, em resultado da comparação prevista no n.º 1, um Estado-Membro requerido verificar que um perfil de ADN transmitido corresponde a um perfil existente </w:t>
            </w:r>
            <w:r w:rsidRPr="002B5B1B">
              <w:rPr>
                <w:b/>
                <w:i/>
              </w:rPr>
              <w:t>nos seus ficheiros de análise</w:t>
            </w:r>
            <w:r w:rsidRPr="002B5B1B">
              <w:t xml:space="preserve"> de ADN, comunica sem demora ao ponto de contacto nacional do Estado-Memb</w:t>
            </w:r>
            <w:r w:rsidRPr="002B5B1B">
              <w:t>ro requerente os dados de ADN de referência com os quais se verificou a correspondência.</w:t>
            </w:r>
          </w:p>
        </w:tc>
        <w:tc>
          <w:tcPr>
            <w:tcW w:w="4876" w:type="dxa"/>
          </w:tcPr>
          <w:p w:rsidR="003F5BF1" w:rsidRPr="002B5B1B" w:rsidRDefault="00D10947" w:rsidP="00D27444">
            <w:pPr>
              <w:pStyle w:val="Normal6"/>
              <w:rPr>
                <w:szCs w:val="24"/>
              </w:rPr>
            </w:pPr>
            <w:r w:rsidRPr="002B5B1B">
              <w:t>2.</w:t>
            </w:r>
            <w:r w:rsidRPr="002B5B1B">
              <w:tab/>
              <w:t xml:space="preserve">Se, em resultado da comparação prevista no n.º 1, um Estado-Membro requerido verificar que um perfil de ADN transmitido corresponde a um perfil existente </w:t>
            </w:r>
            <w:r w:rsidRPr="002B5B1B">
              <w:rPr>
                <w:b/>
                <w:i/>
              </w:rPr>
              <w:t>nas suas b</w:t>
            </w:r>
            <w:r w:rsidRPr="002B5B1B">
              <w:rPr>
                <w:b/>
                <w:i/>
              </w:rPr>
              <w:t>ases de dados</w:t>
            </w:r>
            <w:r w:rsidRPr="002B5B1B">
              <w:t xml:space="preserve"> de ADN, comunica sem demora ao ponto de contacto nacional do Estado-Membro requerente os dados de ADN de referência com os quais se verificou a correspondência. </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A confirmação de uma correspondência entre perfis de ADN e dados de ADN de referência do Estado-Membro requerido é feita pelo ponto de contac</w:t>
            </w:r>
            <w:r w:rsidRPr="002B5B1B">
              <w:t>to nacional do Estado-Membro requerente, na sequência da transmissão automatizada dos dados de ADN de referência necessários para a confirmação de uma correspondência.</w:t>
            </w:r>
          </w:p>
        </w:tc>
        <w:tc>
          <w:tcPr>
            <w:tcW w:w="4876" w:type="dxa"/>
          </w:tcPr>
          <w:p w:rsidR="003F5BF1" w:rsidRPr="002B5B1B" w:rsidRDefault="00D10947" w:rsidP="00D27444">
            <w:pPr>
              <w:pStyle w:val="Normal6"/>
              <w:rPr>
                <w:szCs w:val="24"/>
              </w:rPr>
            </w:pPr>
            <w:r w:rsidRPr="002B5B1B">
              <w:t>3.</w:t>
            </w:r>
            <w:r w:rsidRPr="002B5B1B">
              <w:tab/>
            </w:r>
            <w:r w:rsidRPr="002B5B1B">
              <w:t xml:space="preserve">A confirmação de uma correspondência entre perfis de ADN e dados de ADN de referência do Estado-Membro requerido é feita </w:t>
            </w:r>
            <w:r w:rsidRPr="002B5B1B">
              <w:rPr>
                <w:b/>
                <w:i/>
              </w:rPr>
              <w:t>manualmente</w:t>
            </w:r>
            <w:r w:rsidRPr="002B5B1B">
              <w:t xml:space="preserve"> pelo ponto de contacto nacional do Estado-Membro requerente, na sequência da transmissão automatizada dos dados de ADN de r</w:t>
            </w:r>
            <w:r w:rsidRPr="002B5B1B">
              <w:t>eferência necessários para a confirmação de uma correspondência.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8</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jc w:val="center"/>
            </w:pPr>
            <w:r w:rsidRPr="002B5B1B">
              <w:rPr>
                <w:b/>
                <w:i/>
              </w:rPr>
              <w:t xml:space="preserve">Artigo </w:t>
            </w:r>
            <w:r w:rsidRPr="002B5B1B">
              <w:rPr>
                <w:b/>
                <w:i/>
              </w:rPr>
              <w:t>8.º</w:t>
            </w:r>
          </w:p>
        </w:tc>
        <w:tc>
          <w:tcPr>
            <w:tcW w:w="4876" w:type="dxa"/>
          </w:tcPr>
          <w:p w:rsidR="003F5BF1" w:rsidRPr="002B5B1B" w:rsidRDefault="00D10947" w:rsidP="00445DCA">
            <w:pPr>
              <w:pStyle w:val="Normal6"/>
              <w:rPr>
                <w:szCs w:val="24"/>
              </w:rPr>
            </w:pPr>
            <w:r w:rsidRPr="002B5B1B">
              <w:rPr>
                <w:b/>
                <w:i/>
              </w:rPr>
              <w:t>Suprimido</w:t>
            </w:r>
          </w:p>
        </w:tc>
      </w:tr>
      <w:tr w:rsidR="008B152A" w:rsidRPr="002B5B1B" w:rsidTr="00D27444">
        <w:trPr>
          <w:jc w:val="center"/>
        </w:trPr>
        <w:tc>
          <w:tcPr>
            <w:tcW w:w="4876" w:type="dxa"/>
          </w:tcPr>
          <w:p w:rsidR="003F5BF1" w:rsidRPr="002B5B1B" w:rsidRDefault="00D10947" w:rsidP="00D27444">
            <w:pPr>
              <w:pStyle w:val="Normal6"/>
              <w:jc w:val="center"/>
            </w:pPr>
            <w:r w:rsidRPr="002B5B1B">
              <w:rPr>
                <w:b/>
                <w:i/>
              </w:rPr>
              <w:t>Prestação de informações sobre ficheiros de análise de ADN</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Cada Estado-Membro informa a Comissão e a eu-LISA dos ficheiros nacionais de análise de ADN aos quais são aplicáveis os artigos 5.º a 7.º, nos termos do artigo 73.º.</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66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9 – parágrafo 1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r>
            <w:r w:rsidRPr="002B5B1B">
              <w:t>Um índice de referência que permita aos Estados-Membros, em caso de correspondência, retirar mais dados e outras informações da sua base de dados, a que se refere o artigo 5.º, a fim de os transmitir a um, a vários ou a todos os outros Estados-Membros, nos</w:t>
            </w:r>
            <w:r w:rsidRPr="002B5B1B">
              <w:t xml:space="preserve"> termos </w:t>
            </w:r>
            <w:r w:rsidRPr="002B5B1B">
              <w:rPr>
                <w:b/>
                <w:i/>
              </w:rPr>
              <w:t>dos artigos</w:t>
            </w:r>
            <w:r w:rsidRPr="002B5B1B">
              <w:t xml:space="preserve"> 47.º </w:t>
            </w:r>
            <w:r w:rsidRPr="002B5B1B">
              <w:rPr>
                <w:b/>
                <w:i/>
              </w:rPr>
              <w:t>e 48.º</w:t>
            </w:r>
            <w:r w:rsidRPr="002B5B1B">
              <w:t>;</w:t>
            </w:r>
          </w:p>
        </w:tc>
        <w:tc>
          <w:tcPr>
            <w:tcW w:w="4876" w:type="dxa"/>
          </w:tcPr>
          <w:p w:rsidR="003F5BF1" w:rsidRPr="002B5B1B" w:rsidRDefault="00D10947" w:rsidP="00470838">
            <w:pPr>
              <w:pStyle w:val="Normal6"/>
              <w:rPr>
                <w:szCs w:val="24"/>
              </w:rPr>
            </w:pPr>
            <w:r w:rsidRPr="002B5B1B">
              <w:t>(a)</w:t>
            </w:r>
            <w:r w:rsidRPr="002B5B1B">
              <w:tab/>
              <w:t>Um índice de referência que permita aos Estados-Membros, em caso de correspondência, retirar mais dados e outras informações da sua base de dados, a que se refere o artigo 5.º, a fim de os transmitir a um, a vários ou a</w:t>
            </w:r>
            <w:r w:rsidRPr="002B5B1B">
              <w:t xml:space="preserve"> todos os outros Estados-Membros, nos termos </w:t>
            </w:r>
            <w:r w:rsidRPr="002B5B1B">
              <w:rPr>
                <w:b/>
                <w:i/>
              </w:rPr>
              <w:t>do artigo</w:t>
            </w:r>
            <w:r w:rsidRPr="002B5B1B">
              <w:t xml:space="preserve"> 47.º </w:t>
            </w:r>
            <w:r w:rsidRPr="002B5B1B">
              <w:rPr>
                <w:b/>
                <w:i/>
              </w:rPr>
              <w:t>, ou à Europol, nos termos do artigo 50.º, n.º 6;</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9 – </w:t>
      </w:r>
      <w:r w:rsidRPr="002B5B1B">
        <w:t>parágrafo 1 – alínea a-A) (nova)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683926">
            <w:pPr>
              <w:pStyle w:val="Normal6"/>
              <w:rPr>
                <w:szCs w:val="24"/>
              </w:rPr>
            </w:pPr>
            <w:r w:rsidRPr="002B5B1B">
              <w:rPr>
                <w:b/>
                <w:i/>
              </w:rPr>
              <w:t>(a-A)</w:t>
            </w:r>
            <w:r w:rsidRPr="002B5B1B">
              <w:rPr>
                <w:b/>
                <w:i/>
              </w:rPr>
              <w:tab/>
              <w:t>Um índice de referência que permita à Europol, em caso de correspondência, retirar mais dados e outras informações para efeitos do artigo 49.º, n.º 1, a fim de os transmitir a</w:t>
            </w:r>
            <w:r w:rsidRPr="002B5B1B">
              <w:rPr>
                <w:b/>
                <w:i/>
              </w:rPr>
              <w:t xml:space="preserve"> um, a vários ou a todos os outros Estados-Membros, nos termos do Regulamento (UE) 2016/794;</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9 – parágrafo 1 – alínea</w:t>
      </w:r>
      <w:r w:rsidRPr="002B5B1B">
        <w:t xml:space="preserve"> c)</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(c)</w:t>
            </w:r>
            <w:r w:rsidRPr="002B5B1B">
              <w:tab/>
              <w:t xml:space="preserve">Um código que indique o tipo de </w:t>
            </w:r>
            <w:r w:rsidRPr="002B5B1B">
              <w:lastRenderedPageBreak/>
              <w:t xml:space="preserve">perfil de ADN (perfis de ADN </w:t>
            </w:r>
            <w:r w:rsidRPr="002B5B1B">
              <w:rPr>
                <w:b/>
                <w:i/>
              </w:rPr>
              <w:t>de referência</w:t>
            </w:r>
            <w:r w:rsidRPr="002B5B1B">
              <w:t xml:space="preserve"> ou perfis de ADN não identificados).</w:t>
            </w:r>
          </w:p>
        </w:tc>
        <w:tc>
          <w:tcPr>
            <w:tcW w:w="4876" w:type="dxa"/>
          </w:tcPr>
          <w:p w:rsidR="003F5BF1" w:rsidRPr="002B5B1B" w:rsidRDefault="00D10947" w:rsidP="00D27444">
            <w:pPr>
              <w:pStyle w:val="Normal6"/>
              <w:rPr>
                <w:szCs w:val="24"/>
              </w:rPr>
            </w:pPr>
            <w:r w:rsidRPr="002B5B1B">
              <w:lastRenderedPageBreak/>
              <w:t>(c)</w:t>
            </w:r>
            <w:r w:rsidRPr="002B5B1B">
              <w:tab/>
              <w:t xml:space="preserve">Um código que indique o tipo de </w:t>
            </w:r>
            <w:r w:rsidRPr="002B5B1B">
              <w:lastRenderedPageBreak/>
              <w:t xml:space="preserve">perfil de ADN (perfis de ADN </w:t>
            </w:r>
            <w:r w:rsidRPr="002B5B1B">
              <w:rPr>
                <w:b/>
                <w:i/>
              </w:rPr>
              <w:t>identificados</w:t>
            </w:r>
            <w:r w:rsidRPr="002B5B1B">
              <w:t xml:space="preserve"> ou perfis de ADN não identificados).</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69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10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rPr>
                <w:b/>
                <w:i/>
              </w:rPr>
              <w:t>São tomadas</w:t>
            </w:r>
            <w:r w:rsidRPr="002B5B1B">
              <w:t xml:space="preserve"> medidas adequadas para assegurar a confidencialidade e a integridade dos dados de ADN de referência transmitidos a outros Estados-Membros, incluindo a sua cifragem.</w:t>
            </w:r>
          </w:p>
        </w:tc>
        <w:tc>
          <w:tcPr>
            <w:tcW w:w="4876" w:type="dxa"/>
          </w:tcPr>
          <w:p w:rsidR="003F5BF1" w:rsidRPr="002B5B1B" w:rsidRDefault="00D10947" w:rsidP="00D27444">
            <w:pPr>
              <w:pStyle w:val="Normal6"/>
              <w:rPr>
                <w:szCs w:val="24"/>
              </w:rPr>
            </w:pPr>
            <w:r w:rsidRPr="002B5B1B">
              <w:t>1.</w:t>
            </w:r>
            <w:r w:rsidRPr="002B5B1B">
              <w:tab/>
            </w:r>
            <w:r w:rsidRPr="002B5B1B">
              <w:rPr>
                <w:b/>
                <w:i/>
              </w:rPr>
              <w:t>Os Estados-Membros e, se for caso disso, a Europol tomam as</w:t>
            </w:r>
            <w:r w:rsidRPr="002B5B1B">
              <w:t xml:space="preserve"> medidas adequadas para asse</w:t>
            </w:r>
            <w:r w:rsidRPr="002B5B1B">
              <w:t xml:space="preserve">gurar a confidencialidade e a integridade dos dados de ADN de referência transmitidos a outros Estados-Membros </w:t>
            </w:r>
            <w:r w:rsidRPr="002B5B1B">
              <w:rPr>
                <w:b/>
                <w:i/>
              </w:rPr>
              <w:t>ou à Europol</w:t>
            </w:r>
            <w:r w:rsidRPr="002B5B1B">
              <w:t>, incluindo a sua cifragem.</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10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Cada Estado-Membro </w:t>
            </w:r>
            <w:r w:rsidRPr="002B5B1B">
              <w:rPr>
                <w:b/>
                <w:i/>
              </w:rPr>
              <w:t>toma</w:t>
            </w:r>
            <w:r w:rsidRPr="002B5B1B">
              <w:t xml:space="preserve"> as medidas necessárias para garantir a integridade dos perfis de ADN disponibilizados ou transmitidos aos restantes Estados-Membros para e</w:t>
            </w:r>
            <w:r w:rsidRPr="002B5B1B">
              <w:t>feitos de comparação, e para assegurar que essas medidas sejam conformes com as normas internacionais pertinentes para o intercâmbio de dados de ADN.</w:t>
            </w:r>
          </w:p>
        </w:tc>
        <w:tc>
          <w:tcPr>
            <w:tcW w:w="4876" w:type="dxa"/>
          </w:tcPr>
          <w:p w:rsidR="003F5BF1" w:rsidRPr="002B5B1B" w:rsidRDefault="00D10947" w:rsidP="00D27444">
            <w:pPr>
              <w:pStyle w:val="Normal6"/>
              <w:rPr>
                <w:szCs w:val="24"/>
              </w:rPr>
            </w:pPr>
            <w:r w:rsidRPr="002B5B1B">
              <w:t>2.</w:t>
            </w:r>
            <w:r w:rsidRPr="002B5B1B">
              <w:tab/>
              <w:t xml:space="preserve">Cada Estado-Membro </w:t>
            </w:r>
            <w:r w:rsidRPr="002B5B1B">
              <w:rPr>
                <w:b/>
                <w:i/>
              </w:rPr>
              <w:t>e a Europol tomam</w:t>
            </w:r>
            <w:r w:rsidRPr="002B5B1B">
              <w:t xml:space="preserve"> as medidas necessárias para garantir a integridade dos perfis de A</w:t>
            </w:r>
            <w:r w:rsidRPr="002B5B1B">
              <w:t xml:space="preserve">DN disponibilizados ou transmitidos aos restantes Estados-Membros para efeitos de comparação, e para assegurar que essas medidas sejam conformes com as normas </w:t>
            </w:r>
            <w:r w:rsidRPr="002B5B1B">
              <w:rPr>
                <w:b/>
                <w:i/>
              </w:rPr>
              <w:t>europeias ou</w:t>
            </w:r>
            <w:r w:rsidRPr="002B5B1B">
              <w:t xml:space="preserve"> internacionais pertinentes para o intercâmbio de dados de ADN.</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71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10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A Comissão adota </w:t>
            </w:r>
            <w:r w:rsidRPr="002B5B1B">
              <w:rPr>
                <w:b/>
                <w:i/>
              </w:rPr>
              <w:t>atos</w:t>
            </w:r>
            <w:r w:rsidRPr="002B5B1B">
              <w:t xml:space="preserve"> de execução a fim de especificar as normas internacionais per</w:t>
            </w:r>
            <w:r w:rsidRPr="002B5B1B">
              <w:t xml:space="preserve">tinentes a utilizar pelos Estados-Membros para o intercâmbio de dados de ADN de referência. </w:t>
            </w:r>
            <w:r w:rsidRPr="002B5B1B">
              <w:rPr>
                <w:b/>
                <w:i/>
              </w:rPr>
              <w:t>Os referidos atos</w:t>
            </w:r>
            <w:r w:rsidRPr="002B5B1B">
              <w:t xml:space="preserve"> de execução </w:t>
            </w:r>
            <w:r w:rsidRPr="002B5B1B">
              <w:rPr>
                <w:b/>
                <w:i/>
              </w:rPr>
              <w:t>são adotados</w:t>
            </w:r>
            <w:r w:rsidRPr="002B5B1B">
              <w:t xml:space="preserve"> pelo procedimento a que se refere o artigo 76.º, n.º 2.</w:t>
            </w:r>
          </w:p>
        </w:tc>
        <w:tc>
          <w:tcPr>
            <w:tcW w:w="4876" w:type="dxa"/>
          </w:tcPr>
          <w:p w:rsidR="003F5BF1" w:rsidRPr="002B5B1B" w:rsidRDefault="00D10947">
            <w:pPr>
              <w:pStyle w:val="Normal6"/>
              <w:rPr>
                <w:szCs w:val="24"/>
              </w:rPr>
            </w:pPr>
            <w:r w:rsidRPr="002B5B1B">
              <w:t>3.</w:t>
            </w:r>
            <w:r w:rsidRPr="002B5B1B">
              <w:tab/>
              <w:t xml:space="preserve">A Comissão adota </w:t>
            </w:r>
            <w:r w:rsidRPr="002B5B1B">
              <w:rPr>
                <w:b/>
                <w:i/>
              </w:rPr>
              <w:t>um ato</w:t>
            </w:r>
            <w:r w:rsidRPr="002B5B1B">
              <w:t xml:space="preserve"> de execução a fim de </w:t>
            </w:r>
            <w:r w:rsidRPr="002B5B1B">
              <w:rPr>
                <w:b/>
                <w:i/>
              </w:rPr>
              <w:t xml:space="preserve">estabelecer </w:t>
            </w:r>
            <w:r w:rsidRPr="002B5B1B">
              <w:rPr>
                <w:b/>
                <w:i/>
              </w:rPr>
              <w:t>requisitos mínimos de qualidade a cumprir pelos dados de referência de ADN e de</w:t>
            </w:r>
            <w:r w:rsidRPr="002B5B1B">
              <w:t xml:space="preserve"> especificar as normas </w:t>
            </w:r>
            <w:r w:rsidRPr="002B5B1B">
              <w:rPr>
                <w:b/>
                <w:i/>
              </w:rPr>
              <w:t>europeias ou</w:t>
            </w:r>
            <w:r w:rsidRPr="002B5B1B">
              <w:t xml:space="preserve"> internacionais pertinentes a utilizar pelos Estados-Membros </w:t>
            </w:r>
            <w:r w:rsidRPr="002B5B1B">
              <w:rPr>
                <w:b/>
                <w:i/>
              </w:rPr>
              <w:t>e pela Europol</w:t>
            </w:r>
            <w:r w:rsidRPr="002B5B1B">
              <w:t xml:space="preserve"> para o intercâmbio de dados de ADN de referência. </w:t>
            </w:r>
            <w:r w:rsidRPr="002B5B1B">
              <w:rPr>
                <w:b/>
                <w:i/>
              </w:rPr>
              <w:t>O referido ato</w:t>
            </w:r>
            <w:r w:rsidRPr="002B5B1B">
              <w:t xml:space="preserve"> d</w:t>
            </w:r>
            <w:r w:rsidRPr="002B5B1B">
              <w:t xml:space="preserve">e execução </w:t>
            </w:r>
            <w:r w:rsidRPr="002B5B1B">
              <w:rPr>
                <w:b/>
                <w:i/>
              </w:rPr>
              <w:t>é adotado</w:t>
            </w:r>
            <w:r w:rsidRPr="002B5B1B">
              <w:t xml:space="preserve"> pelo procedimento a que se refere o artigo 76.º,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11 – n.º 1 – alínea d)</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w:t>
            </w:r>
            <w:r w:rsidRPr="002B5B1B">
              <w:t xml:space="preserve">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(d)</w:t>
            </w:r>
            <w:r w:rsidRPr="002B5B1B">
              <w:tab/>
              <w:t xml:space="preserve">O tipo de perfis de ADN transmitidos (perfis de ADN não identificados ou perfis de ADN </w:t>
            </w:r>
            <w:r w:rsidRPr="002B5B1B">
              <w:rPr>
                <w:b/>
                <w:i/>
              </w:rPr>
              <w:t>de referência</w:t>
            </w:r>
            <w:r w:rsidRPr="002B5B1B">
              <w:t>);</w:t>
            </w:r>
          </w:p>
        </w:tc>
        <w:tc>
          <w:tcPr>
            <w:tcW w:w="4876" w:type="dxa"/>
          </w:tcPr>
          <w:p w:rsidR="003F5BF1" w:rsidRPr="002B5B1B" w:rsidRDefault="00D10947" w:rsidP="00D27444">
            <w:pPr>
              <w:pStyle w:val="Normal6"/>
              <w:rPr>
                <w:szCs w:val="24"/>
              </w:rPr>
            </w:pPr>
            <w:r w:rsidRPr="002B5B1B">
              <w:t>(d)</w:t>
            </w:r>
            <w:r w:rsidRPr="002B5B1B">
              <w:tab/>
              <w:t xml:space="preserve">O tipo de perfis de ADN transmitidos (perfis de ADN não identificados ou perfis de ADN </w:t>
            </w:r>
            <w:r w:rsidRPr="002B5B1B">
              <w:rPr>
                <w:b/>
                <w:i/>
              </w:rPr>
              <w:t>identificados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11 – n.º 2 – alínea f)</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(f)</w:t>
            </w:r>
            <w:r w:rsidRPr="002B5B1B">
              <w:tab/>
            </w:r>
            <w:r w:rsidRPr="002B5B1B">
              <w:t xml:space="preserve">O tipo de perfis de ADN transmitidos (perfis de ADN não identificados ou perfis de ADN </w:t>
            </w:r>
            <w:r w:rsidRPr="002B5B1B">
              <w:rPr>
                <w:b/>
                <w:i/>
              </w:rPr>
              <w:t xml:space="preserve">de </w:t>
            </w:r>
            <w:r w:rsidRPr="002B5B1B">
              <w:rPr>
                <w:b/>
                <w:i/>
              </w:rPr>
              <w:lastRenderedPageBreak/>
              <w:t>referência</w:t>
            </w:r>
            <w:r w:rsidRPr="002B5B1B">
              <w:t>);</w:t>
            </w:r>
          </w:p>
        </w:tc>
        <w:tc>
          <w:tcPr>
            <w:tcW w:w="4876" w:type="dxa"/>
          </w:tcPr>
          <w:p w:rsidR="003F5BF1" w:rsidRPr="002B5B1B" w:rsidRDefault="00D10947" w:rsidP="00D27444">
            <w:pPr>
              <w:pStyle w:val="Normal6"/>
              <w:rPr>
                <w:szCs w:val="24"/>
              </w:rPr>
            </w:pPr>
            <w:r w:rsidRPr="002B5B1B">
              <w:lastRenderedPageBreak/>
              <w:t>(f)</w:t>
            </w:r>
            <w:r w:rsidRPr="002B5B1B">
              <w:tab/>
              <w:t xml:space="preserve">O tipo de perfis de ADN transmitidos (perfis de ADN não identificados ou perfis de ADN </w:t>
            </w:r>
            <w:r w:rsidRPr="002B5B1B">
              <w:rPr>
                <w:b/>
                <w:i/>
              </w:rPr>
              <w:lastRenderedPageBreak/>
              <w:t>identificados</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w:t>
      </w:r>
      <w:r w:rsidRPr="002B5B1B">
        <w:rPr>
          <w:rStyle w:val="HideTWBExt"/>
          <w:b w:val="0"/>
          <w:noProof w:val="0"/>
        </w:rPr>
        <w:t>nd&gt;</w:t>
      </w:r>
      <w:r w:rsidRPr="002B5B1B">
        <w:t>Alteração</w:t>
      </w:r>
      <w:r w:rsidRPr="002B5B1B">
        <w:tab/>
      </w:r>
      <w:r w:rsidRPr="002B5B1B">
        <w:tab/>
      </w:r>
      <w:r w:rsidRPr="002B5B1B">
        <w:rPr>
          <w:rStyle w:val="HideTWBExt"/>
          <w:b w:val="0"/>
          <w:noProof w:val="0"/>
        </w:rPr>
        <w:t>&lt;NumAm&gt;</w:t>
      </w:r>
      <w:r w:rsidRPr="002B5B1B">
        <w:t>74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11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r>
            <w:r w:rsidRPr="002B5B1B">
              <w:t xml:space="preserve">A notificação automatizada de uma correspondência só pode ser efetuada se da consulta ou comparação automatizada tiver resultado a correspondência de um número mínimo de </w:t>
            </w:r>
            <w:r w:rsidRPr="002B5B1B">
              <w:rPr>
                <w:i/>
                <w:iCs/>
              </w:rPr>
              <w:t>loci</w:t>
            </w:r>
            <w:r w:rsidRPr="002B5B1B">
              <w:t xml:space="preserve">. A Comissão adota </w:t>
            </w:r>
            <w:r w:rsidRPr="002B5B1B">
              <w:rPr>
                <w:b/>
                <w:i/>
              </w:rPr>
              <w:t>atos</w:t>
            </w:r>
            <w:r w:rsidRPr="002B5B1B">
              <w:t xml:space="preserve"> de execução a fim de definir esse número mínimo de </w:t>
            </w:r>
            <w:r w:rsidRPr="002B5B1B">
              <w:rPr>
                <w:i/>
                <w:iCs/>
              </w:rPr>
              <w:t>loci</w:t>
            </w:r>
            <w:r w:rsidRPr="002B5B1B">
              <w:t xml:space="preserve"> pe</w:t>
            </w:r>
            <w:r w:rsidRPr="002B5B1B">
              <w:t>lo procedimento a que se refere o artigo 76.º, n.º 2.</w:t>
            </w:r>
          </w:p>
        </w:tc>
        <w:tc>
          <w:tcPr>
            <w:tcW w:w="4876" w:type="dxa"/>
          </w:tcPr>
          <w:p w:rsidR="003F5BF1" w:rsidRPr="002B5B1B" w:rsidRDefault="00D10947" w:rsidP="00D27444">
            <w:pPr>
              <w:pStyle w:val="Normal6"/>
              <w:rPr>
                <w:szCs w:val="24"/>
              </w:rPr>
            </w:pPr>
            <w:r w:rsidRPr="002B5B1B">
              <w:t>3.</w:t>
            </w:r>
            <w:r w:rsidRPr="002B5B1B">
              <w:tab/>
              <w:t xml:space="preserve">A notificação automatizada de uma correspondência só pode ser efetuada se da consulta ou comparação automatizada tiver resultado a correspondência de um número mínimo de </w:t>
            </w:r>
            <w:r w:rsidRPr="002B5B1B">
              <w:rPr>
                <w:i/>
                <w:iCs/>
              </w:rPr>
              <w:t>loci</w:t>
            </w:r>
            <w:r w:rsidRPr="002B5B1B">
              <w:t xml:space="preserve">. A Comissão adota </w:t>
            </w:r>
            <w:r w:rsidRPr="002B5B1B">
              <w:rPr>
                <w:b/>
                <w:i/>
              </w:rPr>
              <w:t>um ato</w:t>
            </w:r>
            <w:r w:rsidRPr="002B5B1B">
              <w:t xml:space="preserve"> de execução a fim de definir esse número mínimo de </w:t>
            </w:r>
            <w:r w:rsidRPr="002B5B1B">
              <w:rPr>
                <w:i/>
                <w:iCs/>
              </w:rPr>
              <w:t>loci</w:t>
            </w:r>
            <w:r w:rsidRPr="002B5B1B">
              <w:t xml:space="preserve"> pelo procedimento a que se refere o artigo 76.º,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11 –</w:t>
      </w:r>
      <w:r w:rsidRPr="002B5B1B">
        <w:t xml:space="preserve"> n.º 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5.</w:t>
            </w:r>
            <w:r w:rsidRPr="002B5B1B">
              <w:tab/>
              <w:t xml:space="preserve">Os Estados-Membros asseguram que os pedidos são coerentes com as </w:t>
            </w:r>
            <w:r w:rsidRPr="002B5B1B">
              <w:rPr>
                <w:b/>
                <w:i/>
              </w:rPr>
              <w:t>declarações</w:t>
            </w:r>
            <w:r w:rsidRPr="002B5B1B">
              <w:t xml:space="preserve"> enviadas nos termos do artigo </w:t>
            </w:r>
            <w:r w:rsidRPr="002B5B1B">
              <w:rPr>
                <w:b/>
                <w:i/>
              </w:rPr>
              <w:t>8.º</w:t>
            </w:r>
            <w:r w:rsidRPr="002B5B1B">
              <w:t xml:space="preserve">. Essas </w:t>
            </w:r>
            <w:r w:rsidRPr="002B5B1B">
              <w:rPr>
                <w:b/>
                <w:i/>
              </w:rPr>
              <w:t>declarações</w:t>
            </w:r>
            <w:r w:rsidRPr="002B5B1B">
              <w:t xml:space="preserve"> constam do manual prático a que se refere o artigo 78.º.</w:t>
            </w:r>
          </w:p>
        </w:tc>
        <w:tc>
          <w:tcPr>
            <w:tcW w:w="4876" w:type="dxa"/>
          </w:tcPr>
          <w:p w:rsidR="003F5BF1" w:rsidRPr="002B5B1B" w:rsidRDefault="00D10947" w:rsidP="00D27444">
            <w:pPr>
              <w:pStyle w:val="Normal6"/>
              <w:rPr>
                <w:szCs w:val="24"/>
              </w:rPr>
            </w:pPr>
            <w:r w:rsidRPr="002B5B1B">
              <w:t>5.</w:t>
            </w:r>
            <w:r w:rsidRPr="002B5B1B">
              <w:tab/>
            </w:r>
            <w:r w:rsidRPr="002B5B1B">
              <w:t xml:space="preserve">Os Estados-Membros asseguram que os pedidos são coerentes com as </w:t>
            </w:r>
            <w:r w:rsidRPr="002B5B1B">
              <w:rPr>
                <w:b/>
                <w:i/>
              </w:rPr>
              <w:t>notificações</w:t>
            </w:r>
            <w:r w:rsidRPr="002B5B1B">
              <w:t xml:space="preserve"> enviadas nos termos do artigo </w:t>
            </w:r>
            <w:r w:rsidRPr="002B5B1B">
              <w:rPr>
                <w:b/>
                <w:i/>
              </w:rPr>
              <w:t>73.º, n.º 2, alínea a)</w:t>
            </w:r>
            <w:r w:rsidRPr="002B5B1B">
              <w:t xml:space="preserve">. Essas </w:t>
            </w:r>
            <w:r w:rsidRPr="002B5B1B">
              <w:rPr>
                <w:b/>
                <w:i/>
              </w:rPr>
              <w:t>notificações</w:t>
            </w:r>
            <w:r w:rsidRPr="002B5B1B">
              <w:t xml:space="preserve"> constam do manual prático a que se refere o artigo 78.º.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12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asseguram a disponibilidade de dados dactiloscópicos de referência provenientes </w:t>
            </w:r>
            <w:r w:rsidRPr="002B5B1B">
              <w:rPr>
                <w:b/>
                <w:i/>
              </w:rPr>
              <w:t xml:space="preserve">dos </w:t>
            </w:r>
            <w:r w:rsidRPr="002B5B1B">
              <w:rPr>
                <w:b/>
                <w:i/>
              </w:rPr>
              <w:t>dados contidos nos sistemas automáticos de identificação dactiloscópica, criados</w:t>
            </w:r>
            <w:r w:rsidRPr="002B5B1B">
              <w:t xml:space="preserve"> para fins de prevenção ou deteção de infrações penais e das investigações nessa matéria.</w:t>
            </w:r>
          </w:p>
        </w:tc>
        <w:tc>
          <w:tcPr>
            <w:tcW w:w="4876" w:type="dxa"/>
          </w:tcPr>
          <w:p w:rsidR="003F5BF1" w:rsidRPr="002B5B1B" w:rsidRDefault="00D10947" w:rsidP="00683926">
            <w:pPr>
              <w:pStyle w:val="Normal6"/>
              <w:rPr>
                <w:szCs w:val="24"/>
              </w:rPr>
            </w:pPr>
            <w:r w:rsidRPr="002B5B1B">
              <w:t>1.</w:t>
            </w:r>
            <w:r w:rsidRPr="002B5B1B">
              <w:tab/>
              <w:t>Os Estados-Membros asseguram a disponibilidade de dados dactiloscópicos de referênc</w:t>
            </w:r>
            <w:r w:rsidRPr="002B5B1B">
              <w:t xml:space="preserve">ia provenientes </w:t>
            </w:r>
            <w:r w:rsidRPr="002B5B1B">
              <w:rPr>
                <w:b/>
                <w:i/>
              </w:rPr>
              <w:t>da(s) sua(s) base(s) de dados nacional(ais), criada(s)</w:t>
            </w:r>
            <w:r w:rsidRPr="002B5B1B">
              <w:t xml:space="preserve"> para fins de prevenção ou deteção de infrações penais e das investigações nessa matéria.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w:t>
      </w:r>
      <w:r w:rsidRPr="002B5B1B">
        <w:t xml:space="preserve">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12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Os dados dactiloscópicos de referência não devem conter dados que permitam a identificação direta da pessoa.</w:t>
            </w:r>
          </w:p>
        </w:tc>
        <w:tc>
          <w:tcPr>
            <w:tcW w:w="4876" w:type="dxa"/>
          </w:tcPr>
          <w:p w:rsidR="003F5BF1" w:rsidRPr="002B5B1B" w:rsidRDefault="00D10947" w:rsidP="00D27444">
            <w:pPr>
              <w:pStyle w:val="Normal6"/>
              <w:rPr>
                <w:szCs w:val="24"/>
              </w:rPr>
            </w:pPr>
            <w:r w:rsidRPr="002B5B1B">
              <w:t>2.</w:t>
            </w:r>
            <w:r w:rsidRPr="002B5B1B">
              <w:tab/>
            </w:r>
            <w:r w:rsidRPr="002B5B1B">
              <w:t xml:space="preserve">Os dados dactiloscópicos de referência não devem conter dados </w:t>
            </w:r>
            <w:r w:rsidRPr="002B5B1B">
              <w:rPr>
                <w:b/>
                <w:i/>
              </w:rPr>
              <w:t>nominais adicionais</w:t>
            </w:r>
            <w:r w:rsidRPr="002B5B1B">
              <w:t xml:space="preserve"> que permitam a identificação direta da pessoa.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78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12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Os </w:t>
            </w:r>
            <w:r w:rsidRPr="002B5B1B">
              <w:rPr>
                <w:b/>
                <w:i/>
              </w:rPr>
              <w:t>dados dactiloscópicos de referência que não sejam atribuídos a uma pessoa («</w:t>
            </w:r>
            <w:r w:rsidRPr="002B5B1B">
              <w:t>dados dactiloscópicos não identificados</w:t>
            </w:r>
            <w:r w:rsidRPr="002B5B1B">
              <w:rPr>
                <w:b/>
                <w:i/>
              </w:rPr>
              <w:t>»)</w:t>
            </w:r>
            <w:r w:rsidRPr="002B5B1B">
              <w:t xml:space="preserve"> são reconhecíveis como tal.</w:t>
            </w:r>
          </w:p>
        </w:tc>
        <w:tc>
          <w:tcPr>
            <w:tcW w:w="4876" w:type="dxa"/>
          </w:tcPr>
          <w:p w:rsidR="003F5BF1" w:rsidRPr="002B5B1B" w:rsidRDefault="00D10947" w:rsidP="00D27444">
            <w:pPr>
              <w:pStyle w:val="Normal6"/>
              <w:rPr>
                <w:szCs w:val="24"/>
              </w:rPr>
            </w:pPr>
            <w:r w:rsidRPr="002B5B1B">
              <w:t>3.</w:t>
            </w:r>
            <w:r w:rsidRPr="002B5B1B">
              <w:tab/>
              <w:t>Os dados dactiloscópicos não iden</w:t>
            </w:r>
            <w:r w:rsidRPr="002B5B1B">
              <w:t>tificados são reconhecíveis como tal.</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79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13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Para efeitos de prevenção ou deteção de infrações penais e das investigações nessa matéria, os Estados-Membros permitem que os pontos de contacto nacionais dos outros Estados-Membros tenham acesso aos dados dactiloscópicos de referência </w:t>
            </w:r>
            <w:r w:rsidRPr="002B5B1B">
              <w:rPr>
                <w:b/>
                <w:i/>
              </w:rPr>
              <w:t>dos seus sistemas a</w:t>
            </w:r>
            <w:r w:rsidRPr="002B5B1B">
              <w:rPr>
                <w:b/>
                <w:i/>
              </w:rPr>
              <w:t>utomáticos de identificação dactiloscópica criados</w:t>
            </w:r>
            <w:r w:rsidRPr="002B5B1B">
              <w:t xml:space="preserve"> para esse fim, com o objetivo de efetuar consultas automatizadas mediante comparação de dados dactiloscópicos de referência.</w:t>
            </w:r>
          </w:p>
        </w:tc>
        <w:tc>
          <w:tcPr>
            <w:tcW w:w="4876" w:type="dxa"/>
          </w:tcPr>
          <w:p w:rsidR="003F5BF1" w:rsidRPr="002B5B1B" w:rsidRDefault="00D10947" w:rsidP="00D27444">
            <w:pPr>
              <w:pStyle w:val="Normal6"/>
              <w:rPr>
                <w:szCs w:val="24"/>
              </w:rPr>
            </w:pPr>
            <w:r w:rsidRPr="002B5B1B">
              <w:t>1.</w:t>
            </w:r>
            <w:r w:rsidRPr="002B5B1B">
              <w:tab/>
              <w:t xml:space="preserve">Para efeitos de prevenção ou deteção de infrações penais e das investigações </w:t>
            </w:r>
            <w:r w:rsidRPr="002B5B1B">
              <w:t xml:space="preserve">nessa matéria, os Estados-Membros permitem que os pontos de contacto nacionais dos outros Estados-Membros tenham acesso aos dados dactiloscópicos de referência </w:t>
            </w:r>
            <w:r w:rsidRPr="002B5B1B">
              <w:rPr>
                <w:b/>
                <w:i/>
              </w:rPr>
              <w:t>das suas bases de dados nacionais criadas</w:t>
            </w:r>
            <w:r w:rsidRPr="002B5B1B">
              <w:t xml:space="preserve"> para esse fim, com o objetivo de efetuar consultas aut</w:t>
            </w:r>
            <w:r w:rsidRPr="002B5B1B">
              <w:t>omatizadas mediante comparação de dados dactiloscópicos de referência.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13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As consultas apenas podem ser feitas em casos concretos e em conformidade com a legislação nacional do Estado-Membro requerente.</w:t>
            </w:r>
          </w:p>
        </w:tc>
        <w:tc>
          <w:tcPr>
            <w:tcW w:w="4876" w:type="dxa"/>
          </w:tcPr>
          <w:p w:rsidR="003F5BF1" w:rsidRPr="002B5B1B" w:rsidRDefault="00D10947" w:rsidP="00683926">
            <w:pPr>
              <w:pStyle w:val="Normal6"/>
              <w:rPr>
                <w:szCs w:val="24"/>
              </w:rPr>
            </w:pPr>
            <w:r w:rsidRPr="002B5B1B">
              <w:t>As consultas apenas podem ser feitas em casos concretos</w:t>
            </w:r>
            <w:r w:rsidRPr="002B5B1B">
              <w:rPr>
                <w:b/>
                <w:i/>
              </w:rPr>
              <w:t>, quando forem proporcionadas e necessárias para efe</w:t>
            </w:r>
            <w:r w:rsidRPr="002B5B1B">
              <w:rPr>
                <w:b/>
                <w:i/>
              </w:rPr>
              <w:t>itos de prevenção ou deteção de uma infração penal e das investigações nessa matéria,</w:t>
            </w:r>
            <w:r w:rsidRPr="002B5B1B">
              <w:t xml:space="preserve"> e em conformidade com a legislação nacional do Estado-Membro requerente.</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w:t>
      </w:r>
      <w:r w:rsidRPr="002B5B1B">
        <w:t>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13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O ponto de contacto nacional do Estado-Membro requerente confirma uma correspondência entre os dados dactiloscópicos e os dados dactiloscópicos de referência n</w:t>
            </w:r>
            <w:r w:rsidRPr="002B5B1B">
              <w:t>a posse do Estado-Membro requerido, na sequência da transmissão automatizada dos dados dactiloscópicos de referência necessários para a confirmação de uma correspondência.</w:t>
            </w:r>
          </w:p>
        </w:tc>
        <w:tc>
          <w:tcPr>
            <w:tcW w:w="4876" w:type="dxa"/>
          </w:tcPr>
          <w:p w:rsidR="003F5BF1" w:rsidRPr="002B5B1B" w:rsidRDefault="00D10947" w:rsidP="00D27444">
            <w:pPr>
              <w:pStyle w:val="Normal6"/>
              <w:rPr>
                <w:szCs w:val="24"/>
              </w:rPr>
            </w:pPr>
            <w:r w:rsidRPr="002B5B1B">
              <w:t>2.</w:t>
            </w:r>
            <w:r w:rsidRPr="002B5B1B">
              <w:tab/>
              <w:t xml:space="preserve">O ponto de contacto nacional do Estado-Membro requerente confirma </w:t>
            </w:r>
            <w:r w:rsidRPr="002B5B1B">
              <w:rPr>
                <w:b/>
                <w:i/>
              </w:rPr>
              <w:t>manualmente</w:t>
            </w:r>
            <w:r w:rsidRPr="002B5B1B">
              <w:t xml:space="preserve"> uma</w:t>
            </w:r>
            <w:r w:rsidRPr="002B5B1B">
              <w:t xml:space="preserve"> correspondência entre os dados dactiloscópicos e os dados dactiloscópicos de referência na posse do Estado-Membro requerido, na sequência da transmissão automatizada dos dados dactiloscópicos de referência necessários para a confirmação de uma correspondê</w:t>
            </w:r>
            <w:r w:rsidRPr="002B5B1B">
              <w:t>ncia.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14 – parágrafo 1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t xml:space="preserve">Um índice de referência que permita </w:t>
            </w:r>
            <w:r w:rsidRPr="002B5B1B">
              <w:t>aos Estados-Membros, em caso de correspondência, retirar mais dados e outras informações da sua base de dados, a que se refere o artigo 12.º, a fim de os transmitir a um, a vários ou a todos os outros Estados-Membros, nos termos dos artigos 47.º e 48.º;</w:t>
            </w:r>
          </w:p>
        </w:tc>
        <w:tc>
          <w:tcPr>
            <w:tcW w:w="4876" w:type="dxa"/>
          </w:tcPr>
          <w:p w:rsidR="003F5BF1" w:rsidRPr="002B5B1B" w:rsidRDefault="00D10947" w:rsidP="00D27444">
            <w:pPr>
              <w:pStyle w:val="Normal6"/>
              <w:rPr>
                <w:szCs w:val="24"/>
              </w:rPr>
            </w:pPr>
            <w:r w:rsidRPr="002B5B1B">
              <w:t>(a)</w:t>
            </w:r>
            <w:r w:rsidRPr="002B5B1B">
              <w:tab/>
              <w:t>Um índice de referência que permita aos Estados-Membros, em caso de correspondência, retirar mais dados e outras informações das suas bases de dados a que se refere o artigo 12.º, a fim de os transmitir a um, a vários ou a todos os outros Estados-Membr</w:t>
            </w:r>
            <w:r w:rsidRPr="002B5B1B">
              <w:t>os, nos termos dos artigos 47.º e 48.º</w:t>
            </w:r>
            <w:r w:rsidRPr="002B5B1B">
              <w:rPr>
                <w:b/>
                <w:i/>
              </w:rPr>
              <w:t>, ou à Europol, nos termos do artigo 50.º, n.º 6</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14 – parágrafo 1 – alínea </w:t>
      </w:r>
      <w:r w:rsidRPr="002B5B1B">
        <w:t>a-A) (nova)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445DCA">
            <w:pPr>
              <w:pStyle w:val="Normal6"/>
              <w:rPr>
                <w:szCs w:val="24"/>
              </w:rPr>
            </w:pPr>
            <w:r w:rsidRPr="002B5B1B">
              <w:rPr>
                <w:b/>
                <w:i/>
              </w:rPr>
              <w:t>(a-A)</w:t>
            </w:r>
            <w:r w:rsidRPr="002B5B1B">
              <w:rPr>
                <w:b/>
                <w:i/>
              </w:rPr>
              <w:tab/>
              <w:t xml:space="preserve">Um índice de referência que permita à Europol, em caso de correspondência, retirar mais dados e </w:t>
            </w:r>
            <w:r w:rsidRPr="002B5B1B">
              <w:rPr>
                <w:b/>
                <w:i/>
              </w:rPr>
              <w:lastRenderedPageBreak/>
              <w:t xml:space="preserve">outras informações para efeitos do artigo 49.º, n.º 1, a fim de os transmitir a um, a vários ou a </w:t>
            </w:r>
            <w:r w:rsidRPr="002B5B1B">
              <w:rPr>
                <w:b/>
                <w:i/>
              </w:rPr>
              <w:t>todos os outros Estados-Membros, nos termos do Regulamento (UE) 2016/794;</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15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A digitalização dos dados dactiloscópicos e a respetiva transmissão aos restantes Estados-Membros efetuam-se em conformidade com um formato de dados uniforme. A Comissão adota </w:t>
            </w:r>
            <w:r w:rsidRPr="002B5B1B">
              <w:rPr>
                <w:b/>
                <w:i/>
              </w:rPr>
              <w:t>atos</w:t>
            </w:r>
            <w:r w:rsidRPr="002B5B1B">
              <w:t xml:space="preserve"> de execução a fim de definir o formato de dados uniforme pelo</w:t>
            </w:r>
            <w:r w:rsidRPr="002B5B1B">
              <w:t xml:space="preserve"> procedimento a que se refere o artigo 76.º, n.º 2.</w:t>
            </w:r>
          </w:p>
        </w:tc>
        <w:tc>
          <w:tcPr>
            <w:tcW w:w="4876" w:type="dxa"/>
          </w:tcPr>
          <w:p w:rsidR="003F5BF1" w:rsidRPr="002B5B1B" w:rsidRDefault="00D10947" w:rsidP="00D27444">
            <w:pPr>
              <w:pStyle w:val="Normal6"/>
              <w:rPr>
                <w:szCs w:val="24"/>
              </w:rPr>
            </w:pPr>
            <w:r w:rsidRPr="002B5B1B">
              <w:t>1.</w:t>
            </w:r>
            <w:r w:rsidRPr="002B5B1B">
              <w:tab/>
              <w:t xml:space="preserve">A digitalização dos dados dactiloscópicos e a respetiva transmissão aos restantes Estados-Membros </w:t>
            </w:r>
            <w:r w:rsidRPr="002B5B1B">
              <w:rPr>
                <w:b/>
                <w:i/>
              </w:rPr>
              <w:t>ou à Europol</w:t>
            </w:r>
            <w:r w:rsidRPr="002B5B1B">
              <w:t xml:space="preserve"> efetuam-se em conformidade com um formato de dados uniforme. A Comissão adota </w:t>
            </w:r>
            <w:r w:rsidRPr="002B5B1B">
              <w:rPr>
                <w:b/>
                <w:i/>
              </w:rPr>
              <w:t>um ato</w:t>
            </w:r>
            <w:r w:rsidRPr="002B5B1B">
              <w:t xml:space="preserve"> de ex</w:t>
            </w:r>
            <w:r w:rsidRPr="002B5B1B">
              <w:t>ecução a fim de definir o formato de dados uniforme pelo procedimento a que se refere o artigo 76.º,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15 – n.º </w:t>
      </w:r>
      <w:r w:rsidRPr="002B5B1B">
        <w:t>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Cada Estado-Membro </w:t>
            </w:r>
            <w:r w:rsidRPr="002B5B1B">
              <w:rPr>
                <w:b/>
                <w:i/>
              </w:rPr>
              <w:t>certifica-se</w:t>
            </w:r>
            <w:r w:rsidRPr="002B5B1B">
              <w:t xml:space="preserve"> de que os dados dactiloscópicos que </w:t>
            </w:r>
            <w:r w:rsidRPr="002B5B1B">
              <w:rPr>
                <w:b/>
                <w:i/>
              </w:rPr>
              <w:t>transmite</w:t>
            </w:r>
            <w:r w:rsidRPr="002B5B1B">
              <w:t xml:space="preserve"> têm qualidade suficiente para </w:t>
            </w:r>
            <w:r w:rsidRPr="002B5B1B">
              <w:rPr>
                <w:b/>
                <w:i/>
              </w:rPr>
              <w:t>serem comparados pelo sistema automático de identificação dactiloscópica</w:t>
            </w:r>
            <w:r w:rsidRPr="002B5B1B">
              <w:t>.</w:t>
            </w:r>
          </w:p>
        </w:tc>
        <w:tc>
          <w:tcPr>
            <w:tcW w:w="4876" w:type="dxa"/>
          </w:tcPr>
          <w:p w:rsidR="003F5BF1" w:rsidRPr="002B5B1B" w:rsidRDefault="00D10947" w:rsidP="00D27444">
            <w:pPr>
              <w:pStyle w:val="Normal6"/>
              <w:rPr>
                <w:szCs w:val="24"/>
              </w:rPr>
            </w:pPr>
            <w:r w:rsidRPr="002B5B1B">
              <w:t>2.</w:t>
            </w:r>
            <w:r w:rsidRPr="002B5B1B">
              <w:tab/>
              <w:t xml:space="preserve">Cada Estado-Membro </w:t>
            </w:r>
            <w:r w:rsidRPr="002B5B1B">
              <w:rPr>
                <w:b/>
                <w:i/>
              </w:rPr>
              <w:t xml:space="preserve">e a </w:t>
            </w:r>
            <w:r w:rsidRPr="002B5B1B">
              <w:rPr>
                <w:b/>
                <w:i/>
              </w:rPr>
              <w:t>Europol certificam-se</w:t>
            </w:r>
            <w:r w:rsidRPr="002B5B1B">
              <w:t xml:space="preserve"> de que os dados dactiloscópicos que </w:t>
            </w:r>
            <w:r w:rsidRPr="002B5B1B">
              <w:rPr>
                <w:b/>
                <w:i/>
              </w:rPr>
              <w:t>transmitem</w:t>
            </w:r>
            <w:r w:rsidRPr="002B5B1B">
              <w:t xml:space="preserve"> têm qualidade suficiente para </w:t>
            </w:r>
            <w:r w:rsidRPr="002B5B1B">
              <w:rPr>
                <w:b/>
                <w:i/>
              </w:rPr>
              <w:t>permitir a comparação automatizada. A Comissão adota um ato de execução a fim de definir a norma de qualidade mínima para a comparação de dados dactiloscópic</w:t>
            </w:r>
            <w:r w:rsidRPr="002B5B1B">
              <w:rPr>
                <w:b/>
                <w:i/>
              </w:rPr>
              <w:t xml:space="preserve">os. O referido ato de execução é adotado pelo procedimento a que se refere o artigo 76.º, </w:t>
            </w:r>
            <w:r w:rsidRPr="002B5B1B">
              <w:rPr>
                <w:b/>
                <w:i/>
              </w:rPr>
              <w:lastRenderedPageBreak/>
              <w:t>n.º 2</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15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Os Estados-Membros tomam as medidas adequadas a fim de assegurar a confidencialidade e a integridade dos dados dactiloscópicos transmitidos aos outros Estados-Membros, incluindo a sua cifragem.</w:t>
            </w:r>
          </w:p>
        </w:tc>
        <w:tc>
          <w:tcPr>
            <w:tcW w:w="4876" w:type="dxa"/>
          </w:tcPr>
          <w:p w:rsidR="003F5BF1" w:rsidRPr="002B5B1B" w:rsidRDefault="00D10947" w:rsidP="00D27444">
            <w:pPr>
              <w:pStyle w:val="Normal6"/>
              <w:rPr>
                <w:szCs w:val="24"/>
              </w:rPr>
            </w:pPr>
            <w:r w:rsidRPr="002B5B1B">
              <w:t>3.</w:t>
            </w:r>
            <w:r w:rsidRPr="002B5B1B">
              <w:tab/>
              <w:t xml:space="preserve">Os Estados-Membros </w:t>
            </w:r>
            <w:r w:rsidRPr="002B5B1B">
              <w:rPr>
                <w:b/>
                <w:i/>
              </w:rPr>
              <w:t xml:space="preserve">e a </w:t>
            </w:r>
            <w:r w:rsidRPr="002B5B1B">
              <w:rPr>
                <w:b/>
                <w:i/>
              </w:rPr>
              <w:t>Europol</w:t>
            </w:r>
            <w:r w:rsidRPr="002B5B1B">
              <w:t xml:space="preserve"> tomam as medidas adequadas a fim de assegurar a confidencialidade e a integridade dos dados dactiloscópicos transmitidos aos outros Estados-Membros, incluindo a sua cifragem.</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87</w:t>
      </w:r>
      <w:r w:rsidRPr="002B5B1B">
        <w:rPr>
          <w:rStyle w:val="HideTWBExt"/>
          <w:b w:val="0"/>
          <w:noProof w:val="0"/>
        </w:rPr>
        <w:t>&lt;/Nu</w:t>
      </w:r>
      <w:r w:rsidRPr="002B5B1B">
        <w:rPr>
          <w:rStyle w:val="HideTWBExt"/>
          <w:b w:val="0"/>
          <w:noProof w:val="0"/>
        </w:rPr>
        <w:t>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15 – n.º 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4.</w:t>
            </w:r>
            <w:r w:rsidRPr="002B5B1B">
              <w:tab/>
              <w:t xml:space="preserve">A Comissão adota </w:t>
            </w:r>
            <w:r w:rsidRPr="002B5B1B">
              <w:rPr>
                <w:b/>
                <w:i/>
              </w:rPr>
              <w:t>atos</w:t>
            </w:r>
            <w:r w:rsidRPr="002B5B1B">
              <w:t xml:space="preserve"> de execução a fim de definir as normas pertinentes em vigor para o intercâmbio de dados dactiloscópicos a utilizar pelos Estados-Membros. </w:t>
            </w:r>
            <w:r w:rsidRPr="002B5B1B">
              <w:rPr>
                <w:b/>
                <w:i/>
              </w:rPr>
              <w:t>Os referidos atos</w:t>
            </w:r>
            <w:r w:rsidRPr="002B5B1B">
              <w:t xml:space="preserve"> de execução </w:t>
            </w:r>
            <w:r w:rsidRPr="002B5B1B">
              <w:rPr>
                <w:b/>
                <w:i/>
              </w:rPr>
              <w:t>são adotados</w:t>
            </w:r>
            <w:r w:rsidRPr="002B5B1B">
              <w:t xml:space="preserve"> pelo procedimento a que se refere o artigo 76.º, n.º 2.</w:t>
            </w:r>
          </w:p>
        </w:tc>
        <w:tc>
          <w:tcPr>
            <w:tcW w:w="4876" w:type="dxa"/>
          </w:tcPr>
          <w:p w:rsidR="003F5BF1" w:rsidRPr="002B5B1B" w:rsidRDefault="00D10947" w:rsidP="00445DCA">
            <w:pPr>
              <w:pStyle w:val="Normal6"/>
              <w:rPr>
                <w:szCs w:val="24"/>
              </w:rPr>
            </w:pPr>
            <w:r w:rsidRPr="002B5B1B">
              <w:t>4.</w:t>
            </w:r>
            <w:r w:rsidRPr="002B5B1B">
              <w:tab/>
              <w:t>A Comissão adot</w:t>
            </w:r>
            <w:r w:rsidRPr="002B5B1B">
              <w:t xml:space="preserve">a </w:t>
            </w:r>
            <w:r w:rsidRPr="002B5B1B">
              <w:rPr>
                <w:b/>
                <w:i/>
              </w:rPr>
              <w:t>um ato</w:t>
            </w:r>
            <w:r w:rsidRPr="002B5B1B">
              <w:t xml:space="preserve"> de execução a fim de definir as normas </w:t>
            </w:r>
            <w:r w:rsidRPr="002B5B1B">
              <w:rPr>
                <w:b/>
                <w:i/>
              </w:rPr>
              <w:t>europeias ou internacionais</w:t>
            </w:r>
            <w:r w:rsidRPr="002B5B1B">
              <w:t xml:space="preserve"> pertinentes em vigor para o intercâmbio de dados dactiloscópicos a utilizar pelos Estados-Membros. </w:t>
            </w:r>
            <w:r w:rsidRPr="002B5B1B">
              <w:rPr>
                <w:b/>
                <w:i/>
              </w:rPr>
              <w:t>O referido ato</w:t>
            </w:r>
            <w:r w:rsidRPr="002B5B1B">
              <w:t xml:space="preserve"> de execução </w:t>
            </w:r>
            <w:r w:rsidRPr="002B5B1B">
              <w:rPr>
                <w:b/>
                <w:i/>
              </w:rPr>
              <w:t>é adotado</w:t>
            </w:r>
            <w:r w:rsidRPr="002B5B1B">
              <w:t xml:space="preserve"> pelo procedimento a que se refere o artigo 7</w:t>
            </w:r>
            <w:r w:rsidRPr="002B5B1B">
              <w:t>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16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rPr>
                <w:b/>
                <w:i/>
              </w:rPr>
              <w:t>Cada Estado-Membro assegura</w:t>
            </w:r>
            <w:r w:rsidRPr="002B5B1B">
              <w:t xml:space="preserve"> que os respetivos pedidos de consulta não excedem as capacidades de consulta especificadas pelo Estado-Membro requerido.</w:t>
            </w:r>
          </w:p>
        </w:tc>
        <w:tc>
          <w:tcPr>
            <w:tcW w:w="4876" w:type="dxa"/>
          </w:tcPr>
          <w:p w:rsidR="003F5BF1" w:rsidRPr="002B5B1B" w:rsidRDefault="00D10947" w:rsidP="009242EE">
            <w:pPr>
              <w:pStyle w:val="Normal6"/>
              <w:rPr>
                <w:szCs w:val="24"/>
              </w:rPr>
            </w:pPr>
            <w:r w:rsidRPr="002B5B1B">
              <w:t>1.</w:t>
            </w:r>
            <w:r w:rsidRPr="002B5B1B">
              <w:tab/>
            </w:r>
            <w:r w:rsidRPr="002B5B1B">
              <w:rPr>
                <w:b/>
                <w:i/>
              </w:rPr>
              <w:t>Os Estados-Membros e a Europol asseguram</w:t>
            </w:r>
            <w:r w:rsidRPr="002B5B1B">
              <w:t xml:space="preserve"> que os respetivos pedidos de consulta não excedem as capacidades de consulta especificadas</w:t>
            </w:r>
            <w:r w:rsidRPr="002B5B1B">
              <w:t xml:space="preserve"> pelo Estado-Membro requerido.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89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16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Os Estados-Membros </w:t>
            </w:r>
            <w:r w:rsidRPr="002B5B1B">
              <w:t>informam a Comissão e a eu-LISA</w:t>
            </w:r>
            <w:r w:rsidRPr="002B5B1B">
              <w:rPr>
                <w:b/>
                <w:i/>
              </w:rPr>
              <w:t>, nos termos do artigo 79.º, n.</w:t>
            </w:r>
            <w:r w:rsidRPr="002B5B1B">
              <w:rPr>
                <w:b/>
                <w:i/>
                <w:vertAlign w:val="superscript"/>
              </w:rPr>
              <w:t>os</w:t>
            </w:r>
            <w:r w:rsidRPr="002B5B1B">
              <w:rPr>
                <w:b/>
                <w:i/>
              </w:rPr>
              <w:t> 8 e 10,</w:t>
            </w:r>
            <w:r w:rsidRPr="002B5B1B">
              <w:t xml:space="preserve"> sobre as suas capacidades máximas de consulta por dia para os dados dactiloscópicos de pessoas identificadas e para os dados dactiloscópicos de pessoas ainda não identificadas.</w:t>
            </w:r>
          </w:p>
        </w:tc>
        <w:tc>
          <w:tcPr>
            <w:tcW w:w="4876" w:type="dxa"/>
          </w:tcPr>
          <w:p w:rsidR="003F5BF1" w:rsidRPr="002B5B1B" w:rsidRDefault="00D10947">
            <w:pPr>
              <w:pStyle w:val="Normal6"/>
              <w:rPr>
                <w:szCs w:val="24"/>
              </w:rPr>
            </w:pPr>
            <w:r w:rsidRPr="002B5B1B">
              <w:t>Os Est</w:t>
            </w:r>
            <w:r w:rsidRPr="002B5B1B">
              <w:t xml:space="preserve">ados-Membros informam </w:t>
            </w:r>
            <w:r w:rsidRPr="002B5B1B">
              <w:rPr>
                <w:b/>
                <w:i/>
              </w:rPr>
              <w:t>os outros Estados-Membros, a Europol,</w:t>
            </w:r>
            <w:r w:rsidRPr="002B5B1B">
              <w:t xml:space="preserve"> a Comissão e a eu-LISA sobre as suas capacidades máximas de consulta por dia para os dados dactiloscópicos de pessoas identificadas e para os dados dactiloscópicos de pessoas ainda não identificad</w:t>
            </w:r>
            <w:r w:rsidRPr="002B5B1B">
              <w:t xml:space="preserve">as. </w:t>
            </w:r>
            <w:r w:rsidRPr="002B5B1B">
              <w:rPr>
                <w:b/>
                <w:i/>
              </w:rPr>
              <w:t>Os Estados-Membros podem aumentar essas capacidades máximas de consulta. Sempre que um Estado-Membro aumente essas capacidades máximas de consulta, notifica os outros Estados-Membros, a Europol, a Comissão e a eu-LISA das novas capacidades máximas de c</w:t>
            </w:r>
            <w:r w:rsidRPr="002B5B1B">
              <w:rPr>
                <w:b/>
                <w:i/>
              </w:rPr>
              <w:t xml:space="preserve">onsulta.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16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A Comissão adota </w:t>
            </w:r>
            <w:r w:rsidRPr="002B5B1B">
              <w:rPr>
                <w:b/>
                <w:i/>
              </w:rPr>
              <w:t>atos</w:t>
            </w:r>
            <w:r w:rsidRPr="002B5B1B">
              <w:t xml:space="preserve"> de execução a fim de definir os números máximos de dados candidatos aceites para comparação </w:t>
            </w:r>
            <w:r w:rsidRPr="002B5B1B">
              <w:lastRenderedPageBreak/>
              <w:t>por transmissão pelo procedimento a que se refere o artigo 76.º, n.º 2.</w:t>
            </w:r>
          </w:p>
        </w:tc>
        <w:tc>
          <w:tcPr>
            <w:tcW w:w="4876" w:type="dxa"/>
          </w:tcPr>
          <w:p w:rsidR="003F5BF1" w:rsidRPr="002B5B1B" w:rsidRDefault="00D10947" w:rsidP="00D27444">
            <w:pPr>
              <w:pStyle w:val="Normal6"/>
              <w:rPr>
                <w:szCs w:val="24"/>
              </w:rPr>
            </w:pPr>
            <w:r w:rsidRPr="002B5B1B">
              <w:lastRenderedPageBreak/>
              <w:t>2.</w:t>
            </w:r>
            <w:r w:rsidRPr="002B5B1B">
              <w:tab/>
              <w:t xml:space="preserve">A Comissão adota </w:t>
            </w:r>
            <w:r w:rsidRPr="002B5B1B">
              <w:rPr>
                <w:b/>
                <w:i/>
              </w:rPr>
              <w:t>um ato</w:t>
            </w:r>
            <w:r w:rsidRPr="002B5B1B">
              <w:t xml:space="preserve"> de execução a fim de definir os números máximos de dados candida</w:t>
            </w:r>
            <w:r w:rsidRPr="002B5B1B">
              <w:t xml:space="preserve">tos aceites para </w:t>
            </w:r>
            <w:r w:rsidRPr="002B5B1B">
              <w:lastRenderedPageBreak/>
              <w:t>comparação por transmissão pelo procedimento a que se refere o artigo 76.º, n.º 2.</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18 – n.º 1 – </w:t>
      </w:r>
      <w:r w:rsidRPr="002B5B1B">
        <w:t>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t xml:space="preserve">Dados relativos aos proprietários ou </w:t>
            </w:r>
            <w:r w:rsidRPr="002B5B1B">
              <w:rPr>
                <w:b/>
                <w:i/>
              </w:rPr>
              <w:t>utentes</w:t>
            </w:r>
            <w:r w:rsidRPr="002B5B1B">
              <w:t>;</w:t>
            </w:r>
          </w:p>
        </w:tc>
        <w:tc>
          <w:tcPr>
            <w:tcW w:w="4876" w:type="dxa"/>
          </w:tcPr>
          <w:p w:rsidR="003F5BF1" w:rsidRPr="002B5B1B" w:rsidRDefault="00D10947">
            <w:pPr>
              <w:pStyle w:val="Normal6"/>
              <w:rPr>
                <w:szCs w:val="24"/>
              </w:rPr>
            </w:pPr>
            <w:r w:rsidRPr="002B5B1B">
              <w:t>(a)</w:t>
            </w:r>
            <w:r w:rsidRPr="002B5B1B">
              <w:tab/>
              <w:t xml:space="preserve">Dados relativos aos proprietários ou </w:t>
            </w:r>
            <w:r w:rsidRPr="002B5B1B">
              <w:rPr>
                <w:b/>
                <w:i/>
              </w:rPr>
              <w:t>detentores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19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A Comissão adota </w:t>
            </w:r>
            <w:r w:rsidRPr="002B5B1B">
              <w:rPr>
                <w:b/>
                <w:i/>
              </w:rPr>
              <w:t>atos</w:t>
            </w:r>
            <w:r w:rsidRPr="002B5B1B">
              <w:t xml:space="preserve"> de execução a fim de definir os elementos de dados dos dados de registo de veículos </w:t>
            </w:r>
            <w:r w:rsidRPr="002B5B1B">
              <w:rPr>
                <w:b/>
                <w:i/>
              </w:rPr>
              <w:t>a partilhar</w:t>
            </w:r>
            <w:r w:rsidRPr="002B5B1B">
              <w:t xml:space="preserve">. </w:t>
            </w:r>
            <w:r w:rsidRPr="002B5B1B">
              <w:rPr>
                <w:b/>
                <w:i/>
              </w:rPr>
              <w:t>Os referidos atos</w:t>
            </w:r>
            <w:r w:rsidRPr="002B5B1B">
              <w:t xml:space="preserve"> de execução </w:t>
            </w:r>
            <w:r w:rsidRPr="002B5B1B">
              <w:rPr>
                <w:b/>
                <w:i/>
              </w:rPr>
              <w:t>são adotados</w:t>
            </w:r>
            <w:r w:rsidRPr="002B5B1B">
              <w:t xml:space="preserve"> pelo procedimento a que se refere o artigo 76.º, n.º 2.</w:t>
            </w:r>
          </w:p>
        </w:tc>
        <w:tc>
          <w:tcPr>
            <w:tcW w:w="4876" w:type="dxa"/>
          </w:tcPr>
          <w:p w:rsidR="003F5BF1" w:rsidRPr="002B5B1B" w:rsidRDefault="00D10947">
            <w:pPr>
              <w:pStyle w:val="Normal6"/>
              <w:rPr>
                <w:szCs w:val="24"/>
              </w:rPr>
            </w:pPr>
            <w:r w:rsidRPr="002B5B1B">
              <w:t>3.</w:t>
            </w:r>
            <w:r w:rsidRPr="002B5B1B">
              <w:tab/>
              <w:t xml:space="preserve">A Comissão adota </w:t>
            </w:r>
            <w:r w:rsidRPr="002B5B1B">
              <w:rPr>
                <w:b/>
                <w:i/>
              </w:rPr>
              <w:t>um ato</w:t>
            </w:r>
            <w:r w:rsidRPr="002B5B1B">
              <w:t xml:space="preserve"> de execução a fim de definir os elementos de dados dos dados de registo de veículos </w:t>
            </w:r>
            <w:r w:rsidRPr="002B5B1B">
              <w:rPr>
                <w:b/>
                <w:i/>
              </w:rPr>
              <w:t>que podem ser partilhados</w:t>
            </w:r>
            <w:r w:rsidRPr="002B5B1B">
              <w:t xml:space="preserve">. </w:t>
            </w:r>
            <w:r w:rsidRPr="002B5B1B">
              <w:rPr>
                <w:b/>
                <w:i/>
              </w:rPr>
              <w:t>O referido ato</w:t>
            </w:r>
            <w:r w:rsidRPr="002B5B1B">
              <w:t xml:space="preserve"> de execução </w:t>
            </w:r>
            <w:r w:rsidRPr="002B5B1B">
              <w:rPr>
                <w:b/>
                <w:i/>
              </w:rPr>
              <w:t>é adotado</w:t>
            </w:r>
            <w:r w:rsidRPr="002B5B1B">
              <w:t xml:space="preserve"> pelo procedimento a que </w:t>
            </w:r>
            <w:r w:rsidRPr="002B5B1B">
              <w:t>se refere o artigo 76.º,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20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Cada </w:t>
            </w:r>
            <w:r w:rsidRPr="002B5B1B">
              <w:t xml:space="preserve">Estado-Membro mantém registos das consultas efetuadas pelo </w:t>
            </w:r>
            <w:r w:rsidRPr="002B5B1B">
              <w:lastRenderedPageBreak/>
              <w:t>pessoal das suas autoridades competentes devidamente autorizado a partilhar dados de registo de veículos, bem como registos das consultas requeridas por outros Estados-Membros. A Europol mantém reg</w:t>
            </w:r>
            <w:r w:rsidRPr="002B5B1B">
              <w:t>istos das consultas feitas pelo seu pessoal devidamente autorizado.</w:t>
            </w:r>
          </w:p>
        </w:tc>
        <w:tc>
          <w:tcPr>
            <w:tcW w:w="4876" w:type="dxa"/>
          </w:tcPr>
          <w:p w:rsidR="003F5BF1" w:rsidRPr="002B5B1B" w:rsidRDefault="00D10947" w:rsidP="00D27444">
            <w:pPr>
              <w:pStyle w:val="Normal6"/>
              <w:rPr>
                <w:szCs w:val="24"/>
              </w:rPr>
            </w:pPr>
            <w:r w:rsidRPr="002B5B1B">
              <w:lastRenderedPageBreak/>
              <w:t>1.</w:t>
            </w:r>
            <w:r w:rsidRPr="002B5B1B">
              <w:tab/>
              <w:t xml:space="preserve">Cada Estado-Membro mantém registos das consultas efetuadas pelo </w:t>
            </w:r>
            <w:r w:rsidRPr="002B5B1B">
              <w:lastRenderedPageBreak/>
              <w:t xml:space="preserve">pessoal das suas autoridades </w:t>
            </w:r>
            <w:r w:rsidRPr="002B5B1B">
              <w:rPr>
                <w:b/>
                <w:i/>
              </w:rPr>
              <w:t>de aplicação da lei</w:t>
            </w:r>
            <w:r w:rsidRPr="002B5B1B">
              <w:t xml:space="preserve"> competentes devidamente autorizado a partilhar dados de registo de veícu</w:t>
            </w:r>
            <w:r w:rsidRPr="002B5B1B">
              <w:t>los, bem como registos das consultas requeridas por outros Estados-Membros. A Europol mantém registos das consultas feitas pelo seu pessoal devidamente autorizado.</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w:t>
      </w:r>
      <w:r w:rsidRPr="002B5B1B">
        <w:t>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20 – n.º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Esses registos estão protegidos por medidas adequadas contra o acesso não autorizado e são apagados </w:t>
            </w:r>
            <w:r w:rsidRPr="002B5B1B">
              <w:rPr>
                <w:b/>
                <w:i/>
              </w:rPr>
              <w:t>um ano</w:t>
            </w:r>
            <w:r w:rsidRPr="002B5B1B">
              <w:t xml:space="preserve"> após a sua criação. Se, no entanto, </w:t>
            </w:r>
            <w:r w:rsidRPr="002B5B1B">
              <w:t>forem necessários para procedimentos de controlo que já tenham tido início, esses registos são apagados logo que deixarem de ser necessários para o efeito.</w:t>
            </w:r>
          </w:p>
        </w:tc>
        <w:tc>
          <w:tcPr>
            <w:tcW w:w="4876" w:type="dxa"/>
          </w:tcPr>
          <w:p w:rsidR="003F5BF1" w:rsidRPr="002B5B1B" w:rsidRDefault="00D10947" w:rsidP="00D27444">
            <w:pPr>
              <w:pStyle w:val="Normal6"/>
              <w:rPr>
                <w:szCs w:val="24"/>
              </w:rPr>
            </w:pPr>
            <w:r w:rsidRPr="002B5B1B">
              <w:t xml:space="preserve">Esses registos estão protegidos por medidas adequadas contra o acesso não autorizado e são apagados </w:t>
            </w:r>
            <w:r w:rsidRPr="002B5B1B">
              <w:rPr>
                <w:b/>
                <w:i/>
              </w:rPr>
              <w:t>dois anos</w:t>
            </w:r>
            <w:r w:rsidRPr="002B5B1B">
              <w:t xml:space="preserve"> após a sua criação. Se, no entanto, forem necessários para procedimentos de controlo que já tenham tido início, esses registos são apagados logo que deixarem de ser necessários para o efeito.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21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asseguram a disponibilidade das imagens faciais </w:t>
            </w:r>
            <w:r w:rsidRPr="002B5B1B">
              <w:rPr>
                <w:b/>
                <w:i/>
              </w:rPr>
              <w:t>provenientes</w:t>
            </w:r>
            <w:r w:rsidRPr="002B5B1B">
              <w:t xml:space="preserve"> das suas bases de dados nacionais criadas para fins de prevenção ou deteção de infrações penais e das investigações nessa matéria. Esses dados incluem unicamente as imagens faciais e o índice de referência a que se refere o artigo 23.º e indicam se as ima</w:t>
            </w:r>
            <w:r w:rsidRPr="002B5B1B">
              <w:t xml:space="preserve">gens faciais </w:t>
            </w:r>
            <w:r w:rsidRPr="002B5B1B">
              <w:lastRenderedPageBreak/>
              <w:t>são ou não atribuídas a um indivíduo.</w:t>
            </w:r>
          </w:p>
        </w:tc>
        <w:tc>
          <w:tcPr>
            <w:tcW w:w="4876" w:type="dxa"/>
          </w:tcPr>
          <w:p w:rsidR="003F5BF1" w:rsidRPr="002B5B1B" w:rsidRDefault="00D10947" w:rsidP="00D27444">
            <w:pPr>
              <w:pStyle w:val="Normal6"/>
              <w:rPr>
                <w:szCs w:val="24"/>
              </w:rPr>
            </w:pPr>
            <w:r w:rsidRPr="002B5B1B">
              <w:lastRenderedPageBreak/>
              <w:t>1.</w:t>
            </w:r>
            <w:r w:rsidRPr="002B5B1B">
              <w:tab/>
              <w:t xml:space="preserve">Os Estados-Membros asseguram a disponibilidade das imagens faciais </w:t>
            </w:r>
            <w:r w:rsidRPr="002B5B1B">
              <w:rPr>
                <w:b/>
                <w:i/>
              </w:rPr>
              <w:t>de suspeitos e pessoas condenadas recolhidas, em conformidade com a respetiva legislação nacional,</w:t>
            </w:r>
            <w:r w:rsidRPr="002B5B1B">
              <w:t xml:space="preserve"> das suas bases de dados nacionais cr</w:t>
            </w:r>
            <w:r w:rsidRPr="002B5B1B">
              <w:t xml:space="preserve">iadas para fins de prevenção ou deteção de infrações penais e das investigações nessa matéria. Esses dados incluem unicamente as </w:t>
            </w:r>
            <w:r w:rsidRPr="002B5B1B">
              <w:lastRenderedPageBreak/>
              <w:t xml:space="preserve">imagens faciais e o índice de referência a que se refere o artigo 23.º e indicam se as imagens faciais são ou não atribuídas a </w:t>
            </w:r>
            <w:r w:rsidRPr="002B5B1B">
              <w:t>um indivíduo.</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21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Neste contexto, os Estados-Membros </w:t>
            </w:r>
            <w:r w:rsidRPr="002B5B1B">
              <w:t>não devem disponibilizar quaisquer dados que permitam a identificação direta de uma pessoa.</w:t>
            </w:r>
          </w:p>
        </w:tc>
        <w:tc>
          <w:tcPr>
            <w:tcW w:w="4876" w:type="dxa"/>
          </w:tcPr>
          <w:p w:rsidR="003F5BF1" w:rsidRPr="002B5B1B" w:rsidRDefault="00D10947" w:rsidP="00D27444">
            <w:pPr>
              <w:pStyle w:val="Normal6"/>
              <w:rPr>
                <w:szCs w:val="24"/>
              </w:rPr>
            </w:pPr>
            <w:r w:rsidRPr="002B5B1B">
              <w:t xml:space="preserve">Neste contexto, os Estados-Membros não devem disponibilizar quaisquer dados </w:t>
            </w:r>
            <w:r w:rsidRPr="002B5B1B">
              <w:rPr>
                <w:b/>
                <w:i/>
              </w:rPr>
              <w:t>nominais adicionais</w:t>
            </w:r>
            <w:r w:rsidRPr="002B5B1B">
              <w:t xml:space="preserve"> que permitam a identificação direta de uma pessoa.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w:t>
      </w:r>
      <w:r w:rsidRPr="002B5B1B">
        <w:rPr>
          <w:rStyle w:val="HideTWBInt"/>
          <w:noProof w:val="0"/>
        </w:rPr>
        <w:t>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21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As </w:t>
            </w:r>
            <w:r w:rsidRPr="002B5B1B">
              <w:rPr>
                <w:b/>
                <w:i/>
              </w:rPr>
              <w:t>imagens faciais que não sejam atribuídas a uma pessoa («</w:t>
            </w:r>
            <w:r w:rsidRPr="002B5B1B">
              <w:t xml:space="preserve">imagens faciais não </w:t>
            </w:r>
            <w:r w:rsidRPr="002B5B1B">
              <w:t>identificadas</w:t>
            </w:r>
            <w:r w:rsidRPr="002B5B1B">
              <w:rPr>
                <w:b/>
                <w:i/>
              </w:rPr>
              <w:t>»)</w:t>
            </w:r>
            <w:r w:rsidRPr="002B5B1B">
              <w:t xml:space="preserve"> devem ser reconhecíveis como tal. são reconhecíveis como tal.</w:t>
            </w:r>
          </w:p>
        </w:tc>
        <w:tc>
          <w:tcPr>
            <w:tcW w:w="4876" w:type="dxa"/>
          </w:tcPr>
          <w:p w:rsidR="003F5BF1" w:rsidRPr="002B5B1B" w:rsidRDefault="00D10947" w:rsidP="00445DCA">
            <w:pPr>
              <w:pStyle w:val="Normal6"/>
              <w:rPr>
                <w:szCs w:val="24"/>
              </w:rPr>
            </w:pPr>
            <w:r w:rsidRPr="002B5B1B">
              <w:t>2.</w:t>
            </w:r>
            <w:r w:rsidRPr="002B5B1B">
              <w:tab/>
              <w:t>As imagens faciais não identificadas são reconhecíveis como tal.</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22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Para efeitos de prevenção ou deteção de infrações penais e das investigações nessa matéria, os Estados-Membros permitem que os pontos de cont</w:t>
            </w:r>
            <w:r w:rsidRPr="002B5B1B">
              <w:t xml:space="preserve">acto nacionais de outros Estados-Membros, bem como a Europol, tenham acesso </w:t>
            </w:r>
            <w:r w:rsidRPr="002B5B1B">
              <w:rPr>
                <w:b/>
                <w:i/>
              </w:rPr>
              <w:t>a imagens faciais conservadas</w:t>
            </w:r>
            <w:r w:rsidRPr="002B5B1B">
              <w:t xml:space="preserve"> nas suas bases de dados nacionais, a fim de efetuarem consultas automatizadas.</w:t>
            </w:r>
          </w:p>
        </w:tc>
        <w:tc>
          <w:tcPr>
            <w:tcW w:w="4876" w:type="dxa"/>
          </w:tcPr>
          <w:p w:rsidR="003F5BF1" w:rsidRPr="002B5B1B" w:rsidRDefault="00D10947" w:rsidP="00D27444">
            <w:pPr>
              <w:pStyle w:val="Normal6"/>
              <w:rPr>
                <w:szCs w:val="24"/>
              </w:rPr>
            </w:pPr>
            <w:r w:rsidRPr="002B5B1B">
              <w:t>1.</w:t>
            </w:r>
            <w:r w:rsidRPr="002B5B1B">
              <w:tab/>
              <w:t>Para efeitos de prevenção ou deteção de infrações penais e das inves</w:t>
            </w:r>
            <w:r w:rsidRPr="002B5B1B">
              <w:t xml:space="preserve">tigações nessa matéria, os Estados-Membros permitem que os pontos de contacto nacionais de outros Estados-Membros, bem como a Europol, tenham acesso </w:t>
            </w:r>
            <w:r w:rsidRPr="002B5B1B">
              <w:rPr>
                <w:b/>
                <w:i/>
              </w:rPr>
              <w:t>aos dados de referência da imagem facial conservados</w:t>
            </w:r>
            <w:r w:rsidRPr="002B5B1B">
              <w:t xml:space="preserve"> nas suas bases de dados nacionais, a fim de efetuarem </w:t>
            </w:r>
            <w:r w:rsidRPr="002B5B1B">
              <w:t>consultas automatizadas.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99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22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As consultas apenas podem </w:t>
            </w:r>
            <w:r w:rsidRPr="002B5B1B">
              <w:t>ser feitas em casos concretos e em conformidade com a legislação nacional do Estado-Membro requerente.</w:t>
            </w:r>
          </w:p>
        </w:tc>
        <w:tc>
          <w:tcPr>
            <w:tcW w:w="4876" w:type="dxa"/>
          </w:tcPr>
          <w:p w:rsidR="003F5BF1" w:rsidRPr="002B5B1B" w:rsidRDefault="00D10947" w:rsidP="00683926">
            <w:pPr>
              <w:pStyle w:val="Normal6"/>
              <w:rPr>
                <w:szCs w:val="24"/>
              </w:rPr>
            </w:pPr>
            <w:r w:rsidRPr="002B5B1B">
              <w:t>As consultas apenas podem ser feitas em casos concretos</w:t>
            </w:r>
            <w:r w:rsidRPr="002B5B1B">
              <w:rPr>
                <w:b/>
                <w:i/>
              </w:rPr>
              <w:t>,</w:t>
            </w:r>
            <w:r w:rsidRPr="002B5B1B">
              <w:t xml:space="preserve"> </w:t>
            </w:r>
            <w:r w:rsidRPr="002B5B1B">
              <w:rPr>
                <w:b/>
                <w:i/>
              </w:rPr>
              <w:t>quando forem proporcionadas e necessárias para efeitos de prevenção ou deteção de uma infração p</w:t>
            </w:r>
            <w:r w:rsidRPr="002B5B1B">
              <w:rPr>
                <w:b/>
                <w:i/>
              </w:rPr>
              <w:t>enal e das investigações nessa matéria,</w:t>
            </w:r>
            <w:r w:rsidRPr="002B5B1B">
              <w:t xml:space="preserve"> e em conformidade com a legislação nacional do Estado-Membro requerente. </w:t>
            </w:r>
            <w:r w:rsidRPr="002B5B1B">
              <w:rPr>
                <w:b/>
                <w:i/>
              </w:rPr>
              <w:t>São proibidas as consultas para a definição de perfis.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22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O Estado-Membro requerente recebe uma lista composta por </w:t>
            </w:r>
            <w:r w:rsidRPr="002B5B1B">
              <w:rPr>
                <w:b/>
                <w:i/>
              </w:rPr>
              <w:t>correspondências relativas a</w:t>
            </w:r>
            <w:r w:rsidRPr="002B5B1B">
              <w:t xml:space="preserve"> candidatos </w:t>
            </w:r>
            <w:r w:rsidRPr="002B5B1B">
              <w:rPr>
                <w:b/>
                <w:i/>
              </w:rPr>
              <w:lastRenderedPageBreak/>
              <w:t>prováveis</w:t>
            </w:r>
            <w:r w:rsidRPr="002B5B1B">
              <w:t>. Esse Estado-Membro analisa a lis</w:t>
            </w:r>
            <w:r w:rsidRPr="002B5B1B">
              <w:t>ta para determinar a existência de uma correspondência confirmada.</w:t>
            </w:r>
          </w:p>
        </w:tc>
        <w:tc>
          <w:tcPr>
            <w:tcW w:w="4876" w:type="dxa"/>
          </w:tcPr>
          <w:p w:rsidR="003F5BF1" w:rsidRPr="002B5B1B" w:rsidRDefault="00D10947" w:rsidP="00D27444">
            <w:pPr>
              <w:pStyle w:val="Normal6"/>
              <w:rPr>
                <w:szCs w:val="24"/>
              </w:rPr>
            </w:pPr>
            <w:r w:rsidRPr="002B5B1B">
              <w:lastRenderedPageBreak/>
              <w:t>2.</w:t>
            </w:r>
            <w:r w:rsidRPr="002B5B1B">
              <w:tab/>
              <w:t xml:space="preserve">O Estado-Membro requerente recebe uma lista composta por candidatos. Esse Estado-Membro analisa </w:t>
            </w:r>
            <w:r w:rsidRPr="002B5B1B">
              <w:rPr>
                <w:b/>
                <w:i/>
              </w:rPr>
              <w:lastRenderedPageBreak/>
              <w:t>manualmente</w:t>
            </w:r>
            <w:r w:rsidRPr="002B5B1B">
              <w:t xml:space="preserve"> a lista para determinar a existência de uma correspondência confirmada.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22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3.</w:t>
            </w:r>
            <w:r w:rsidRPr="002B5B1B">
              <w:rPr>
                <w:b/>
                <w:i/>
              </w:rPr>
              <w:tab/>
              <w:t xml:space="preserve">É estabelecida uma norma de qualidade mínima para permitir a </w:t>
            </w:r>
            <w:r w:rsidRPr="002B5B1B">
              <w:rPr>
                <w:b/>
                <w:i/>
              </w:rPr>
              <w:t>consulta e a comparação de imagens faciais. A Comissão adota atos de execução a fim de definir essa norma de qualidade mínima. Os referidos atos de execução são adotados pelo procedimento a que se refere o artigo 76.º, n.º 2.</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w:t>
      </w:r>
      <w:r w:rsidRPr="002B5B1B">
        <w:rPr>
          <w:noProof w:val="0"/>
        </w:rPr>
        <w:t>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23 – parágrafo 1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r>
            <w:r w:rsidRPr="002B5B1B">
              <w:t>Um índice de referência que permita aos Estados-Membros, em caso de correspondência, retirar mais dados e outras informações da sua base de dados, a que se refere o artigo 5.º, a fim de os transmitir a um, a vários ou a todos os outros Estados-Membros, nos</w:t>
            </w:r>
            <w:r w:rsidRPr="002B5B1B">
              <w:t xml:space="preserve"> termos dos artigos 47.º </w:t>
            </w:r>
            <w:r w:rsidRPr="002B5B1B">
              <w:rPr>
                <w:b/>
                <w:i/>
              </w:rPr>
              <w:t>e 48.º</w:t>
            </w:r>
            <w:r w:rsidRPr="002B5B1B">
              <w:t>;</w:t>
            </w:r>
          </w:p>
        </w:tc>
        <w:tc>
          <w:tcPr>
            <w:tcW w:w="4876" w:type="dxa"/>
          </w:tcPr>
          <w:p w:rsidR="003F5BF1" w:rsidRPr="002B5B1B" w:rsidRDefault="00D10947" w:rsidP="00445DCA">
            <w:pPr>
              <w:pStyle w:val="Normal6"/>
              <w:rPr>
                <w:szCs w:val="24"/>
              </w:rPr>
            </w:pPr>
            <w:r w:rsidRPr="002B5B1B">
              <w:t>(a)</w:t>
            </w:r>
            <w:r w:rsidRPr="002B5B1B">
              <w:tab/>
              <w:t>Um índice de referência que permita aos Estados-Membros, em caso de correspondência, retirar mais dados e outras informações da sua base de dados, a que se refere o artigo 5.º, a fim de os transmitir a um, a vários ou a</w:t>
            </w:r>
            <w:r w:rsidRPr="002B5B1B">
              <w:t xml:space="preserve"> todos os outros Estados-Membros, nos termos dos artigos 47.º</w:t>
            </w:r>
            <w:r w:rsidRPr="002B5B1B">
              <w:rPr>
                <w:b/>
                <w:i/>
              </w:rPr>
              <w:t>, ou à Europol, nos termos do artigo 50.º, n.º 6</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103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23-A </w:t>
      </w:r>
      <w:r w:rsidRPr="002B5B1B">
        <w:t>(novo)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jc w:val="center"/>
              <w:rPr>
                <w:szCs w:val="24"/>
              </w:rPr>
            </w:pPr>
            <w:r w:rsidRPr="002B5B1B">
              <w:rPr>
                <w:b/>
                <w:i/>
              </w:rPr>
              <w:t>Artigo 23.º‑A</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jc w:val="center"/>
              <w:rPr>
                <w:szCs w:val="24"/>
              </w:rPr>
            </w:pPr>
            <w:r w:rsidRPr="002B5B1B">
              <w:rPr>
                <w:b/>
                <w:i/>
              </w:rPr>
              <w:t>Princípios que regem o intercâmbio de imagens faciais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1. </w:t>
            </w:r>
            <w:r w:rsidRPr="002B5B1B">
              <w:tab/>
            </w:r>
            <w:r w:rsidRPr="002B5B1B">
              <w:rPr>
                <w:b/>
                <w:i/>
              </w:rPr>
              <w:t xml:space="preserve">Cada Estado-Membro assegura que as imagens faciais por si transmitidas têm qualidade suficiente para permitir a comparação </w:t>
            </w:r>
            <w:r w:rsidRPr="002B5B1B">
              <w:rPr>
                <w:b/>
                <w:i/>
              </w:rPr>
              <w:t>automatizada. A Comissão adota um ato de execução a fim de definir a norma de qualidade mínima para a comparação de imagens faciais. O referido ato de execução é adotado pelo procedimento a que se refere o artigo 76.º, n.º 2.</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2. </w:t>
            </w:r>
            <w:r w:rsidRPr="002B5B1B">
              <w:tab/>
            </w:r>
            <w:r w:rsidRPr="002B5B1B">
              <w:rPr>
                <w:b/>
                <w:i/>
              </w:rPr>
              <w:t>Os Estados-Membros e a E</w:t>
            </w:r>
            <w:r w:rsidRPr="002B5B1B">
              <w:rPr>
                <w:b/>
                <w:i/>
              </w:rPr>
              <w:t>uropol tomam as medidas adequadas a fim de assegurar a confidencialidade e a integridade das imagens faciais transmitidas aos outros Estados-Membros, incluindo a sua cifragem.</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445DCA">
            <w:pPr>
              <w:pStyle w:val="Normal6"/>
              <w:rPr>
                <w:szCs w:val="24"/>
              </w:rPr>
            </w:pPr>
            <w:r w:rsidRPr="002B5B1B">
              <w:rPr>
                <w:b/>
                <w:i/>
              </w:rPr>
              <w:t xml:space="preserve">3. </w:t>
            </w:r>
            <w:r w:rsidRPr="002B5B1B">
              <w:tab/>
            </w:r>
            <w:r w:rsidRPr="002B5B1B">
              <w:rPr>
                <w:b/>
                <w:i/>
              </w:rPr>
              <w:t xml:space="preserve">A Comissão adota atos de execução a fim de especificar as normas </w:t>
            </w:r>
            <w:r w:rsidRPr="002B5B1B">
              <w:rPr>
                <w:b/>
                <w:i/>
              </w:rPr>
              <w:t>internacionais pertinentes a utilizar pelos Estados-Membros e pela Europol para o intercâmbio de imagens faciais. O referido ato de execução é adotado pelo procedimento a que se refere o artigo 76.º,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25 – título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Ficheiros policiais</w:t>
            </w:r>
          </w:p>
        </w:tc>
        <w:tc>
          <w:tcPr>
            <w:tcW w:w="4876" w:type="dxa"/>
          </w:tcPr>
          <w:p w:rsidR="003F5BF1" w:rsidRPr="002B5B1B" w:rsidRDefault="00D10947" w:rsidP="00D27444">
            <w:pPr>
              <w:pStyle w:val="Normal6"/>
              <w:rPr>
                <w:szCs w:val="24"/>
              </w:rPr>
            </w:pPr>
            <w:r w:rsidRPr="002B5B1B">
              <w:rPr>
                <w:b/>
                <w:i/>
              </w:rPr>
              <w:t>Índice nacional de</w:t>
            </w:r>
            <w:r w:rsidRPr="002B5B1B">
              <w:t xml:space="preserve"> ficheiros policiais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25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podem decidir participar no intercâmbio automatizado de ficheiros </w:t>
            </w:r>
            <w:r w:rsidRPr="002B5B1B">
              <w:t xml:space="preserve">policiais. Os Estados-Membros que participam no intercâmbio automatizado de ficheiros policiais asseguram a disponibilidade de dados biográficos de suspeitos e </w:t>
            </w:r>
            <w:r w:rsidRPr="002B5B1B">
              <w:rPr>
                <w:b/>
                <w:i/>
              </w:rPr>
              <w:t>de criminosos a partir dos seus índices</w:t>
            </w:r>
            <w:r w:rsidRPr="002B5B1B">
              <w:t xml:space="preserve"> nacionais </w:t>
            </w:r>
            <w:r w:rsidRPr="002B5B1B">
              <w:rPr>
                <w:b/>
                <w:i/>
              </w:rPr>
              <w:t>de ficheiros policiais criados para</w:t>
            </w:r>
            <w:r w:rsidRPr="002B5B1B">
              <w:t xml:space="preserve"> a investig</w:t>
            </w:r>
            <w:r w:rsidRPr="002B5B1B">
              <w:t xml:space="preserve">ação de infrações penais. </w:t>
            </w:r>
            <w:r w:rsidRPr="002B5B1B">
              <w:rPr>
                <w:b/>
                <w:i/>
              </w:rPr>
              <w:t>Este conjunto</w:t>
            </w:r>
            <w:r w:rsidRPr="002B5B1B">
              <w:t xml:space="preserve"> de dados, se </w:t>
            </w:r>
            <w:r w:rsidRPr="002B5B1B">
              <w:rPr>
                <w:b/>
                <w:i/>
              </w:rPr>
              <w:t>disponível, contém</w:t>
            </w:r>
            <w:r w:rsidRPr="002B5B1B">
              <w:t xml:space="preserve"> os seguintes dados:</w:t>
            </w:r>
          </w:p>
        </w:tc>
        <w:tc>
          <w:tcPr>
            <w:tcW w:w="4876" w:type="dxa"/>
          </w:tcPr>
          <w:p w:rsidR="003F5BF1" w:rsidRPr="002B5B1B" w:rsidRDefault="00D10947">
            <w:pPr>
              <w:pStyle w:val="Normal6"/>
              <w:rPr>
                <w:szCs w:val="24"/>
              </w:rPr>
            </w:pPr>
            <w:r w:rsidRPr="002B5B1B">
              <w:t>1.</w:t>
            </w:r>
            <w:r w:rsidRPr="002B5B1B">
              <w:tab/>
              <w:t xml:space="preserve">Os Estados-Membros podem decidir participar no intercâmbio automatizado de ficheiros policiais. </w:t>
            </w:r>
            <w:r w:rsidRPr="002B5B1B">
              <w:rPr>
                <w:b/>
                <w:i/>
              </w:rPr>
              <w:t>Para efeitos desses intercâmbios,</w:t>
            </w:r>
            <w:r w:rsidRPr="002B5B1B">
              <w:t xml:space="preserve"> os Estados-Membros que participam no intercâmbio automatizado de ficheiros policiais asseguram a disponibilidade de </w:t>
            </w:r>
            <w:r w:rsidRPr="002B5B1B">
              <w:rPr>
                <w:b/>
                <w:i/>
              </w:rPr>
              <w:t>índices nacionais de ficheiros policiais que contenham conjuntos de</w:t>
            </w:r>
            <w:r w:rsidRPr="002B5B1B">
              <w:t xml:space="preserve"> dados biográficos de suspeitos e </w:t>
            </w:r>
            <w:r w:rsidRPr="002B5B1B">
              <w:rPr>
                <w:b/>
                <w:i/>
              </w:rPr>
              <w:t>pessoas condenadas pela prática de uma</w:t>
            </w:r>
            <w:r w:rsidRPr="002B5B1B">
              <w:rPr>
                <w:b/>
                <w:i/>
              </w:rPr>
              <w:t xml:space="preserve"> infração referida no artigo 3.º do Regulamento (UE) 2016/794 ou no artigo 2.º, n.º 2, da Decisão-Quadro 2002/584/JAI do Conselho, provenientes de bases de dados</w:t>
            </w:r>
            <w:r w:rsidRPr="002B5B1B">
              <w:t xml:space="preserve"> nacionais </w:t>
            </w:r>
            <w:r w:rsidRPr="002B5B1B">
              <w:rPr>
                <w:b/>
                <w:i/>
              </w:rPr>
              <w:t>criadas para a prevenção, deteção e</w:t>
            </w:r>
            <w:r w:rsidRPr="002B5B1B">
              <w:t xml:space="preserve"> investigação de infrações penais. </w:t>
            </w:r>
            <w:r w:rsidRPr="002B5B1B">
              <w:rPr>
                <w:b/>
                <w:i/>
              </w:rPr>
              <w:t>Estes conjunto</w:t>
            </w:r>
            <w:r w:rsidRPr="002B5B1B">
              <w:rPr>
                <w:b/>
                <w:i/>
              </w:rPr>
              <w:t>s</w:t>
            </w:r>
            <w:r w:rsidRPr="002B5B1B">
              <w:t xml:space="preserve"> de dados, se </w:t>
            </w:r>
            <w:r w:rsidRPr="002B5B1B">
              <w:rPr>
                <w:b/>
                <w:i/>
              </w:rPr>
              <w:t>aplicável e na medida em que estejam disponíveis, contêm</w:t>
            </w:r>
            <w:r w:rsidRPr="002B5B1B">
              <w:t xml:space="preserve"> os seguintes dados: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25 – n.º 1 – alínea c)</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(c)</w:t>
            </w:r>
            <w:r w:rsidRPr="002B5B1B">
              <w:tab/>
              <w:t>Pseudónimo(s);</w:t>
            </w:r>
          </w:p>
        </w:tc>
        <w:tc>
          <w:tcPr>
            <w:tcW w:w="4876" w:type="dxa"/>
          </w:tcPr>
          <w:p w:rsidR="003F5BF1" w:rsidRPr="002B5B1B" w:rsidRDefault="00D10947">
            <w:pPr>
              <w:pStyle w:val="Normal6"/>
              <w:rPr>
                <w:szCs w:val="24"/>
              </w:rPr>
            </w:pPr>
            <w:r w:rsidRPr="002B5B1B">
              <w:t>(c)</w:t>
            </w:r>
            <w:r w:rsidRPr="002B5B1B">
              <w:tab/>
              <w:t xml:space="preserve">Pseudónimo(s) </w:t>
            </w:r>
            <w:r w:rsidRPr="002B5B1B">
              <w:rPr>
                <w:b/>
                <w:i/>
              </w:rPr>
              <w:t xml:space="preserve">e nome(s) </w:t>
            </w:r>
            <w:r w:rsidRPr="002B5B1B">
              <w:rPr>
                <w:b/>
                <w:i/>
              </w:rPr>
              <w:lastRenderedPageBreak/>
              <w:t>utilizado(s) anteriormente</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w:t>
      </w:r>
      <w:r w:rsidRPr="002B5B1B">
        <w:t xml:space="preserve"> 25 – n.º 1 – parágrafo 1-A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0448F1">
            <w:pPr>
              <w:pStyle w:val="Normal6"/>
              <w:rPr>
                <w:szCs w:val="24"/>
              </w:rPr>
            </w:pPr>
            <w:r w:rsidRPr="002B5B1B">
              <w:rPr>
                <w:b/>
                <w:i/>
              </w:rPr>
              <w:t xml:space="preserve">Em conformidade com o artigo 7.º, n.º 2, da Diretiva (UE) 2016/680, os Estados-Membros asseguram que os dados incluídos nos índices nacionais de ficheiros policiais são exatos, </w:t>
            </w:r>
            <w:r w:rsidRPr="002B5B1B">
              <w:rPr>
                <w:b/>
                <w:i/>
              </w:rPr>
              <w:t>completos e atualizados.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108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26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Para efeitos de investigação de infrações penais, os Estados-Membros permitem que os pontos de contacto nacionais de outros Estados-Membros, bem como a Europol, tenham acesso a dados </w:t>
            </w:r>
            <w:r w:rsidRPr="002B5B1B">
              <w:rPr>
                <w:b/>
                <w:i/>
              </w:rPr>
              <w:t>dos</w:t>
            </w:r>
            <w:r w:rsidRPr="002B5B1B">
              <w:t xml:space="preserve"> seus índices nacionais de ficheiros policiais, a fim de efetuarem con</w:t>
            </w:r>
            <w:r w:rsidRPr="002B5B1B">
              <w:t>sultas automatizadas.</w:t>
            </w:r>
          </w:p>
        </w:tc>
        <w:tc>
          <w:tcPr>
            <w:tcW w:w="4876" w:type="dxa"/>
          </w:tcPr>
          <w:p w:rsidR="003F5BF1" w:rsidRPr="002B5B1B" w:rsidRDefault="00D10947" w:rsidP="00445DCA">
            <w:pPr>
              <w:pStyle w:val="Normal6"/>
              <w:rPr>
                <w:szCs w:val="24"/>
              </w:rPr>
            </w:pPr>
            <w:r w:rsidRPr="002B5B1B">
              <w:t>1.</w:t>
            </w:r>
            <w:r w:rsidRPr="002B5B1B">
              <w:tab/>
              <w:t xml:space="preserve">Para efeitos de </w:t>
            </w:r>
            <w:r w:rsidRPr="002B5B1B">
              <w:rPr>
                <w:b/>
                <w:i/>
              </w:rPr>
              <w:t>prevenção, deteção e</w:t>
            </w:r>
            <w:r w:rsidRPr="002B5B1B">
              <w:t xml:space="preserve"> investigação de infrações penais, os Estados-Membros </w:t>
            </w:r>
            <w:r w:rsidRPr="002B5B1B">
              <w:rPr>
                <w:b/>
                <w:i/>
              </w:rPr>
              <w:t>que participam no intercâmbio automatizado de ficheiros policiais</w:t>
            </w:r>
            <w:r w:rsidRPr="002B5B1B">
              <w:t xml:space="preserve"> permitem que os pontos de contacto nacionais dos outros Estados-Membros </w:t>
            </w:r>
            <w:r w:rsidRPr="002B5B1B">
              <w:rPr>
                <w:b/>
                <w:i/>
              </w:rPr>
              <w:t>que</w:t>
            </w:r>
            <w:r w:rsidRPr="002B5B1B">
              <w:rPr>
                <w:b/>
                <w:i/>
              </w:rPr>
              <w:t xml:space="preserve"> participam nesses intercâmbios</w:t>
            </w:r>
            <w:r w:rsidRPr="002B5B1B">
              <w:t xml:space="preserve">, bem como a Europol, tenham acesso a dados </w:t>
            </w:r>
            <w:r w:rsidRPr="002B5B1B">
              <w:rPr>
                <w:b/>
                <w:i/>
              </w:rPr>
              <w:t>nos</w:t>
            </w:r>
            <w:r w:rsidRPr="002B5B1B">
              <w:t xml:space="preserve"> seus índices nacionais de ficheiros policiais, a fim de efetuarem consultas automatizadas.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109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w:t>
      </w:r>
      <w:r w:rsidRPr="002B5B1B">
        <w:rPr>
          <w:rStyle w:val="HideTWBExt"/>
          <w:b w:val="0"/>
          <w:noProof w:val="0"/>
        </w:rPr>
        <w:t>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26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683926">
            <w:pPr>
              <w:pStyle w:val="Normal6"/>
            </w:pPr>
            <w:r w:rsidRPr="002B5B1B">
              <w:t>As consultas apenas podem ser feitas em casos concretos e em conformidade com a legislação nacional do Estado-Membro requerente.</w:t>
            </w:r>
          </w:p>
        </w:tc>
        <w:tc>
          <w:tcPr>
            <w:tcW w:w="4876" w:type="dxa"/>
          </w:tcPr>
          <w:p w:rsidR="003F5BF1" w:rsidRPr="002B5B1B" w:rsidRDefault="00D10947" w:rsidP="00683926">
            <w:pPr>
              <w:pStyle w:val="Normal6"/>
              <w:rPr>
                <w:szCs w:val="24"/>
              </w:rPr>
            </w:pPr>
            <w:r w:rsidRPr="002B5B1B">
              <w:t xml:space="preserve">As consultas apenas podem ser feitas em casos concretos </w:t>
            </w:r>
            <w:r w:rsidRPr="002B5B1B">
              <w:rPr>
                <w:b/>
                <w:i/>
              </w:rPr>
              <w:t>quando forem proporcionadas e necessárias para efeitos de prevenção ou deteção de uma infração penal e das investigações nessa matéria</w:t>
            </w:r>
            <w:r w:rsidRPr="002B5B1B">
              <w:t xml:space="preserve"> e em conformidade com a legislação nacional do Estado-Membro requ</w:t>
            </w:r>
            <w:r w:rsidRPr="002B5B1B">
              <w:t>erente.</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26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2.</w:t>
            </w:r>
            <w:r w:rsidRPr="002B5B1B">
              <w:rPr>
                <w:b/>
                <w:i/>
              </w:rPr>
              <w:tab/>
              <w:t xml:space="preserve">O Estado-Membro requerente recebe a lista de </w:t>
            </w:r>
            <w:r w:rsidRPr="002B5B1B">
              <w:rPr>
                <w:b/>
                <w:i/>
              </w:rPr>
              <w:t>correspondências com uma indicação da qualidade das mesmas.</w:t>
            </w:r>
          </w:p>
        </w:tc>
        <w:tc>
          <w:tcPr>
            <w:tcW w:w="4876" w:type="dxa"/>
          </w:tcPr>
          <w:p w:rsidR="003F5BF1" w:rsidRPr="002B5B1B" w:rsidRDefault="00D10947" w:rsidP="00D27444">
            <w:pPr>
              <w:pStyle w:val="Normal6"/>
              <w:rPr>
                <w:szCs w:val="24"/>
              </w:rPr>
            </w:pPr>
            <w:r w:rsidRPr="002B5B1B">
              <w:rPr>
                <w:b/>
                <w:i/>
              </w:rPr>
              <w:t>Suprimido</w:t>
            </w:r>
          </w:p>
        </w:tc>
      </w:tr>
      <w:tr w:rsidR="008B152A" w:rsidRPr="002B5B1B" w:rsidTr="00D27444">
        <w:trPr>
          <w:jc w:val="center"/>
        </w:trPr>
        <w:tc>
          <w:tcPr>
            <w:tcW w:w="4876" w:type="dxa"/>
          </w:tcPr>
          <w:p w:rsidR="003F5BF1" w:rsidRPr="002B5B1B" w:rsidRDefault="00D10947" w:rsidP="00D27444">
            <w:pPr>
              <w:pStyle w:val="Normal6"/>
            </w:pPr>
            <w:r w:rsidRPr="002B5B1B">
              <w:rPr>
                <w:b/>
                <w:i/>
              </w:rPr>
              <w:t>O Estado-Membro requerente é igualmente informado do Estado-Membro cuja base de dados contém os dados que resultaram na correspondência.</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27 – parágrafo 1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t>Um índice de referência que permita aos Estados-Membros, em caso de correspondência,</w:t>
            </w:r>
            <w:r w:rsidRPr="002B5B1B">
              <w:t xml:space="preserve"> retirar dados pessoais e </w:t>
            </w:r>
            <w:r w:rsidRPr="002B5B1B">
              <w:lastRenderedPageBreak/>
              <w:t xml:space="preserve">outras informações dos seus índices, a que se refere o artigo 25.º, a fim de os transmitir a um, a vários ou a todos os Estados-Membros, nos termos </w:t>
            </w:r>
            <w:r w:rsidRPr="002B5B1B">
              <w:rPr>
                <w:b/>
                <w:i/>
              </w:rPr>
              <w:t>dos artigos</w:t>
            </w:r>
            <w:r w:rsidRPr="002B5B1B">
              <w:t> </w:t>
            </w:r>
            <w:r w:rsidRPr="002B5B1B">
              <w:rPr>
                <w:b/>
                <w:i/>
              </w:rPr>
              <w:t>47.º e 48.º</w:t>
            </w:r>
            <w:r w:rsidRPr="002B5B1B">
              <w:t>;</w:t>
            </w:r>
          </w:p>
        </w:tc>
        <w:tc>
          <w:tcPr>
            <w:tcW w:w="4876" w:type="dxa"/>
          </w:tcPr>
          <w:p w:rsidR="003F5BF1" w:rsidRPr="002B5B1B" w:rsidRDefault="00D10947" w:rsidP="00445DCA">
            <w:pPr>
              <w:pStyle w:val="Normal6"/>
              <w:rPr>
                <w:szCs w:val="24"/>
              </w:rPr>
            </w:pPr>
            <w:r w:rsidRPr="002B5B1B">
              <w:lastRenderedPageBreak/>
              <w:t>(a)</w:t>
            </w:r>
            <w:r w:rsidRPr="002B5B1B">
              <w:tab/>
              <w:t>Um índice de referência que permita aos Estados-Membr</w:t>
            </w:r>
            <w:r w:rsidRPr="002B5B1B">
              <w:t xml:space="preserve">os, em caso de correspondência, retirar dados pessoais e </w:t>
            </w:r>
            <w:r w:rsidRPr="002B5B1B">
              <w:lastRenderedPageBreak/>
              <w:t xml:space="preserve">outras informações dos seus índices </w:t>
            </w:r>
            <w:r w:rsidRPr="002B5B1B">
              <w:rPr>
                <w:b/>
                <w:i/>
              </w:rPr>
              <w:t>nacionais de</w:t>
            </w:r>
            <w:r w:rsidRPr="002B5B1B">
              <w:t xml:space="preserve"> </w:t>
            </w:r>
            <w:r w:rsidRPr="002B5B1B">
              <w:rPr>
                <w:b/>
                <w:i/>
              </w:rPr>
              <w:t>ficheiros</w:t>
            </w:r>
            <w:r w:rsidRPr="002B5B1B">
              <w:t xml:space="preserve"> </w:t>
            </w:r>
            <w:r w:rsidRPr="002B5B1B">
              <w:rPr>
                <w:b/>
                <w:i/>
              </w:rPr>
              <w:t>policiais</w:t>
            </w:r>
            <w:r w:rsidRPr="002B5B1B">
              <w:t xml:space="preserve">, a que se refere o artigo 25.º, a fim de os transmitir a um, a vários ou a todos os Estados-Membros, nos termos </w:t>
            </w:r>
            <w:r w:rsidRPr="002B5B1B">
              <w:rPr>
                <w:b/>
                <w:i/>
              </w:rPr>
              <w:t>do artigo</w:t>
            </w:r>
            <w:r w:rsidRPr="002B5B1B">
              <w:t> </w:t>
            </w:r>
            <w:r w:rsidRPr="002B5B1B">
              <w:rPr>
                <w:b/>
                <w:i/>
              </w:rPr>
              <w:t>44.º</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28 – n.º 1 – alínea c)</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(c)</w:t>
            </w:r>
            <w:r w:rsidRPr="002B5B1B">
              <w:tab/>
              <w:t xml:space="preserve">Os </w:t>
            </w:r>
            <w:r w:rsidRPr="002B5B1B">
              <w:rPr>
                <w:b/>
                <w:i/>
              </w:rPr>
              <w:t xml:space="preserve">ficheiros policiais e respetivos índices de </w:t>
            </w:r>
            <w:r w:rsidRPr="002B5B1B">
              <w:rPr>
                <w:b/>
                <w:i/>
              </w:rPr>
              <w:t>referência</w:t>
            </w:r>
            <w:r w:rsidRPr="002B5B1B">
              <w:t xml:space="preserve"> a que se refere o artigo </w:t>
            </w:r>
            <w:r w:rsidRPr="002B5B1B">
              <w:rPr>
                <w:b/>
                <w:i/>
              </w:rPr>
              <w:t>27.º</w:t>
            </w:r>
            <w:r w:rsidRPr="002B5B1B">
              <w:t>.</w:t>
            </w:r>
          </w:p>
        </w:tc>
        <w:tc>
          <w:tcPr>
            <w:tcW w:w="4876" w:type="dxa"/>
          </w:tcPr>
          <w:p w:rsidR="003F5BF1" w:rsidRPr="002B5B1B" w:rsidRDefault="00D10947" w:rsidP="00445DCA">
            <w:pPr>
              <w:pStyle w:val="Normal6"/>
              <w:rPr>
                <w:szCs w:val="24"/>
              </w:rPr>
            </w:pPr>
            <w:r w:rsidRPr="002B5B1B">
              <w:t>(c)</w:t>
            </w:r>
            <w:r w:rsidRPr="002B5B1B">
              <w:tab/>
              <w:t xml:space="preserve">Os </w:t>
            </w:r>
            <w:r w:rsidRPr="002B5B1B">
              <w:rPr>
                <w:b/>
                <w:i/>
              </w:rPr>
              <w:t>dados</w:t>
            </w:r>
            <w:r w:rsidRPr="002B5B1B">
              <w:t xml:space="preserve"> a que se refere o artigo </w:t>
            </w:r>
            <w:r w:rsidRPr="002B5B1B">
              <w:rPr>
                <w:b/>
                <w:i/>
              </w:rPr>
              <w:t>25.º, n.º 1, quando disponíveis e pseudonimizados em conformidade com o artigo 25º, nº 2</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28 – n.º 2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t xml:space="preserve">Uma indicação que especifique </w:t>
            </w:r>
            <w:r w:rsidRPr="002B5B1B">
              <w:rPr>
                <w:b/>
                <w:i/>
              </w:rPr>
              <w:t>a existência ou não de uma ou várias</w:t>
            </w:r>
            <w:r w:rsidRPr="002B5B1B">
              <w:t xml:space="preserve"> correspondências;</w:t>
            </w:r>
          </w:p>
        </w:tc>
        <w:tc>
          <w:tcPr>
            <w:tcW w:w="4876" w:type="dxa"/>
          </w:tcPr>
          <w:p w:rsidR="003F5BF1" w:rsidRPr="002B5B1B" w:rsidRDefault="00D10947" w:rsidP="00D27444">
            <w:pPr>
              <w:pStyle w:val="Normal6"/>
              <w:rPr>
                <w:szCs w:val="24"/>
              </w:rPr>
            </w:pPr>
            <w:r w:rsidRPr="002B5B1B">
              <w:t>(a)</w:t>
            </w:r>
            <w:r w:rsidRPr="002B5B1B">
              <w:tab/>
              <w:t xml:space="preserve">Uma indicação que especifique </w:t>
            </w:r>
            <w:r w:rsidRPr="002B5B1B">
              <w:rPr>
                <w:b/>
                <w:i/>
              </w:rPr>
              <w:t>o número</w:t>
            </w:r>
            <w:r w:rsidRPr="002B5B1B">
              <w:rPr>
                <w:b/>
                <w:i/>
              </w:rPr>
              <w:t xml:space="preserve"> de</w:t>
            </w:r>
            <w:r w:rsidRPr="002B5B1B">
              <w:t xml:space="preserve"> correspondências;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29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Cada Estado-Membro designa um ponto </w:t>
            </w:r>
            <w:r w:rsidRPr="002B5B1B">
              <w:t xml:space="preserve">de </w:t>
            </w:r>
            <w:r w:rsidRPr="002B5B1B">
              <w:lastRenderedPageBreak/>
              <w:t>contacto nacional.</w:t>
            </w:r>
          </w:p>
        </w:tc>
        <w:tc>
          <w:tcPr>
            <w:tcW w:w="4876" w:type="dxa"/>
          </w:tcPr>
          <w:p w:rsidR="003F5BF1" w:rsidRPr="002B5B1B" w:rsidRDefault="00D10947" w:rsidP="00D27444">
            <w:pPr>
              <w:pStyle w:val="Normal6"/>
              <w:rPr>
                <w:szCs w:val="24"/>
              </w:rPr>
            </w:pPr>
            <w:r w:rsidRPr="002B5B1B">
              <w:lastRenderedPageBreak/>
              <w:t>Cada Estado-Membro designa</w:t>
            </w:r>
            <w:r w:rsidRPr="002B5B1B">
              <w:rPr>
                <w:b/>
                <w:i/>
              </w:rPr>
              <w:t xml:space="preserve">, pelo </w:t>
            </w:r>
            <w:r w:rsidRPr="002B5B1B">
              <w:rPr>
                <w:b/>
                <w:i/>
              </w:rPr>
              <w:lastRenderedPageBreak/>
              <w:t>menos,</w:t>
            </w:r>
            <w:r w:rsidRPr="002B5B1B">
              <w:t xml:space="preserve"> um ponto de contacto nacional.</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29 – n.º 2-A (novo)</w:t>
      </w:r>
      <w:r w:rsidRPr="002B5B1B">
        <w:rPr>
          <w:rStyle w:val="HideTWBExt"/>
          <w:b w:val="0"/>
          <w:noProof w:val="0"/>
        </w:rPr>
        <w:t>&lt;/Ar</w:t>
      </w:r>
      <w:r w:rsidRPr="002B5B1B">
        <w:rPr>
          <w:rStyle w:val="HideTWBExt"/>
          <w:b w:val="0"/>
          <w:noProof w:val="0"/>
        </w:rPr>
        <w:t>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2-A.</w:t>
            </w:r>
            <w:r w:rsidRPr="002B5B1B">
              <w:rPr>
                <w:b/>
                <w:i/>
              </w:rPr>
              <w:tab/>
              <w:t xml:space="preserve">Os Estados-Membros dotam os seus pontos de contacto nacionais de recursos suficientes, incluindo pessoal qualificado, e asseguram que têm capacidade suficiente para desempenhar as suas tarefas de forma adequada, </w:t>
            </w:r>
            <w:r w:rsidRPr="002B5B1B">
              <w:rPr>
                <w:b/>
                <w:i/>
              </w:rPr>
              <w:t>eficaz e rápida, em conformidade com o presente regulamento.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30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A Comissão adota </w:t>
            </w:r>
            <w:r w:rsidRPr="002B5B1B">
              <w:rPr>
                <w:b/>
                <w:i/>
              </w:rPr>
              <w:t>atos</w:t>
            </w:r>
            <w:r w:rsidRPr="002B5B1B">
              <w:t xml:space="preserve"> de execução a fim de definir as disposições técnicas </w:t>
            </w:r>
            <w:r w:rsidRPr="002B5B1B">
              <w:rPr>
                <w:b/>
                <w:i/>
              </w:rPr>
              <w:t>relativas</w:t>
            </w:r>
            <w:r w:rsidRPr="002B5B1B">
              <w:t xml:space="preserve"> aos procedimentos previstos nos artigos 6.º, 7.º, 13.º, 18.º, 22.º e 26.º. </w:t>
            </w:r>
            <w:r w:rsidRPr="002B5B1B">
              <w:rPr>
                <w:b/>
                <w:i/>
              </w:rPr>
              <w:t>Os referidos atos</w:t>
            </w:r>
            <w:r w:rsidRPr="002B5B1B">
              <w:t xml:space="preserve"> de execução </w:t>
            </w:r>
            <w:r w:rsidRPr="002B5B1B">
              <w:rPr>
                <w:b/>
                <w:i/>
              </w:rPr>
              <w:t>são adotados</w:t>
            </w:r>
            <w:r w:rsidRPr="002B5B1B">
              <w:t xml:space="preserve"> pelo procedimento a que se refere o artigo</w:t>
            </w:r>
            <w:r w:rsidRPr="002B5B1B">
              <w:t> 76.º, n.º 2.</w:t>
            </w:r>
          </w:p>
        </w:tc>
        <w:tc>
          <w:tcPr>
            <w:tcW w:w="4876" w:type="dxa"/>
          </w:tcPr>
          <w:p w:rsidR="003F5BF1" w:rsidRPr="002B5B1B" w:rsidRDefault="00D10947">
            <w:pPr>
              <w:pStyle w:val="Normal6"/>
              <w:rPr>
                <w:szCs w:val="24"/>
              </w:rPr>
            </w:pPr>
            <w:r w:rsidRPr="002B5B1B">
              <w:t xml:space="preserve">A Comissão adota </w:t>
            </w:r>
            <w:r w:rsidRPr="002B5B1B">
              <w:rPr>
                <w:b/>
                <w:i/>
              </w:rPr>
              <w:t>um ato</w:t>
            </w:r>
            <w:r w:rsidRPr="002B5B1B">
              <w:t xml:space="preserve"> de execução a fim de definir as disposições técnicas </w:t>
            </w:r>
            <w:r w:rsidRPr="002B5B1B">
              <w:rPr>
                <w:b/>
                <w:i/>
              </w:rPr>
              <w:t>a adotar pelos Estados-Membros relativamente</w:t>
            </w:r>
            <w:r w:rsidRPr="002B5B1B">
              <w:t xml:space="preserve"> aos procedimentos previstos nos artigos 6.º, 7.º, 13.º, 18.º, 22.º e 26.º. </w:t>
            </w:r>
            <w:r w:rsidRPr="002B5B1B">
              <w:rPr>
                <w:b/>
                <w:i/>
              </w:rPr>
              <w:t>O referido ato</w:t>
            </w:r>
            <w:r w:rsidRPr="002B5B1B">
              <w:t xml:space="preserve"> de execução </w:t>
            </w:r>
            <w:r w:rsidRPr="002B5B1B">
              <w:rPr>
                <w:b/>
                <w:i/>
              </w:rPr>
              <w:t>é adotado</w:t>
            </w:r>
            <w:r w:rsidRPr="002B5B1B">
              <w:t xml:space="preserve"> pelo pro</w:t>
            </w:r>
            <w:r w:rsidRPr="002B5B1B">
              <w:t xml:space="preserve">cedimento a que se refere o artigo 76.º, n.º 2.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117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jc w:val="center"/>
            </w:pPr>
            <w:r w:rsidRPr="002B5B1B">
              <w:rPr>
                <w:b/>
                <w:i/>
              </w:rPr>
              <w:t>Artigo 31.º</w:t>
            </w:r>
          </w:p>
        </w:tc>
        <w:tc>
          <w:tcPr>
            <w:tcW w:w="4876" w:type="dxa"/>
          </w:tcPr>
          <w:p w:rsidR="003F5BF1" w:rsidRPr="002B5B1B" w:rsidRDefault="00D10947" w:rsidP="00D27444">
            <w:pPr>
              <w:pStyle w:val="Normal6"/>
              <w:rPr>
                <w:szCs w:val="24"/>
              </w:rPr>
            </w:pPr>
            <w:r w:rsidRPr="002B5B1B">
              <w:rPr>
                <w:b/>
                <w:i/>
              </w:rPr>
              <w:t>Suprimido</w:t>
            </w:r>
          </w:p>
        </w:tc>
      </w:tr>
      <w:tr w:rsidR="008B152A" w:rsidRPr="002B5B1B" w:rsidTr="00D27444">
        <w:trPr>
          <w:jc w:val="center"/>
        </w:trPr>
        <w:tc>
          <w:tcPr>
            <w:tcW w:w="4876" w:type="dxa"/>
          </w:tcPr>
          <w:p w:rsidR="003F5BF1" w:rsidRPr="002B5B1B" w:rsidRDefault="00D10947" w:rsidP="00D27444">
            <w:pPr>
              <w:pStyle w:val="Normal6"/>
              <w:jc w:val="center"/>
            </w:pPr>
            <w:r w:rsidRPr="002B5B1B">
              <w:rPr>
                <w:b/>
                <w:i/>
              </w:rPr>
              <w:t>Especificações técnicas</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 xml:space="preserve">Os Estados-Membros e a Europol observam as especificações técnicas comuns correspondentes a todos os pedidos e respostas associados às consultas e comparações de perfis de ADN, dados dactiloscópicos, dados de registo de veículos, </w:t>
            </w:r>
            <w:r w:rsidRPr="002B5B1B">
              <w:rPr>
                <w:b/>
                <w:i/>
              </w:rPr>
              <w:t>imagens faciais e ficheiros policiais. A Comissão adota atos de execução a fim de definir essas especificações técnicas pelo procedimento a que se refere o artigo 76.º, n.º 2.</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32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9242EE">
            <w:pPr>
              <w:pStyle w:val="Normal6"/>
            </w:pPr>
            <w:r w:rsidRPr="002B5B1B">
              <w:t>2.</w:t>
            </w:r>
            <w:r w:rsidRPr="002B5B1B">
              <w:tab/>
              <w:t xml:space="preserve">Os pontos de contacto nacionais informam-se mutuamente de imediato, bem como a Comissão, a Europol e a eu-LISA </w:t>
            </w:r>
            <w:r w:rsidRPr="002B5B1B">
              <w:rPr>
                <w:b/>
                <w:i/>
              </w:rPr>
              <w:t>da falha</w:t>
            </w:r>
            <w:r w:rsidRPr="002B5B1B">
              <w:rPr>
                <w:b/>
                <w:i/>
              </w:rPr>
              <w:t xml:space="preserve"> técnica que causou a indisponibilidade do</w:t>
            </w:r>
            <w:r w:rsidRPr="002B5B1B">
              <w:t xml:space="preserve"> intercâmbio automatizado de dados.</w:t>
            </w:r>
          </w:p>
        </w:tc>
        <w:tc>
          <w:tcPr>
            <w:tcW w:w="4876" w:type="dxa"/>
          </w:tcPr>
          <w:p w:rsidR="003F5BF1" w:rsidRPr="002B5B1B" w:rsidRDefault="00D10947" w:rsidP="00F46128">
            <w:pPr>
              <w:pStyle w:val="Normal6"/>
              <w:rPr>
                <w:szCs w:val="24"/>
              </w:rPr>
            </w:pPr>
            <w:r w:rsidRPr="002B5B1B">
              <w:t>2.</w:t>
            </w:r>
            <w:r w:rsidRPr="002B5B1B">
              <w:tab/>
              <w:t xml:space="preserve">Os pontos de contacto nacionais informam-se mutuamente de imediato, bem como a Comissão, a Europol e a eu-LISA </w:t>
            </w:r>
            <w:r w:rsidRPr="002B5B1B">
              <w:rPr>
                <w:b/>
                <w:i/>
              </w:rPr>
              <w:t>quando o</w:t>
            </w:r>
            <w:r w:rsidRPr="002B5B1B">
              <w:t xml:space="preserve"> intercâmbio automatizado de dados </w:t>
            </w:r>
            <w:r w:rsidRPr="002B5B1B">
              <w:rPr>
                <w:b/>
                <w:i/>
              </w:rPr>
              <w:t>não estiver disponíve</w:t>
            </w:r>
            <w:r w:rsidRPr="002B5B1B">
              <w:rPr>
                <w:b/>
                <w:i/>
              </w:rPr>
              <w:t>l</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119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32 – n.º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Os pontos de contacto nacionais acordam os mecanismos alternativos temporários para o intercâmbio de informações, em conformidade com o direito da União e </w:t>
            </w:r>
            <w:r w:rsidRPr="002B5B1B">
              <w:rPr>
                <w:b/>
                <w:i/>
              </w:rPr>
              <w:t>a legislação</w:t>
            </w:r>
            <w:r w:rsidRPr="002B5B1B">
              <w:t xml:space="preserve"> nacional </w:t>
            </w:r>
            <w:r w:rsidRPr="002B5B1B">
              <w:rPr>
                <w:b/>
                <w:i/>
              </w:rPr>
              <w:t>aplicáveis</w:t>
            </w:r>
            <w:r w:rsidRPr="002B5B1B">
              <w:t>.</w:t>
            </w:r>
          </w:p>
        </w:tc>
        <w:tc>
          <w:tcPr>
            <w:tcW w:w="4876" w:type="dxa"/>
          </w:tcPr>
          <w:p w:rsidR="003F5BF1" w:rsidRPr="002B5B1B" w:rsidRDefault="00D10947" w:rsidP="00F46128">
            <w:pPr>
              <w:pStyle w:val="Normal6"/>
              <w:rPr>
                <w:szCs w:val="24"/>
              </w:rPr>
            </w:pPr>
            <w:r w:rsidRPr="002B5B1B">
              <w:rPr>
                <w:b/>
                <w:i/>
              </w:rPr>
              <w:t>Quando o intercâmbio automatizado de dados não estiver disponível,</w:t>
            </w:r>
            <w:r w:rsidRPr="002B5B1B">
              <w:t xml:space="preserve"> os pontos de contacto nacionais acordam os mecanismos alternativos temporários para o intercâmbio de informações, em conformidade com o direito da União e nacional </w:t>
            </w:r>
            <w:r w:rsidRPr="002B5B1B">
              <w:rPr>
                <w:b/>
                <w:i/>
              </w:rPr>
              <w:t>aplicável</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32 – n.º3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Os pontos de contacto </w:t>
            </w:r>
            <w:r w:rsidRPr="002B5B1B">
              <w:rPr>
                <w:b/>
                <w:i/>
              </w:rPr>
              <w:t>nacionais restabelecem</w:t>
            </w:r>
            <w:r w:rsidRPr="002B5B1B">
              <w:t xml:space="preserve"> sem demora </w:t>
            </w:r>
            <w:r w:rsidRPr="002B5B1B">
              <w:rPr>
                <w:b/>
                <w:i/>
              </w:rPr>
              <w:t>o intercâmbio automatizado de dados</w:t>
            </w:r>
            <w:r w:rsidRPr="002B5B1B">
              <w:t>.</w:t>
            </w:r>
          </w:p>
        </w:tc>
        <w:tc>
          <w:tcPr>
            <w:tcW w:w="4876" w:type="dxa"/>
          </w:tcPr>
          <w:p w:rsidR="003F5BF1" w:rsidRPr="002B5B1B" w:rsidRDefault="00D10947" w:rsidP="00F46128">
            <w:pPr>
              <w:pStyle w:val="Normal6"/>
              <w:rPr>
                <w:szCs w:val="24"/>
              </w:rPr>
            </w:pPr>
            <w:r w:rsidRPr="002B5B1B">
              <w:t>3.</w:t>
            </w:r>
            <w:r w:rsidRPr="002B5B1B">
              <w:tab/>
            </w:r>
            <w:r w:rsidRPr="002B5B1B">
              <w:rPr>
                <w:b/>
                <w:i/>
              </w:rPr>
              <w:t xml:space="preserve">Quando o intercâmbio automático de dados não </w:t>
            </w:r>
            <w:r w:rsidRPr="002B5B1B">
              <w:rPr>
                <w:b/>
                <w:i/>
              </w:rPr>
              <w:t>estiver disponível,</w:t>
            </w:r>
            <w:r w:rsidRPr="002B5B1B">
              <w:t xml:space="preserve"> os pontos de contacto </w:t>
            </w:r>
            <w:r w:rsidRPr="002B5B1B">
              <w:rPr>
                <w:b/>
                <w:i/>
              </w:rPr>
              <w:t>asseguram que o mesmo seja restabelecido</w:t>
            </w:r>
            <w:r w:rsidRPr="002B5B1B">
              <w:t xml:space="preserve"> sem demora.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33 – n.º 1 – parte in</w:t>
      </w:r>
      <w:r w:rsidRPr="002B5B1B">
        <w:t>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Cada Estado-Membro mantém uma justificação das consultas realizadas pelas suas autoridades competentes.</w:t>
            </w:r>
          </w:p>
        </w:tc>
        <w:tc>
          <w:tcPr>
            <w:tcW w:w="4876" w:type="dxa"/>
          </w:tcPr>
          <w:p w:rsidR="003F5BF1" w:rsidRPr="002B5B1B" w:rsidRDefault="00D10947" w:rsidP="00D27444">
            <w:pPr>
              <w:pStyle w:val="Normal6"/>
              <w:rPr>
                <w:szCs w:val="24"/>
              </w:rPr>
            </w:pPr>
            <w:r w:rsidRPr="002B5B1B">
              <w:t>1.</w:t>
            </w:r>
            <w:r w:rsidRPr="002B5B1B">
              <w:tab/>
              <w:t xml:space="preserve">Cada Estado-Membro mantém uma justificação das consultas realizadas pelas suas autoridades </w:t>
            </w:r>
            <w:r w:rsidRPr="002B5B1B">
              <w:rPr>
                <w:b/>
                <w:i/>
              </w:rPr>
              <w:t xml:space="preserve">de </w:t>
            </w:r>
            <w:r w:rsidRPr="002B5B1B">
              <w:rPr>
                <w:b/>
                <w:i/>
              </w:rPr>
              <w:t>aplicação da lei</w:t>
            </w:r>
            <w:r w:rsidRPr="002B5B1B">
              <w:t xml:space="preserve"> competentes.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122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33 – n.º 1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 xml:space="preserve">Uma indicação </w:t>
            </w:r>
            <w:r w:rsidRPr="002B5B1B">
              <w:t>sobre se a consulta diz respeito a um suspeito ou a um autor de uma infração penal;</w:t>
            </w:r>
          </w:p>
        </w:tc>
        <w:tc>
          <w:tcPr>
            <w:tcW w:w="4876" w:type="dxa"/>
          </w:tcPr>
          <w:p w:rsidR="003F5BF1" w:rsidRPr="002B5B1B" w:rsidRDefault="00D10947" w:rsidP="00F46128">
            <w:pPr>
              <w:pStyle w:val="Normal6"/>
              <w:rPr>
                <w:szCs w:val="24"/>
              </w:rPr>
            </w:pPr>
            <w:r w:rsidRPr="002B5B1B">
              <w:t>(b)</w:t>
            </w:r>
            <w:r w:rsidRPr="002B5B1B">
              <w:tab/>
              <w:t>Uma indicação sobre se a consulta diz respeito a um suspeito ou a um autor de uma infração penal</w:t>
            </w:r>
            <w:r w:rsidRPr="002B5B1B">
              <w:rPr>
                <w:b/>
                <w:i/>
              </w:rPr>
              <w:t>, a uma vítima de uma infração terrorista na aceção do artigo 4.º, ponto</w:t>
            </w:r>
            <w:r w:rsidRPr="002B5B1B">
              <w:rPr>
                <w:b/>
                <w:i/>
              </w:rPr>
              <w:t xml:space="preserve"> 21, do Regulamento (UE) 2019/817, a uma vítima de uma infração penal grave na aceção do artigo 4.º, ponto 22, do referido regulamento, a uma pessoa desaparecida ou a restos mortais humanos não identificados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33 – n.º 2 – alínea c)</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(c)</w:t>
            </w:r>
            <w:r w:rsidRPr="002B5B1B">
              <w:tab/>
              <w:t xml:space="preserve">Uma indicação sobre se a consulta visa identificar uma pessoa </w:t>
            </w:r>
            <w:r w:rsidRPr="002B5B1B">
              <w:rPr>
                <w:b/>
                <w:i/>
              </w:rPr>
              <w:t>desconhecida</w:t>
            </w:r>
            <w:r w:rsidRPr="002B5B1B">
              <w:t xml:space="preserve"> ou obter mais dados sobre uma pessoa conhecida.</w:t>
            </w:r>
          </w:p>
        </w:tc>
        <w:tc>
          <w:tcPr>
            <w:tcW w:w="4876" w:type="dxa"/>
          </w:tcPr>
          <w:p w:rsidR="003F5BF1" w:rsidRPr="002B5B1B" w:rsidRDefault="00D10947" w:rsidP="00D27444">
            <w:pPr>
              <w:pStyle w:val="Normal6"/>
              <w:rPr>
                <w:szCs w:val="24"/>
              </w:rPr>
            </w:pPr>
            <w:r w:rsidRPr="002B5B1B">
              <w:t>(c)</w:t>
            </w:r>
            <w:r w:rsidRPr="002B5B1B">
              <w:tab/>
              <w:t>Uma indicação sobre se a consulta visa identificar uma pessoa ou obter mais dados sobre uma pessoa conhecida.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w:t>
      </w:r>
      <w:r w:rsidRPr="002B5B1B">
        <w:t>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33 – n.º 3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Essas justificações estão protegidas por medidas adequadas contra o acesso não autorizado e são apagadas </w:t>
            </w:r>
            <w:r w:rsidRPr="002B5B1B">
              <w:rPr>
                <w:b/>
                <w:i/>
              </w:rPr>
              <w:t>um ano</w:t>
            </w:r>
            <w:r w:rsidRPr="002B5B1B">
              <w:t xml:space="preserve"> após a sua criação. Se, no </w:t>
            </w:r>
            <w:r w:rsidRPr="002B5B1B">
              <w:t xml:space="preserve">entanto, forem </w:t>
            </w:r>
            <w:r w:rsidRPr="002B5B1B">
              <w:lastRenderedPageBreak/>
              <w:t>necessárias para procedimentos de controlo que já tenham tido início, essas justificações são apagadas logo que deixarem de ser necessárias para o efeito.</w:t>
            </w:r>
          </w:p>
        </w:tc>
        <w:tc>
          <w:tcPr>
            <w:tcW w:w="4876" w:type="dxa"/>
          </w:tcPr>
          <w:p w:rsidR="003F5BF1" w:rsidRPr="002B5B1B" w:rsidRDefault="00D10947" w:rsidP="00D27444">
            <w:pPr>
              <w:pStyle w:val="Normal6"/>
              <w:rPr>
                <w:szCs w:val="24"/>
              </w:rPr>
            </w:pPr>
            <w:r w:rsidRPr="002B5B1B">
              <w:lastRenderedPageBreak/>
              <w:t>Essas justificações estão protegidas por medidas adequadas contra o acesso não autoriz</w:t>
            </w:r>
            <w:r w:rsidRPr="002B5B1B">
              <w:t xml:space="preserve">ado e são apagadas </w:t>
            </w:r>
            <w:r w:rsidRPr="002B5B1B">
              <w:rPr>
                <w:b/>
                <w:i/>
              </w:rPr>
              <w:t>dois anos</w:t>
            </w:r>
            <w:r w:rsidRPr="002B5B1B">
              <w:t xml:space="preserve"> após a sua criação. Se, no entanto, forem </w:t>
            </w:r>
            <w:r w:rsidRPr="002B5B1B">
              <w:lastRenderedPageBreak/>
              <w:t>necessárias para procedimentos de controlo que já tenham tido início, essas justificações são apagadas logo que deixarem de ser necessárias para o efeito.</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w:t>
      </w:r>
      <w:r w:rsidRPr="002B5B1B">
        <w:rPr>
          <w:rStyle w:val="HideTWBExt"/>
          <w:noProof w:val="0"/>
        </w:rPr>
        <w:t>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34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A norma do formato de mensagem universal (UMF) é utilizada no desenvolvimento do </w:t>
            </w:r>
            <w:r w:rsidRPr="002B5B1B">
              <w:t>encaminhador a que se refere o artigo 35.º e o EPRIS.</w:t>
            </w:r>
          </w:p>
        </w:tc>
        <w:tc>
          <w:tcPr>
            <w:tcW w:w="4876" w:type="dxa"/>
          </w:tcPr>
          <w:p w:rsidR="003F5BF1" w:rsidRPr="002B5B1B" w:rsidRDefault="00D10947">
            <w:pPr>
              <w:pStyle w:val="Normal6"/>
              <w:rPr>
                <w:szCs w:val="24"/>
              </w:rPr>
            </w:pPr>
            <w:r w:rsidRPr="002B5B1B">
              <w:t>1.</w:t>
            </w:r>
            <w:r w:rsidRPr="002B5B1B">
              <w:tab/>
            </w:r>
            <w:r w:rsidRPr="002B5B1B">
              <w:rPr>
                <w:b/>
                <w:i/>
              </w:rPr>
              <w:t>Na medida em que for aplicável,</w:t>
            </w:r>
            <w:r w:rsidRPr="002B5B1B">
              <w:t xml:space="preserve"> a norma do formato de mensagem universal (UMF) </w:t>
            </w:r>
            <w:r w:rsidRPr="002B5B1B">
              <w:rPr>
                <w:b/>
                <w:i/>
              </w:rPr>
              <w:t>a que se refere o artigo 38.º do Regulamento (UE)2019/817</w:t>
            </w:r>
            <w:r w:rsidRPr="002B5B1B">
              <w:t xml:space="preserve"> é utilizada no desenvolvimento do encaminhador a que se refere</w:t>
            </w:r>
            <w:r w:rsidRPr="002B5B1B">
              <w:t xml:space="preserve"> o artigo 35.º e o EPRIS.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35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É criado um encaminhador com o </w:t>
            </w:r>
            <w:r w:rsidRPr="002B5B1B">
              <w:t>objetivo de facilitar o estabelecimento de ligações entre os Estados-Membros e com a Europol para a consulta, a recuperação e a classificação de dados biométricos nos termos do presente regulamento.</w:t>
            </w:r>
          </w:p>
        </w:tc>
        <w:tc>
          <w:tcPr>
            <w:tcW w:w="4876" w:type="dxa"/>
          </w:tcPr>
          <w:p w:rsidR="003F5BF1" w:rsidRPr="002B5B1B" w:rsidRDefault="00D10947" w:rsidP="00D27444">
            <w:pPr>
              <w:pStyle w:val="Normal6"/>
              <w:rPr>
                <w:szCs w:val="24"/>
              </w:rPr>
            </w:pPr>
            <w:r w:rsidRPr="002B5B1B">
              <w:t>1.</w:t>
            </w:r>
            <w:r w:rsidRPr="002B5B1B">
              <w:tab/>
              <w:t>É criado um encaminhador com o objetivo de facilitar o</w:t>
            </w:r>
            <w:r w:rsidRPr="002B5B1B">
              <w:t xml:space="preserve"> estabelecimento de ligações entre os Estados-Membros e com a Europol para a consulta, a recuperação e a classificação de dados biométricos </w:t>
            </w:r>
            <w:r w:rsidRPr="002B5B1B">
              <w:rPr>
                <w:b/>
                <w:i/>
              </w:rPr>
              <w:t>e para a recuperação de dados alfanuméricos</w:t>
            </w:r>
            <w:r w:rsidRPr="002B5B1B">
              <w:t xml:space="preserve"> nos termos do presente regulamento.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w:t>
      </w:r>
      <w:r w:rsidRPr="002B5B1B">
        <w:rPr>
          <w:rStyle w:val="HideTWBExt"/>
          <w:noProof w:val="0"/>
        </w:rPr>
        <w:t>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127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35 – n.º 1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 xml:space="preserve">Um canal de comunicação seguro entre a infraestrutura central, </w:t>
            </w:r>
            <w:r w:rsidRPr="002B5B1B">
              <w:rPr>
                <w:b/>
                <w:i/>
              </w:rPr>
              <w:t>os</w:t>
            </w:r>
            <w:r w:rsidRPr="002B5B1B">
              <w:t xml:space="preserve"> Estados-Membros </w:t>
            </w:r>
            <w:r w:rsidRPr="002B5B1B">
              <w:rPr>
                <w:b/>
                <w:i/>
              </w:rPr>
              <w:t xml:space="preserve">e </w:t>
            </w:r>
            <w:r w:rsidRPr="002B5B1B">
              <w:rPr>
                <w:b/>
                <w:i/>
              </w:rPr>
              <w:t>as agências da União que têm o direito de</w:t>
            </w:r>
            <w:r w:rsidRPr="002B5B1B">
              <w:t xml:space="preserve"> utilizar o encaminhador;</w:t>
            </w:r>
          </w:p>
        </w:tc>
        <w:tc>
          <w:tcPr>
            <w:tcW w:w="4876" w:type="dxa"/>
          </w:tcPr>
          <w:p w:rsidR="003F5BF1" w:rsidRPr="002B5B1B" w:rsidRDefault="00D10947" w:rsidP="0074550F">
            <w:pPr>
              <w:pStyle w:val="Normal6"/>
              <w:rPr>
                <w:szCs w:val="24"/>
              </w:rPr>
            </w:pPr>
            <w:r w:rsidRPr="002B5B1B">
              <w:t>(b)</w:t>
            </w:r>
            <w:r w:rsidRPr="002B5B1B">
              <w:tab/>
              <w:t xml:space="preserve">Um canal de comunicação seguro entre a infraestrutura central, </w:t>
            </w:r>
            <w:r w:rsidRPr="002B5B1B">
              <w:rPr>
                <w:b/>
                <w:i/>
              </w:rPr>
              <w:t>as autoridades de aplicação da lei competentes dos</w:t>
            </w:r>
            <w:r w:rsidRPr="002B5B1B">
              <w:t xml:space="preserve"> Estados-Membros </w:t>
            </w:r>
            <w:r w:rsidRPr="002B5B1B">
              <w:rPr>
                <w:b/>
                <w:i/>
              </w:rPr>
              <w:t>autorizadas a</w:t>
            </w:r>
            <w:r w:rsidRPr="002B5B1B">
              <w:t xml:space="preserve"> utilizar o encaminhador </w:t>
            </w:r>
            <w:r w:rsidRPr="002B5B1B">
              <w:rPr>
                <w:b/>
                <w:i/>
              </w:rPr>
              <w:t>em conformidade c</w:t>
            </w:r>
            <w:r w:rsidRPr="002B5B1B">
              <w:rPr>
                <w:b/>
                <w:i/>
              </w:rPr>
              <w:t>om o artigo 36.º, e a Europol</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36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A utilização do encaminhador é reservada às autoridades dos Estados-Membros que </w:t>
            </w:r>
            <w:r w:rsidRPr="002B5B1B">
              <w:rPr>
                <w:b/>
                <w:i/>
              </w:rPr>
              <w:t>têm acesso ao intercâmbio de</w:t>
            </w:r>
            <w:r w:rsidRPr="002B5B1B">
              <w:t xml:space="preserve"> perfis de ADN, dados dactiloscópicos e imagens faciais e à Europol, nos termos </w:t>
            </w:r>
            <w:r w:rsidRPr="002B5B1B">
              <w:rPr>
                <w:b/>
                <w:i/>
              </w:rPr>
              <w:t>do presente regulamento e</w:t>
            </w:r>
            <w:r w:rsidRPr="002B5B1B">
              <w:t xml:space="preserve"> do Regulamento (UE) 2016/794.</w:t>
            </w:r>
          </w:p>
        </w:tc>
        <w:tc>
          <w:tcPr>
            <w:tcW w:w="4876" w:type="dxa"/>
          </w:tcPr>
          <w:p w:rsidR="003F5BF1" w:rsidRPr="002B5B1B" w:rsidRDefault="00D10947" w:rsidP="0074550F">
            <w:pPr>
              <w:pStyle w:val="Normal6"/>
              <w:rPr>
                <w:szCs w:val="24"/>
              </w:rPr>
            </w:pPr>
            <w:r w:rsidRPr="002B5B1B">
              <w:t xml:space="preserve">A utilização do encaminhador é reservada às autoridades </w:t>
            </w:r>
            <w:r w:rsidRPr="002B5B1B">
              <w:rPr>
                <w:b/>
                <w:i/>
              </w:rPr>
              <w:t>de aplicação da lei competentes</w:t>
            </w:r>
            <w:r w:rsidRPr="002B5B1B">
              <w:t xml:space="preserve"> dos Estados-Membros que </w:t>
            </w:r>
            <w:r w:rsidRPr="002B5B1B">
              <w:rPr>
                <w:b/>
                <w:i/>
              </w:rPr>
              <w:t>estão autorizadas a aceder e intercambiar</w:t>
            </w:r>
            <w:r w:rsidRPr="002B5B1B">
              <w:t xml:space="preserve"> perfis de ADN, dados dactiloscópicos e imagens faciais</w:t>
            </w:r>
            <w:r w:rsidRPr="002B5B1B">
              <w:rPr>
                <w:b/>
                <w:i/>
              </w:rPr>
              <w:t>, nos termos do presente regulamento,</w:t>
            </w:r>
            <w:r w:rsidRPr="002B5B1B">
              <w:t xml:space="preserve"> e à Europo</w:t>
            </w:r>
            <w:r w:rsidRPr="002B5B1B">
              <w:t>l, nos termos do Regulamento (UE) 2016/794.</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129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37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rPr>
                <w:b/>
                <w:i/>
              </w:rPr>
              <w:t xml:space="preserve">Os utilizadores </w:t>
            </w:r>
            <w:r w:rsidRPr="002B5B1B">
              <w:rPr>
                <w:b/>
                <w:i/>
              </w:rPr>
              <w:t>do</w:t>
            </w:r>
            <w:r w:rsidRPr="002B5B1B">
              <w:t xml:space="preserve"> encaminhador </w:t>
            </w:r>
            <w:r w:rsidRPr="002B5B1B">
              <w:rPr>
                <w:b/>
                <w:i/>
              </w:rPr>
              <w:t>a que se refere o</w:t>
            </w:r>
            <w:r w:rsidRPr="002B5B1B">
              <w:t xml:space="preserve"> artigo 36.º solicitam uma consulta mediante a apresentação de dados </w:t>
            </w:r>
            <w:r w:rsidRPr="002B5B1B">
              <w:lastRenderedPageBreak/>
              <w:t>biométricos ao encaminhador. O encaminhador envia o pedido de consulta às bases de dados dos Estados-Membros e aos dados da Europol em simultâneo com os d</w:t>
            </w:r>
            <w:r w:rsidRPr="002B5B1B">
              <w:t>ados apresentados pelo utilizador e em conformidade com os seus direitos de acesso.</w:t>
            </w:r>
          </w:p>
        </w:tc>
        <w:tc>
          <w:tcPr>
            <w:tcW w:w="4876" w:type="dxa"/>
          </w:tcPr>
          <w:p w:rsidR="003F5BF1" w:rsidRPr="002B5B1B" w:rsidRDefault="00D10947">
            <w:pPr>
              <w:pStyle w:val="Normal6"/>
              <w:rPr>
                <w:szCs w:val="24"/>
              </w:rPr>
            </w:pPr>
            <w:r w:rsidRPr="002B5B1B">
              <w:lastRenderedPageBreak/>
              <w:t>1.</w:t>
            </w:r>
            <w:r w:rsidRPr="002B5B1B">
              <w:tab/>
            </w:r>
            <w:r w:rsidRPr="002B5B1B">
              <w:rPr>
                <w:b/>
                <w:i/>
              </w:rPr>
              <w:t>As autoridades de aplicação da lei competentes autorizadas a aceder ao</w:t>
            </w:r>
            <w:r w:rsidRPr="002B5B1B">
              <w:t xml:space="preserve"> encaminhador </w:t>
            </w:r>
            <w:r w:rsidRPr="002B5B1B">
              <w:rPr>
                <w:b/>
                <w:i/>
              </w:rPr>
              <w:t>nos termos do</w:t>
            </w:r>
            <w:r w:rsidRPr="002B5B1B">
              <w:t xml:space="preserve"> artigo 36.º </w:t>
            </w:r>
            <w:r w:rsidRPr="002B5B1B">
              <w:lastRenderedPageBreak/>
              <w:t>solicitam uma consulta mediante a apresentação de dados bio</w:t>
            </w:r>
            <w:r w:rsidRPr="002B5B1B">
              <w:t xml:space="preserve">métricos ao encaminhador. O encaminhador envia o pedido de consulta às bases de dados dos Estados-Membros </w:t>
            </w:r>
            <w:r w:rsidRPr="002B5B1B">
              <w:rPr>
                <w:b/>
                <w:i/>
              </w:rPr>
              <w:t>requeridos</w:t>
            </w:r>
            <w:r w:rsidRPr="002B5B1B">
              <w:t xml:space="preserve"> e aos dados da Europol em simultâneo com os dados apresentados pelo utilizador e em conformidade com os seus direitos de acesso. </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w:t>
      </w:r>
      <w:r w:rsidRPr="002B5B1B">
        <w:rPr>
          <w:rStyle w:val="HideTWBExt"/>
          <w:noProof w:val="0"/>
        </w:rPr>
        <w:t>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37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Ao receberem </w:t>
            </w:r>
            <w:r w:rsidRPr="002B5B1B">
              <w:rPr>
                <w:b/>
                <w:i/>
              </w:rPr>
              <w:t>o</w:t>
            </w:r>
            <w:r w:rsidRPr="002B5B1B">
              <w:t xml:space="preserve"> pedido de consulta do encaminhador, cada Estado-Membro requerido e a Europol lançam uma consulta das suas bases de dados de forma automatizada e sem demora.</w:t>
            </w:r>
          </w:p>
        </w:tc>
        <w:tc>
          <w:tcPr>
            <w:tcW w:w="4876" w:type="dxa"/>
          </w:tcPr>
          <w:p w:rsidR="003F5BF1" w:rsidRPr="002B5B1B" w:rsidRDefault="00D10947" w:rsidP="0074550F">
            <w:pPr>
              <w:pStyle w:val="Normal6"/>
              <w:rPr>
                <w:szCs w:val="24"/>
              </w:rPr>
            </w:pPr>
            <w:r w:rsidRPr="002B5B1B">
              <w:t>2.</w:t>
            </w:r>
            <w:r w:rsidRPr="002B5B1B">
              <w:tab/>
              <w:t xml:space="preserve">Ao receberem </w:t>
            </w:r>
            <w:r w:rsidRPr="002B5B1B">
              <w:rPr>
                <w:b/>
                <w:i/>
              </w:rPr>
              <w:t>um</w:t>
            </w:r>
            <w:r w:rsidRPr="002B5B1B">
              <w:t xml:space="preserve"> pedido de consulta do encaminhador, cada Estado-Membro requerido e a Europol la</w:t>
            </w:r>
            <w:r w:rsidRPr="002B5B1B">
              <w:t>nçam uma consulta das suas bases de dados de forma automatizada e sem demora.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37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r>
            <w:r w:rsidRPr="002B5B1B">
              <w:rPr>
                <w:b/>
                <w:i/>
              </w:rPr>
              <w:t>As correspondências</w:t>
            </w:r>
            <w:r w:rsidRPr="002B5B1B">
              <w:t xml:space="preserve"> resultantes </w:t>
            </w:r>
            <w:r w:rsidRPr="002B5B1B">
              <w:rPr>
                <w:b/>
                <w:i/>
              </w:rPr>
              <w:t>da consulta das bases de dados de cada Estado-Membro e dos dados da Europol</w:t>
            </w:r>
            <w:r w:rsidRPr="002B5B1B">
              <w:t xml:space="preserve"> são </w:t>
            </w:r>
            <w:r w:rsidRPr="002B5B1B">
              <w:rPr>
                <w:b/>
                <w:i/>
              </w:rPr>
              <w:t>enviadas</w:t>
            </w:r>
            <w:r w:rsidRPr="002B5B1B">
              <w:t xml:space="preserve"> de forma automatizada ao encaminhador.</w:t>
            </w:r>
          </w:p>
        </w:tc>
        <w:tc>
          <w:tcPr>
            <w:tcW w:w="4876" w:type="dxa"/>
          </w:tcPr>
          <w:p w:rsidR="003F5BF1" w:rsidRPr="002B5B1B" w:rsidRDefault="00D10947" w:rsidP="0074550F">
            <w:pPr>
              <w:pStyle w:val="Normal6"/>
              <w:rPr>
                <w:szCs w:val="24"/>
              </w:rPr>
            </w:pPr>
            <w:r w:rsidRPr="002B5B1B">
              <w:t>3.</w:t>
            </w:r>
            <w:r w:rsidRPr="002B5B1B">
              <w:tab/>
            </w:r>
            <w:r w:rsidRPr="002B5B1B">
              <w:rPr>
                <w:b/>
                <w:i/>
              </w:rPr>
              <w:t>Os candidatos</w:t>
            </w:r>
            <w:r w:rsidRPr="002B5B1B">
              <w:t xml:space="preserve"> resultantes </w:t>
            </w:r>
            <w:r w:rsidRPr="002B5B1B">
              <w:rPr>
                <w:b/>
                <w:i/>
              </w:rPr>
              <w:t>das consultas a que se refere o n.º 3</w:t>
            </w:r>
            <w:r w:rsidRPr="002B5B1B">
              <w:t xml:space="preserve"> são </w:t>
            </w:r>
            <w:r w:rsidRPr="002B5B1B">
              <w:rPr>
                <w:b/>
                <w:i/>
              </w:rPr>
              <w:t>en</w:t>
            </w:r>
            <w:r w:rsidRPr="002B5B1B">
              <w:rPr>
                <w:b/>
                <w:i/>
              </w:rPr>
              <w:t>viados</w:t>
            </w:r>
            <w:r w:rsidRPr="002B5B1B">
              <w:t xml:space="preserve"> de forma automatizada ao encaminhador. </w:t>
            </w:r>
            <w:r w:rsidRPr="002B5B1B">
              <w:rPr>
                <w:b/>
                <w:i/>
              </w:rPr>
              <w:t>O Estado-Membro requerente é notificado de forma automatizada se não houver correspondência.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132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w:t>
      </w:r>
      <w:r w:rsidRPr="002B5B1B">
        <w:rPr>
          <w:rStyle w:val="HideTWBExt"/>
          <w:b w:val="0"/>
          <w:noProof w:val="0"/>
        </w:rPr>
        <w:t>Amend&gt;</w:t>
      </w:r>
    </w:p>
    <w:p w:rsidR="003F5BF1" w:rsidRPr="002B5B1B" w:rsidRDefault="00D10947" w:rsidP="003F5BF1">
      <w:pPr>
        <w:pStyle w:val="NormalBold"/>
      </w:pPr>
      <w:r w:rsidRPr="002B5B1B">
        <w:rPr>
          <w:rStyle w:val="HideTWBExt"/>
          <w:b w:val="0"/>
          <w:noProof w:val="0"/>
        </w:rPr>
        <w:t>&lt;Article&gt;</w:t>
      </w:r>
      <w:r w:rsidRPr="002B5B1B">
        <w:t>Artigo 37 – n.º 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4.</w:t>
            </w:r>
            <w:r w:rsidRPr="002B5B1B">
              <w:tab/>
              <w:t xml:space="preserve">O encaminhador classifica as respostas de acordo com a pontuação da correspondência entre os dados biométricos utilizados para a consulta e os dados biométricos </w:t>
            </w:r>
            <w:r w:rsidRPr="002B5B1B">
              <w:rPr>
                <w:b/>
                <w:i/>
              </w:rPr>
              <w:t>conservados nas</w:t>
            </w:r>
            <w:r w:rsidRPr="002B5B1B">
              <w:t xml:space="preserve"> bases de dados dos Estados-Membros e nos dados da Europol.</w:t>
            </w:r>
          </w:p>
        </w:tc>
        <w:tc>
          <w:tcPr>
            <w:tcW w:w="4876" w:type="dxa"/>
          </w:tcPr>
          <w:p w:rsidR="003F5BF1" w:rsidRPr="002B5B1B" w:rsidRDefault="00D10947" w:rsidP="00D27444">
            <w:pPr>
              <w:pStyle w:val="Normal6"/>
              <w:rPr>
                <w:szCs w:val="24"/>
              </w:rPr>
            </w:pPr>
            <w:r w:rsidRPr="002B5B1B">
              <w:t>4.</w:t>
            </w:r>
            <w:r w:rsidRPr="002B5B1B">
              <w:tab/>
              <w:t xml:space="preserve">O encaminhador classifica as respostas de acordo com a pontuação da correspondência entre os dados biométricos utilizados para a consulta e os dados biométricos </w:t>
            </w:r>
            <w:r w:rsidRPr="002B5B1B">
              <w:rPr>
                <w:b/>
                <w:i/>
              </w:rPr>
              <w:t>transmitidos pelas</w:t>
            </w:r>
            <w:r w:rsidRPr="002B5B1B">
              <w:t xml:space="preserve"> bases de dado</w:t>
            </w:r>
            <w:r w:rsidRPr="002B5B1B">
              <w:t xml:space="preserve">s dos Estados-Membros </w:t>
            </w:r>
            <w:r w:rsidRPr="002B5B1B">
              <w:rPr>
                <w:b/>
                <w:i/>
              </w:rPr>
              <w:t>requeridos</w:t>
            </w:r>
            <w:r w:rsidRPr="002B5B1B">
              <w:t xml:space="preserve"> e </w:t>
            </w:r>
            <w:r w:rsidRPr="002B5B1B">
              <w:rPr>
                <w:b/>
                <w:i/>
              </w:rPr>
              <w:t>pelos</w:t>
            </w:r>
            <w:r w:rsidRPr="002B5B1B">
              <w:t xml:space="preserve"> dados da Europol.</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37 – n.º 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5.</w:t>
            </w:r>
            <w:r w:rsidRPr="002B5B1B">
              <w:tab/>
            </w:r>
            <w:r w:rsidRPr="002B5B1B">
              <w:t xml:space="preserve">A lista dos dados biométricos correspondentes e as respetivas pontuações </w:t>
            </w:r>
            <w:r w:rsidRPr="002B5B1B">
              <w:rPr>
                <w:b/>
                <w:i/>
              </w:rPr>
              <w:t>é enviada</w:t>
            </w:r>
            <w:r w:rsidRPr="002B5B1B">
              <w:t xml:space="preserve"> ao </w:t>
            </w:r>
            <w:r w:rsidRPr="002B5B1B">
              <w:rPr>
                <w:b/>
                <w:i/>
              </w:rPr>
              <w:t>utilizador do encaminhador através do mesmo</w:t>
            </w:r>
            <w:r w:rsidRPr="002B5B1B">
              <w:t>.</w:t>
            </w:r>
          </w:p>
        </w:tc>
        <w:tc>
          <w:tcPr>
            <w:tcW w:w="4876" w:type="dxa"/>
          </w:tcPr>
          <w:p w:rsidR="003F5BF1" w:rsidRPr="002B5B1B" w:rsidRDefault="00D10947" w:rsidP="00D27444">
            <w:pPr>
              <w:pStyle w:val="Normal6"/>
              <w:rPr>
                <w:szCs w:val="24"/>
              </w:rPr>
            </w:pPr>
            <w:r w:rsidRPr="002B5B1B">
              <w:t>5.</w:t>
            </w:r>
            <w:r w:rsidRPr="002B5B1B">
              <w:tab/>
            </w:r>
            <w:r w:rsidRPr="002B5B1B">
              <w:rPr>
                <w:b/>
                <w:i/>
              </w:rPr>
              <w:t>O encaminhador envia</w:t>
            </w:r>
            <w:r w:rsidRPr="002B5B1B">
              <w:t xml:space="preserve"> a lista dos dados biométricos correspondentes e as respetivas pontuações ao </w:t>
            </w:r>
            <w:r w:rsidRPr="002B5B1B">
              <w:rPr>
                <w:b/>
                <w:i/>
              </w:rPr>
              <w:t>Estado-Membro requerente</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37 – n.º 6</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6.</w:t>
            </w:r>
            <w:r w:rsidRPr="002B5B1B">
              <w:tab/>
              <w:t xml:space="preserve">A Comissão adota </w:t>
            </w:r>
            <w:r w:rsidRPr="002B5B1B">
              <w:rPr>
                <w:b/>
                <w:i/>
              </w:rPr>
              <w:t>atos</w:t>
            </w:r>
            <w:r w:rsidRPr="002B5B1B">
              <w:t xml:space="preserve"> de execução a fim de definir o procedimento técnico para a consulta, pelo encaminhador, das bases de dados dos Estados-Membros e dos dados da Europol, o formato das respostas do encaminhador e as regras técnicas para a classificação da correspondência ent</w:t>
            </w:r>
            <w:r w:rsidRPr="002B5B1B">
              <w:t xml:space="preserve">re </w:t>
            </w:r>
            <w:r w:rsidRPr="002B5B1B">
              <w:lastRenderedPageBreak/>
              <w:t xml:space="preserve">dados biométricos. </w:t>
            </w:r>
            <w:r w:rsidRPr="002B5B1B">
              <w:rPr>
                <w:b/>
                <w:i/>
              </w:rPr>
              <w:t>Os referidos atos</w:t>
            </w:r>
            <w:r w:rsidRPr="002B5B1B">
              <w:t xml:space="preserve"> de execução </w:t>
            </w:r>
            <w:r w:rsidRPr="002B5B1B">
              <w:rPr>
                <w:b/>
                <w:i/>
              </w:rPr>
              <w:t>são adotados</w:t>
            </w:r>
            <w:r w:rsidRPr="002B5B1B">
              <w:t xml:space="preserve"> pelo procedimento a que se refere o artigo 76.º, n.º 2.</w:t>
            </w:r>
          </w:p>
        </w:tc>
        <w:tc>
          <w:tcPr>
            <w:tcW w:w="4876" w:type="dxa"/>
          </w:tcPr>
          <w:p w:rsidR="003F5BF1" w:rsidRPr="002B5B1B" w:rsidRDefault="00D10947">
            <w:pPr>
              <w:pStyle w:val="Normal6"/>
              <w:rPr>
                <w:szCs w:val="24"/>
              </w:rPr>
            </w:pPr>
            <w:r w:rsidRPr="002B5B1B">
              <w:lastRenderedPageBreak/>
              <w:t>6.</w:t>
            </w:r>
            <w:r w:rsidRPr="002B5B1B">
              <w:tab/>
              <w:t xml:space="preserve">A Comissão adota </w:t>
            </w:r>
            <w:r w:rsidRPr="002B5B1B">
              <w:rPr>
                <w:b/>
                <w:i/>
              </w:rPr>
              <w:t>um ato</w:t>
            </w:r>
            <w:r w:rsidRPr="002B5B1B">
              <w:t xml:space="preserve"> de execução a fim de definir o procedimento técnico para a consulta, pelo encaminhador, das bases de dados d</w:t>
            </w:r>
            <w:r w:rsidRPr="002B5B1B">
              <w:t xml:space="preserve">os Estados-Membros e dos dados da Europol, o formato das respostas do encaminhador e as regras técnicas para a classificação da </w:t>
            </w:r>
            <w:r w:rsidRPr="002B5B1B">
              <w:lastRenderedPageBreak/>
              <w:t xml:space="preserve">correspondência entre dados biométricos. </w:t>
            </w:r>
            <w:r w:rsidRPr="002B5B1B">
              <w:rPr>
                <w:b/>
                <w:i/>
              </w:rPr>
              <w:t>O referido ato</w:t>
            </w:r>
            <w:r w:rsidRPr="002B5B1B">
              <w:t xml:space="preserve"> de execução </w:t>
            </w:r>
            <w:r w:rsidRPr="002B5B1B">
              <w:rPr>
                <w:b/>
                <w:i/>
              </w:rPr>
              <w:t>é adotado</w:t>
            </w:r>
            <w:r w:rsidRPr="002B5B1B">
              <w:t xml:space="preserve"> pelo procedimento a que se refere o artigo 76.º, n</w:t>
            </w:r>
            <w:r w:rsidRPr="002B5B1B">
              <w:t>.º 2.</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38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 xml:space="preserve">Caso os dados não se adequem a uma comparação </w:t>
            </w:r>
            <w:r w:rsidRPr="002B5B1B">
              <w:rPr>
                <w:b/>
                <w:i/>
              </w:rPr>
              <w:t>automatizada,</w:t>
            </w:r>
            <w:r w:rsidRPr="002B5B1B">
              <w:t xml:space="preserve"> o Estado-Membro requerido informa imediatamente </w:t>
            </w:r>
            <w:r w:rsidRPr="002B5B1B">
              <w:rPr>
                <w:b/>
                <w:i/>
              </w:rPr>
              <w:t>do facto</w:t>
            </w:r>
            <w:r w:rsidRPr="002B5B1B">
              <w:t xml:space="preserve"> o Estado-Membro requerente, através do encaminhador.</w:t>
            </w:r>
          </w:p>
        </w:tc>
        <w:tc>
          <w:tcPr>
            <w:tcW w:w="4876" w:type="dxa"/>
          </w:tcPr>
          <w:p w:rsidR="003F5BF1" w:rsidRPr="002B5B1B" w:rsidRDefault="00D10947" w:rsidP="0074550F">
            <w:pPr>
              <w:pStyle w:val="Normal6"/>
              <w:rPr>
                <w:szCs w:val="24"/>
              </w:rPr>
            </w:pPr>
            <w:r w:rsidRPr="002B5B1B">
              <w:t>O Estado-Membro requerido informa imediatamente o Estado-Membro requerente, através do encaminhador</w:t>
            </w:r>
            <w:r w:rsidRPr="002B5B1B">
              <w:rPr>
                <w:b/>
                <w:i/>
              </w:rPr>
              <w:t xml:space="preserve">, caso os dados não se adequem a </w:t>
            </w:r>
            <w:r w:rsidRPr="002B5B1B">
              <w:rPr>
                <w:b/>
                <w:i/>
              </w:rPr>
              <w:t>uma comparação automatizada</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39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rPr>
                <w:b/>
                <w:i/>
              </w:rPr>
              <w:t>Os utilizadores do</w:t>
            </w:r>
            <w:r w:rsidRPr="002B5B1B">
              <w:t xml:space="preserve"> encaminhador </w:t>
            </w:r>
            <w:r w:rsidRPr="002B5B1B">
              <w:rPr>
                <w:b/>
                <w:i/>
              </w:rPr>
              <w:t>a que se refere o</w:t>
            </w:r>
            <w:r w:rsidRPr="002B5B1B">
              <w:t xml:space="preserve"> artigo 36.º podem lançar uma consulta às bases de dados dos Estados-Membros e aos dados da Europol em simultâneo com uma consulta ao repositório comum de dados de identificação, </w:t>
            </w:r>
            <w:r w:rsidRPr="002B5B1B">
              <w:rPr>
                <w:b/>
                <w:i/>
              </w:rPr>
              <w:t>se forem</w:t>
            </w:r>
            <w:r w:rsidRPr="002B5B1B">
              <w:t xml:space="preserve"> cumpridas as condições pertinentes ao abrigo do dir</w:t>
            </w:r>
            <w:r w:rsidRPr="002B5B1B">
              <w:t>eito da União e em conformidade com os seus direitos de acesso. Para o efeito, o encaminhador consulta o repositório comum de dados de identificação através do portal europeu de pesquisa.</w:t>
            </w:r>
          </w:p>
        </w:tc>
        <w:tc>
          <w:tcPr>
            <w:tcW w:w="4876" w:type="dxa"/>
          </w:tcPr>
          <w:p w:rsidR="003F5BF1" w:rsidRPr="002B5B1B" w:rsidRDefault="00D10947">
            <w:pPr>
              <w:pStyle w:val="Normal6"/>
              <w:rPr>
                <w:szCs w:val="24"/>
              </w:rPr>
            </w:pPr>
            <w:r w:rsidRPr="002B5B1B">
              <w:t>1.</w:t>
            </w:r>
            <w:r w:rsidRPr="002B5B1B">
              <w:tab/>
            </w:r>
            <w:r w:rsidRPr="002B5B1B">
              <w:rPr>
                <w:b/>
                <w:i/>
              </w:rPr>
              <w:t>Caso as autoridades designadas estejam autorizadas a utilizar o</w:t>
            </w:r>
            <w:r w:rsidRPr="002B5B1B">
              <w:t xml:space="preserve"> encaminhador </w:t>
            </w:r>
            <w:r w:rsidRPr="002B5B1B">
              <w:rPr>
                <w:b/>
                <w:i/>
              </w:rPr>
              <w:t>nos termos do</w:t>
            </w:r>
            <w:r w:rsidRPr="002B5B1B">
              <w:t xml:space="preserve"> artigo 36.º</w:t>
            </w:r>
            <w:r w:rsidRPr="002B5B1B">
              <w:rPr>
                <w:b/>
                <w:i/>
              </w:rPr>
              <w:t>,</w:t>
            </w:r>
            <w:r w:rsidRPr="002B5B1B">
              <w:t xml:space="preserve"> podem lançar uma consulta às bases de dados dos Estados-Membros e aos dados da Europol em simultâneo com uma consulta ao repositório comum de dados de identificação, </w:t>
            </w:r>
            <w:r w:rsidRPr="002B5B1B">
              <w:rPr>
                <w:b/>
                <w:i/>
              </w:rPr>
              <w:t>desde que sejam</w:t>
            </w:r>
            <w:r w:rsidRPr="002B5B1B">
              <w:t xml:space="preserve"> cumpridas as condições pertinente</w:t>
            </w:r>
            <w:r w:rsidRPr="002B5B1B">
              <w:t xml:space="preserve">s ao abrigo do direito da União e </w:t>
            </w:r>
            <w:r w:rsidRPr="002B5B1B">
              <w:rPr>
                <w:b/>
                <w:i/>
              </w:rPr>
              <w:t>que a consulta seja lançada</w:t>
            </w:r>
            <w:r w:rsidRPr="002B5B1B">
              <w:t xml:space="preserve"> em conformidade com os seus direitos de acesso. Para o efeito, o encaminhador consulta o repositório comum de dados de identificação através do portal europeu de pesquisa.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39 – n.º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 xml:space="preserve">Apenas as autoridades designadas na aceção do artigo 4.º, ponto 20, do </w:t>
            </w:r>
            <w:r w:rsidRPr="002B5B1B">
              <w:rPr>
                <w:b/>
                <w:i/>
              </w:rPr>
              <w:t>Regulamento (UE) 2019/817 e do artigo 4.º, ponto 20, do Regulamento (UE) 2019/818 podem lançar estas consultas simultâneas.</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138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w:t>
      </w:r>
      <w:r w:rsidRPr="002B5B1B">
        <w:rPr>
          <w:rStyle w:val="HideTWBExt"/>
          <w:b w:val="0"/>
          <w:noProof w:val="0"/>
        </w:rPr>
        <w:t>&gt;</w:t>
      </w:r>
    </w:p>
    <w:p w:rsidR="003F5BF1" w:rsidRPr="002B5B1B" w:rsidRDefault="00D10947" w:rsidP="003F5BF1">
      <w:pPr>
        <w:pStyle w:val="NormalBold"/>
      </w:pPr>
      <w:r w:rsidRPr="002B5B1B">
        <w:rPr>
          <w:rStyle w:val="HideTWBExt"/>
          <w:b w:val="0"/>
          <w:noProof w:val="0"/>
        </w:rPr>
        <w:t>&lt;Article&gt;</w:t>
      </w:r>
      <w:r w:rsidRPr="002B5B1B">
        <w:t>Artigo 39 – n.º 2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Só é possível lançar consultas simultâneas das bases de dados dos Estados-Membros, dos dados da Europol e do repositório comum de dados de identificação </w:t>
            </w:r>
            <w:r w:rsidRPr="002B5B1B">
              <w:rPr>
                <w:b/>
                <w:i/>
              </w:rPr>
              <w:t>caso seja provável</w:t>
            </w:r>
            <w:r w:rsidRPr="002B5B1B">
              <w:t xml:space="preserve"> que os dados sobre um suspeito, um autor ou uma vítima de </w:t>
            </w:r>
            <w:r w:rsidRPr="002B5B1B">
              <w:rPr>
                <w:b/>
                <w:i/>
              </w:rPr>
              <w:t>uma infração terrorista ou de outras infrações penais graves, na aceção, respetivamente, do artigo 4.º, pontos 21 e 22, do Regulamento (UE) 2019/817 e do artigo 4.º, pontos 21 e 22, do Regulamento </w:t>
            </w:r>
            <w:r w:rsidRPr="002B5B1B">
              <w:rPr>
                <w:b/>
                <w:i/>
              </w:rPr>
              <w:t>(UE) 2019/818 sejam</w:t>
            </w:r>
            <w:r w:rsidRPr="002B5B1B">
              <w:t xml:space="preserve"> conservados no repositório comum de dados de identificação.</w:t>
            </w:r>
          </w:p>
        </w:tc>
        <w:tc>
          <w:tcPr>
            <w:tcW w:w="4876" w:type="dxa"/>
          </w:tcPr>
          <w:p w:rsidR="003F5BF1" w:rsidRPr="002B5B1B" w:rsidRDefault="00D10947">
            <w:pPr>
              <w:pStyle w:val="Normal6"/>
              <w:rPr>
                <w:szCs w:val="24"/>
              </w:rPr>
            </w:pPr>
            <w:r w:rsidRPr="002B5B1B">
              <w:t xml:space="preserve">Só é possível lançar consultas simultâneas das bases de dados dos Estados-Membros, dos dados da Europol e do repositório comum de dados de identificação </w:t>
            </w:r>
            <w:r w:rsidRPr="002B5B1B">
              <w:rPr>
                <w:b/>
                <w:i/>
              </w:rPr>
              <w:t xml:space="preserve">quando existam motivos </w:t>
            </w:r>
            <w:r w:rsidRPr="002B5B1B">
              <w:rPr>
                <w:b/>
                <w:i/>
              </w:rPr>
              <w:t>razoáveis para pensar</w:t>
            </w:r>
            <w:r w:rsidRPr="002B5B1B">
              <w:t xml:space="preserve"> que os dados sobre um suspeito, um autor ou uma vítima de </w:t>
            </w:r>
            <w:r w:rsidRPr="002B5B1B">
              <w:rPr>
                <w:b/>
                <w:i/>
              </w:rPr>
              <w:t>criminalidade grave ou de terrorismo são</w:t>
            </w:r>
            <w:r w:rsidRPr="002B5B1B">
              <w:t xml:space="preserve"> conservados no repositório comum de dados de identificação.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139</w:t>
      </w:r>
      <w:r w:rsidRPr="002B5B1B">
        <w:rPr>
          <w:rStyle w:val="HideTWBExt"/>
          <w:b w:val="0"/>
          <w:noProof w:val="0"/>
        </w:rPr>
        <w:t>&lt;/Num</w:t>
      </w:r>
      <w:r w:rsidRPr="002B5B1B">
        <w:rPr>
          <w:rStyle w:val="HideTWBExt"/>
          <w:b w:val="0"/>
          <w:noProof w:val="0"/>
        </w:rPr>
        <w:t>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40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Cada Estado-Membro mantém registos das consultas efetuadas </w:t>
            </w:r>
            <w:r w:rsidRPr="002B5B1B">
              <w:rPr>
                <w:b/>
                <w:i/>
              </w:rPr>
              <w:t>pelas suas autoridades competentes e</w:t>
            </w:r>
            <w:r w:rsidRPr="002B5B1B">
              <w:t xml:space="preserve"> pelo pessoal devidamente autorizado </w:t>
            </w:r>
            <w:r w:rsidRPr="002B5B1B">
              <w:rPr>
                <w:b/>
                <w:i/>
              </w:rPr>
              <w:t>dessas autoridades</w:t>
            </w:r>
            <w:r w:rsidRPr="002B5B1B">
              <w:t xml:space="preserve"> a utilizar o encaminhador, bem como registos das consultas requeridas por outros Estados-Membros.</w:t>
            </w:r>
          </w:p>
        </w:tc>
        <w:tc>
          <w:tcPr>
            <w:tcW w:w="4876" w:type="dxa"/>
          </w:tcPr>
          <w:p w:rsidR="003F5BF1" w:rsidRPr="002B5B1B" w:rsidRDefault="00D10947" w:rsidP="009242EE">
            <w:pPr>
              <w:pStyle w:val="Normal6"/>
              <w:rPr>
                <w:szCs w:val="24"/>
              </w:rPr>
            </w:pPr>
            <w:r w:rsidRPr="002B5B1B">
              <w:t>2.</w:t>
            </w:r>
            <w:r w:rsidRPr="002B5B1B">
              <w:tab/>
              <w:t xml:space="preserve">Cada Estado-Membro mantém registos das consultas efetuadas pelo pessoal </w:t>
            </w:r>
            <w:r w:rsidRPr="002B5B1B">
              <w:rPr>
                <w:b/>
                <w:i/>
              </w:rPr>
              <w:t xml:space="preserve">das suas autoridades de </w:t>
            </w:r>
            <w:r w:rsidRPr="002B5B1B">
              <w:rPr>
                <w:b/>
                <w:i/>
              </w:rPr>
              <w:t>aplicação da lei competentes</w:t>
            </w:r>
            <w:r w:rsidRPr="002B5B1B">
              <w:t xml:space="preserve"> devidamente autorizado a utilizar o encaminhador, bem como registos das consultas requeridas por outros Estados-Membros.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w:t>
      </w:r>
      <w:r w:rsidRPr="002B5B1B">
        <w:t>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40 – n.º 3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Esses registos estão protegidos por medidas adequadas contra o acesso não autorizado e são apagados </w:t>
            </w:r>
            <w:r w:rsidRPr="002B5B1B">
              <w:rPr>
                <w:b/>
                <w:i/>
              </w:rPr>
              <w:t>um ano</w:t>
            </w:r>
            <w:r w:rsidRPr="002B5B1B">
              <w:t xml:space="preserve"> após a sua criação. Se, no entanto, forem </w:t>
            </w:r>
            <w:r w:rsidRPr="002B5B1B">
              <w:t>necessários para procedimentos de controlo que já tenham tido início, esses registos são apagados logo que deixarem de ser necessários para o efeito.</w:t>
            </w:r>
          </w:p>
        </w:tc>
        <w:tc>
          <w:tcPr>
            <w:tcW w:w="4876" w:type="dxa"/>
          </w:tcPr>
          <w:p w:rsidR="003F5BF1" w:rsidRPr="002B5B1B" w:rsidRDefault="00D10947" w:rsidP="00D27444">
            <w:pPr>
              <w:pStyle w:val="Normal6"/>
              <w:rPr>
                <w:szCs w:val="24"/>
              </w:rPr>
            </w:pPr>
            <w:r w:rsidRPr="002B5B1B">
              <w:t xml:space="preserve">Esses registos estão protegidos por medidas adequadas contra o acesso não autorizado e são apagados </w:t>
            </w:r>
            <w:r w:rsidRPr="002B5B1B">
              <w:rPr>
                <w:b/>
                <w:i/>
              </w:rPr>
              <w:t>dois a</w:t>
            </w:r>
            <w:r w:rsidRPr="002B5B1B">
              <w:rPr>
                <w:b/>
                <w:i/>
              </w:rPr>
              <w:t>nos</w:t>
            </w:r>
            <w:r w:rsidRPr="002B5B1B">
              <w:t xml:space="preserve"> após a sua criação. Se, no entanto, forem necessários para procedimentos de controlo que já tenham tido início, esses registos são apagados logo que deixarem de ser necessários para o efeito.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41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Caso seja tecnicamente impossível utilizar o encaminhador para consultar uma ou várias bases de dados nacionais ou </w:t>
            </w:r>
            <w:r w:rsidRPr="002B5B1B">
              <w:lastRenderedPageBreak/>
              <w:t xml:space="preserve">dados da Europol devido a uma falha do encaminhador, </w:t>
            </w:r>
            <w:r w:rsidRPr="002B5B1B">
              <w:rPr>
                <w:b/>
                <w:i/>
              </w:rPr>
              <w:t>os utilizadores do encaminhador</w:t>
            </w:r>
            <w:r w:rsidRPr="002B5B1B">
              <w:t xml:space="preserve"> são notificados de forma automatizada pela eu-LISA. A eu</w:t>
            </w:r>
            <w:r w:rsidRPr="002B5B1B">
              <w:t>-LISA toma imediatamente medidas para resolver a impossibilidade técnica de utilizar o encaminhador.</w:t>
            </w:r>
          </w:p>
        </w:tc>
        <w:tc>
          <w:tcPr>
            <w:tcW w:w="4876" w:type="dxa"/>
          </w:tcPr>
          <w:p w:rsidR="003F5BF1" w:rsidRPr="002B5B1B" w:rsidRDefault="00D10947">
            <w:pPr>
              <w:pStyle w:val="Normal6"/>
              <w:rPr>
                <w:szCs w:val="24"/>
              </w:rPr>
            </w:pPr>
            <w:r w:rsidRPr="002B5B1B">
              <w:lastRenderedPageBreak/>
              <w:t>1.</w:t>
            </w:r>
            <w:r w:rsidRPr="002B5B1B">
              <w:tab/>
              <w:t xml:space="preserve">Caso seja tecnicamente impossível utilizar o encaminhador para consultar uma ou várias bases de dados nacionais ou </w:t>
            </w:r>
            <w:r w:rsidRPr="002B5B1B">
              <w:lastRenderedPageBreak/>
              <w:t>dados da Europol devido a uma falha d</w:t>
            </w:r>
            <w:r w:rsidRPr="002B5B1B">
              <w:t xml:space="preserve">o encaminhador, </w:t>
            </w:r>
            <w:r w:rsidRPr="002B5B1B">
              <w:rPr>
                <w:b/>
                <w:i/>
              </w:rPr>
              <w:t>as autoridades de aplicação da lei competentes a que se refere o artigo 36.º e a Europol</w:t>
            </w:r>
            <w:r w:rsidRPr="002B5B1B">
              <w:t xml:space="preserve"> são notificados de forma automatizada pela eu-LISA. A eu-LISA toma imediatamente medidas para resolver a impossibilidade técnica de utilizar o encaminh</w:t>
            </w:r>
            <w:r w:rsidRPr="002B5B1B">
              <w:t>ador.</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41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Em caso de impossibilidade técnica de utilizar o </w:t>
            </w:r>
            <w:r w:rsidRPr="002B5B1B">
              <w:t>encaminhador para consultar uma ou várias bases de dados nacionais</w:t>
            </w:r>
            <w:r w:rsidRPr="002B5B1B">
              <w:rPr>
                <w:b/>
                <w:i/>
              </w:rPr>
              <w:t xml:space="preserve"> ou dados da Europol</w:t>
            </w:r>
            <w:r w:rsidRPr="002B5B1B">
              <w:t xml:space="preserve"> devido a uma falha da infraestrutura nacional de um Estado-Membro, esse Estado-Membro notifica os restantes Estados-Membros, a eu-LISA e a Comissão de forma automatizada</w:t>
            </w:r>
            <w:r w:rsidRPr="002B5B1B">
              <w:t xml:space="preserve">. </w:t>
            </w:r>
            <w:r w:rsidRPr="002B5B1B">
              <w:rPr>
                <w:b/>
                <w:i/>
              </w:rPr>
              <w:t>Os Estados-Membros tomam</w:t>
            </w:r>
            <w:r w:rsidRPr="002B5B1B">
              <w:t xml:space="preserve"> imediatamente medidas para resolver a impossibilidade técnica de utilizar o encaminhador.</w:t>
            </w:r>
          </w:p>
        </w:tc>
        <w:tc>
          <w:tcPr>
            <w:tcW w:w="4876" w:type="dxa"/>
          </w:tcPr>
          <w:p w:rsidR="003F5BF1" w:rsidRPr="002B5B1B" w:rsidRDefault="00D10947" w:rsidP="00D27444">
            <w:pPr>
              <w:pStyle w:val="Normal6"/>
              <w:rPr>
                <w:szCs w:val="24"/>
              </w:rPr>
            </w:pPr>
            <w:r w:rsidRPr="002B5B1B">
              <w:t>2.</w:t>
            </w:r>
            <w:r w:rsidRPr="002B5B1B">
              <w:tab/>
              <w:t>Em caso de impossibilidade técnica de utilizar o encaminhador para consultar uma ou várias bases de dados nacionais devido a uma falha d</w:t>
            </w:r>
            <w:r w:rsidRPr="002B5B1B">
              <w:t xml:space="preserve">a infraestrutura nacional de um Estado-Membro, esse Estado-Membro notifica os restantes Estados-Membros, </w:t>
            </w:r>
            <w:r w:rsidRPr="002B5B1B">
              <w:rPr>
                <w:b/>
                <w:i/>
              </w:rPr>
              <w:t>a Europol,</w:t>
            </w:r>
            <w:r w:rsidRPr="002B5B1B">
              <w:t xml:space="preserve"> a eu-LISA e a Comissão de forma automatizada. </w:t>
            </w:r>
            <w:r w:rsidRPr="002B5B1B">
              <w:rPr>
                <w:b/>
                <w:i/>
              </w:rPr>
              <w:t>O Estado-Membro em causa toma</w:t>
            </w:r>
            <w:r w:rsidRPr="002B5B1B">
              <w:t xml:space="preserve"> sem demora medidas </w:t>
            </w:r>
            <w:r w:rsidRPr="002B5B1B">
              <w:rPr>
                <w:b/>
                <w:i/>
              </w:rPr>
              <w:t>adequadas</w:t>
            </w:r>
            <w:r w:rsidRPr="002B5B1B">
              <w:t xml:space="preserve"> para resolver a impossibilidade téc</w:t>
            </w:r>
            <w:r w:rsidRPr="002B5B1B">
              <w:t>nica de utilizar o encaminhador.</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41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r>
            <w:r w:rsidRPr="002B5B1B">
              <w:t xml:space="preserve">Em caso de impossibilidade técnica de utilizar o encaminhador para consultar </w:t>
            </w:r>
            <w:r w:rsidRPr="002B5B1B">
              <w:rPr>
                <w:b/>
                <w:i/>
              </w:rPr>
              <w:t>uma ou várias bases de dados nacionais ou</w:t>
            </w:r>
            <w:r w:rsidRPr="002B5B1B">
              <w:t xml:space="preserve"> dados da Europol devido a uma falha da infraestrutura da Europol, a Europol </w:t>
            </w:r>
            <w:r w:rsidRPr="002B5B1B">
              <w:lastRenderedPageBreak/>
              <w:t xml:space="preserve">notifica os Estados-Membros, a eu-LISA e a Comissão de forma </w:t>
            </w:r>
            <w:r w:rsidRPr="002B5B1B">
              <w:t>automatizada. A Europol toma imediatamente medidas para resolver a impossibilidade técnica de utilizar o encaminhador.</w:t>
            </w:r>
          </w:p>
        </w:tc>
        <w:tc>
          <w:tcPr>
            <w:tcW w:w="4876" w:type="dxa"/>
          </w:tcPr>
          <w:p w:rsidR="003F5BF1" w:rsidRPr="002B5B1B" w:rsidRDefault="00D10947" w:rsidP="00D27444">
            <w:pPr>
              <w:pStyle w:val="Normal6"/>
              <w:rPr>
                <w:szCs w:val="24"/>
              </w:rPr>
            </w:pPr>
            <w:r w:rsidRPr="002B5B1B">
              <w:lastRenderedPageBreak/>
              <w:t>3.</w:t>
            </w:r>
            <w:r w:rsidRPr="002B5B1B">
              <w:tab/>
              <w:t xml:space="preserve">Em caso de impossibilidade técnica de utilizar o encaminhador para consultar </w:t>
            </w:r>
            <w:r w:rsidRPr="002B5B1B">
              <w:rPr>
                <w:b/>
                <w:i/>
              </w:rPr>
              <w:t>os</w:t>
            </w:r>
            <w:r w:rsidRPr="002B5B1B">
              <w:t xml:space="preserve"> dados da Europol devido a uma falha da infraestrutura </w:t>
            </w:r>
            <w:r w:rsidRPr="002B5B1B">
              <w:t xml:space="preserve">da Europol, a Europol notifica os Estados-Membros, a eu-LISA e </w:t>
            </w:r>
            <w:r w:rsidRPr="002B5B1B">
              <w:lastRenderedPageBreak/>
              <w:t xml:space="preserve">a Comissão de forma automatizada. A Europol toma imediatamente medidas </w:t>
            </w:r>
            <w:r w:rsidRPr="002B5B1B">
              <w:rPr>
                <w:b/>
                <w:i/>
              </w:rPr>
              <w:t>adequadas</w:t>
            </w:r>
            <w:r w:rsidRPr="002B5B1B">
              <w:t xml:space="preserve"> para resolver a impossibilidade técnica de utilizar o encaminhador. </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42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Para a consulta automatizada dos ficheiros policiais a que se refere o artigo 26.º, os Estados-Membros </w:t>
            </w:r>
            <w:r w:rsidRPr="002B5B1B">
              <w:t>e a Europol utilizam o sistema europeu de indexação de ficheiros policiais (EPRIS).</w:t>
            </w:r>
          </w:p>
        </w:tc>
        <w:tc>
          <w:tcPr>
            <w:tcW w:w="4876" w:type="dxa"/>
          </w:tcPr>
          <w:p w:rsidR="003F5BF1" w:rsidRPr="002B5B1B" w:rsidRDefault="00D10947" w:rsidP="007F433A">
            <w:pPr>
              <w:pStyle w:val="Normal6"/>
              <w:rPr>
                <w:szCs w:val="24"/>
              </w:rPr>
            </w:pPr>
            <w:r w:rsidRPr="002B5B1B">
              <w:t>1.</w:t>
            </w:r>
            <w:r w:rsidRPr="002B5B1B">
              <w:tab/>
              <w:t xml:space="preserve">Para a consulta automatizada dos </w:t>
            </w:r>
            <w:r w:rsidRPr="002B5B1B">
              <w:rPr>
                <w:b/>
                <w:i/>
              </w:rPr>
              <w:t>índices nacionais de</w:t>
            </w:r>
            <w:r w:rsidRPr="002B5B1B">
              <w:t xml:space="preserve"> ficheiros policiais a que se refere o artigo 26.º, os Estados-Membros e a Europol utilizam o sistema europeu de ind</w:t>
            </w:r>
            <w:r w:rsidRPr="002B5B1B">
              <w:t>exação de ficheiros policiais (EPRIS).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43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Para efeitos de consulta dos ficheiros policiais através do EPRIS, são utilizados </w:t>
            </w:r>
            <w:r w:rsidRPr="002B5B1B">
              <w:rPr>
                <w:b/>
                <w:i/>
              </w:rPr>
              <w:t>os</w:t>
            </w:r>
            <w:r w:rsidRPr="002B5B1B">
              <w:t xml:space="preserve"> seguintes conjuntos de dados:</w:t>
            </w:r>
          </w:p>
        </w:tc>
        <w:tc>
          <w:tcPr>
            <w:tcW w:w="4876" w:type="dxa"/>
          </w:tcPr>
          <w:p w:rsidR="003F5BF1" w:rsidRPr="002B5B1B" w:rsidRDefault="00D10947" w:rsidP="007F433A">
            <w:pPr>
              <w:pStyle w:val="Normal6"/>
              <w:rPr>
                <w:szCs w:val="24"/>
              </w:rPr>
            </w:pPr>
            <w:r w:rsidRPr="002B5B1B">
              <w:t>1.</w:t>
            </w:r>
            <w:r w:rsidRPr="002B5B1B">
              <w:tab/>
              <w:t xml:space="preserve">Para efeitos de consulta dos </w:t>
            </w:r>
            <w:r w:rsidRPr="002B5B1B">
              <w:rPr>
                <w:b/>
                <w:i/>
              </w:rPr>
              <w:t>índices nacionais de</w:t>
            </w:r>
            <w:r w:rsidRPr="002B5B1B">
              <w:t xml:space="preserve"> ficheiros policiais através do EPRIS, são utilizados </w:t>
            </w:r>
            <w:r w:rsidRPr="002B5B1B">
              <w:rPr>
                <w:b/>
                <w:i/>
              </w:rPr>
              <w:t>pelo menos dois dos</w:t>
            </w:r>
            <w:r w:rsidRPr="002B5B1B">
              <w:t xml:space="preserve"> seguintes conjuntos de dados: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43 – n.º 2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t>Pseudónimo(s);</w:t>
            </w:r>
          </w:p>
        </w:tc>
        <w:tc>
          <w:tcPr>
            <w:tcW w:w="4876" w:type="dxa"/>
          </w:tcPr>
          <w:p w:rsidR="003F5BF1" w:rsidRPr="002B5B1B" w:rsidRDefault="00D10947">
            <w:pPr>
              <w:pStyle w:val="Normal6"/>
              <w:rPr>
                <w:szCs w:val="24"/>
              </w:rPr>
            </w:pPr>
            <w:r w:rsidRPr="002B5B1B">
              <w:t>(a)</w:t>
            </w:r>
            <w:r w:rsidRPr="002B5B1B">
              <w:tab/>
              <w:t xml:space="preserve">Pseudónimo(s) </w:t>
            </w:r>
            <w:r w:rsidRPr="002B5B1B">
              <w:rPr>
                <w:b/>
                <w:i/>
              </w:rPr>
              <w:t>e nome(s) utilizado(s) anteriormente</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44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EPRIS envia o pedido de consulta </w:t>
            </w:r>
            <w:r w:rsidRPr="002B5B1B">
              <w:rPr>
                <w:b/>
                <w:i/>
              </w:rPr>
              <w:t>às bases de dados</w:t>
            </w:r>
            <w:r w:rsidRPr="002B5B1B">
              <w:t xml:space="preserve"> dos Estados-Membros com os dados apresentados pelo Estado-Membro requerente e nos termos do presente regulamento.</w:t>
            </w:r>
          </w:p>
        </w:tc>
        <w:tc>
          <w:tcPr>
            <w:tcW w:w="4876" w:type="dxa"/>
          </w:tcPr>
          <w:p w:rsidR="003F5BF1" w:rsidRPr="002B5B1B" w:rsidRDefault="00D10947" w:rsidP="00D27444">
            <w:pPr>
              <w:pStyle w:val="Normal6"/>
              <w:rPr>
                <w:szCs w:val="24"/>
              </w:rPr>
            </w:pPr>
            <w:r w:rsidRPr="002B5B1B">
              <w:t xml:space="preserve">O EPRIS envia o pedido de consulta </w:t>
            </w:r>
            <w:r w:rsidRPr="002B5B1B">
              <w:rPr>
                <w:b/>
                <w:i/>
              </w:rPr>
              <w:t xml:space="preserve">aos índices nacionais de ficheiros </w:t>
            </w:r>
            <w:r w:rsidRPr="002B5B1B">
              <w:rPr>
                <w:b/>
                <w:i/>
              </w:rPr>
              <w:t>policiais</w:t>
            </w:r>
            <w:r w:rsidRPr="002B5B1B">
              <w:t xml:space="preserve"> dos Estados-Membros com os dados apresentados pelo Estado-Membro requerente </w:t>
            </w:r>
            <w:r w:rsidRPr="002B5B1B">
              <w:rPr>
                <w:b/>
                <w:i/>
              </w:rPr>
              <w:t>ou pela Europol</w:t>
            </w:r>
            <w:r w:rsidRPr="002B5B1B">
              <w:t xml:space="preserve"> e nos termos do presente regulamento.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w:t>
      </w:r>
      <w:r w:rsidRPr="002B5B1B">
        <w:rPr>
          <w:rStyle w:val="HideTWBExt"/>
          <w:b w:val="0"/>
          <w:noProof w:val="0"/>
        </w:rPr>
        <w:t>ocAmend&gt;</w:t>
      </w:r>
    </w:p>
    <w:p w:rsidR="003F5BF1" w:rsidRPr="002B5B1B" w:rsidRDefault="00D10947" w:rsidP="003F5BF1">
      <w:pPr>
        <w:pStyle w:val="NormalBold"/>
      </w:pPr>
      <w:r w:rsidRPr="002B5B1B">
        <w:rPr>
          <w:rStyle w:val="HideTWBExt"/>
          <w:b w:val="0"/>
          <w:noProof w:val="0"/>
        </w:rPr>
        <w:t>&lt;Article&gt;</w:t>
      </w:r>
      <w:r w:rsidRPr="002B5B1B">
        <w:t>Artigo 44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As correspondências resultantes da consulta </w:t>
            </w:r>
            <w:r w:rsidRPr="002B5B1B">
              <w:rPr>
                <w:b/>
                <w:i/>
              </w:rPr>
              <w:t>da base de dados</w:t>
            </w:r>
            <w:r w:rsidRPr="002B5B1B">
              <w:t xml:space="preserve"> de cada Estado-Membro são enviadas de forma automatizada ao EPRIS.</w:t>
            </w:r>
          </w:p>
        </w:tc>
        <w:tc>
          <w:tcPr>
            <w:tcW w:w="4876" w:type="dxa"/>
          </w:tcPr>
          <w:p w:rsidR="003F5BF1" w:rsidRPr="002B5B1B" w:rsidRDefault="00D10947" w:rsidP="0074550F">
            <w:pPr>
              <w:pStyle w:val="Normal6"/>
              <w:rPr>
                <w:szCs w:val="24"/>
              </w:rPr>
            </w:pPr>
            <w:r w:rsidRPr="002B5B1B">
              <w:t>3.</w:t>
            </w:r>
            <w:r w:rsidRPr="002B5B1B">
              <w:tab/>
              <w:t xml:space="preserve">As correspondências resultantes da consulta </w:t>
            </w:r>
            <w:r w:rsidRPr="002B5B1B">
              <w:rPr>
                <w:b/>
                <w:i/>
              </w:rPr>
              <w:t>do índice nacional de ficheiros policiais</w:t>
            </w:r>
            <w:r w:rsidRPr="002B5B1B">
              <w:t xml:space="preserve"> de cada Estado-Membro </w:t>
            </w:r>
            <w:r w:rsidRPr="002B5B1B">
              <w:rPr>
                <w:b/>
                <w:i/>
              </w:rPr>
              <w:t>requerido</w:t>
            </w:r>
            <w:r w:rsidRPr="002B5B1B">
              <w:t xml:space="preserve"> são enviadas de forma automatizada ao EPRIS.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149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44 – n.º 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4.</w:t>
            </w:r>
            <w:r w:rsidRPr="002B5B1B">
              <w:tab/>
              <w:t xml:space="preserve">A lista de correspondências é enviada ao Estado-Membro requerente pelo EPRIS. A lista de correspondências indica a qualidade </w:t>
            </w:r>
            <w:r w:rsidRPr="002B5B1B">
              <w:rPr>
                <w:b/>
                <w:i/>
              </w:rPr>
              <w:t>da correspondência</w:t>
            </w:r>
            <w:r w:rsidRPr="002B5B1B">
              <w:t xml:space="preserve">, bem como o Estado-Membro </w:t>
            </w:r>
            <w:r w:rsidRPr="002B5B1B">
              <w:rPr>
                <w:b/>
                <w:i/>
              </w:rPr>
              <w:t xml:space="preserve">cuja base de dados </w:t>
            </w:r>
            <w:r w:rsidRPr="002B5B1B">
              <w:rPr>
                <w:b/>
                <w:i/>
              </w:rPr>
              <w:t>contém</w:t>
            </w:r>
            <w:r w:rsidRPr="002B5B1B">
              <w:t xml:space="preserve"> os dados que resultaram </w:t>
            </w:r>
            <w:r w:rsidRPr="002B5B1B">
              <w:rPr>
                <w:b/>
                <w:i/>
              </w:rPr>
              <w:t>na correspondência</w:t>
            </w:r>
            <w:r w:rsidRPr="002B5B1B">
              <w:t>.</w:t>
            </w:r>
          </w:p>
        </w:tc>
        <w:tc>
          <w:tcPr>
            <w:tcW w:w="4876" w:type="dxa"/>
          </w:tcPr>
          <w:p w:rsidR="003F5BF1" w:rsidRPr="002B5B1B" w:rsidRDefault="00D10947" w:rsidP="0074550F">
            <w:pPr>
              <w:pStyle w:val="Normal6"/>
              <w:rPr>
                <w:szCs w:val="24"/>
              </w:rPr>
            </w:pPr>
            <w:r w:rsidRPr="002B5B1B">
              <w:t>4.</w:t>
            </w:r>
            <w:r w:rsidRPr="002B5B1B">
              <w:tab/>
              <w:t xml:space="preserve">A lista de correspondências é enviada ao Estado-Membro requerente </w:t>
            </w:r>
            <w:r w:rsidRPr="002B5B1B">
              <w:rPr>
                <w:b/>
                <w:i/>
              </w:rPr>
              <w:t>e à Europol</w:t>
            </w:r>
            <w:r w:rsidRPr="002B5B1B">
              <w:t xml:space="preserve"> pelo EPRIS. A lista de correspondências indica a qualidade </w:t>
            </w:r>
            <w:r w:rsidRPr="002B5B1B">
              <w:rPr>
                <w:b/>
                <w:i/>
              </w:rPr>
              <w:t>das correspondências</w:t>
            </w:r>
            <w:r w:rsidRPr="002B5B1B">
              <w:t xml:space="preserve">, bem como o Estado-Membro </w:t>
            </w:r>
            <w:r w:rsidRPr="002B5B1B">
              <w:rPr>
                <w:b/>
                <w:i/>
              </w:rPr>
              <w:t>cujas bases de dad</w:t>
            </w:r>
            <w:r w:rsidRPr="002B5B1B">
              <w:rPr>
                <w:b/>
                <w:i/>
              </w:rPr>
              <w:t>os contêm</w:t>
            </w:r>
            <w:r w:rsidRPr="002B5B1B">
              <w:t xml:space="preserve"> os dados que resultaram </w:t>
            </w:r>
            <w:r w:rsidRPr="002B5B1B">
              <w:rPr>
                <w:b/>
                <w:i/>
              </w:rPr>
              <w:t>nas correspondências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44 – n.º 6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Após confirmação, </w:t>
            </w:r>
            <w:r w:rsidRPr="002B5B1B">
              <w:rPr>
                <w:b/>
                <w:i/>
              </w:rPr>
              <w:t>os Estados-Membros requeridos partilham</w:t>
            </w:r>
            <w:r w:rsidRPr="002B5B1B">
              <w:t xml:space="preserve"> os dados referidos no artigo 43.º, se disponíveis. Este intercâmbio de </w:t>
            </w:r>
            <w:r w:rsidRPr="002B5B1B">
              <w:rPr>
                <w:b/>
                <w:i/>
              </w:rPr>
              <w:t>informações</w:t>
            </w:r>
            <w:r w:rsidRPr="002B5B1B">
              <w:t xml:space="preserve"> tem lugar através da SIENA.</w:t>
            </w:r>
          </w:p>
        </w:tc>
        <w:tc>
          <w:tcPr>
            <w:tcW w:w="4876" w:type="dxa"/>
          </w:tcPr>
          <w:p w:rsidR="003F5BF1" w:rsidRPr="002B5B1B" w:rsidRDefault="00D10947" w:rsidP="0074550F">
            <w:pPr>
              <w:pStyle w:val="Normal6"/>
              <w:rPr>
                <w:szCs w:val="24"/>
              </w:rPr>
            </w:pPr>
            <w:r w:rsidRPr="002B5B1B">
              <w:t xml:space="preserve">Após confirmação, </w:t>
            </w:r>
            <w:r w:rsidRPr="002B5B1B">
              <w:rPr>
                <w:b/>
                <w:i/>
              </w:rPr>
              <w:t>o(s) Estado(s)-Membro(s) requerido(s) partilha(m)</w:t>
            </w:r>
            <w:r w:rsidRPr="002B5B1B">
              <w:t xml:space="preserve"> os dados referidos no artigo 43.º, se disponíveis. Este intercâmbio de </w:t>
            </w:r>
            <w:r w:rsidRPr="002B5B1B">
              <w:rPr>
                <w:b/>
                <w:i/>
              </w:rPr>
              <w:t>dados</w:t>
            </w:r>
            <w:r w:rsidRPr="002B5B1B">
              <w:t xml:space="preserve"> tem lugar através da SIENA.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44 – n.º 7</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7.</w:t>
            </w:r>
            <w:r w:rsidRPr="002B5B1B">
              <w:tab/>
              <w:t xml:space="preserve">A Comissão adota </w:t>
            </w:r>
            <w:r w:rsidRPr="002B5B1B">
              <w:rPr>
                <w:b/>
                <w:i/>
              </w:rPr>
              <w:t>atos</w:t>
            </w:r>
            <w:r w:rsidRPr="002B5B1B">
              <w:t xml:space="preserve"> de execução a fim de definir o procedimento técnico para que o EPRIS consulte as bases de dados dos Estados-Membros e o formato das respostas. </w:t>
            </w:r>
            <w:r w:rsidRPr="002B5B1B">
              <w:rPr>
                <w:b/>
                <w:i/>
              </w:rPr>
              <w:t>Os referidos atos</w:t>
            </w:r>
            <w:r w:rsidRPr="002B5B1B">
              <w:t xml:space="preserve"> de execução </w:t>
            </w:r>
            <w:r w:rsidRPr="002B5B1B">
              <w:rPr>
                <w:b/>
                <w:i/>
              </w:rPr>
              <w:t>são adotados</w:t>
            </w:r>
            <w:r w:rsidRPr="002B5B1B">
              <w:t xml:space="preserve"> pel</w:t>
            </w:r>
            <w:r w:rsidRPr="002B5B1B">
              <w:t>o procedimento a que se refere o artigo 76.º, n.º 2.</w:t>
            </w:r>
          </w:p>
        </w:tc>
        <w:tc>
          <w:tcPr>
            <w:tcW w:w="4876" w:type="dxa"/>
          </w:tcPr>
          <w:p w:rsidR="003F5BF1" w:rsidRPr="002B5B1B" w:rsidRDefault="00D10947">
            <w:pPr>
              <w:pStyle w:val="Normal6"/>
              <w:rPr>
                <w:szCs w:val="24"/>
              </w:rPr>
            </w:pPr>
            <w:r w:rsidRPr="002B5B1B">
              <w:t>7.</w:t>
            </w:r>
            <w:r w:rsidRPr="002B5B1B">
              <w:tab/>
              <w:t xml:space="preserve">A Comissão adota </w:t>
            </w:r>
            <w:r w:rsidRPr="002B5B1B">
              <w:rPr>
                <w:b/>
                <w:i/>
              </w:rPr>
              <w:t>um ato</w:t>
            </w:r>
            <w:r w:rsidRPr="002B5B1B">
              <w:t xml:space="preserve"> de execução a fim de definir o procedimento técnico para que o EPRIS consulte as bases de dados dos Estados-Membros e o formato das respostas. </w:t>
            </w:r>
            <w:r w:rsidRPr="002B5B1B">
              <w:rPr>
                <w:b/>
                <w:i/>
              </w:rPr>
              <w:t>O referido ato</w:t>
            </w:r>
            <w:r w:rsidRPr="002B5B1B">
              <w:t xml:space="preserve"> de execução </w:t>
            </w:r>
            <w:r w:rsidRPr="002B5B1B">
              <w:rPr>
                <w:b/>
                <w:i/>
              </w:rPr>
              <w:t>é adot</w:t>
            </w:r>
            <w:r w:rsidRPr="002B5B1B">
              <w:rPr>
                <w:b/>
                <w:i/>
              </w:rPr>
              <w:t>ado</w:t>
            </w:r>
            <w:r w:rsidRPr="002B5B1B">
              <w:t xml:space="preserve"> pelo procedimento a que se refere o artigo 76.º, n.º 2.</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45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r>
            <w:r w:rsidRPr="002B5B1B">
              <w:t xml:space="preserve">Cada Estado-Membro mantém registos dos pedidos de consultas feitos </w:t>
            </w:r>
            <w:r w:rsidRPr="002B5B1B">
              <w:rPr>
                <w:b/>
                <w:i/>
              </w:rPr>
              <w:t>pelas suas autoridades competentes e</w:t>
            </w:r>
            <w:r w:rsidRPr="002B5B1B">
              <w:t xml:space="preserve"> pelo pessoal das autoridades devidamente autorizado a utilizar o EPRIS. A Europol mantém registos dos pedidos de consultas feitos pelo seu pessoal devid</w:t>
            </w:r>
            <w:r w:rsidRPr="002B5B1B">
              <w:t>amente autorizado.</w:t>
            </w:r>
          </w:p>
        </w:tc>
        <w:tc>
          <w:tcPr>
            <w:tcW w:w="4876" w:type="dxa"/>
          </w:tcPr>
          <w:p w:rsidR="003F5BF1" w:rsidRPr="002B5B1B" w:rsidRDefault="00D10947" w:rsidP="00D27444">
            <w:pPr>
              <w:pStyle w:val="Normal6"/>
              <w:rPr>
                <w:szCs w:val="24"/>
              </w:rPr>
            </w:pPr>
            <w:r w:rsidRPr="002B5B1B">
              <w:t>2.</w:t>
            </w:r>
            <w:r w:rsidRPr="002B5B1B">
              <w:tab/>
              <w:t xml:space="preserve">Cada Estado-Membro </w:t>
            </w:r>
            <w:r w:rsidRPr="002B5B1B">
              <w:rPr>
                <w:b/>
                <w:i/>
              </w:rPr>
              <w:t>participante</w:t>
            </w:r>
            <w:r w:rsidRPr="002B5B1B">
              <w:t xml:space="preserve"> mantém registos dos pedidos de consultas feitos pelo pessoal das </w:t>
            </w:r>
            <w:r w:rsidRPr="002B5B1B">
              <w:rPr>
                <w:b/>
                <w:i/>
              </w:rPr>
              <w:t>suas</w:t>
            </w:r>
            <w:r w:rsidRPr="002B5B1B">
              <w:t xml:space="preserve"> autoridades </w:t>
            </w:r>
            <w:r w:rsidRPr="002B5B1B">
              <w:rPr>
                <w:b/>
                <w:i/>
              </w:rPr>
              <w:t>de aplicação da lei competentes</w:t>
            </w:r>
            <w:r w:rsidRPr="002B5B1B">
              <w:t xml:space="preserve"> devidamente autorizado a utilizar o EPRIS. A Europol mantém registos dos pedidos de cons</w:t>
            </w:r>
            <w:r w:rsidRPr="002B5B1B">
              <w:t xml:space="preserve">ultas feitos pelo seu pessoal devidamente autorizado.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45 – n.º 3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Esses registos estão protegidos por medidas adequadas contra o acesso não autorizado e são apagados </w:t>
            </w:r>
            <w:r w:rsidRPr="002B5B1B">
              <w:rPr>
                <w:b/>
                <w:i/>
              </w:rPr>
              <w:t>um ano</w:t>
            </w:r>
            <w:r w:rsidRPr="002B5B1B">
              <w:t xml:space="preserve"> após a sua criação.</w:t>
            </w:r>
          </w:p>
        </w:tc>
        <w:tc>
          <w:tcPr>
            <w:tcW w:w="4876" w:type="dxa"/>
          </w:tcPr>
          <w:p w:rsidR="003F5BF1" w:rsidRPr="002B5B1B" w:rsidRDefault="00D10947" w:rsidP="00D27444">
            <w:pPr>
              <w:pStyle w:val="Normal6"/>
              <w:rPr>
                <w:szCs w:val="24"/>
              </w:rPr>
            </w:pPr>
            <w:r w:rsidRPr="002B5B1B">
              <w:t xml:space="preserve">Esses registos estão protegidos por medidas adequadas contra o acesso não autorizado e são apagados </w:t>
            </w:r>
            <w:r w:rsidRPr="002B5B1B">
              <w:rPr>
                <w:b/>
                <w:i/>
              </w:rPr>
              <w:t>dois anos</w:t>
            </w:r>
            <w:r w:rsidRPr="002B5B1B">
              <w:t xml:space="preserve"> após a s</w:t>
            </w:r>
            <w:r w:rsidRPr="002B5B1B">
              <w:t xml:space="preserve">ua criação.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46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Em caso de impossibilidade técnica de utilizar o EPRIS para consultar </w:t>
            </w:r>
            <w:r w:rsidRPr="002B5B1B">
              <w:rPr>
                <w:b/>
                <w:i/>
              </w:rPr>
              <w:t xml:space="preserve">uma ou </w:t>
            </w:r>
            <w:r w:rsidRPr="002B5B1B">
              <w:rPr>
                <w:b/>
                <w:i/>
              </w:rPr>
              <w:lastRenderedPageBreak/>
              <w:t>várias bases de dados</w:t>
            </w:r>
            <w:r w:rsidRPr="002B5B1B">
              <w:t xml:space="preserve"> nacionais, devido a uma falha da infraestrutura da Europol, os Estados-Membros são notificados pela Europol de forma automatizada. A Europol toma imediatamen</w:t>
            </w:r>
            <w:r w:rsidRPr="002B5B1B">
              <w:t>te medidas para resolver a impossibilidade técnica de utilizar o EPRIS.</w:t>
            </w:r>
          </w:p>
        </w:tc>
        <w:tc>
          <w:tcPr>
            <w:tcW w:w="4876" w:type="dxa"/>
          </w:tcPr>
          <w:p w:rsidR="003F5BF1" w:rsidRPr="002B5B1B" w:rsidRDefault="00D10947" w:rsidP="00D27444">
            <w:pPr>
              <w:pStyle w:val="Normal6"/>
              <w:rPr>
                <w:szCs w:val="24"/>
              </w:rPr>
            </w:pPr>
            <w:r w:rsidRPr="002B5B1B">
              <w:lastRenderedPageBreak/>
              <w:t>1.</w:t>
            </w:r>
            <w:r w:rsidRPr="002B5B1B">
              <w:tab/>
              <w:t xml:space="preserve">Em caso de impossibilidade técnica de utilizar o EPRIS para consultar </w:t>
            </w:r>
            <w:r w:rsidRPr="002B5B1B">
              <w:rPr>
                <w:b/>
                <w:i/>
              </w:rPr>
              <w:t xml:space="preserve">um ou </w:t>
            </w:r>
            <w:r w:rsidRPr="002B5B1B">
              <w:rPr>
                <w:b/>
                <w:i/>
              </w:rPr>
              <w:lastRenderedPageBreak/>
              <w:t>vários índices</w:t>
            </w:r>
            <w:r w:rsidRPr="002B5B1B">
              <w:t xml:space="preserve"> nacionais </w:t>
            </w:r>
            <w:r w:rsidRPr="002B5B1B">
              <w:rPr>
                <w:b/>
                <w:i/>
              </w:rPr>
              <w:t>de ficheiros policiais</w:t>
            </w:r>
            <w:r w:rsidRPr="002B5B1B">
              <w:t>, devido a uma falha da infraestrutura da Europol, os Esta</w:t>
            </w:r>
            <w:r w:rsidRPr="002B5B1B">
              <w:t>dos-Membros são notificados pela Europol de forma automatizada. A Europol toma imediatamente medidas para resolver a impossibilidade técnica de utilizar o EPRIS.</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46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Em caso de impossibilidade técnica de utilizar o EPRIS para consultar </w:t>
            </w:r>
            <w:r w:rsidRPr="002B5B1B">
              <w:rPr>
                <w:b/>
                <w:i/>
              </w:rPr>
              <w:t>uma ou várias bases de dados</w:t>
            </w:r>
            <w:r w:rsidRPr="002B5B1B">
              <w:t xml:space="preserve"> nacionais, devido a uma falha da infraestrutura nac</w:t>
            </w:r>
            <w:r w:rsidRPr="002B5B1B">
              <w:t>ional de um Estado-Membro, esse Estado-Membro notifica a Europol e a Comissão de forma automatizada. Os Estados-Membros tomam imediatamente medidas para resolver a impossibilidade técnica de utilizar o EPRIS.</w:t>
            </w:r>
          </w:p>
        </w:tc>
        <w:tc>
          <w:tcPr>
            <w:tcW w:w="4876" w:type="dxa"/>
          </w:tcPr>
          <w:p w:rsidR="003F5BF1" w:rsidRPr="002B5B1B" w:rsidRDefault="00D10947" w:rsidP="007F433A">
            <w:pPr>
              <w:pStyle w:val="Normal6"/>
              <w:rPr>
                <w:szCs w:val="24"/>
              </w:rPr>
            </w:pPr>
            <w:r w:rsidRPr="002B5B1B">
              <w:t>2.</w:t>
            </w:r>
            <w:r w:rsidRPr="002B5B1B">
              <w:tab/>
            </w:r>
            <w:r w:rsidRPr="002B5B1B">
              <w:t xml:space="preserve">Em caso de impossibilidade técnica de utilizar o EPRIS para consultar </w:t>
            </w:r>
            <w:r w:rsidRPr="002B5B1B">
              <w:rPr>
                <w:b/>
                <w:i/>
              </w:rPr>
              <w:t>um ou vários índices</w:t>
            </w:r>
            <w:r w:rsidRPr="002B5B1B">
              <w:t xml:space="preserve"> nacionais </w:t>
            </w:r>
            <w:r w:rsidRPr="002B5B1B">
              <w:rPr>
                <w:b/>
                <w:i/>
              </w:rPr>
              <w:t>de ficheiros policiais</w:t>
            </w:r>
            <w:r w:rsidRPr="002B5B1B">
              <w:t xml:space="preserve">, devido a uma falha da infraestrutura nacional de um Estado-Membro, esse Estado-Membro notifica </w:t>
            </w:r>
            <w:r w:rsidRPr="002B5B1B">
              <w:rPr>
                <w:b/>
                <w:i/>
              </w:rPr>
              <w:t>os outros Estados-Membros participan</w:t>
            </w:r>
            <w:r w:rsidRPr="002B5B1B">
              <w:rPr>
                <w:b/>
                <w:i/>
              </w:rPr>
              <w:t>tes,</w:t>
            </w:r>
            <w:r w:rsidRPr="002B5B1B">
              <w:t xml:space="preserve"> a Europol e a Comissão de forma automatizada. Os Estados-Membros tomam imediatamente medidas para resolver a impossibilidade técnica de utilizar o EPRIS.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w:t>
      </w:r>
      <w:r w:rsidRPr="002B5B1B">
        <w:t xml:space="preserve">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47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445260">
            <w:pPr>
              <w:pStyle w:val="ColumnHeading"/>
              <w:keepNext/>
              <w:tabs>
                <w:tab w:val="center" w:pos="2098"/>
              </w:tabs>
              <w:jc w:val="left"/>
            </w:pPr>
            <w:r w:rsidRPr="002B5B1B">
              <w:ta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Caso os procedimentos a que se referem os artigos 6.º, 7.º, 13.º ou 22.º revelem uma correspondência entre os dados utilizados para a consulta ou </w:t>
            </w:r>
            <w:r w:rsidRPr="002B5B1B">
              <w:t>comparação e os dados conservados na base de dados dos Estados-</w:t>
            </w:r>
            <w:r w:rsidRPr="002B5B1B">
              <w:lastRenderedPageBreak/>
              <w:t>Membros requeridos, e após confirmação dessa correspondência pelo Estado-Membro requerente, o Estado-Membro requerido envia um conjunto de dados de base através do encaminhador no prazo de 24 h</w:t>
            </w:r>
            <w:r w:rsidRPr="002B5B1B">
              <w:t xml:space="preserve">oras. </w:t>
            </w:r>
            <w:r w:rsidRPr="002B5B1B">
              <w:rPr>
                <w:b/>
                <w:i/>
              </w:rPr>
              <w:t>Esse conjunto de dados de base, se disponível, contém os seguintes dados:</w:t>
            </w:r>
          </w:p>
        </w:tc>
        <w:tc>
          <w:tcPr>
            <w:tcW w:w="4876" w:type="dxa"/>
          </w:tcPr>
          <w:p w:rsidR="003F5BF1" w:rsidRPr="002B5B1B" w:rsidRDefault="00D10947">
            <w:pPr>
              <w:pStyle w:val="Normal6"/>
              <w:rPr>
                <w:szCs w:val="24"/>
              </w:rPr>
            </w:pPr>
            <w:r w:rsidRPr="002B5B1B">
              <w:rPr>
                <w:b/>
                <w:i/>
              </w:rPr>
              <w:lastRenderedPageBreak/>
              <w:t xml:space="preserve">1. </w:t>
            </w:r>
            <w:r w:rsidRPr="002B5B1B">
              <w:rPr>
                <w:b/>
                <w:i/>
              </w:rPr>
              <w:tab/>
            </w:r>
            <w:r w:rsidRPr="002B5B1B">
              <w:t>Caso os procedimentos a que se referem os artigos 6.º, 7.º, 13.º ou 22.º revelem uma correspondência entre os dados utilizados para a consulta ou comparação e os dados cons</w:t>
            </w:r>
            <w:r w:rsidRPr="002B5B1B">
              <w:t xml:space="preserve">ervados na </w:t>
            </w:r>
            <w:r w:rsidRPr="002B5B1B">
              <w:lastRenderedPageBreak/>
              <w:t xml:space="preserve">base de dados dos Estados-Membros requeridos, e após confirmação </w:t>
            </w:r>
            <w:r w:rsidRPr="002B5B1B">
              <w:rPr>
                <w:b/>
                <w:i/>
              </w:rPr>
              <w:t>manual</w:t>
            </w:r>
            <w:r w:rsidRPr="002B5B1B">
              <w:t xml:space="preserve"> dessa correspondência pelo Estado-Membro requerente, o Estado-Membro requerido envia um conjunto de dados de base através do encaminhador no prazo de 24 horas. </w:t>
            </w:r>
            <w:r w:rsidRPr="002B5B1B">
              <w:rPr>
                <w:b/>
                <w:i/>
              </w:rPr>
              <w:t>Quando a legi</w:t>
            </w:r>
            <w:r w:rsidRPr="002B5B1B">
              <w:rPr>
                <w:b/>
                <w:i/>
              </w:rPr>
              <w:t>slação nacional exige uma autorização judicial, os dados de base são enviados no prazo de 72 horas.</w:t>
            </w:r>
          </w:p>
        </w:tc>
      </w:tr>
      <w:tr w:rsidR="008B152A" w:rsidRPr="002B5B1B" w:rsidTr="00D27444">
        <w:trPr>
          <w:jc w:val="center"/>
        </w:trPr>
        <w:tc>
          <w:tcPr>
            <w:tcW w:w="4876" w:type="dxa"/>
          </w:tcPr>
          <w:p w:rsidR="003F5BF1" w:rsidRPr="002B5B1B" w:rsidRDefault="00D10947" w:rsidP="00D27444">
            <w:pPr>
              <w:pStyle w:val="Normal6"/>
            </w:pPr>
            <w:r w:rsidRPr="002B5B1B">
              <w:rPr>
                <w:b/>
                <w:i/>
              </w:rPr>
              <w:lastRenderedPageBreak/>
              <w:t>(a)</w:t>
            </w:r>
            <w:r w:rsidRPr="002B5B1B">
              <w:rPr>
                <w:b/>
                <w:i/>
              </w:rPr>
              <w:tab/>
              <w:t>Nome(s);</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(b)</w:t>
            </w:r>
            <w:r w:rsidRPr="002B5B1B">
              <w:rPr>
                <w:b/>
                <w:i/>
              </w:rPr>
              <w:tab/>
              <w:t>Apelido(s);</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(c)</w:t>
            </w:r>
            <w:r w:rsidRPr="002B5B1B">
              <w:rPr>
                <w:b/>
                <w:i/>
              </w:rPr>
              <w:tab/>
              <w:t>Data de nascimento;</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(d)</w:t>
            </w:r>
            <w:r w:rsidRPr="002B5B1B">
              <w:rPr>
                <w:b/>
                <w:i/>
              </w:rPr>
              <w:tab/>
              <w:t>Nacionalidade ou nacionalidades;</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(e)</w:t>
            </w:r>
            <w:r w:rsidRPr="002B5B1B">
              <w:rPr>
                <w:b/>
                <w:i/>
              </w:rPr>
              <w:tab/>
              <w:t>Local e país de nascimento;</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(f)</w:t>
            </w:r>
            <w:r w:rsidRPr="002B5B1B">
              <w:rPr>
                <w:b/>
                <w:i/>
              </w:rPr>
              <w:tab/>
              <w:t>Género.</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47 – n.º 1-A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pPr>
              <w:pStyle w:val="Normal6"/>
              <w:rPr>
                <w:szCs w:val="24"/>
              </w:rPr>
            </w:pPr>
            <w:r w:rsidRPr="002B5B1B">
              <w:rPr>
                <w:b/>
                <w:i/>
              </w:rPr>
              <w:t xml:space="preserve">1-A. </w:t>
            </w:r>
            <w:r w:rsidRPr="002B5B1B">
              <w:rPr>
                <w:b/>
                <w:i/>
              </w:rPr>
              <w:tab/>
              <w:t>Quando a correspondência confirmada disser respeito a</w:t>
            </w:r>
            <w:r w:rsidRPr="002B5B1B">
              <w:rPr>
                <w:b/>
                <w:i/>
              </w:rPr>
              <w:t xml:space="preserve"> dados identificados de uma pessoa, esse conjunto de dados de base, se disponível, contém os seguintes dados: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(a) </w:t>
            </w:r>
            <w:r w:rsidRPr="002B5B1B">
              <w:rPr>
                <w:b/>
                <w:i/>
              </w:rPr>
              <w:tab/>
              <w:t>Nome(s);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(b) </w:t>
            </w:r>
            <w:r w:rsidRPr="002B5B1B">
              <w:rPr>
                <w:b/>
                <w:i/>
              </w:rPr>
              <w:tab/>
              <w:t>Apelido(s);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pPr>
              <w:pStyle w:val="Normal6"/>
              <w:rPr>
                <w:szCs w:val="24"/>
              </w:rPr>
            </w:pPr>
            <w:r w:rsidRPr="002B5B1B">
              <w:rPr>
                <w:b/>
                <w:i/>
              </w:rPr>
              <w:t xml:space="preserve">(c) </w:t>
            </w:r>
            <w:r w:rsidRPr="002B5B1B">
              <w:rPr>
                <w:b/>
                <w:i/>
              </w:rPr>
              <w:tab/>
              <w:t>Pseudónimo(s) e nome(s) utilizado(s) anteriormente;</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857FE">
            <w:pPr>
              <w:pStyle w:val="Normal6"/>
              <w:rPr>
                <w:szCs w:val="24"/>
              </w:rPr>
            </w:pPr>
            <w:r w:rsidRPr="002B5B1B">
              <w:rPr>
                <w:b/>
                <w:i/>
              </w:rPr>
              <w:t xml:space="preserve">(d) </w:t>
            </w:r>
            <w:r w:rsidRPr="002B5B1B">
              <w:rPr>
                <w:b/>
                <w:i/>
              </w:rPr>
              <w:tab/>
              <w:t>Data de nascimento;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857FE">
            <w:pPr>
              <w:pStyle w:val="Normal6"/>
              <w:rPr>
                <w:szCs w:val="24"/>
              </w:rPr>
            </w:pPr>
            <w:r w:rsidRPr="002B5B1B">
              <w:rPr>
                <w:b/>
                <w:i/>
              </w:rPr>
              <w:t xml:space="preserve">(e) </w:t>
            </w:r>
            <w:r w:rsidRPr="002B5B1B">
              <w:rPr>
                <w:b/>
                <w:i/>
              </w:rPr>
              <w:tab/>
              <w:t>Nacionalidade ou n</w:t>
            </w:r>
            <w:r w:rsidRPr="002B5B1B">
              <w:rPr>
                <w:b/>
                <w:i/>
              </w:rPr>
              <w:t>acionalidades;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857FE">
            <w:pPr>
              <w:pStyle w:val="Normal6"/>
              <w:rPr>
                <w:szCs w:val="24"/>
              </w:rPr>
            </w:pPr>
            <w:r w:rsidRPr="002B5B1B">
              <w:rPr>
                <w:b/>
                <w:i/>
              </w:rPr>
              <w:t>(f)</w:t>
            </w:r>
            <w:r w:rsidRPr="002B5B1B">
              <w:rPr>
                <w:b/>
                <w:i/>
              </w:rPr>
              <w:tab/>
              <w:t xml:space="preserve"> Local e país de nascimento;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(g) </w:t>
            </w:r>
            <w:r w:rsidRPr="002B5B1B">
              <w:rPr>
                <w:b/>
                <w:i/>
              </w:rPr>
              <w:tab/>
              <w:t>Género;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 xml:space="preserve">(h) </w:t>
            </w:r>
            <w:r w:rsidRPr="002B5B1B">
              <w:rPr>
                <w:b/>
                <w:i/>
              </w:rPr>
              <w:tab/>
              <w:t xml:space="preserve">Data e local de aquisição dos </w:t>
            </w:r>
            <w:r w:rsidRPr="002B5B1B">
              <w:rPr>
                <w:b/>
                <w:i/>
              </w:rPr>
              <w:lastRenderedPageBreak/>
              <w:t>dados biométricos;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 xml:space="preserve">(i) </w:t>
            </w:r>
            <w:r w:rsidRPr="002B5B1B">
              <w:rPr>
                <w:b/>
                <w:i/>
              </w:rPr>
              <w:tab/>
              <w:t>Infração penal para a qual os dados biométricos foram adquiridos;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857FE">
            <w:pPr>
              <w:pStyle w:val="Normal6"/>
              <w:rPr>
                <w:szCs w:val="24"/>
              </w:rPr>
            </w:pPr>
            <w:r w:rsidRPr="002B5B1B">
              <w:rPr>
                <w:b/>
                <w:i/>
              </w:rPr>
              <w:t xml:space="preserve">(j) </w:t>
            </w:r>
            <w:r w:rsidRPr="002B5B1B">
              <w:rPr>
                <w:b/>
                <w:i/>
              </w:rPr>
              <w:tab/>
              <w:t>Número do processo penal;</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9857FE">
            <w:pPr>
              <w:pStyle w:val="Normal6"/>
              <w:rPr>
                <w:szCs w:val="24"/>
              </w:rPr>
            </w:pPr>
            <w:r w:rsidRPr="002B5B1B">
              <w:rPr>
                <w:b/>
                <w:i/>
              </w:rPr>
              <w:t xml:space="preserve">(k) </w:t>
            </w:r>
            <w:r w:rsidRPr="002B5B1B">
              <w:rPr>
                <w:b/>
                <w:i/>
              </w:rPr>
              <w:tab/>
              <w:t xml:space="preserve">Autoridade de </w:t>
            </w:r>
            <w:r w:rsidRPr="002B5B1B">
              <w:rPr>
                <w:b/>
                <w:i/>
              </w:rPr>
              <w:t xml:space="preserve">aplicação da lei competente responsável pelo processo penal.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47 – n.º 1-B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pPr>
              <w:pStyle w:val="Normal6"/>
              <w:rPr>
                <w:szCs w:val="24"/>
              </w:rPr>
            </w:pPr>
            <w:r w:rsidRPr="002B5B1B">
              <w:rPr>
                <w:b/>
                <w:i/>
              </w:rPr>
              <w:t xml:space="preserve">1-B. </w:t>
            </w:r>
            <w:r w:rsidRPr="002B5B1B">
              <w:rPr>
                <w:b/>
                <w:i/>
              </w:rPr>
              <w:tab/>
              <w:t>Se a correspondência confirmada disser respeito a dados ou vestígios não identificados, esse conjunto de dados de base, se disponível, contém os seguintes dados: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 xml:space="preserve">(a) </w:t>
            </w:r>
            <w:r w:rsidRPr="002B5B1B">
              <w:rPr>
                <w:b/>
                <w:i/>
              </w:rPr>
              <w:tab/>
              <w:t>Data e local de aquisição dos dados biométricos;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 xml:space="preserve">(b) </w:t>
            </w:r>
            <w:r w:rsidRPr="002B5B1B">
              <w:rPr>
                <w:b/>
                <w:i/>
              </w:rPr>
              <w:tab/>
              <w:t xml:space="preserve">Infração </w:t>
            </w:r>
            <w:r w:rsidRPr="002B5B1B">
              <w:rPr>
                <w:b/>
                <w:i/>
              </w:rPr>
              <w:t>penal para a qual os dados biométricos foram adquiridos;</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(c) </w:t>
            </w:r>
            <w:r w:rsidRPr="002B5B1B">
              <w:rPr>
                <w:b/>
                <w:i/>
              </w:rPr>
              <w:tab/>
              <w:t>Número do processo penal;</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(d) </w:t>
            </w:r>
            <w:r w:rsidRPr="002B5B1B">
              <w:rPr>
                <w:b/>
                <w:i/>
              </w:rPr>
              <w:tab/>
              <w:t>Autoridade de aplicação da lei competente responsável pelo processo penal.</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159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47 – n.º 1-C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 xml:space="preserve">1-C. </w:t>
            </w:r>
            <w:r w:rsidRPr="002B5B1B">
              <w:rPr>
                <w:b/>
                <w:i/>
              </w:rPr>
              <w:tab/>
              <w:t xml:space="preserve">A divulgação de dados de base </w:t>
            </w:r>
            <w:r w:rsidRPr="002B5B1B">
              <w:rPr>
                <w:b/>
                <w:i/>
              </w:rPr>
              <w:lastRenderedPageBreak/>
              <w:t xml:space="preserve">pelo Estado-Membro requerido não se efetua de forma automatizada, mas está sujeita à decisão de </w:t>
            </w:r>
            <w:r w:rsidRPr="002B5B1B">
              <w:rPr>
                <w:b/>
                <w:i/>
              </w:rPr>
              <w:t>um ser humano, tal como previsto no artigo 11.º da Diretiva (UE) 2016/680.</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48</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jc w:val="center"/>
            </w:pPr>
            <w:r w:rsidRPr="002B5B1B">
              <w:rPr>
                <w:b/>
                <w:i/>
              </w:rPr>
              <w:t>Artigo 48.º</w:t>
            </w:r>
          </w:p>
        </w:tc>
        <w:tc>
          <w:tcPr>
            <w:tcW w:w="4876" w:type="dxa"/>
          </w:tcPr>
          <w:p w:rsidR="003F5BF1" w:rsidRPr="002B5B1B" w:rsidRDefault="00D10947" w:rsidP="00D27444">
            <w:pPr>
              <w:pStyle w:val="Normal6"/>
              <w:rPr>
                <w:szCs w:val="24"/>
              </w:rPr>
            </w:pPr>
            <w:r w:rsidRPr="002B5B1B">
              <w:rPr>
                <w:b/>
                <w:i/>
              </w:rPr>
              <w:t>Suprimido</w:t>
            </w:r>
          </w:p>
        </w:tc>
      </w:tr>
      <w:tr w:rsidR="008B152A" w:rsidRPr="002B5B1B" w:rsidTr="00D27444">
        <w:trPr>
          <w:jc w:val="center"/>
        </w:trPr>
        <w:tc>
          <w:tcPr>
            <w:tcW w:w="4876" w:type="dxa"/>
          </w:tcPr>
          <w:p w:rsidR="003F5BF1" w:rsidRPr="002B5B1B" w:rsidRDefault="00D10947" w:rsidP="00D27444">
            <w:pPr>
              <w:pStyle w:val="Normal6"/>
              <w:jc w:val="center"/>
            </w:pPr>
            <w:r w:rsidRPr="002B5B1B">
              <w:rPr>
                <w:b/>
                <w:i/>
              </w:rPr>
              <w:t>Utilização da SIENA</w:t>
            </w:r>
          </w:p>
        </w:tc>
        <w:tc>
          <w:tcPr>
            <w:tcW w:w="4876" w:type="dxa"/>
          </w:tcPr>
          <w:p w:rsidR="003F5BF1" w:rsidRPr="002B5B1B" w:rsidRDefault="003F5BF1" w:rsidP="00D27444">
            <w:pPr>
              <w:pStyle w:val="Normal6"/>
              <w:rPr>
                <w:szCs w:val="24"/>
              </w:rPr>
            </w:pPr>
          </w:p>
        </w:tc>
      </w:tr>
      <w:tr w:rsidR="008B152A" w:rsidRPr="002B5B1B" w:rsidTr="00D27444">
        <w:trPr>
          <w:jc w:val="center"/>
        </w:trPr>
        <w:tc>
          <w:tcPr>
            <w:tcW w:w="4876" w:type="dxa"/>
          </w:tcPr>
          <w:p w:rsidR="003F5BF1" w:rsidRPr="002B5B1B" w:rsidRDefault="00D10947" w:rsidP="00D27444">
            <w:pPr>
              <w:pStyle w:val="Normal6"/>
            </w:pPr>
            <w:r w:rsidRPr="002B5B1B">
              <w:rPr>
                <w:b/>
                <w:i/>
              </w:rPr>
              <w:t xml:space="preserve">Qualquer intercâmbio que não esteja explicitamente previsto no presente regulamento entre as autoridades competentes dos Estados-Membros ou com a Europol, em qualquer fase de um dos procedimentos </w:t>
            </w:r>
            <w:r w:rsidRPr="002B5B1B">
              <w:rPr>
                <w:b/>
                <w:i/>
              </w:rPr>
              <w:t>previstos no presente regulamento, é efetuado através da SIENA.</w:t>
            </w:r>
          </w:p>
        </w:tc>
        <w:tc>
          <w:tcPr>
            <w:tcW w:w="4876" w:type="dxa"/>
          </w:tcPr>
          <w:p w:rsidR="003F5BF1" w:rsidRPr="002B5B1B" w:rsidRDefault="003F5BF1" w:rsidP="00D27444">
            <w:pPr>
              <w:pStyle w:val="Normal6"/>
              <w:rPr>
                <w:szCs w:val="24"/>
              </w:rPr>
            </w:pP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49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Em conformidade com o Regulamento (UE) 2016/794, os Estados-Membros têm acesso aos dados biométricos facultados à Europol por países terceiros, para efeitos do artigo 18.º, n.º 2, alíneas a), b) e c), do Regulamento (UE) 2016/794, e podem con</w:t>
            </w:r>
            <w:r w:rsidRPr="002B5B1B">
              <w:t>sultá-los através do encaminhador.</w:t>
            </w:r>
          </w:p>
        </w:tc>
        <w:tc>
          <w:tcPr>
            <w:tcW w:w="4876" w:type="dxa"/>
          </w:tcPr>
          <w:p w:rsidR="003F5BF1" w:rsidRPr="002B5B1B" w:rsidRDefault="00D10947" w:rsidP="00936E24">
            <w:pPr>
              <w:pStyle w:val="Normal6"/>
              <w:rPr>
                <w:szCs w:val="24"/>
              </w:rPr>
            </w:pPr>
            <w:r w:rsidRPr="002B5B1B">
              <w:t>1.</w:t>
            </w:r>
            <w:r w:rsidRPr="002B5B1B">
              <w:tab/>
            </w:r>
            <w:r w:rsidRPr="002B5B1B">
              <w:rPr>
                <w:b/>
                <w:i/>
              </w:rPr>
              <w:t>Sem prejuízo de quaisquer limitações indicadas pelo fornecedor das informações à Europol nos termos do artigo 19.º, n.º 2, do Regulamento (UE) 2016/794,</w:t>
            </w:r>
            <w:r w:rsidRPr="002B5B1B">
              <w:t xml:space="preserve"> em conformidade com o Regulamento (UE) 2016/794, os Estados-Membros têm acesso aos dados biométricos facultados à Europol por </w:t>
            </w:r>
            <w:r w:rsidRPr="002B5B1B">
              <w:rPr>
                <w:b/>
                <w:i/>
              </w:rPr>
              <w:lastRenderedPageBreak/>
              <w:t>autoridades de</w:t>
            </w:r>
            <w:r w:rsidRPr="002B5B1B">
              <w:t xml:space="preserve"> países terceiros, para efeitos do artigo 18.º, n.º 2, alíneas a), b) e c), do Regulamento (UE) 2016/794, e podem c</w:t>
            </w:r>
            <w:r w:rsidRPr="002B5B1B">
              <w:t>onsultá-los através do encaminhador.</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49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Se </w:t>
            </w:r>
            <w:r w:rsidRPr="002B5B1B">
              <w:rPr>
                <w:b/>
                <w:i/>
              </w:rPr>
              <w:t>este procedimento</w:t>
            </w:r>
            <w:r w:rsidRPr="002B5B1B">
              <w:t xml:space="preserve"> resultar numa correspondência entre os dados utilizados para a consulta e os dados </w:t>
            </w:r>
            <w:r w:rsidRPr="002B5B1B">
              <w:rPr>
                <w:b/>
                <w:i/>
              </w:rPr>
              <w:t>da</w:t>
            </w:r>
            <w:r w:rsidRPr="002B5B1B">
              <w:t xml:space="preserve"> Europol, o acompanhamento é efetuado nos termos do Regulamento (UE) 2016/794.</w:t>
            </w:r>
          </w:p>
        </w:tc>
        <w:tc>
          <w:tcPr>
            <w:tcW w:w="4876" w:type="dxa"/>
          </w:tcPr>
          <w:p w:rsidR="003F5BF1" w:rsidRPr="002B5B1B" w:rsidRDefault="00D10947" w:rsidP="00D27444">
            <w:pPr>
              <w:pStyle w:val="Normal6"/>
              <w:rPr>
                <w:szCs w:val="24"/>
              </w:rPr>
            </w:pPr>
            <w:r w:rsidRPr="002B5B1B">
              <w:t>2.</w:t>
            </w:r>
            <w:r w:rsidRPr="002B5B1B">
              <w:tab/>
              <w:t xml:space="preserve">Se </w:t>
            </w:r>
            <w:r w:rsidRPr="002B5B1B">
              <w:rPr>
                <w:b/>
                <w:i/>
              </w:rPr>
              <w:t>a consulta</w:t>
            </w:r>
            <w:r w:rsidRPr="002B5B1B">
              <w:t xml:space="preserve"> resultar numa correspondência entre os dados utilizados para a consulta e </w:t>
            </w:r>
            <w:r w:rsidRPr="002B5B1B">
              <w:t xml:space="preserve">os dados </w:t>
            </w:r>
            <w:r w:rsidRPr="002B5B1B">
              <w:rPr>
                <w:b/>
                <w:i/>
              </w:rPr>
              <w:t>provenientes de países terceiros conservados na</w:t>
            </w:r>
            <w:r w:rsidRPr="002B5B1B">
              <w:t xml:space="preserve"> Europol, o acompanhamento é efetuado nos termos do Regulamento (UE) 2016/794.</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w:t>
      </w:r>
      <w:r w:rsidRPr="002B5B1B">
        <w:rPr>
          <w:rStyle w:val="HideTWBExt"/>
          <w:b w:val="0"/>
          <w:noProof w:val="0"/>
        </w:rPr>
        <w:t>d&gt;</w:t>
      </w:r>
    </w:p>
    <w:p w:rsidR="003F5BF1" w:rsidRPr="002B5B1B" w:rsidRDefault="00D10947" w:rsidP="003F5BF1">
      <w:pPr>
        <w:pStyle w:val="NormalBold"/>
      </w:pPr>
      <w:r w:rsidRPr="002B5B1B">
        <w:rPr>
          <w:rStyle w:val="HideTWBExt"/>
          <w:b w:val="0"/>
          <w:noProof w:val="0"/>
        </w:rPr>
        <w:t>&lt;Article&gt;</w:t>
      </w:r>
      <w:r w:rsidRPr="002B5B1B">
        <w:t>Artigo 50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Em conformidade com o Regulamento (UE) 2016/794, a Europol tem acesso aos dados conservados pelos Estados-Membros nas suas bases de dados nacionais, nos termos do presente </w:t>
            </w:r>
            <w:r w:rsidRPr="002B5B1B">
              <w:t>regulamento.</w:t>
            </w:r>
          </w:p>
        </w:tc>
        <w:tc>
          <w:tcPr>
            <w:tcW w:w="4876" w:type="dxa"/>
          </w:tcPr>
          <w:p w:rsidR="003F5BF1" w:rsidRPr="002B5B1B" w:rsidRDefault="00D10947" w:rsidP="0074550F">
            <w:pPr>
              <w:pStyle w:val="Normal6"/>
              <w:rPr>
                <w:szCs w:val="24"/>
              </w:rPr>
            </w:pPr>
            <w:r w:rsidRPr="002B5B1B">
              <w:t>1.</w:t>
            </w:r>
            <w:r w:rsidRPr="002B5B1B">
              <w:tab/>
            </w:r>
            <w:r w:rsidRPr="002B5B1B">
              <w:rPr>
                <w:b/>
                <w:i/>
              </w:rPr>
              <w:t>Sempre que necessário para alcançar os seus objetivos e desempenhar as suas funções,</w:t>
            </w:r>
            <w:r w:rsidRPr="002B5B1B">
              <w:t xml:space="preserve"> em conformidade com o Regulamento (UE) 2016/794, a Europol tem acesso</w:t>
            </w:r>
            <w:r w:rsidRPr="002B5B1B">
              <w:rPr>
                <w:b/>
                <w:i/>
              </w:rPr>
              <w:t>,</w:t>
            </w:r>
            <w:r w:rsidRPr="002B5B1B">
              <w:t xml:space="preserve"> </w:t>
            </w:r>
            <w:r w:rsidRPr="002B5B1B">
              <w:rPr>
                <w:b/>
                <w:i/>
              </w:rPr>
              <w:t>para efeitos do artigo 18.º, n.º 2, alíneas a) e c), do Regulamento (UE) 2016/794</w:t>
            </w:r>
            <w:r w:rsidRPr="002B5B1B">
              <w:t xml:space="preserve"> aos dados conservados pelos Estados-Membros nas suas bases de dados nacionais </w:t>
            </w:r>
            <w:r w:rsidRPr="002B5B1B">
              <w:rPr>
                <w:b/>
                <w:i/>
              </w:rPr>
              <w:t>e nos seus índices nacionais de ficheiros policiais</w:t>
            </w:r>
            <w:r w:rsidRPr="002B5B1B">
              <w:t>, nos termos do presente regulamento.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w:t>
      </w:r>
      <w:r w:rsidRPr="002B5B1B">
        <w:rPr>
          <w:rStyle w:val="HideTWBExt"/>
          <w:b w:val="0"/>
          <w:noProof w:val="0"/>
        </w:rPr>
        <w:t>&gt;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50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As consultas da Europol realizadas tendo por critério os dados de registo de veículos são efetuadas com recurso ao EUCARIS.</w:t>
            </w:r>
          </w:p>
        </w:tc>
        <w:tc>
          <w:tcPr>
            <w:tcW w:w="4876" w:type="dxa"/>
          </w:tcPr>
          <w:p w:rsidR="003F5BF1" w:rsidRPr="002B5B1B" w:rsidRDefault="00D10947" w:rsidP="00D27444">
            <w:pPr>
              <w:pStyle w:val="Normal6"/>
              <w:rPr>
                <w:szCs w:val="24"/>
              </w:rPr>
            </w:pPr>
            <w:r w:rsidRPr="002B5B1B">
              <w:t>3.</w:t>
            </w:r>
            <w:r w:rsidRPr="002B5B1B">
              <w:tab/>
            </w:r>
            <w:r w:rsidRPr="002B5B1B">
              <w:t xml:space="preserve">As consultas da Europol realizadas tendo por critério os dados de registo de veículos </w:t>
            </w:r>
            <w:r w:rsidRPr="002B5B1B">
              <w:rPr>
                <w:b/>
                <w:i/>
              </w:rPr>
              <w:t>a que se refere o artigo 18.º</w:t>
            </w:r>
            <w:r w:rsidRPr="002B5B1B">
              <w:t xml:space="preserve"> são efetuadas com recurso ao EUCARIS.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w:t>
      </w:r>
      <w:r w:rsidRPr="002B5B1B">
        <w:t>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50 – n.º 4</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4.</w:t>
            </w:r>
            <w:r w:rsidRPr="002B5B1B">
              <w:tab/>
              <w:t xml:space="preserve">As consultas da Europol realizadas tendo por critério os </w:t>
            </w:r>
            <w:r w:rsidRPr="002B5B1B">
              <w:rPr>
                <w:b/>
                <w:i/>
              </w:rPr>
              <w:t>ficheiros policiais</w:t>
            </w:r>
            <w:r w:rsidRPr="002B5B1B">
              <w:t xml:space="preserve"> são efetuadas com recurso ao EPRIS.</w:t>
            </w:r>
          </w:p>
        </w:tc>
        <w:tc>
          <w:tcPr>
            <w:tcW w:w="4876" w:type="dxa"/>
          </w:tcPr>
          <w:p w:rsidR="003F5BF1" w:rsidRPr="002B5B1B" w:rsidRDefault="00D10947" w:rsidP="00D27444">
            <w:pPr>
              <w:pStyle w:val="Normal6"/>
              <w:rPr>
                <w:szCs w:val="24"/>
              </w:rPr>
            </w:pPr>
            <w:r w:rsidRPr="002B5B1B">
              <w:t>4.</w:t>
            </w:r>
            <w:r w:rsidRPr="002B5B1B">
              <w:tab/>
            </w:r>
            <w:r w:rsidRPr="002B5B1B">
              <w:t xml:space="preserve">As consultas da Europol realizadas tendo por critério os </w:t>
            </w:r>
            <w:r w:rsidRPr="002B5B1B">
              <w:rPr>
                <w:b/>
                <w:i/>
              </w:rPr>
              <w:t>dados biográficos de suspeitos e pessoas condenadas, tal como referido nos artigos 25.º e 26.º,</w:t>
            </w:r>
            <w:r w:rsidRPr="002B5B1B">
              <w:t xml:space="preserve"> são efetuadas com recurso ao EPRIS.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50 – n.º 5</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5.</w:t>
            </w:r>
            <w:r w:rsidRPr="002B5B1B">
              <w:rPr>
                <w:b/>
                <w:i/>
              </w:rPr>
              <w:tab/>
              <w:t xml:space="preserve">A Europol efetua as consultas nos termos do n.º 1 unicamente no exercício das suas funções referidas no </w:t>
            </w:r>
            <w:r w:rsidRPr="002B5B1B">
              <w:rPr>
                <w:b/>
                <w:i/>
              </w:rPr>
              <w:t>Regulamento (UE) 2016/794.</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50 – n.º 6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6.</w:t>
            </w:r>
            <w:r w:rsidRPr="002B5B1B">
              <w:tab/>
            </w:r>
            <w:r w:rsidRPr="002B5B1B">
              <w:t xml:space="preserve">Caso os procedimentos a que se referem os artigos 6.º, 7.º, 13.º ou 22.º revelem uma correspondência entre os dados utilizados para a consulta ou comparação e os dados conservados na base de dados nacional dos Estados-Membros requeridos e após confirmação </w:t>
            </w:r>
            <w:r w:rsidRPr="002B5B1B">
              <w:t>dessa correspondência pela Europol, o Estado-Membro requerido decide se deve enviar um conjunto de dados de base através do encaminhador no prazo de 24 horas. Esse conjunto de dados de base, se disponível, contém os seguintes dados:</w:t>
            </w:r>
          </w:p>
        </w:tc>
        <w:tc>
          <w:tcPr>
            <w:tcW w:w="4876" w:type="dxa"/>
          </w:tcPr>
          <w:p w:rsidR="003F5BF1" w:rsidRPr="002B5B1B" w:rsidRDefault="00D10947" w:rsidP="0074550F">
            <w:pPr>
              <w:pStyle w:val="Normal6"/>
              <w:rPr>
                <w:szCs w:val="24"/>
              </w:rPr>
            </w:pPr>
            <w:r w:rsidRPr="002B5B1B">
              <w:t>6.</w:t>
            </w:r>
            <w:r w:rsidRPr="002B5B1B">
              <w:tab/>
              <w:t>Caso os procedimento</w:t>
            </w:r>
            <w:r w:rsidRPr="002B5B1B">
              <w:t xml:space="preserve">s a que se referem os artigos 6.º, 7.º, 13.º ou 22.º revelem uma correspondência entre os dados utilizados para a consulta ou comparação e os dados conservados na base de dados nacional dos Estados-Membros requeridos e após confirmação </w:t>
            </w:r>
            <w:r w:rsidRPr="002B5B1B">
              <w:rPr>
                <w:b/>
                <w:i/>
              </w:rPr>
              <w:t>manual</w:t>
            </w:r>
            <w:r w:rsidRPr="002B5B1B">
              <w:t xml:space="preserve"> dessa corresp</w:t>
            </w:r>
            <w:r w:rsidRPr="002B5B1B">
              <w:t xml:space="preserve">ondência pela Europol, o Estado-Membro requerido decide se deve enviar um conjunto de dados de base através do encaminhador no prazo de 24 horas. </w:t>
            </w:r>
            <w:r w:rsidRPr="002B5B1B">
              <w:rPr>
                <w:b/>
                <w:i/>
              </w:rPr>
              <w:t>Quando a legislação nacional exige uma autorização judicial, os dados de base são enviados no prazo de 72 hora</w:t>
            </w:r>
            <w:r w:rsidRPr="002B5B1B">
              <w:rPr>
                <w:b/>
                <w:i/>
              </w:rPr>
              <w:t>s.</w:t>
            </w:r>
            <w:r w:rsidRPr="002B5B1B">
              <w:t xml:space="preserve"> Esse conjunto de dados de base, se disponível, contém os seguintes dados: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50 – n.º 7</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7.</w:t>
            </w:r>
            <w:r w:rsidRPr="002B5B1B">
              <w:tab/>
              <w:t>A utilização pela Europol das informações obtidas a partir de uma consulta efetuada nos termos do n.º 1 e do intercâmbio de dados de base nos termos do n.º 6 está sujeita ao consentimento do Estado-Membro em cuja base de dados a corr</w:t>
            </w:r>
            <w:r w:rsidRPr="002B5B1B">
              <w:t>espondência ocorreu. Se este autorizar a utilização de tais informações, o seu tratamento pela Europol rege-se pelo disposto no Regulamento (UE) 2016/794.</w:t>
            </w:r>
          </w:p>
        </w:tc>
        <w:tc>
          <w:tcPr>
            <w:tcW w:w="4876" w:type="dxa"/>
          </w:tcPr>
          <w:p w:rsidR="003F5BF1" w:rsidRPr="002B5B1B" w:rsidRDefault="00D10947" w:rsidP="00D27444">
            <w:pPr>
              <w:pStyle w:val="Normal6"/>
              <w:rPr>
                <w:szCs w:val="24"/>
              </w:rPr>
            </w:pPr>
            <w:r w:rsidRPr="002B5B1B">
              <w:t>7.</w:t>
            </w:r>
            <w:r w:rsidRPr="002B5B1B">
              <w:tab/>
              <w:t xml:space="preserve"> </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169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51 – título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Finalidade dos dados</w:t>
            </w:r>
          </w:p>
        </w:tc>
        <w:tc>
          <w:tcPr>
            <w:tcW w:w="4876" w:type="dxa"/>
          </w:tcPr>
          <w:p w:rsidR="003F5BF1" w:rsidRPr="002B5B1B" w:rsidRDefault="00D10947" w:rsidP="00D27444">
            <w:pPr>
              <w:pStyle w:val="Normal6"/>
              <w:rPr>
                <w:szCs w:val="24"/>
              </w:rPr>
            </w:pPr>
            <w:r w:rsidRPr="002B5B1B">
              <w:t xml:space="preserve">Finalidade </w:t>
            </w:r>
            <w:r w:rsidRPr="002B5B1B">
              <w:rPr>
                <w:b/>
                <w:i/>
              </w:rPr>
              <w:t>do tratamento</w:t>
            </w:r>
            <w:r w:rsidRPr="002B5B1B">
              <w:t xml:space="preserve"> dos dados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51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 tratamento de dados pessoais pelo Estado-Membro requerente ou pela Europol é permitido unicamente para os fins para os quais esses dados foram </w:t>
            </w:r>
            <w:r w:rsidRPr="002B5B1B">
              <w:t>transmitidos pelo Estado-Membro requerido</w:t>
            </w:r>
            <w:r w:rsidRPr="002B5B1B">
              <w:rPr>
                <w:b/>
                <w:i/>
              </w:rPr>
              <w:t>, em conformidade com o presente regulamento</w:t>
            </w:r>
            <w:r w:rsidRPr="002B5B1B">
              <w:t>. O tratamento para outros fins só é permitido com a autorização prévia do Estado-Membro requerido.</w:t>
            </w:r>
          </w:p>
        </w:tc>
        <w:tc>
          <w:tcPr>
            <w:tcW w:w="4876" w:type="dxa"/>
          </w:tcPr>
          <w:p w:rsidR="003F5BF1" w:rsidRPr="002B5B1B" w:rsidRDefault="00D10947" w:rsidP="00D27444">
            <w:pPr>
              <w:pStyle w:val="Normal6"/>
              <w:rPr>
                <w:szCs w:val="24"/>
              </w:rPr>
            </w:pPr>
            <w:r w:rsidRPr="002B5B1B">
              <w:t>1.</w:t>
            </w:r>
            <w:r w:rsidRPr="002B5B1B">
              <w:tab/>
              <w:t xml:space="preserve">O tratamento de dados pessoais </w:t>
            </w:r>
            <w:r w:rsidRPr="002B5B1B">
              <w:rPr>
                <w:b/>
                <w:i/>
              </w:rPr>
              <w:t>recebidos</w:t>
            </w:r>
            <w:r w:rsidRPr="002B5B1B">
              <w:t xml:space="preserve"> pelo Estado-Membro requeren</w:t>
            </w:r>
            <w:r w:rsidRPr="002B5B1B">
              <w:t xml:space="preserve">te ou pela Europol é permitido unicamente para os fins para os quais esses dados foram transmitidos pelo Estado-Membro requerido. O tratamento para outros fins só é permitido com a autorização prévia do Estado-Membro requerido </w:t>
            </w:r>
            <w:r w:rsidRPr="002B5B1B">
              <w:rPr>
                <w:b/>
                <w:i/>
              </w:rPr>
              <w:t>da Europol, conforme pertinen</w:t>
            </w:r>
            <w:r w:rsidRPr="002B5B1B">
              <w:rPr>
                <w:b/>
                <w:i/>
              </w:rPr>
              <w:t>te</w:t>
            </w:r>
            <w:r w:rsidRPr="002B5B1B">
              <w:t xml:space="preserve">.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51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r>
            <w:r w:rsidRPr="002B5B1B">
              <w:t xml:space="preserve">O tratamento dos dados transmitidos ao abrigo dos artigos 6.º, 7.º, 13.º, 18.º </w:t>
            </w:r>
            <w:r w:rsidRPr="002B5B1B">
              <w:rPr>
                <w:b/>
                <w:i/>
              </w:rPr>
              <w:t>ou</w:t>
            </w:r>
            <w:r w:rsidRPr="002B5B1B">
              <w:t xml:space="preserve"> 22.º pelo Estado-Membro </w:t>
            </w:r>
            <w:r w:rsidRPr="002B5B1B">
              <w:rPr>
                <w:b/>
                <w:i/>
              </w:rPr>
              <w:t xml:space="preserve">que </w:t>
            </w:r>
            <w:r w:rsidRPr="002B5B1B">
              <w:rPr>
                <w:b/>
                <w:i/>
              </w:rPr>
              <w:lastRenderedPageBreak/>
              <w:t>efetua a consulta ou a comparação</w:t>
            </w:r>
            <w:r w:rsidRPr="002B5B1B">
              <w:t xml:space="preserve"> só é permitido para:</w:t>
            </w:r>
          </w:p>
        </w:tc>
        <w:tc>
          <w:tcPr>
            <w:tcW w:w="4876" w:type="dxa"/>
          </w:tcPr>
          <w:p w:rsidR="003F5BF1" w:rsidRPr="002B5B1B" w:rsidRDefault="00D10947" w:rsidP="0074550F">
            <w:pPr>
              <w:pStyle w:val="Normal6"/>
              <w:rPr>
                <w:szCs w:val="24"/>
              </w:rPr>
            </w:pPr>
            <w:r w:rsidRPr="002B5B1B">
              <w:lastRenderedPageBreak/>
              <w:t>2.</w:t>
            </w:r>
            <w:r w:rsidRPr="002B5B1B">
              <w:tab/>
              <w:t>O tratamento dos dados transmitidos ao abrigo dos artigos 6.º, 7.º, 13.º, 18.º</w:t>
            </w:r>
            <w:r w:rsidRPr="002B5B1B">
              <w:rPr>
                <w:b/>
                <w:i/>
              </w:rPr>
              <w:t>,</w:t>
            </w:r>
            <w:r w:rsidRPr="002B5B1B">
              <w:t xml:space="preserve"> 22.º </w:t>
            </w:r>
            <w:r w:rsidRPr="002B5B1B">
              <w:rPr>
                <w:b/>
                <w:i/>
              </w:rPr>
              <w:t xml:space="preserve">ou </w:t>
            </w:r>
            <w:r w:rsidRPr="002B5B1B">
              <w:rPr>
                <w:b/>
                <w:i/>
              </w:rPr>
              <w:t>26</w:t>
            </w:r>
            <w:r w:rsidRPr="002B5B1B">
              <w:t xml:space="preserve"> pelo Estado-Membro </w:t>
            </w:r>
            <w:r w:rsidRPr="002B5B1B">
              <w:rPr>
                <w:b/>
                <w:i/>
              </w:rPr>
              <w:lastRenderedPageBreak/>
              <w:t>requerente ou pela Europol</w:t>
            </w:r>
            <w:r w:rsidRPr="002B5B1B">
              <w:t xml:space="preserve"> só é permitido</w:t>
            </w:r>
            <w:r w:rsidRPr="002B5B1B">
              <w:rPr>
                <w:b/>
                <w:i/>
              </w:rPr>
              <w:t>, se necessário,</w:t>
            </w:r>
            <w:r w:rsidRPr="002B5B1B">
              <w:t xml:space="preserve"> para: </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51 – n.º 2 – alínea a-A) </w:t>
      </w:r>
      <w:r w:rsidRPr="002B5B1B">
        <w:t>(nova)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(a-A)</w:t>
            </w:r>
            <w:r w:rsidRPr="002B5B1B">
              <w:rPr>
                <w:b/>
                <w:i/>
              </w:rPr>
              <w:tab/>
              <w:t>Intercambiar um conjunto de dados de base, em conformidade com o artigo 47.º;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51 – n.º 2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Elaborar e apresentar um pedido policial de assistência jurídica caso se verifique uma correspondência entre esses dados;</w:t>
            </w:r>
          </w:p>
        </w:tc>
        <w:tc>
          <w:tcPr>
            <w:tcW w:w="4876" w:type="dxa"/>
          </w:tcPr>
          <w:p w:rsidR="003F5BF1" w:rsidRPr="002B5B1B" w:rsidRDefault="00D10947" w:rsidP="00D27444">
            <w:pPr>
              <w:pStyle w:val="Normal6"/>
              <w:rPr>
                <w:szCs w:val="24"/>
              </w:rPr>
            </w:pPr>
            <w:r w:rsidRPr="002B5B1B">
              <w:t>(b)</w:t>
            </w:r>
            <w:r w:rsidRPr="002B5B1B">
              <w:tab/>
              <w:t xml:space="preserve">Elaborar e apresentar um pedido policial </w:t>
            </w:r>
            <w:r w:rsidRPr="002B5B1B">
              <w:rPr>
                <w:b/>
                <w:i/>
              </w:rPr>
              <w:t xml:space="preserve">ou </w:t>
            </w:r>
            <w:r w:rsidRPr="002B5B1B">
              <w:rPr>
                <w:b/>
                <w:i/>
              </w:rPr>
              <w:t>judicial</w:t>
            </w:r>
            <w:r w:rsidRPr="002B5B1B">
              <w:t xml:space="preserve"> de assistência jurídica caso se verifique uma correspondência entre esses dados;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51 – n.º 2 – alínea c)</w:t>
      </w:r>
      <w:r w:rsidRPr="002B5B1B">
        <w:rPr>
          <w:rStyle w:val="HideTWBExt"/>
          <w:b w:val="0"/>
          <w:noProof w:val="0"/>
        </w:rPr>
        <w:t>&lt;/Ar</w:t>
      </w:r>
      <w:r w:rsidRPr="002B5B1B">
        <w:rPr>
          <w:rStyle w:val="HideTWBExt"/>
          <w:b w:val="0"/>
          <w:noProof w:val="0"/>
        </w:rPr>
        <w:t>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(c)</w:t>
            </w:r>
            <w:r w:rsidRPr="002B5B1B">
              <w:tab/>
              <w:t>Proceder aos registos na aceção dos artigos 40.º e 45.º.</w:t>
            </w:r>
          </w:p>
        </w:tc>
        <w:tc>
          <w:tcPr>
            <w:tcW w:w="4876" w:type="dxa"/>
          </w:tcPr>
          <w:p w:rsidR="003F5BF1" w:rsidRPr="002B5B1B" w:rsidRDefault="00D10947" w:rsidP="00D27444">
            <w:pPr>
              <w:pStyle w:val="Normal6"/>
              <w:rPr>
                <w:szCs w:val="24"/>
              </w:rPr>
            </w:pPr>
            <w:r w:rsidRPr="002B5B1B">
              <w:t>(c)</w:t>
            </w:r>
            <w:r w:rsidRPr="002B5B1B">
              <w:tab/>
              <w:t>Proceder aos registos na aceção dos artigos </w:t>
            </w:r>
            <w:r w:rsidRPr="002B5B1B">
              <w:rPr>
                <w:b/>
                <w:i/>
              </w:rPr>
              <w:t>20.º,</w:t>
            </w:r>
            <w:r w:rsidRPr="002B5B1B">
              <w:t xml:space="preserve"> 40.º e 45.º.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51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r>
            <w:r w:rsidRPr="002B5B1B">
              <w:rPr>
                <w:b/>
                <w:i/>
              </w:rPr>
              <w:t>O</w:t>
            </w:r>
            <w:r w:rsidRPr="002B5B1B">
              <w:t xml:space="preserve"> Estado-Membro requerente </w:t>
            </w:r>
            <w:r w:rsidRPr="002B5B1B">
              <w:rPr>
                <w:b/>
                <w:i/>
              </w:rPr>
              <w:t xml:space="preserve">só pode tratar os dados que lhe tenham sido transmitidos nos termos dos artigos 6.º, 7.º, 13.º ou 22.º se tal for </w:t>
            </w:r>
            <w:r w:rsidRPr="002B5B1B">
              <w:rPr>
                <w:b/>
                <w:i/>
              </w:rPr>
              <w:t>necessário para efeitos do presente regulamento. Uma vez terminada a comparação ou a resposta automatizada à consulta, os dados transmitidos</w:t>
            </w:r>
            <w:r w:rsidRPr="002B5B1B">
              <w:t xml:space="preserve"> são imediatamente apagados, a menos que o seu ulterior tratamento pelo Estado-Membro requerente seja necessário par</w:t>
            </w:r>
            <w:r w:rsidRPr="002B5B1B">
              <w:t>a efeitos de prevenção ou deteção de infrações penais e das investigações nessa matéria.</w:t>
            </w:r>
          </w:p>
        </w:tc>
        <w:tc>
          <w:tcPr>
            <w:tcW w:w="4876" w:type="dxa"/>
          </w:tcPr>
          <w:p w:rsidR="003F5BF1" w:rsidRPr="002B5B1B" w:rsidRDefault="00D10947" w:rsidP="00D27444">
            <w:pPr>
              <w:pStyle w:val="Normal6"/>
              <w:rPr>
                <w:szCs w:val="24"/>
              </w:rPr>
            </w:pPr>
            <w:r w:rsidRPr="002B5B1B">
              <w:t>3.</w:t>
            </w:r>
            <w:r w:rsidRPr="002B5B1B">
              <w:tab/>
            </w:r>
            <w:r w:rsidRPr="002B5B1B">
              <w:rPr>
                <w:b/>
                <w:i/>
              </w:rPr>
              <w:t>Uma vez terminada a comparação ou a resposta automatizada à consulta, os dados pessoais recebidos pelo</w:t>
            </w:r>
            <w:r w:rsidRPr="002B5B1B">
              <w:t xml:space="preserve"> Estado-Membro requerente </w:t>
            </w:r>
            <w:r w:rsidRPr="002B5B1B">
              <w:rPr>
                <w:b/>
                <w:i/>
              </w:rPr>
              <w:t>ou pela Europol</w:t>
            </w:r>
            <w:r w:rsidRPr="002B5B1B">
              <w:t xml:space="preserve"> são imediatamente ap</w:t>
            </w:r>
            <w:r w:rsidRPr="002B5B1B">
              <w:t>agados, a menos que o seu ulterior tratamento pelo Estado-Membro requerente seja necessário para efeitos de prevenção ou deteção de infrações penais e das investigações nessa matéria.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176</w:t>
      </w:r>
      <w:r w:rsidRPr="002B5B1B">
        <w:rPr>
          <w:rStyle w:val="HideTWBExt"/>
          <w:b w:val="0"/>
          <w:noProof w:val="0"/>
        </w:rPr>
        <w:t>&lt;/</w:t>
      </w:r>
      <w:r w:rsidRPr="002B5B1B">
        <w:rPr>
          <w:rStyle w:val="HideTWBExt"/>
          <w:b w:val="0"/>
          <w:noProof w:val="0"/>
        </w:rPr>
        <w: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52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velam pela exatidão e a atualidade dos dados pessoais. Se um Estado-Membro requerido tomar conhecimento de que </w:t>
            </w:r>
            <w:r w:rsidRPr="002B5B1B">
              <w:t>foram transmitidos dados inexatos ou dados que não deveriam ter sido transmitidos, tal facto é imediatamente comunicado ao Estado-Membro requerente. Todos os Estados-Membros requerentes são obrigados a retificar ou apagar os dados em conformidade. Além dis</w:t>
            </w:r>
            <w:r w:rsidRPr="002B5B1B">
              <w:t xml:space="preserve">so, os dados pessoais transmitidos são corrigidos quando se verificar que são inexatos. Se o Estado-Membro requerente tiver motivos para crer que os dados transmitidos são </w:t>
            </w:r>
            <w:r w:rsidRPr="002B5B1B">
              <w:lastRenderedPageBreak/>
              <w:t>inexatos ou devem ser apagados, o Estado-Membro requerido é do facto informado.</w:t>
            </w:r>
          </w:p>
        </w:tc>
        <w:tc>
          <w:tcPr>
            <w:tcW w:w="4876" w:type="dxa"/>
          </w:tcPr>
          <w:p w:rsidR="003F5BF1" w:rsidRPr="002B5B1B" w:rsidRDefault="00D10947" w:rsidP="0074550F">
            <w:pPr>
              <w:pStyle w:val="Normal6"/>
              <w:rPr>
                <w:szCs w:val="24"/>
              </w:rPr>
            </w:pPr>
            <w:r w:rsidRPr="002B5B1B">
              <w:lastRenderedPageBreak/>
              <w:t>1.</w:t>
            </w:r>
            <w:r w:rsidRPr="002B5B1B">
              <w:tab/>
              <w:t>O</w:t>
            </w:r>
            <w:r w:rsidRPr="002B5B1B">
              <w:t xml:space="preserve">s Estados-Membros </w:t>
            </w:r>
            <w:r w:rsidRPr="002B5B1B">
              <w:rPr>
                <w:b/>
                <w:i/>
              </w:rPr>
              <w:t>e a Europol</w:t>
            </w:r>
            <w:r w:rsidRPr="002B5B1B">
              <w:t xml:space="preserve"> velam pela exatidão e atualidade dos dados pessoais </w:t>
            </w:r>
            <w:r w:rsidRPr="002B5B1B">
              <w:rPr>
                <w:b/>
                <w:i/>
              </w:rPr>
              <w:t>tratados com base no presente regulamento</w:t>
            </w:r>
            <w:r w:rsidRPr="002B5B1B">
              <w:t xml:space="preserve">. Se um Estado-Membro requerido </w:t>
            </w:r>
            <w:r w:rsidRPr="002B5B1B">
              <w:rPr>
                <w:b/>
                <w:i/>
              </w:rPr>
              <w:t>ou a Europol</w:t>
            </w:r>
            <w:r w:rsidRPr="002B5B1B">
              <w:t xml:space="preserve"> tomar conhecimento de que foram transmitidos dados inexatos ou dados que não deveriam te</w:t>
            </w:r>
            <w:r w:rsidRPr="002B5B1B">
              <w:t>r sido transmitidos, tal facto é imediatamente comunicado ao Estado-Membro requerente. Todos os Estados-Membros requerentes são obrigados a retificar ou apagar os dados em conformidade</w:t>
            </w:r>
            <w:r w:rsidRPr="002B5B1B">
              <w:rPr>
                <w:b/>
                <w:i/>
              </w:rPr>
              <w:t>, sem demora injustificada</w:t>
            </w:r>
            <w:r w:rsidRPr="002B5B1B">
              <w:t>. Além disso, os dados pessoais transmitidos s</w:t>
            </w:r>
            <w:r w:rsidRPr="002B5B1B">
              <w:t xml:space="preserve">ão corrigidos quando se verificar que são </w:t>
            </w:r>
            <w:r w:rsidRPr="002B5B1B">
              <w:lastRenderedPageBreak/>
              <w:t xml:space="preserve">inexatos. Se o Estado-Membro requerente </w:t>
            </w:r>
            <w:r w:rsidRPr="002B5B1B">
              <w:rPr>
                <w:b/>
                <w:i/>
              </w:rPr>
              <w:t>ou a Europol</w:t>
            </w:r>
            <w:r w:rsidRPr="002B5B1B">
              <w:t xml:space="preserve"> tiver motivos para crer que os dados transmitidos são inexatos ou devem ser apagados, o Estado-Membro requerido é do facto informado.</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52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Caso o titular dos dados conteste a exatidão dos dados na posse de um </w:t>
            </w:r>
            <w:r w:rsidRPr="002B5B1B">
              <w:t>Estado-Membro, quando não for possível comprovar a sua exatidão de forma fiável pelo Estado-Membro em causa e sempre que tal seja solicitado pelo titular dos dados, os dados em causa são marcados. Caso essa marcação exista, os Estados-Membros só podem remo</w:t>
            </w:r>
            <w:r w:rsidRPr="002B5B1B">
              <w:t xml:space="preserve">vê-la com o consentimento da pessoa em questão ou com base numa decisão do tribunal competente ou da autoridade </w:t>
            </w:r>
            <w:r w:rsidRPr="002B5B1B">
              <w:rPr>
                <w:b/>
                <w:i/>
              </w:rPr>
              <w:t>independente competente em matéria de controlo da</w:t>
            </w:r>
            <w:r w:rsidRPr="002B5B1B">
              <w:t xml:space="preserve"> proteção de dados.</w:t>
            </w:r>
          </w:p>
        </w:tc>
        <w:tc>
          <w:tcPr>
            <w:tcW w:w="4876" w:type="dxa"/>
          </w:tcPr>
          <w:p w:rsidR="003F5BF1" w:rsidRPr="002B5B1B" w:rsidRDefault="00D10947">
            <w:pPr>
              <w:pStyle w:val="Normal6"/>
              <w:rPr>
                <w:szCs w:val="24"/>
              </w:rPr>
            </w:pPr>
            <w:r w:rsidRPr="002B5B1B">
              <w:t>2.</w:t>
            </w:r>
            <w:r w:rsidRPr="002B5B1B">
              <w:tab/>
              <w:t>Caso o titular dos dados conteste a exatidão dos dados na posse de um Es</w:t>
            </w:r>
            <w:r w:rsidRPr="002B5B1B">
              <w:t xml:space="preserve">tado-Membro </w:t>
            </w:r>
            <w:r w:rsidRPr="002B5B1B">
              <w:rPr>
                <w:b/>
                <w:i/>
              </w:rPr>
              <w:t>ou da Europol</w:t>
            </w:r>
            <w:r w:rsidRPr="002B5B1B">
              <w:t xml:space="preserve">, quando não for possível comprovar a sua exatidão de forma fiável pelo Estado-Membro em causa </w:t>
            </w:r>
            <w:r w:rsidRPr="002B5B1B">
              <w:rPr>
                <w:b/>
                <w:i/>
              </w:rPr>
              <w:t>ou pela Europol</w:t>
            </w:r>
            <w:r w:rsidRPr="002B5B1B">
              <w:t xml:space="preserve"> e sempre que tal seja solicitado pelo titular dos dados, os dados em causa são marcados. Caso essa marcação exista, os E</w:t>
            </w:r>
            <w:r w:rsidRPr="002B5B1B">
              <w:t xml:space="preserve">stados-Membros </w:t>
            </w:r>
            <w:r w:rsidRPr="002B5B1B">
              <w:rPr>
                <w:b/>
                <w:i/>
              </w:rPr>
              <w:t>ou a Europol</w:t>
            </w:r>
            <w:r w:rsidRPr="002B5B1B">
              <w:t xml:space="preserve"> só podem removê-la com o consentimento da pessoa em questão ou com base numa decisão do tribunal competente ou da autoridade </w:t>
            </w:r>
            <w:r w:rsidRPr="002B5B1B">
              <w:rPr>
                <w:b/>
                <w:i/>
              </w:rPr>
              <w:t>nacional de controlo ou da Autoridade Europeia para a</w:t>
            </w:r>
            <w:r w:rsidRPr="002B5B1B">
              <w:t xml:space="preserve"> Proteção de Dados</w:t>
            </w:r>
            <w:r w:rsidRPr="002B5B1B">
              <w:rPr>
                <w:b/>
                <w:i/>
              </w:rPr>
              <w:t>, conforme pertinente</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w:t>
      </w:r>
      <w:r w:rsidRPr="002B5B1B">
        <w:rPr>
          <w:rStyle w:val="HideTWBExt"/>
          <w:noProof w:val="0"/>
        </w:rPr>
        <w:t>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52 – n.º 3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 xml:space="preserve">Transcorrido o prazo máximo de conservação de dados nos </w:t>
            </w:r>
            <w:r w:rsidRPr="002B5B1B">
              <w:t xml:space="preserve">termos da legislação nacional do Estado-Membro requerido, caso o Estado-Membro requerido tenha assinalado esse prazo </w:t>
            </w:r>
            <w:r w:rsidRPr="002B5B1B">
              <w:lastRenderedPageBreak/>
              <w:t>máximo ao Estado-Membro requerente quando da transmissão dos dados</w:t>
            </w:r>
            <w:r w:rsidRPr="002B5B1B">
              <w:rPr>
                <w:b/>
                <w:i/>
              </w:rPr>
              <w:t>.</w:t>
            </w:r>
          </w:p>
        </w:tc>
        <w:tc>
          <w:tcPr>
            <w:tcW w:w="4876" w:type="dxa"/>
          </w:tcPr>
          <w:p w:rsidR="003F5BF1" w:rsidRPr="002B5B1B" w:rsidRDefault="00D10947" w:rsidP="00D27444">
            <w:pPr>
              <w:pStyle w:val="Normal6"/>
              <w:rPr>
                <w:szCs w:val="24"/>
              </w:rPr>
            </w:pPr>
            <w:r w:rsidRPr="002B5B1B">
              <w:lastRenderedPageBreak/>
              <w:t>(b)</w:t>
            </w:r>
            <w:r w:rsidRPr="002B5B1B">
              <w:tab/>
              <w:t>Transcorrido o prazo máximo de conservação de dados nos termos da l</w:t>
            </w:r>
            <w:r w:rsidRPr="002B5B1B">
              <w:t xml:space="preserve">egislação nacional do Estado-Membro requerido, caso o Estado-Membro requerido </w:t>
            </w:r>
            <w:r w:rsidRPr="002B5B1B">
              <w:rPr>
                <w:b/>
                <w:i/>
              </w:rPr>
              <w:t>ou a Europol</w:t>
            </w:r>
            <w:r w:rsidRPr="002B5B1B">
              <w:t xml:space="preserve"> tenha assinalado </w:t>
            </w:r>
            <w:r w:rsidRPr="002B5B1B">
              <w:lastRenderedPageBreak/>
              <w:t>esse prazo máximo ao Estado-Membro requerente quando da transmissão dos dados</w:t>
            </w:r>
            <w:r w:rsidRPr="002B5B1B">
              <w:rPr>
                <w:b/>
                <w:i/>
              </w:rPr>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17</w:t>
      </w:r>
      <w:r w:rsidRPr="002B5B1B">
        <w:t>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52 – n.º 3 – alínea b-A) (nova)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(b-A)</w:t>
            </w:r>
            <w:r w:rsidRPr="002B5B1B">
              <w:rPr>
                <w:b/>
                <w:i/>
              </w:rPr>
              <w:tab/>
              <w:t>Transcorrido o prazo máximo de conservação de dados nos termos do Regulamento (UE) 2016/794.</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52 – n.º 3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Quando houver motivos para crer que o apagamento pode lesar os interesses do titular dos dados, os dados são </w:t>
            </w:r>
            <w:r w:rsidRPr="002B5B1B">
              <w:rPr>
                <w:b/>
                <w:i/>
              </w:rPr>
              <w:t>bloqueados</w:t>
            </w:r>
            <w:r w:rsidRPr="002B5B1B">
              <w:t xml:space="preserve"> em vez de serem apagados. Os dados </w:t>
            </w:r>
            <w:r w:rsidRPr="002B5B1B">
              <w:rPr>
                <w:b/>
                <w:i/>
              </w:rPr>
              <w:t>bloqueados</w:t>
            </w:r>
            <w:r w:rsidRPr="002B5B1B">
              <w:t xml:space="preserve"> só podem ser </w:t>
            </w:r>
            <w:r w:rsidRPr="002B5B1B">
              <w:rPr>
                <w:b/>
                <w:i/>
              </w:rPr>
              <w:t>transmitidos ou utilizados</w:t>
            </w:r>
            <w:r w:rsidRPr="002B5B1B">
              <w:t xml:space="preserve"> para o fim que obstou ao seu apagamento.</w:t>
            </w:r>
          </w:p>
        </w:tc>
        <w:tc>
          <w:tcPr>
            <w:tcW w:w="4876" w:type="dxa"/>
          </w:tcPr>
          <w:p w:rsidR="003F5BF1" w:rsidRPr="002B5B1B" w:rsidRDefault="00D10947" w:rsidP="0074550F">
            <w:pPr>
              <w:pStyle w:val="Normal6"/>
              <w:rPr>
                <w:szCs w:val="24"/>
              </w:rPr>
            </w:pPr>
            <w:r w:rsidRPr="002B5B1B">
              <w:t>Quando ho</w:t>
            </w:r>
            <w:r w:rsidRPr="002B5B1B">
              <w:t xml:space="preserve">uver motivos para crer que o apagamento pode lesar os interesses do titular dos dados, os dados são </w:t>
            </w:r>
            <w:r w:rsidRPr="002B5B1B">
              <w:rPr>
                <w:b/>
                <w:i/>
              </w:rPr>
              <w:t>limitados</w:t>
            </w:r>
            <w:r w:rsidRPr="002B5B1B">
              <w:t xml:space="preserve"> em vez de serem apagados. Os dados </w:t>
            </w:r>
            <w:r w:rsidRPr="002B5B1B">
              <w:rPr>
                <w:b/>
                <w:i/>
              </w:rPr>
              <w:t>limitados</w:t>
            </w:r>
            <w:r w:rsidRPr="002B5B1B">
              <w:t xml:space="preserve"> só podem ser </w:t>
            </w:r>
            <w:r w:rsidRPr="002B5B1B">
              <w:rPr>
                <w:b/>
                <w:i/>
              </w:rPr>
              <w:t>tratados</w:t>
            </w:r>
            <w:r w:rsidRPr="002B5B1B">
              <w:t xml:space="preserve"> para o fim que obstou ao seu apagamento.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53 – n.º 2-A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2829D9">
            <w:pPr>
              <w:pStyle w:val="Normal6"/>
              <w:rPr>
                <w:szCs w:val="24"/>
              </w:rPr>
            </w:pPr>
            <w:r w:rsidRPr="002B5B1B">
              <w:rPr>
                <w:b/>
                <w:i/>
              </w:rPr>
              <w:t>2-A.</w:t>
            </w:r>
            <w:r w:rsidRPr="002B5B1B">
              <w:rPr>
                <w:b/>
                <w:i/>
              </w:rPr>
              <w:tab/>
              <w:t xml:space="preserve">Os Estados-Membros são os subcontratantes para o tratamento de dados pessoais </w:t>
            </w:r>
            <w:r w:rsidRPr="002B5B1B">
              <w:rPr>
                <w:b/>
                <w:i/>
              </w:rPr>
              <w:t>através do EUCARIS.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54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A Europol, a eu-LISA e as autoridades dos</w:t>
            </w:r>
            <w:r w:rsidRPr="002B5B1B">
              <w:t xml:space="preserve"> Estados-Membros garantem a segurança do tratamento dos dados pessoais realizado nos termos do presente regulamento. A Europol, a eu-LISA e as autoridades dos Estados-Membros cooperam em tarefas relacionadas com a segurança.</w:t>
            </w:r>
          </w:p>
        </w:tc>
        <w:tc>
          <w:tcPr>
            <w:tcW w:w="4876" w:type="dxa"/>
          </w:tcPr>
          <w:p w:rsidR="003F5BF1" w:rsidRPr="002B5B1B" w:rsidRDefault="00D10947" w:rsidP="00D27444">
            <w:pPr>
              <w:pStyle w:val="Normal6"/>
              <w:rPr>
                <w:szCs w:val="24"/>
              </w:rPr>
            </w:pPr>
            <w:r w:rsidRPr="002B5B1B">
              <w:t>1.</w:t>
            </w:r>
            <w:r w:rsidRPr="002B5B1B">
              <w:tab/>
              <w:t>A Europol, a eu-LISA e as au</w:t>
            </w:r>
            <w:r w:rsidRPr="002B5B1B">
              <w:t xml:space="preserve">toridades </w:t>
            </w:r>
            <w:r w:rsidRPr="002B5B1B">
              <w:rPr>
                <w:b/>
                <w:i/>
              </w:rPr>
              <w:t>de aplicação da lei competentes</w:t>
            </w:r>
            <w:r w:rsidRPr="002B5B1B">
              <w:t xml:space="preserve"> dos Estados-Membros garantem a segurança do tratamento dos dados pessoais realizado nos termos do presente regulamento. A Europol, a eu-LISA e as autoridades </w:t>
            </w:r>
            <w:r w:rsidRPr="002B5B1B">
              <w:rPr>
                <w:b/>
                <w:i/>
              </w:rPr>
              <w:t>de aplicação da lei competentes</w:t>
            </w:r>
            <w:r w:rsidRPr="002B5B1B">
              <w:t xml:space="preserve"> dos Estados-Membros cooperam em tarefas relacionadas com a segurança.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54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w:t>
            </w:r>
            <w:r w:rsidRPr="002B5B1B">
              <w:t>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Sem prejuízo do artigo </w:t>
            </w:r>
            <w:r w:rsidRPr="002B5B1B">
              <w:rPr>
                <w:b/>
                <w:i/>
              </w:rPr>
              <w:t>33.º</w:t>
            </w:r>
            <w:r w:rsidRPr="002B5B1B">
              <w:t xml:space="preserve"> do Regulamento (UE) 2018/1725 e do artigo 32.º do Regulamento (UE) 2016/794, a eu-LISA e a Europol adotam as medidas necessárias para garantir a segurança do encaminhador e do EPRIS, respetivamente, bem como da sua infraestrutura de comunicação conexa.</w:t>
            </w:r>
          </w:p>
        </w:tc>
        <w:tc>
          <w:tcPr>
            <w:tcW w:w="4876" w:type="dxa"/>
          </w:tcPr>
          <w:p w:rsidR="003F5BF1" w:rsidRPr="002B5B1B" w:rsidRDefault="00D10947" w:rsidP="00D27444">
            <w:pPr>
              <w:pStyle w:val="Normal6"/>
              <w:rPr>
                <w:szCs w:val="24"/>
              </w:rPr>
            </w:pPr>
            <w:r w:rsidRPr="002B5B1B">
              <w:t>2.</w:t>
            </w:r>
            <w:r w:rsidRPr="002B5B1B">
              <w:tab/>
              <w:t>Sem prejuízo do artigo </w:t>
            </w:r>
            <w:r w:rsidRPr="002B5B1B">
              <w:rPr>
                <w:b/>
                <w:i/>
              </w:rPr>
              <w:t>91.º</w:t>
            </w:r>
            <w:r w:rsidRPr="002B5B1B">
              <w:t xml:space="preserve"> do Regulamento (UE) 2018/1725 e do artigo 32.º do Regulamento (UE) 2016/794, a eu-LISA e a Europol adotam as medidas necessárias para garantir a segurança do encaminhador e do EPRIS, respetivamente, bem como da sua infraestrutu</w:t>
            </w:r>
            <w:r w:rsidRPr="002B5B1B">
              <w:t>ra de comunicação conexa.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55 – n.º 3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Sem prejuízo do </w:t>
            </w:r>
            <w:r w:rsidRPr="002B5B1B">
              <w:t xml:space="preserve">artigo 34.º do Regulamento (UE) 2016/794, a Europol notifica a CERT-UE de ciberameaças significativas, vulnerabilidades significativas e incidentes significativos sem demora injustificada e, em todo o caso, no prazo de 24 horas após tomar conhecimento dos </w:t>
            </w:r>
            <w:r w:rsidRPr="002B5B1B">
              <w:t>mesmos. Os pormenores técnicos acionáveis e adequados sobre ciberameaças, vulnerabilidades e incidentes que permitam uma deteção, resposta a incidentes ou medidas de atenuação proativas são divulgados à CERT-UE sem demora injustificada.</w:t>
            </w:r>
          </w:p>
        </w:tc>
        <w:tc>
          <w:tcPr>
            <w:tcW w:w="4876" w:type="dxa"/>
          </w:tcPr>
          <w:p w:rsidR="003F5BF1" w:rsidRPr="002B5B1B" w:rsidRDefault="00D10947" w:rsidP="0074550F">
            <w:pPr>
              <w:pStyle w:val="Normal6"/>
              <w:rPr>
                <w:szCs w:val="24"/>
              </w:rPr>
            </w:pPr>
            <w:r w:rsidRPr="002B5B1B">
              <w:t>Sem prejuízo do art</w:t>
            </w:r>
            <w:r w:rsidRPr="002B5B1B">
              <w:t xml:space="preserve">igo 34.º do Regulamento (UE) 2016/794 </w:t>
            </w:r>
            <w:r w:rsidRPr="002B5B1B">
              <w:rPr>
                <w:b/>
                <w:i/>
              </w:rPr>
              <w:t>e do artigo 92.º do Regulamento (UE) 2018/1725</w:t>
            </w:r>
            <w:r w:rsidRPr="002B5B1B">
              <w:t>, a Europol notifica a CERT-UE de ciberameaças significativas, vulnerabilidades significativas e incidentes significativos sem demora injustificada e, em todo o caso, no pr</w:t>
            </w:r>
            <w:r w:rsidRPr="002B5B1B">
              <w:t>azo de 24 horas após tomar conhecimento dos mesmos. Os pormenores técnicos acionáveis e adequados sobre ciberameaças, vulnerabilidades e incidentes que permitam uma deteção, resposta a incidentes ou medidas de atenuação proativas são divulgados à CERT-UE s</w:t>
            </w:r>
            <w:r w:rsidRPr="002B5B1B">
              <w:t>em demora injustificada.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55 – n.º 3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Em caso de incidente de </w:t>
            </w:r>
            <w:r w:rsidRPr="002B5B1B">
              <w:t xml:space="preserve">segurança relacionado com a infraestrutura central do encaminhador, a eu-LISA notifica a CERT-UE de ciberameaças significativas, vulnerabilidades significativas e incidentes significativos sem demora injustificada e, em todo o caso, o mais tardar 24 horas </w:t>
            </w:r>
            <w:r w:rsidRPr="002B5B1B">
              <w:t xml:space="preserve">após tomar conhecimento dos mesmos. Os pormenores técnicos acionáveis e adequados sobre ciberameaças, </w:t>
            </w:r>
            <w:r w:rsidRPr="002B5B1B">
              <w:lastRenderedPageBreak/>
              <w:t>vulnerabilidades e incidentes que permitam uma deteção, resposta a incidentes ou medidas de atenuação proativas são divulgados à CERT-UE sem demora injust</w:t>
            </w:r>
            <w:r w:rsidRPr="002B5B1B">
              <w:t>ificada.</w:t>
            </w:r>
          </w:p>
        </w:tc>
        <w:tc>
          <w:tcPr>
            <w:tcW w:w="4876" w:type="dxa"/>
          </w:tcPr>
          <w:p w:rsidR="003F5BF1" w:rsidRPr="002B5B1B" w:rsidRDefault="00D10947" w:rsidP="00D27444">
            <w:pPr>
              <w:pStyle w:val="Normal6"/>
              <w:rPr>
                <w:szCs w:val="24"/>
              </w:rPr>
            </w:pPr>
            <w:r w:rsidRPr="002B5B1B">
              <w:lastRenderedPageBreak/>
              <w:t>Em caso de incidente de segurança relacionado com a infraestrutura central do encaminhador</w:t>
            </w:r>
            <w:r w:rsidRPr="002B5B1B">
              <w:rPr>
                <w:b/>
                <w:i/>
              </w:rPr>
              <w:t>, e sem prejuízo dos artigos 34.º e 92.º do Regulamento (UE) 2018/1725</w:t>
            </w:r>
            <w:r w:rsidRPr="002B5B1B">
              <w:t>, a Europol notifica a CERT-UE de ciberameaças significativas, vulnerabilidades signifi</w:t>
            </w:r>
            <w:r w:rsidRPr="002B5B1B">
              <w:t xml:space="preserve">cativas e incide, a eu-LISA notifica a CERT-UE de ciberameaças significativas, vulnerabilidades significativas e incidentes </w:t>
            </w:r>
            <w:r w:rsidRPr="002B5B1B">
              <w:lastRenderedPageBreak/>
              <w:t xml:space="preserve">significativos sem demora injustificada e, em todo o caso, o mais tardar 24 horas após tomar conhecimento dos mesmos. Os pormenores </w:t>
            </w:r>
            <w:r w:rsidRPr="002B5B1B">
              <w:t>técnicos acionáveis e adequados sobre ciberameaças, vulnerabilidades e incidentes que permitam uma deteção, resposta a incidentes ou medidas de atenuação proativas são divulgados à CERT-UE sem demora injustificada.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56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Os Estados-Membros </w:t>
            </w:r>
            <w:r w:rsidRPr="002B5B1B">
              <w:rPr>
                <w:b/>
                <w:i/>
              </w:rPr>
              <w:t>e as agências competentes da União</w:t>
            </w:r>
            <w:r w:rsidRPr="002B5B1B">
              <w:t xml:space="preserve"> asseguram que cada autoridade com direito de utilização do Prüm II toma as medidas necessárias para controlar o cumprimento do presente regulamento e coopera, sempre que necessário, com a autoridade de controlo.</w:t>
            </w:r>
          </w:p>
        </w:tc>
        <w:tc>
          <w:tcPr>
            <w:tcW w:w="4876" w:type="dxa"/>
          </w:tcPr>
          <w:p w:rsidR="003F5BF1" w:rsidRPr="002B5B1B" w:rsidRDefault="00D10947" w:rsidP="00D27444">
            <w:pPr>
              <w:pStyle w:val="Normal6"/>
              <w:rPr>
                <w:szCs w:val="24"/>
              </w:rPr>
            </w:pPr>
            <w:r w:rsidRPr="002B5B1B">
              <w:t>1.</w:t>
            </w:r>
            <w:r w:rsidRPr="002B5B1B">
              <w:tab/>
              <w:t>Os Estados-Membros asseguram que cada au</w:t>
            </w:r>
            <w:r w:rsidRPr="002B5B1B">
              <w:t>toridade com direito de utilização do Prüm II toma as medidas necessárias para controlar o cumprimento do presente regulamento e coopera, sempre que necessário, com a autoridade de controlo.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w:t>
      </w:r>
      <w:r w:rsidRPr="002B5B1B">
        <w:rPr>
          <w:rStyle w:val="HideTWBExt"/>
          <w:b w:val="0"/>
          <w:noProof w:val="0"/>
        </w:rPr>
        <w:t>m&gt;</w:t>
      </w:r>
      <w:r w:rsidRPr="002B5B1B">
        <w:t>187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56 – n.º 1 – parágrafo 1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 xml:space="preserve">A Europol toma as medidas necessárias para controlar o cumprimento do presente regulamento e coopera, </w:t>
            </w:r>
            <w:r w:rsidRPr="002B5B1B">
              <w:rPr>
                <w:b/>
                <w:i/>
              </w:rPr>
              <w:t>sempre que necessário, com a Autoridade Europeia para a Proteção de Dado.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56 – n.º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Os responsáveis pelo tratamento dos dados tomam as medidas necessárias para verificar a conformidade do tratamento de dados ao abrigo do presente regulamento, incluindo através da verificação dos registos referidos nos artigos 40.º e 45.º, e </w:t>
            </w:r>
            <w:r w:rsidRPr="002B5B1B">
              <w:t>cooperam, se necessário, com as autoridades de controlo e a Autoridade Europeia para a Proteção de Dados.</w:t>
            </w:r>
          </w:p>
        </w:tc>
        <w:tc>
          <w:tcPr>
            <w:tcW w:w="4876" w:type="dxa"/>
          </w:tcPr>
          <w:p w:rsidR="003F5BF1" w:rsidRPr="002B5B1B" w:rsidRDefault="00D10947" w:rsidP="00D27444">
            <w:pPr>
              <w:pStyle w:val="Normal6"/>
              <w:rPr>
                <w:szCs w:val="24"/>
              </w:rPr>
            </w:pPr>
            <w:r w:rsidRPr="002B5B1B">
              <w:t>2.</w:t>
            </w:r>
            <w:r w:rsidRPr="002B5B1B">
              <w:tab/>
              <w:t>Os responsáveis pelo tratamento dos dados tomam as medidas necessárias para verificar a conformidade do tratamento de dados ao abrigo do presente r</w:t>
            </w:r>
            <w:r w:rsidRPr="002B5B1B">
              <w:t>egulamento, incluindo através da verificação dos registos referidos nos artigos </w:t>
            </w:r>
            <w:r w:rsidRPr="002B5B1B">
              <w:rPr>
                <w:b/>
                <w:i/>
              </w:rPr>
              <w:t>20.º,</w:t>
            </w:r>
            <w:r w:rsidRPr="002B5B1B">
              <w:t xml:space="preserve"> 40.º e 45.º, e cooperam, se necessário </w:t>
            </w:r>
            <w:r w:rsidRPr="002B5B1B">
              <w:rPr>
                <w:b/>
                <w:i/>
              </w:rPr>
              <w:t>e conforme pertinente</w:t>
            </w:r>
            <w:r w:rsidRPr="002B5B1B">
              <w:t xml:space="preserve">, com as autoridades de controlo e a Autoridade Europeia para a Proteção de Dados.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w:t>
      </w:r>
      <w:r w:rsidRPr="002B5B1B">
        <w:rPr>
          <w:rStyle w:val="HideTWBExt"/>
          <w:noProof w:val="0"/>
        </w:rPr>
        <w:t>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189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61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As autoridades de controlo e a Autoridade Europeia para a Proteção de Dados, agindo cada uma no âmbito das respetivas competências, cooperam ativamente no âmbito das respetivas responsabilidades </w:t>
            </w:r>
            <w:r w:rsidRPr="002B5B1B">
              <w:rPr>
                <w:b/>
                <w:i/>
              </w:rPr>
              <w:t>e asseguram</w:t>
            </w:r>
            <w:r w:rsidRPr="002B5B1B">
              <w:t xml:space="preserve"> a supervisão coordenada da aplicação do presente </w:t>
            </w:r>
            <w:r w:rsidRPr="002B5B1B">
              <w:t>regulamento, em particular se a Autoridade Europeia para a Proteção de Dados ou uma autoridade de controlo detetar discrepâncias relevantes entre as práticas dos Estados-Membros ou detetar transferências potencialmente ilegais através dos canais de comunic</w:t>
            </w:r>
            <w:r w:rsidRPr="002B5B1B">
              <w:t>ação Prüm II.</w:t>
            </w:r>
          </w:p>
        </w:tc>
        <w:tc>
          <w:tcPr>
            <w:tcW w:w="4876" w:type="dxa"/>
          </w:tcPr>
          <w:p w:rsidR="003F5BF1" w:rsidRPr="002B5B1B" w:rsidRDefault="00D10947" w:rsidP="00D27444">
            <w:pPr>
              <w:pStyle w:val="Normal6"/>
              <w:rPr>
                <w:szCs w:val="24"/>
              </w:rPr>
            </w:pPr>
            <w:r w:rsidRPr="002B5B1B">
              <w:t>1.</w:t>
            </w:r>
            <w:r w:rsidRPr="002B5B1B">
              <w:tab/>
              <w:t xml:space="preserve">As autoridades de controlo e a Autoridade Europeia para a Proteção de Dados, agindo cada uma no âmbito das respetivas competências, cooperam ativamente no âmbito das respetivas responsabilidades </w:t>
            </w:r>
            <w:r w:rsidRPr="002B5B1B">
              <w:rPr>
                <w:b/>
                <w:i/>
              </w:rPr>
              <w:t>para assegurar</w:t>
            </w:r>
            <w:r w:rsidRPr="002B5B1B">
              <w:t xml:space="preserve"> a supervisão coordenada da ap</w:t>
            </w:r>
            <w:r w:rsidRPr="002B5B1B">
              <w:t>licação do presente regulamento, em particular se a Autoridade Europeia para a Proteção de Dados ou uma autoridade de controlo detetar discrepâncias relevantes entre as práticas dos Estados-Membros ou detetar transferências potencialmente ilegais através d</w:t>
            </w:r>
            <w:r w:rsidRPr="002B5B1B">
              <w:t>os canais de comunicação Prüm II.</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lastRenderedPageBreak/>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62 – título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Comunicação</w:t>
            </w:r>
            <w:r w:rsidRPr="002B5B1B">
              <w:t xml:space="preserve"> de dados pessoais para países terceiros e organizações internacionais</w:t>
            </w:r>
          </w:p>
        </w:tc>
        <w:tc>
          <w:tcPr>
            <w:tcW w:w="4876" w:type="dxa"/>
          </w:tcPr>
          <w:p w:rsidR="003F5BF1" w:rsidRPr="002B5B1B" w:rsidRDefault="00D10947" w:rsidP="00D27444">
            <w:pPr>
              <w:pStyle w:val="Normal6"/>
              <w:rPr>
                <w:szCs w:val="24"/>
              </w:rPr>
            </w:pPr>
            <w:r w:rsidRPr="002B5B1B">
              <w:rPr>
                <w:b/>
                <w:i/>
              </w:rPr>
              <w:t>Transferência</w:t>
            </w:r>
            <w:r w:rsidRPr="002B5B1B">
              <w:t xml:space="preserve"> de dados pessoais para países terceiros e organizações internacionais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62 – parágrafo 1</w:t>
      </w:r>
      <w:r w:rsidRPr="002B5B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445260">
        <w:trPr>
          <w:jc w:val="center"/>
        </w:trPr>
        <w:tc>
          <w:tcPr>
            <w:tcW w:w="9752" w:type="dxa"/>
            <w:gridSpan w:val="2"/>
          </w:tcPr>
          <w:p w:rsidR="003F5BF1" w:rsidRPr="002B5B1B" w:rsidRDefault="003F5BF1" w:rsidP="00D27444">
            <w:pPr>
              <w:keepNext/>
            </w:pPr>
          </w:p>
        </w:tc>
      </w:tr>
      <w:tr w:rsidR="008B152A" w:rsidRPr="002B5B1B" w:rsidTr="00445260">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445260">
        <w:trPr>
          <w:jc w:val="center"/>
        </w:trPr>
        <w:tc>
          <w:tcPr>
            <w:tcW w:w="4876" w:type="dxa"/>
          </w:tcPr>
          <w:p w:rsidR="003F5BF1" w:rsidRPr="002B5B1B" w:rsidRDefault="00D10947" w:rsidP="00D27444">
            <w:pPr>
              <w:pStyle w:val="Normal6"/>
            </w:pPr>
            <w:r w:rsidRPr="002B5B1B">
              <w:rPr>
                <w:b/>
                <w:i/>
              </w:rPr>
              <w:t>Os dados objeto de tratamento</w:t>
            </w:r>
            <w:r w:rsidRPr="002B5B1B">
              <w:t xml:space="preserve"> nos termos do presente regulamento </w:t>
            </w:r>
            <w:r w:rsidRPr="002B5B1B">
              <w:rPr>
                <w:b/>
                <w:i/>
              </w:rPr>
              <w:t>não são transferidos</w:t>
            </w:r>
            <w:r w:rsidRPr="002B5B1B">
              <w:t xml:space="preserve"> para </w:t>
            </w:r>
            <w:r w:rsidRPr="002B5B1B">
              <w:rPr>
                <w:b/>
                <w:i/>
              </w:rPr>
              <w:t>países terceiros ou organizações internacionais nem são a estes disp</w:t>
            </w:r>
            <w:r w:rsidRPr="002B5B1B">
              <w:rPr>
                <w:b/>
                <w:i/>
              </w:rPr>
              <w:t>onibilizados de forma automatizada</w:t>
            </w:r>
            <w:r w:rsidRPr="002B5B1B">
              <w:t>.</w:t>
            </w:r>
          </w:p>
        </w:tc>
        <w:tc>
          <w:tcPr>
            <w:tcW w:w="4876" w:type="dxa"/>
          </w:tcPr>
          <w:p w:rsidR="003F5BF1" w:rsidRPr="002B5B1B" w:rsidRDefault="00D10947" w:rsidP="0074550F">
            <w:pPr>
              <w:pStyle w:val="Normal6"/>
              <w:rPr>
                <w:szCs w:val="24"/>
              </w:rPr>
            </w:pPr>
            <w:r w:rsidRPr="002B5B1B">
              <w:rPr>
                <w:b/>
                <w:i/>
              </w:rPr>
              <w:t xml:space="preserve">1. </w:t>
            </w:r>
            <w:r w:rsidRPr="002B5B1B">
              <w:tab/>
            </w:r>
            <w:r w:rsidRPr="002B5B1B">
              <w:rPr>
                <w:b/>
                <w:i/>
              </w:rPr>
              <w:t>Um Estado-Membro requerente só pode transferir quaisquer dados que tenha obtido</w:t>
            </w:r>
            <w:r w:rsidRPr="002B5B1B">
              <w:t xml:space="preserve"> nos termos do presente regulamento para </w:t>
            </w:r>
            <w:r w:rsidRPr="002B5B1B">
              <w:rPr>
                <w:b/>
                <w:i/>
              </w:rPr>
              <w:t xml:space="preserve">um país terceiro ou uma organização internacional em conformidade com o capítulo V da Diretiva </w:t>
            </w:r>
            <w:r w:rsidRPr="002B5B1B">
              <w:rPr>
                <w:b/>
                <w:i/>
              </w:rPr>
              <w:t xml:space="preserve">(UE) 2016/680 e se o Estado-Membro requerido tiver concedido a sua autorização antes da transferência.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9857FE" w:rsidRPr="002B5B1B" w:rsidRDefault="00D10947" w:rsidP="009857FE">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192</w:t>
      </w:r>
      <w:r w:rsidRPr="002B5B1B">
        <w:rPr>
          <w:rStyle w:val="HideTWBExt"/>
          <w:b w:val="0"/>
          <w:noProof w:val="0"/>
        </w:rPr>
        <w:t>&lt;/NumAm&gt;</w:t>
      </w:r>
    </w:p>
    <w:p w:rsidR="009857FE" w:rsidRPr="002B5B1B" w:rsidRDefault="00D10947" w:rsidP="009857FE">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9857FE" w:rsidRPr="002B5B1B" w:rsidRDefault="00D10947" w:rsidP="009857FE">
      <w:pPr>
        <w:pStyle w:val="NormalBold"/>
      </w:pPr>
      <w:r w:rsidRPr="002B5B1B">
        <w:rPr>
          <w:rStyle w:val="HideTWBExt"/>
          <w:b w:val="0"/>
          <w:noProof w:val="0"/>
        </w:rPr>
        <w:t>&lt;Article&gt;</w:t>
      </w:r>
      <w:r w:rsidRPr="002B5B1B">
        <w:t>Artigo 62 – n.º 1-A</w:t>
      </w:r>
      <w:r w:rsidRPr="002B5B1B">
        <w:t xml:space="preserve"> (novo)</w:t>
      </w:r>
      <w:r w:rsidRPr="002B5B1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445260">
        <w:trPr>
          <w:jc w:val="center"/>
        </w:trPr>
        <w:tc>
          <w:tcPr>
            <w:tcW w:w="9752" w:type="dxa"/>
            <w:gridSpan w:val="2"/>
          </w:tcPr>
          <w:p w:rsidR="009857FE" w:rsidRPr="002B5B1B" w:rsidRDefault="009857FE" w:rsidP="00AB05B7">
            <w:pPr>
              <w:keepNext/>
            </w:pPr>
          </w:p>
        </w:tc>
      </w:tr>
      <w:tr w:rsidR="008B152A" w:rsidRPr="002B5B1B" w:rsidTr="00445260">
        <w:trPr>
          <w:jc w:val="center"/>
        </w:trPr>
        <w:tc>
          <w:tcPr>
            <w:tcW w:w="4876" w:type="dxa"/>
          </w:tcPr>
          <w:p w:rsidR="009857FE" w:rsidRPr="002B5B1B" w:rsidRDefault="00D10947" w:rsidP="00AB05B7">
            <w:pPr>
              <w:pStyle w:val="ColumnHeading"/>
              <w:keepNext/>
            </w:pPr>
            <w:r w:rsidRPr="002B5B1B">
              <w:t>Texto da Comissão</w:t>
            </w:r>
          </w:p>
        </w:tc>
        <w:tc>
          <w:tcPr>
            <w:tcW w:w="4876" w:type="dxa"/>
          </w:tcPr>
          <w:p w:rsidR="009857FE" w:rsidRPr="002B5B1B" w:rsidRDefault="00D10947" w:rsidP="00AB05B7">
            <w:pPr>
              <w:pStyle w:val="ColumnHeading"/>
              <w:keepNext/>
            </w:pPr>
            <w:r w:rsidRPr="002B5B1B">
              <w:t>Alteração</w:t>
            </w:r>
          </w:p>
        </w:tc>
      </w:tr>
      <w:tr w:rsidR="008B152A" w:rsidRPr="002B5B1B" w:rsidTr="00445260">
        <w:trPr>
          <w:jc w:val="center"/>
        </w:trPr>
        <w:tc>
          <w:tcPr>
            <w:tcW w:w="4876" w:type="dxa"/>
          </w:tcPr>
          <w:p w:rsidR="009857FE" w:rsidRPr="002B5B1B" w:rsidRDefault="009857FE" w:rsidP="00AB05B7">
            <w:pPr>
              <w:pStyle w:val="Normal6"/>
            </w:pPr>
          </w:p>
        </w:tc>
        <w:tc>
          <w:tcPr>
            <w:tcW w:w="4876" w:type="dxa"/>
          </w:tcPr>
          <w:p w:rsidR="009857FE" w:rsidRPr="002B5B1B" w:rsidRDefault="00D10947" w:rsidP="0074550F">
            <w:pPr>
              <w:pStyle w:val="Normal6"/>
              <w:rPr>
                <w:szCs w:val="24"/>
              </w:rPr>
            </w:pPr>
            <w:r w:rsidRPr="002B5B1B">
              <w:rPr>
                <w:b/>
                <w:i/>
              </w:rPr>
              <w:t xml:space="preserve">1-A. </w:t>
            </w:r>
            <w:r w:rsidRPr="002B5B1B">
              <w:tab/>
            </w:r>
            <w:r w:rsidRPr="002B5B1B">
              <w:rPr>
                <w:b/>
                <w:i/>
              </w:rPr>
              <w:t xml:space="preserve">A Europol só pode transferir quaisquer dados que tenha obtido nos termos do presente regulamento para um país terceiro ou uma organização </w:t>
            </w:r>
            <w:r w:rsidRPr="002B5B1B">
              <w:rPr>
                <w:b/>
                <w:i/>
              </w:rPr>
              <w:lastRenderedPageBreak/>
              <w:t xml:space="preserve">internacional se estiverem preenchidas as condições </w:t>
            </w:r>
            <w:r w:rsidRPr="002B5B1B">
              <w:rPr>
                <w:b/>
                <w:i/>
              </w:rPr>
              <w:t>estabelecidas no artigo 25.º do Regulamento (UE) 2016/794 e se o Estado-Membro requerido tiver concedido a sua autorização antes da transferência</w:t>
            </w:r>
            <w:r w:rsidRPr="002B5B1B">
              <w:t>.</w:t>
            </w:r>
          </w:p>
        </w:tc>
      </w:tr>
    </w:tbl>
    <w:p w:rsidR="009857FE" w:rsidRPr="002B5B1B" w:rsidRDefault="00D10947" w:rsidP="009857FE">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9857FE" w:rsidRPr="002B5B1B" w:rsidRDefault="00D10947" w:rsidP="009857FE">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w:t>
      </w:r>
      <w:r w:rsidRPr="002B5B1B">
        <w:t>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63 – n.º 1 – alínea g)</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(g)</w:t>
            </w:r>
            <w:r w:rsidRPr="002B5B1B">
              <w:tab/>
              <w:t xml:space="preserve">Gestão e disponibilização do acesso por parte do pessoal devidamente autorizado das autoridades nacionais competentes ao encaminhador em conformidade com o </w:t>
            </w:r>
            <w:r w:rsidRPr="002B5B1B">
              <w:t>presente regulamento, e criação e atualização periódica de uma lista dos membros do pessoal e respetivos perfis;</w:t>
            </w:r>
          </w:p>
        </w:tc>
        <w:tc>
          <w:tcPr>
            <w:tcW w:w="4876" w:type="dxa"/>
          </w:tcPr>
          <w:p w:rsidR="003F5BF1" w:rsidRPr="002B5B1B" w:rsidRDefault="00D10947" w:rsidP="00D27444">
            <w:pPr>
              <w:pStyle w:val="Normal6"/>
              <w:rPr>
                <w:szCs w:val="24"/>
              </w:rPr>
            </w:pPr>
            <w:r w:rsidRPr="002B5B1B">
              <w:t>(g)</w:t>
            </w:r>
            <w:r w:rsidRPr="002B5B1B">
              <w:tab/>
              <w:t xml:space="preserve">Gestão e disponibilização do acesso por parte do pessoal devidamente autorizado das autoridades nacionais </w:t>
            </w:r>
            <w:r w:rsidRPr="002B5B1B">
              <w:rPr>
                <w:b/>
                <w:i/>
              </w:rPr>
              <w:t>de aplicação da lei</w:t>
            </w:r>
            <w:r w:rsidRPr="002B5B1B">
              <w:t xml:space="preserve"> competentes a</w:t>
            </w:r>
            <w:r w:rsidRPr="002B5B1B">
              <w:t>o encaminhador em conformidade com o presente regulamento, e criação e atualização periódica de uma lista dos membros do pessoal e respetivos perfis;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63 – n.º 1 – alínea h)</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(h)</w:t>
            </w:r>
            <w:r w:rsidRPr="002B5B1B">
              <w:tab/>
              <w:t xml:space="preserve">Gestão e disponibilização do acesso por parte do pessoal devidamente autorizado das autoridades nacionais competentes ao EPRIS em conformidade com o </w:t>
            </w:r>
            <w:r w:rsidRPr="002B5B1B">
              <w:t>presente regulamento, e criação e atualização periódica de uma lista dos membros do pessoal e respetivos perfis;</w:t>
            </w:r>
          </w:p>
        </w:tc>
        <w:tc>
          <w:tcPr>
            <w:tcW w:w="4876" w:type="dxa"/>
          </w:tcPr>
          <w:p w:rsidR="003F5BF1" w:rsidRPr="002B5B1B" w:rsidRDefault="00D10947" w:rsidP="00D27444">
            <w:pPr>
              <w:pStyle w:val="Normal6"/>
              <w:rPr>
                <w:szCs w:val="24"/>
              </w:rPr>
            </w:pPr>
            <w:r w:rsidRPr="002B5B1B">
              <w:t>(h)</w:t>
            </w:r>
            <w:r w:rsidRPr="002B5B1B">
              <w:tab/>
              <w:t xml:space="preserve">Gestão e disponibilização do acesso por parte do pessoal devidamente autorizado das autoridades nacionais </w:t>
            </w:r>
            <w:r w:rsidRPr="002B5B1B">
              <w:rPr>
                <w:b/>
                <w:i/>
              </w:rPr>
              <w:t>de aplicação da lei</w:t>
            </w:r>
            <w:r w:rsidRPr="002B5B1B">
              <w:t xml:space="preserve"> competentes a</w:t>
            </w:r>
            <w:r w:rsidRPr="002B5B1B">
              <w:t>o EPRIS em conformidade com o presente regulamento, e criação e atualização periódica de uma lista dos membros do pessoal e respetivos perfis;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195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w:t>
      </w:r>
      <w:r w:rsidRPr="002B5B1B">
        <w:rPr>
          <w:rStyle w:val="HideTWBExt"/>
          <w:b w:val="0"/>
          <w:noProof w:val="0"/>
        </w:rPr>
        <w:t>/DocAmend&gt;</w:t>
      </w:r>
    </w:p>
    <w:p w:rsidR="003F5BF1" w:rsidRPr="002B5B1B" w:rsidRDefault="00D10947" w:rsidP="003F5BF1">
      <w:pPr>
        <w:pStyle w:val="NormalBold"/>
      </w:pPr>
      <w:r w:rsidRPr="002B5B1B">
        <w:rPr>
          <w:rStyle w:val="HideTWBExt"/>
          <w:b w:val="0"/>
          <w:noProof w:val="0"/>
        </w:rPr>
        <w:t>&lt;Article&gt;</w:t>
      </w:r>
      <w:r w:rsidRPr="002B5B1B">
        <w:t>Artigo 63 – n.º 1 – alínea i)</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(i)</w:t>
            </w:r>
            <w:r w:rsidRPr="002B5B1B">
              <w:tab/>
              <w:t xml:space="preserve">Gestão e disponibilização do acesso por parte do pessoal devidamente autorizado das autoridades nacionais competentes ao EUCARIS em conformidade com o presente </w:t>
            </w:r>
            <w:r w:rsidRPr="002B5B1B">
              <w:t>regulamento, e criação e atualização periódica de uma lista dos membros do pessoal e respetivos perfis;</w:t>
            </w:r>
          </w:p>
        </w:tc>
        <w:tc>
          <w:tcPr>
            <w:tcW w:w="4876" w:type="dxa"/>
          </w:tcPr>
          <w:p w:rsidR="003F5BF1" w:rsidRPr="002B5B1B" w:rsidRDefault="00D10947" w:rsidP="00D27444">
            <w:pPr>
              <w:pStyle w:val="Normal6"/>
              <w:rPr>
                <w:szCs w:val="24"/>
              </w:rPr>
            </w:pPr>
            <w:r w:rsidRPr="002B5B1B">
              <w:t>(i)</w:t>
            </w:r>
            <w:r w:rsidRPr="002B5B1B">
              <w:tab/>
              <w:t xml:space="preserve">Gestão e disponibilização do acesso por parte do pessoal devidamente autorizado das autoridades nacionais </w:t>
            </w:r>
            <w:r w:rsidRPr="002B5B1B">
              <w:rPr>
                <w:b/>
                <w:i/>
              </w:rPr>
              <w:t>de aplicação da lei</w:t>
            </w:r>
            <w:r w:rsidRPr="002B5B1B">
              <w:t xml:space="preserve"> competentes ao EUCARIS</w:t>
            </w:r>
            <w:r w:rsidRPr="002B5B1B">
              <w:t xml:space="preserve"> em conformidade com o presente regulamento, e criação e atualização periódica de uma lista dos membros do pessoal e respetivos perfis;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w:t>
      </w:r>
      <w:r w:rsidRPr="002B5B1B">
        <w:rPr>
          <w:rStyle w:val="HideTWBExt"/>
          <w:b w:val="0"/>
          <w:noProof w:val="0"/>
        </w:rPr>
        <w:t>nd&gt;</w:t>
      </w:r>
    </w:p>
    <w:p w:rsidR="003F5BF1" w:rsidRPr="002B5B1B" w:rsidRDefault="00D10947" w:rsidP="003F5BF1">
      <w:pPr>
        <w:pStyle w:val="NormalBold"/>
      </w:pPr>
      <w:r w:rsidRPr="002B5B1B">
        <w:rPr>
          <w:rStyle w:val="HideTWBExt"/>
          <w:b w:val="0"/>
          <w:noProof w:val="0"/>
        </w:rPr>
        <w:t>&lt;Article&gt;</w:t>
      </w:r>
      <w:r w:rsidRPr="002B5B1B">
        <w:t>Artigo 63 – n.º 1 – alínea m)</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(m)</w:t>
            </w:r>
            <w:r w:rsidRPr="002B5B1B">
              <w:tab/>
              <w:t xml:space="preserve">Apagamento de quaisquer dados recebidos de um Estado-Membro requerido no prazo de 48 horas a contar da notificação do Estado-Membro requerido de que os dados pessoais </w:t>
            </w:r>
            <w:r w:rsidRPr="002B5B1B">
              <w:t>apresentados eram inexatos, deixaram de estar atualizados ou foram transmitidos ilicitamente.</w:t>
            </w:r>
          </w:p>
        </w:tc>
        <w:tc>
          <w:tcPr>
            <w:tcW w:w="4876" w:type="dxa"/>
          </w:tcPr>
          <w:p w:rsidR="003F5BF1" w:rsidRPr="002B5B1B" w:rsidRDefault="00D10947" w:rsidP="00D27444">
            <w:pPr>
              <w:pStyle w:val="Normal6"/>
              <w:rPr>
                <w:szCs w:val="24"/>
              </w:rPr>
            </w:pPr>
            <w:r w:rsidRPr="002B5B1B">
              <w:t>(m)</w:t>
            </w:r>
            <w:r w:rsidRPr="002B5B1B">
              <w:tab/>
            </w:r>
            <w:r w:rsidRPr="002B5B1B">
              <w:rPr>
                <w:b/>
                <w:i/>
              </w:rPr>
              <w:t>Retificação ou</w:t>
            </w:r>
            <w:r w:rsidRPr="002B5B1B">
              <w:t xml:space="preserve"> apagamento de quaisquer dados recebidos de um Estado-Membro requerido no prazo de 48 horas a contar da notificação do Estado-Membro requerido d</w:t>
            </w:r>
            <w:r w:rsidRPr="002B5B1B">
              <w:t>e que os dados pessoais apresentados eram inexatos, deixaram de estar atualizados ou foram transmitidos ilicitamente.</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63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Cada Estado-Membro é responsável pela ligação das respetivas autoridades </w:t>
            </w:r>
            <w:r w:rsidRPr="002B5B1B">
              <w:lastRenderedPageBreak/>
              <w:t>nacionais competentes ao encaminhador, ao EPRIS e ao EUCARIS.</w:t>
            </w:r>
          </w:p>
        </w:tc>
        <w:tc>
          <w:tcPr>
            <w:tcW w:w="4876" w:type="dxa"/>
          </w:tcPr>
          <w:p w:rsidR="003F5BF1" w:rsidRPr="002B5B1B" w:rsidRDefault="00D10947" w:rsidP="00D27444">
            <w:pPr>
              <w:pStyle w:val="Normal6"/>
              <w:rPr>
                <w:szCs w:val="24"/>
              </w:rPr>
            </w:pPr>
            <w:r w:rsidRPr="002B5B1B">
              <w:lastRenderedPageBreak/>
              <w:t>2.</w:t>
            </w:r>
            <w:r w:rsidRPr="002B5B1B">
              <w:tab/>
            </w:r>
            <w:r w:rsidRPr="002B5B1B">
              <w:t xml:space="preserve">Cada Estado-Membro é responsável pela ligação das respetivas autoridades </w:t>
            </w:r>
            <w:r w:rsidRPr="002B5B1B">
              <w:lastRenderedPageBreak/>
              <w:t xml:space="preserve">nacionais </w:t>
            </w:r>
            <w:r w:rsidRPr="002B5B1B">
              <w:rPr>
                <w:b/>
                <w:i/>
              </w:rPr>
              <w:t>de aplicação da lei</w:t>
            </w:r>
            <w:r w:rsidRPr="002B5B1B">
              <w:t xml:space="preserve"> competentes ao encaminhador, ao EPRIS e ao EUCARIS.</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64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A Europol </w:t>
            </w:r>
            <w:r w:rsidRPr="002B5B1B">
              <w:rPr>
                <w:b/>
                <w:i/>
              </w:rPr>
              <w:t>é responsável por quaisquer adaptações técnicas da sua infraestrutura que sejam necessárias para estabelecer a ligação ao encaminhador e ao EUCARIS</w:t>
            </w:r>
            <w:r w:rsidRPr="002B5B1B">
              <w:t>.</w:t>
            </w:r>
          </w:p>
        </w:tc>
        <w:tc>
          <w:tcPr>
            <w:tcW w:w="4876" w:type="dxa"/>
          </w:tcPr>
          <w:p w:rsidR="003F5BF1" w:rsidRPr="002B5B1B" w:rsidRDefault="00D10947" w:rsidP="0074550F">
            <w:pPr>
              <w:pStyle w:val="Normal6"/>
              <w:rPr>
                <w:szCs w:val="24"/>
              </w:rPr>
            </w:pPr>
            <w:r w:rsidRPr="002B5B1B">
              <w:t>3.</w:t>
            </w:r>
            <w:r w:rsidRPr="002B5B1B">
              <w:tab/>
            </w:r>
            <w:r w:rsidRPr="002B5B1B">
              <w:rPr>
                <w:b/>
                <w:i/>
              </w:rPr>
              <w:t>Sem prejuízo do artigo 26.º, n.º 6, alínea c), do Regulamento (UE) 2016/794 e das consultas da Europol nos termos do artigo 50.º, nº 4, do presente regulamento,</w:t>
            </w:r>
            <w:r w:rsidRPr="002B5B1B">
              <w:t xml:space="preserve"> a Europol </w:t>
            </w:r>
            <w:r w:rsidRPr="002B5B1B">
              <w:rPr>
                <w:b/>
                <w:i/>
              </w:rPr>
              <w:t>não tem acesso a nenhum dos dados pessoais tratados através do EPRIS.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w:t>
      </w:r>
      <w:r w:rsidRPr="002B5B1B">
        <w:rPr>
          <w:rStyle w:val="HideTWBExt"/>
          <w:noProof w:val="0"/>
        </w:rPr>
        <w:t>&gt;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199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66 – n.º 1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 encaminhador é desenvolvido e gerido de modo a garantir um </w:t>
            </w:r>
            <w:r w:rsidRPr="002B5B1B">
              <w:t>acesso rápido, eficiente e controlado, a sua disponibilidade plena e ininterrupta e um prazo de resposta consentâneo com as necessidades operacionais das autoridades competentes dos Estados-Membros e da Europol.</w:t>
            </w:r>
          </w:p>
        </w:tc>
        <w:tc>
          <w:tcPr>
            <w:tcW w:w="4876" w:type="dxa"/>
          </w:tcPr>
          <w:p w:rsidR="003F5BF1" w:rsidRPr="002B5B1B" w:rsidRDefault="00D10947" w:rsidP="00D27444">
            <w:pPr>
              <w:pStyle w:val="Normal6"/>
              <w:rPr>
                <w:szCs w:val="24"/>
              </w:rPr>
            </w:pPr>
            <w:r w:rsidRPr="002B5B1B">
              <w:t>O encaminhador é desenvolvido e gerido de mo</w:t>
            </w:r>
            <w:r w:rsidRPr="002B5B1B">
              <w:t xml:space="preserve">do a garantir um acesso rápido, eficiente e controlado, a sua disponibilidade plena e ininterrupta e um prazo de resposta consentâneo com as necessidades operacionais das autoridades </w:t>
            </w:r>
            <w:r w:rsidRPr="002B5B1B">
              <w:rPr>
                <w:b/>
                <w:i/>
              </w:rPr>
              <w:t>de aplicação da lei</w:t>
            </w:r>
            <w:r w:rsidRPr="002B5B1B">
              <w:t xml:space="preserve"> competentes dos Estados-Membros e da Europol.</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200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68 – parágrafo 1 – ponto 2-A (novo)</w:t>
      </w:r>
      <w:r w:rsidRPr="002B5B1B">
        <w:rPr>
          <w:rStyle w:val="HideTWBExt"/>
          <w:b w:val="0"/>
          <w:noProof w:val="0"/>
        </w:rPr>
        <w:t>&lt;/Article&gt;</w:t>
      </w:r>
    </w:p>
    <w:p w:rsidR="009857FE" w:rsidRPr="002B5B1B" w:rsidRDefault="00D10947" w:rsidP="003F5BF1">
      <w:r w:rsidRPr="002B5B1B">
        <w:rPr>
          <w:rStyle w:val="HideTWBExt"/>
          <w:noProof w:val="0"/>
        </w:rPr>
        <w:t>&lt;DocAmend2&gt;</w:t>
      </w:r>
      <w:r w:rsidRPr="002B5B1B">
        <w:t>Regulamento (UE) 2018/1726</w:t>
      </w:r>
      <w:r w:rsidRPr="002B5B1B">
        <w:rPr>
          <w:rStyle w:val="HideTWBExt"/>
          <w:noProof w:val="0"/>
        </w:rPr>
        <w:t>&lt;/DocAmend2&gt;</w:t>
      </w:r>
    </w:p>
    <w:p w:rsidR="009857FE" w:rsidRPr="002B5B1B" w:rsidRDefault="00D10947" w:rsidP="003F5BF1">
      <w:pPr>
        <w:rPr>
          <w:rStyle w:val="HideTWBExt"/>
          <w:noProof w:val="0"/>
        </w:rPr>
      </w:pPr>
      <w:r w:rsidRPr="002B5B1B">
        <w:rPr>
          <w:rStyle w:val="HideTWBExt"/>
          <w:noProof w:val="0"/>
        </w:rPr>
        <w:t>&lt;Article2&gt;</w:t>
      </w:r>
      <w:r w:rsidRPr="002B5B1B">
        <w:t>Artigo 19 – n.º</w:t>
      </w:r>
      <w:r w:rsidRPr="002B5B1B">
        <w:t xml:space="preserve"> 1 – alínea ee-A) (nova)</w:t>
      </w:r>
      <w:r w:rsidRPr="002B5B1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(2-A)</w:t>
            </w:r>
            <w:r w:rsidRPr="002B5B1B">
              <w:rPr>
                <w:b/>
                <w:i/>
              </w:rPr>
              <w:tab/>
              <w:t xml:space="preserve">Ao artigo 19.º, n.º 1, é aditada a seguinte alínea ee-A): </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 xml:space="preserve">ee-A) </w:t>
            </w:r>
            <w:r w:rsidRPr="002B5B1B">
              <w:rPr>
                <w:b/>
                <w:i/>
              </w:rPr>
              <w:tab/>
              <w:t xml:space="preserve">Adota os relatórios sobre o desenvolvimento do encaminhador a que se refere o artigo 35.º do Regulamento (UE) </w:t>
            </w:r>
            <w:r w:rsidRPr="002B5B1B">
              <w:rPr>
                <w:b/>
                <w:i/>
              </w:rPr>
              <w:t>../.. do Parlamento Europeu e do Conselho [2021/0410(COD)], nos termos do artigo 79.º, n.º 2, do referido regulamento;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w:t>
      </w:r>
      <w:r w:rsidRPr="002B5B1B">
        <w:t>go 68 – parágrafo 1 – ponto 2-B (novo)</w:t>
      </w:r>
      <w:r w:rsidRPr="002B5B1B">
        <w:rPr>
          <w:rStyle w:val="HideTWBExt"/>
          <w:b w:val="0"/>
          <w:noProof w:val="0"/>
        </w:rPr>
        <w:t>&lt;/Article&gt;</w:t>
      </w:r>
    </w:p>
    <w:p w:rsidR="009857FE" w:rsidRPr="002B5B1B" w:rsidRDefault="00D10947" w:rsidP="009857FE">
      <w:r w:rsidRPr="002B5B1B">
        <w:rPr>
          <w:rStyle w:val="HideTWBExt"/>
          <w:noProof w:val="0"/>
        </w:rPr>
        <w:t>&lt;DocAmend2&gt;</w:t>
      </w:r>
      <w:r w:rsidRPr="002B5B1B">
        <w:t>Regulamento (UE) 2018/1726</w:t>
      </w:r>
      <w:r w:rsidRPr="002B5B1B">
        <w:rPr>
          <w:rStyle w:val="HideTWBExt"/>
          <w:noProof w:val="0"/>
        </w:rPr>
        <w:t>&lt;/DocAmend2&gt;</w:t>
      </w:r>
    </w:p>
    <w:p w:rsidR="009857FE" w:rsidRPr="002B5B1B" w:rsidRDefault="00D10947" w:rsidP="00445260">
      <w:r w:rsidRPr="002B5B1B">
        <w:rPr>
          <w:rStyle w:val="HideTWBExt"/>
          <w:noProof w:val="0"/>
        </w:rPr>
        <w:t>&lt;Article2&gt;</w:t>
      </w:r>
      <w:r w:rsidRPr="002B5B1B">
        <w:t>Artigo 19 – n.º 1 – alíneas ff) e hh)</w:t>
      </w:r>
      <w:r w:rsidRPr="002B5B1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635AA0">
        <w:trPr>
          <w:jc w:val="center"/>
        </w:trPr>
        <w:tc>
          <w:tcPr>
            <w:tcW w:w="9752" w:type="dxa"/>
            <w:gridSpan w:val="2"/>
          </w:tcPr>
          <w:p w:rsidR="003F5BF1" w:rsidRPr="002B5B1B" w:rsidRDefault="003F5BF1" w:rsidP="00D27444">
            <w:pPr>
              <w:keepNext/>
            </w:pPr>
          </w:p>
        </w:tc>
      </w:tr>
      <w:tr w:rsidR="008B152A" w:rsidRPr="002B5B1B" w:rsidTr="00635AA0">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635AA0">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(2-B)</w:t>
            </w:r>
            <w:r w:rsidRPr="002B5B1B">
              <w:rPr>
                <w:b/>
                <w:i/>
              </w:rPr>
              <w:tab/>
              <w:t xml:space="preserve">No artigo 19.º, n.º 1, as alíneas ff) e hh) passam a ter a </w:t>
            </w:r>
            <w:r w:rsidRPr="002B5B1B">
              <w:rPr>
                <w:b/>
                <w:i/>
              </w:rPr>
              <w:t>seguinte redação: «</w:t>
            </w:r>
          </w:p>
        </w:tc>
      </w:tr>
      <w:tr w:rsidR="008B152A" w:rsidRPr="002B5B1B" w:rsidTr="00635AA0">
        <w:trPr>
          <w:jc w:val="center"/>
        </w:trPr>
        <w:tc>
          <w:tcPr>
            <w:tcW w:w="4876" w:type="dxa"/>
          </w:tcPr>
          <w:p w:rsidR="003F5BF1" w:rsidRPr="002B5B1B" w:rsidRDefault="00D10947" w:rsidP="00D27444">
            <w:pPr>
              <w:pStyle w:val="Normal6"/>
              <w:rPr>
                <w:rFonts w:eastAsia="Arial Unicode MS"/>
              </w:rPr>
            </w:pPr>
            <w:r w:rsidRPr="002B5B1B">
              <w:rPr>
                <w:b/>
                <w:i/>
              </w:rPr>
              <w:t xml:space="preserve">ff) </w:t>
            </w:r>
            <w:r w:rsidRPr="002B5B1B">
              <w:rPr>
                <w:b/>
                <w:i/>
              </w:rPr>
              <w:tab/>
            </w:r>
            <w:r w:rsidRPr="002B5B1B">
              <w:t>Adota relatórios sobre o funcionamento técnico:</w:t>
            </w:r>
          </w:p>
        </w:tc>
        <w:tc>
          <w:tcPr>
            <w:tcW w:w="4876" w:type="dxa"/>
          </w:tcPr>
          <w:p w:rsidR="003F5BF1" w:rsidRPr="002B5B1B" w:rsidRDefault="00D10947" w:rsidP="0074550F">
            <w:pPr>
              <w:pStyle w:val="Normal6"/>
              <w:rPr>
                <w:szCs w:val="24"/>
              </w:rPr>
            </w:pPr>
            <w:r w:rsidRPr="002B5B1B">
              <w:rPr>
                <w:i/>
              </w:rPr>
              <w:t xml:space="preserve">ff) </w:t>
            </w:r>
            <w:r w:rsidRPr="002B5B1B">
              <w:rPr>
                <w:i/>
              </w:rPr>
              <w:tab/>
            </w:r>
            <w:r w:rsidRPr="002B5B1B">
              <w:t>Adota relatórios sobre o funcionamento técnico:</w:t>
            </w:r>
          </w:p>
        </w:tc>
      </w:tr>
      <w:tr w:rsidR="008B152A" w:rsidRPr="002B5B1B" w:rsidTr="00635AA0">
        <w:trPr>
          <w:jc w:val="center"/>
        </w:trPr>
        <w:tc>
          <w:tcPr>
            <w:tcW w:w="4876" w:type="dxa"/>
          </w:tcPr>
          <w:p w:rsidR="006B5A34" w:rsidRPr="002B5B1B" w:rsidRDefault="00D10947" w:rsidP="009857FE">
            <w:pPr>
              <w:pStyle w:val="Normal6"/>
              <w:rPr>
                <w:rFonts w:eastAsia="Arial Unicode MS"/>
              </w:rPr>
            </w:pPr>
            <w:r w:rsidRPr="002B5B1B">
              <w:t>i)</w:t>
            </w:r>
            <w:r w:rsidRPr="002B5B1B">
              <w:tab/>
              <w:t>do SIS, nos termos do artigo </w:t>
            </w:r>
            <w:r w:rsidRPr="002B5B1B">
              <w:rPr>
                <w:b/>
                <w:i/>
              </w:rPr>
              <w:t>60.º, n.º 7</w:t>
            </w:r>
            <w:r w:rsidRPr="002B5B1B">
              <w:t xml:space="preserve">, do Regulamento </w:t>
            </w:r>
            <w:r w:rsidRPr="002B5B1B">
              <w:rPr>
                <w:b/>
                <w:i/>
              </w:rPr>
              <w:t>(UE) 2018/1861 do Parlamento Europeu e do Conselho (</w:t>
            </w:r>
            <w:hyperlink r:id="rId9" w:anchor="E0008" w:history="1">
              <w:r w:rsidRPr="002B5B1B">
                <w:rPr>
                  <w:b/>
                  <w:i/>
                </w:rPr>
                <w:t> 8 </w:t>
              </w:r>
            </w:hyperlink>
            <w:r w:rsidRPr="002B5B1B">
              <w:rPr>
                <w:b/>
                <w:i/>
              </w:rPr>
              <w:t xml:space="preserve">) </w:t>
            </w:r>
            <w:r w:rsidRPr="002B5B1B">
              <w:t xml:space="preserve">e do artigo </w:t>
            </w:r>
            <w:r w:rsidRPr="002B5B1B">
              <w:rPr>
                <w:b/>
                <w:i/>
              </w:rPr>
              <w:t>74.º, n.º 8, do Regulamento (UE) 2018/1862 do Parlamento Europeu e do Conselho (</w:t>
            </w:r>
            <w:hyperlink r:id="rId10" w:anchor="E0009" w:history="1">
              <w:r w:rsidRPr="002B5B1B">
                <w:rPr>
                  <w:b/>
                  <w:i/>
                </w:rPr>
                <w:t> 9 </w:t>
              </w:r>
            </w:hyperlink>
            <w:r w:rsidRPr="002B5B1B">
              <w:rPr>
                <w:b/>
                <w:i/>
              </w:rPr>
              <w:t>)</w:t>
            </w:r>
            <w:r w:rsidRPr="002B5B1B">
              <w:t>;</w:t>
            </w:r>
          </w:p>
        </w:tc>
        <w:tc>
          <w:tcPr>
            <w:tcW w:w="4876" w:type="dxa"/>
          </w:tcPr>
          <w:p w:rsidR="006B5A34" w:rsidRPr="002B5B1B" w:rsidRDefault="00D10947" w:rsidP="0074550F">
            <w:pPr>
              <w:pStyle w:val="Normal6"/>
            </w:pPr>
            <w:r w:rsidRPr="002B5B1B">
              <w:t>i)</w:t>
            </w:r>
            <w:r w:rsidRPr="002B5B1B">
              <w:tab/>
              <w:t xml:space="preserve">do SIS </w:t>
            </w:r>
            <w:r w:rsidRPr="002B5B1B">
              <w:rPr>
                <w:b/>
                <w:i/>
              </w:rPr>
              <w:t>II</w:t>
            </w:r>
            <w:r w:rsidRPr="002B5B1B">
              <w:t xml:space="preserve">, nos termos do artigo </w:t>
            </w:r>
            <w:r w:rsidRPr="002B5B1B">
              <w:rPr>
                <w:b/>
                <w:i/>
              </w:rPr>
              <w:t>50.º, n.º 4</w:t>
            </w:r>
            <w:r w:rsidRPr="002B5B1B">
              <w:t>, do Regulamento </w:t>
            </w:r>
            <w:r w:rsidRPr="002B5B1B">
              <w:rPr>
                <w:b/>
                <w:i/>
              </w:rPr>
              <w:t>(CE) n.º 1987/2006</w:t>
            </w:r>
            <w:r w:rsidRPr="002B5B1B">
              <w:t xml:space="preserve"> e do artigo </w:t>
            </w:r>
            <w:r w:rsidRPr="002B5B1B">
              <w:rPr>
                <w:b/>
                <w:i/>
              </w:rPr>
              <w:t>66.º, n.º 4, da Decisão 2007/533/JAI;</w:t>
            </w:r>
          </w:p>
        </w:tc>
      </w:tr>
      <w:tr w:rsidR="008B152A" w:rsidRPr="002B5B1B" w:rsidTr="00635AA0">
        <w:trPr>
          <w:jc w:val="center"/>
        </w:trPr>
        <w:tc>
          <w:tcPr>
            <w:tcW w:w="4876" w:type="dxa"/>
          </w:tcPr>
          <w:p w:rsidR="006B5A34" w:rsidRPr="002B5B1B" w:rsidRDefault="00D10947" w:rsidP="009857FE">
            <w:pPr>
              <w:pStyle w:val="Normal6"/>
              <w:rPr>
                <w:rFonts w:eastAsia="Arial Unicode MS"/>
              </w:rPr>
            </w:pPr>
            <w:r w:rsidRPr="002B5B1B">
              <w:t>ii)</w:t>
            </w:r>
            <w:r w:rsidRPr="002B5B1B">
              <w:tab/>
              <w:t>do VIS nos termos do artigo 50.º, n.º 3, do Regulamento (CE) n.º 767/2008 e do</w:t>
            </w:r>
            <w:r w:rsidRPr="002B5B1B">
              <w:t xml:space="preserve"> artigo 17.º, n.º 3, da Decisão 2008/633/JAI,</w:t>
            </w:r>
          </w:p>
        </w:tc>
        <w:tc>
          <w:tcPr>
            <w:tcW w:w="4876" w:type="dxa"/>
          </w:tcPr>
          <w:p w:rsidR="006B5A34" w:rsidRPr="002B5B1B" w:rsidRDefault="00D10947" w:rsidP="0074550F">
            <w:pPr>
              <w:pStyle w:val="Normal6"/>
            </w:pPr>
            <w:r w:rsidRPr="002B5B1B">
              <w:t>ii)</w:t>
            </w:r>
            <w:r w:rsidRPr="002B5B1B">
              <w:tab/>
              <w:t>do VIS, nos termos do artigo 50.º, n.º 3, do Regulamento (CE) n.º 767/2008 e do artigo 17.º, n.º 3, da Decisão 2008/633/JAI,</w:t>
            </w:r>
          </w:p>
        </w:tc>
      </w:tr>
      <w:tr w:rsidR="008B152A" w:rsidRPr="002B5B1B" w:rsidTr="00635AA0">
        <w:trPr>
          <w:jc w:val="center"/>
        </w:trPr>
        <w:tc>
          <w:tcPr>
            <w:tcW w:w="4876" w:type="dxa"/>
          </w:tcPr>
          <w:p w:rsidR="006B5A34" w:rsidRPr="002B5B1B" w:rsidRDefault="00D10947" w:rsidP="009857FE">
            <w:pPr>
              <w:pStyle w:val="Normal6"/>
              <w:rPr>
                <w:rFonts w:eastAsia="Arial Unicode MS"/>
              </w:rPr>
            </w:pPr>
            <w:r w:rsidRPr="002B5B1B">
              <w:lastRenderedPageBreak/>
              <w:t>iii)</w:t>
            </w:r>
            <w:r w:rsidRPr="002B5B1B">
              <w:tab/>
              <w:t>do SES nos termos do artigo 72.º, n.º 4, do Regulamento (UE) 2017/2226,</w:t>
            </w:r>
          </w:p>
        </w:tc>
        <w:tc>
          <w:tcPr>
            <w:tcW w:w="4876" w:type="dxa"/>
          </w:tcPr>
          <w:p w:rsidR="006B5A34" w:rsidRPr="002B5B1B" w:rsidRDefault="00D10947" w:rsidP="0074550F">
            <w:pPr>
              <w:pStyle w:val="Normal6"/>
            </w:pPr>
            <w:r w:rsidRPr="002B5B1B">
              <w:t>iii)</w:t>
            </w:r>
            <w:r w:rsidRPr="002B5B1B">
              <w:tab/>
              <w:t>do SES, nos termos do artigo 72.º, n.º 4, do Regulamento (UE) 2017/2226,</w:t>
            </w:r>
          </w:p>
        </w:tc>
      </w:tr>
      <w:tr w:rsidR="008B152A" w:rsidRPr="002B5B1B" w:rsidTr="00635AA0">
        <w:trPr>
          <w:jc w:val="center"/>
        </w:trPr>
        <w:tc>
          <w:tcPr>
            <w:tcW w:w="4876" w:type="dxa"/>
          </w:tcPr>
          <w:p w:rsidR="006B5A34" w:rsidRPr="002B5B1B" w:rsidRDefault="00D10947" w:rsidP="006B5A34">
            <w:pPr>
              <w:pStyle w:val="Normal6"/>
              <w:rPr>
                <w:rFonts w:eastAsia="Arial Unicode MS"/>
              </w:rPr>
            </w:pPr>
            <w:r w:rsidRPr="002B5B1B">
              <w:t>iv)</w:t>
            </w:r>
            <w:r w:rsidRPr="002B5B1B">
              <w:tab/>
              <w:t>do ETIAS nos termos do artigo 92.º, n.º 4, do Regulamento (UE) 2018/1240,</w:t>
            </w:r>
          </w:p>
        </w:tc>
        <w:tc>
          <w:tcPr>
            <w:tcW w:w="4876" w:type="dxa"/>
          </w:tcPr>
          <w:p w:rsidR="006B5A34" w:rsidRPr="002B5B1B" w:rsidRDefault="00D10947" w:rsidP="0074550F">
            <w:pPr>
              <w:pStyle w:val="Normal6"/>
            </w:pPr>
            <w:r w:rsidRPr="002B5B1B">
              <w:t>iv)</w:t>
            </w:r>
            <w:r w:rsidRPr="002B5B1B">
              <w:tab/>
              <w:t>do ETIAS, nos termos do artigo 92.º, n.º 4, do Regulamento (UE) 2018/1240,</w:t>
            </w:r>
          </w:p>
        </w:tc>
      </w:tr>
      <w:tr w:rsidR="008B152A" w:rsidRPr="002B5B1B" w:rsidTr="00635AA0">
        <w:trPr>
          <w:jc w:val="center"/>
        </w:trPr>
        <w:tc>
          <w:tcPr>
            <w:tcW w:w="4876" w:type="dxa"/>
          </w:tcPr>
          <w:p w:rsidR="006B5A34" w:rsidRPr="002B5B1B" w:rsidRDefault="00D10947" w:rsidP="006B5A34">
            <w:pPr>
              <w:pStyle w:val="Normal6"/>
              <w:rPr>
                <w:rFonts w:eastAsia="Arial Unicode MS"/>
              </w:rPr>
            </w:pPr>
            <w:r w:rsidRPr="002B5B1B">
              <w:t>v)</w:t>
            </w:r>
            <w:r w:rsidRPr="002B5B1B">
              <w:tab/>
              <w:t>do ECRIS-TCN e d</w:t>
            </w:r>
            <w:r w:rsidRPr="002B5B1B">
              <w:t>a aplicação de referência do ECRIS nos termos do artigo 36.º, n.º 8, do Regulamento (UE) 2019/816,</w:t>
            </w:r>
          </w:p>
        </w:tc>
        <w:tc>
          <w:tcPr>
            <w:tcW w:w="4876" w:type="dxa"/>
          </w:tcPr>
          <w:p w:rsidR="006B5A34" w:rsidRPr="002B5B1B" w:rsidRDefault="00D10947" w:rsidP="0074550F">
            <w:pPr>
              <w:pStyle w:val="Normal6"/>
              <w:rPr>
                <w:b/>
                <w:i/>
              </w:rPr>
            </w:pPr>
            <w:r w:rsidRPr="002B5B1B">
              <w:t>v)</w:t>
            </w:r>
            <w:r w:rsidRPr="002B5B1B">
              <w:tab/>
              <w:t>do ECRIS-TCN e da aplicação de referência do ECRIS nos termos do artigo 36.º, n.º 8, do Regulamento (UE) 2019/816,</w:t>
            </w:r>
            <w:r w:rsidRPr="002B5B1B">
              <w:rPr>
                <w:b/>
                <w:i/>
              </w:rPr>
              <w:t xml:space="preserve"> </w:t>
            </w:r>
          </w:p>
        </w:tc>
      </w:tr>
      <w:tr w:rsidR="008B152A" w:rsidRPr="002B5B1B" w:rsidTr="00635AA0">
        <w:trPr>
          <w:jc w:val="center"/>
        </w:trPr>
        <w:tc>
          <w:tcPr>
            <w:tcW w:w="4876" w:type="dxa"/>
          </w:tcPr>
          <w:p w:rsidR="00635AA0" w:rsidRPr="002B5B1B" w:rsidRDefault="00D10947" w:rsidP="00635AA0">
            <w:pPr>
              <w:pStyle w:val="Normal6"/>
              <w:rPr>
                <w:rFonts w:eastAsia="Arial Unicode MS"/>
                <w:bCs/>
                <w:iCs/>
              </w:rPr>
            </w:pPr>
            <w:r w:rsidRPr="002B5B1B">
              <w:t>vi)</w:t>
            </w:r>
            <w:r w:rsidRPr="002B5B1B">
              <w:tab/>
              <w:t xml:space="preserve">dos componentes de </w:t>
            </w:r>
            <w:r w:rsidRPr="002B5B1B">
              <w:t>interoperabilidade nos termos do artigo 78.º, n.º 3, do Regulamento (UE) 2019/817 e do artigo 74.º, n.º 3, do Regulamento (UE) 2019/818,</w:t>
            </w:r>
          </w:p>
        </w:tc>
        <w:tc>
          <w:tcPr>
            <w:tcW w:w="4876" w:type="dxa"/>
          </w:tcPr>
          <w:p w:rsidR="00635AA0" w:rsidRPr="002B5B1B" w:rsidRDefault="00D10947" w:rsidP="00635AA0">
            <w:pPr>
              <w:pStyle w:val="Normal6"/>
              <w:rPr>
                <w:b/>
                <w:i/>
              </w:rPr>
            </w:pPr>
            <w:r w:rsidRPr="002B5B1B">
              <w:t>vi)</w:t>
            </w:r>
            <w:r w:rsidRPr="002B5B1B">
              <w:tab/>
              <w:t>dos componentes de interoperabilidade nos termos do artigo 78.º, n.º 3, do Regulamento (UE) 2019/817 e do artigo 74</w:t>
            </w:r>
            <w:r w:rsidRPr="002B5B1B">
              <w:t>.º, n.º 3, do Regulamento (UE) 2019/818,</w:t>
            </w:r>
          </w:p>
        </w:tc>
      </w:tr>
      <w:tr w:rsidR="008B152A" w:rsidRPr="002B5B1B" w:rsidTr="00635AA0">
        <w:trPr>
          <w:jc w:val="center"/>
        </w:trPr>
        <w:tc>
          <w:tcPr>
            <w:tcW w:w="4876" w:type="dxa"/>
          </w:tcPr>
          <w:p w:rsidR="00635AA0" w:rsidRPr="002B5B1B" w:rsidRDefault="00D10947" w:rsidP="00635AA0">
            <w:pPr>
              <w:pStyle w:val="Normal6"/>
              <w:rPr>
                <w:rFonts w:eastAsia="Arial Unicode MS"/>
              </w:rPr>
            </w:pPr>
            <w:r w:rsidRPr="002B5B1B">
              <w:t>vii)</w:t>
            </w:r>
            <w:r w:rsidRPr="002B5B1B">
              <w:tab/>
              <w:t>do sistema e-CODEX nos termos do artigo 16.º, n.º 1, do Regulamento (UE) 2022/850;</w:t>
            </w:r>
          </w:p>
        </w:tc>
        <w:tc>
          <w:tcPr>
            <w:tcW w:w="4876" w:type="dxa"/>
          </w:tcPr>
          <w:p w:rsidR="00635AA0" w:rsidRPr="002B5B1B" w:rsidRDefault="00D10947" w:rsidP="00635AA0">
            <w:pPr>
              <w:pStyle w:val="Normal6"/>
              <w:rPr>
                <w:b/>
                <w:i/>
              </w:rPr>
            </w:pPr>
            <w:r w:rsidRPr="002B5B1B">
              <w:t>vii)</w:t>
            </w:r>
            <w:r w:rsidRPr="002B5B1B">
              <w:tab/>
              <w:t>do sistema e-CODEX nos termos do artigo 16.º, n.º 1, do Regulamento (UE) 2022/850;</w:t>
            </w:r>
          </w:p>
        </w:tc>
      </w:tr>
      <w:tr w:rsidR="008B152A" w:rsidRPr="002B5B1B" w:rsidTr="00635AA0">
        <w:trPr>
          <w:jc w:val="center"/>
        </w:trPr>
        <w:tc>
          <w:tcPr>
            <w:tcW w:w="4876" w:type="dxa"/>
          </w:tcPr>
          <w:p w:rsidR="00635AA0" w:rsidRPr="002B5B1B" w:rsidRDefault="00635AA0" w:rsidP="00635AA0">
            <w:pPr>
              <w:pStyle w:val="Normal6"/>
              <w:rPr>
                <w:rFonts w:eastAsia="Arial Unicode MS"/>
                <w:b/>
                <w:bCs/>
                <w:i/>
                <w:iCs/>
              </w:rPr>
            </w:pPr>
          </w:p>
        </w:tc>
        <w:tc>
          <w:tcPr>
            <w:tcW w:w="4876" w:type="dxa"/>
          </w:tcPr>
          <w:p w:rsidR="00635AA0" w:rsidRPr="002B5B1B" w:rsidRDefault="00D10947" w:rsidP="00635AA0">
            <w:pPr>
              <w:pStyle w:val="Normal6"/>
              <w:rPr>
                <w:b/>
                <w:i/>
              </w:rPr>
            </w:pPr>
            <w:r w:rsidRPr="002B5B1B">
              <w:rPr>
                <w:b/>
                <w:i/>
              </w:rPr>
              <w:t>viii)</w:t>
            </w:r>
            <w:r w:rsidRPr="002B5B1B">
              <w:rPr>
                <w:b/>
                <w:i/>
              </w:rPr>
              <w:tab/>
              <w:t xml:space="preserve">do encaminhador a que se </w:t>
            </w:r>
            <w:r w:rsidRPr="002B5B1B">
              <w:rPr>
                <w:b/>
                <w:i/>
              </w:rPr>
              <w:t>refere o artigo 35.º do Regulamento (UE) ../.. [2021/0410(COD)], nos termos do artigo 79.º, n.º 5, do referido Regulamento (UE) ../...;</w:t>
            </w:r>
          </w:p>
        </w:tc>
      </w:tr>
      <w:tr w:rsidR="008B152A" w:rsidRPr="002B5B1B" w:rsidTr="00635AA0">
        <w:trPr>
          <w:jc w:val="center"/>
        </w:trPr>
        <w:tc>
          <w:tcPr>
            <w:tcW w:w="4876" w:type="dxa"/>
          </w:tcPr>
          <w:p w:rsidR="00635AA0" w:rsidRPr="002B5B1B" w:rsidRDefault="00D10947" w:rsidP="00635AA0">
            <w:pPr>
              <w:pStyle w:val="Normal6"/>
            </w:pPr>
            <w:r w:rsidRPr="002B5B1B">
              <w:t xml:space="preserve">hh) </w:t>
            </w:r>
            <w:r w:rsidRPr="002B5B1B">
              <w:tab/>
              <w:t xml:space="preserve">Adota observações formais sobre os relatórios da Autoridade Europeia para a Proteção de Dados </w:t>
            </w:r>
            <w:r w:rsidRPr="002B5B1B">
              <w:rPr>
                <w:b/>
                <w:i/>
              </w:rPr>
              <w:t>em matéria de audito</w:t>
            </w:r>
            <w:r w:rsidRPr="002B5B1B">
              <w:rPr>
                <w:b/>
                <w:i/>
              </w:rPr>
              <w:t>ria,</w:t>
            </w:r>
            <w:r w:rsidRPr="002B5B1B">
              <w:t xml:space="preserve"> nos termos do artigo</w:t>
            </w:r>
            <w:r w:rsidRPr="002B5B1B">
              <w:rPr>
                <w:b/>
                <w:i/>
              </w:rPr>
              <w:t> 56.º, n.º 2, do Regulamento (UE) 2018/1861</w:t>
            </w:r>
            <w:r w:rsidRPr="002B5B1B">
              <w:t>, do artigo 42.º, n.º 2, do Regulamento (CE) n.º 767/2008, do artigo 31.º, n.º 2, do Regulamento (UE) n.º 603/2013, do artigo 56.º, n.º 2, do Regulamento (UE) 2017/226, do artigo 67.º do R</w:t>
            </w:r>
            <w:r w:rsidRPr="002B5B1B">
              <w:t xml:space="preserve">egulamento (UE) 2018/1240 </w:t>
            </w:r>
            <w:r w:rsidRPr="002B5B1B">
              <w:rPr>
                <w:b/>
                <w:i/>
              </w:rPr>
              <w:t>do artigo 29.º, n.º 2, do Regulamento (UE) 2019/816 e do artigo 52.º dos Regulamentos (UE) 2019/817 e (UE) 2019/818</w:t>
            </w:r>
            <w:r w:rsidRPr="002B5B1B">
              <w:t>, e assegura que seja dado o adequado seguimento a essas auditorias;</w:t>
            </w:r>
          </w:p>
        </w:tc>
        <w:tc>
          <w:tcPr>
            <w:tcW w:w="4876" w:type="dxa"/>
          </w:tcPr>
          <w:p w:rsidR="00635AA0" w:rsidRPr="002B5B1B" w:rsidRDefault="00D10947" w:rsidP="00635AA0">
            <w:pPr>
              <w:pStyle w:val="Normal6"/>
            </w:pPr>
            <w:r w:rsidRPr="002B5B1B">
              <w:t xml:space="preserve">hh) </w:t>
            </w:r>
            <w:r w:rsidRPr="002B5B1B">
              <w:tab/>
              <w:t>Adota observações formais sobre os relató</w:t>
            </w:r>
            <w:r w:rsidRPr="002B5B1B">
              <w:t xml:space="preserve">rios da Autoridade Europeia para a Proteção de Dados </w:t>
            </w:r>
            <w:r w:rsidRPr="002B5B1B">
              <w:rPr>
                <w:b/>
                <w:i/>
              </w:rPr>
              <w:t>relativos às auditorias efetuadas</w:t>
            </w:r>
            <w:r w:rsidRPr="002B5B1B">
              <w:t xml:space="preserve"> nos termos do artigo</w:t>
            </w:r>
            <w:r w:rsidRPr="002B5B1B">
              <w:rPr>
                <w:b/>
                <w:i/>
              </w:rPr>
              <w:t> 45.º, n.º 2, do Regulamento (CE) n.º 1987/2006</w:t>
            </w:r>
            <w:r w:rsidRPr="002B5B1B">
              <w:t xml:space="preserve">, do artigo 42.º, n.º 2, do Regulamento (CE) n.º 767/2008, do artigo 31.º, n.º 2, do Regulamento (UE) </w:t>
            </w:r>
            <w:r w:rsidRPr="002B5B1B">
              <w:t xml:space="preserve">n.º 603/2013, do artigo 56.º, n.º 2, do Regulamento (UE) 2017/226, do artigo 67.º do Regulamento (UE) 2018/1240 </w:t>
            </w:r>
            <w:r w:rsidRPr="002B5B1B">
              <w:rPr>
                <w:b/>
                <w:i/>
              </w:rPr>
              <w:t>e do artigo 60.º, n.º 1, do Regulamento (UE) ../.. [2021/0410(COD)]</w:t>
            </w:r>
            <w:r w:rsidRPr="002B5B1B">
              <w:t>, e assegura que seja dado o adequado seguimento a essas auditorias;»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w:t>
      </w:r>
      <w:r w:rsidRPr="002B5B1B">
        <w:rPr>
          <w:rStyle w:val="HideTWBExt"/>
          <w:noProof w:val="0"/>
        </w:rPr>
        <w:t>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202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70 – parágrafo 1 – ponto 2</w:t>
      </w:r>
      <w:r w:rsidRPr="002B5B1B">
        <w:rPr>
          <w:rStyle w:val="HideTWBExt"/>
          <w:b w:val="0"/>
          <w:noProof w:val="0"/>
        </w:rPr>
        <w:t>&lt;/Article&gt;</w:t>
      </w:r>
    </w:p>
    <w:p w:rsidR="003F5BF1" w:rsidRPr="002B5B1B" w:rsidRDefault="00D10947" w:rsidP="003F5BF1">
      <w:pPr>
        <w:keepNext/>
      </w:pPr>
      <w:r w:rsidRPr="002B5B1B">
        <w:rPr>
          <w:rStyle w:val="HideTWBExt"/>
          <w:noProof w:val="0"/>
        </w:rPr>
        <w:t>&lt;DocAmend2&gt;</w:t>
      </w:r>
      <w:r w:rsidRPr="002B5B1B">
        <w:t>Regulamento (UE) 2019/818</w:t>
      </w:r>
      <w:r w:rsidRPr="002B5B1B">
        <w:rPr>
          <w:rStyle w:val="HideTWBExt"/>
          <w:noProof w:val="0"/>
        </w:rPr>
        <w:t>&lt;/DocAmend2&gt;</w:t>
      </w:r>
    </w:p>
    <w:p w:rsidR="003F5BF1" w:rsidRPr="002B5B1B" w:rsidRDefault="00D10947" w:rsidP="003F5BF1">
      <w:r w:rsidRPr="002B5B1B">
        <w:rPr>
          <w:rStyle w:val="HideTWBExt"/>
          <w:noProof w:val="0"/>
        </w:rPr>
        <w:t>&lt;Article2&gt;</w:t>
      </w:r>
      <w:r w:rsidRPr="002B5B1B">
        <w:t>Artigo 39 – n.º 1</w:t>
      </w:r>
      <w:r w:rsidRPr="002B5B1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É criado um repositório central para a elaboração de relatórios e estatísticas (CRRS) para efeitos de apoio aos objetivos do SIS, do Eurodac e do ECRIS-TCN, em conformidade com os respetivos atos jurídicos que </w:t>
            </w:r>
            <w:r w:rsidRPr="002B5B1B">
              <w:t xml:space="preserve">regem esses sistemas, e para fornecer dados estatísticos intersistemas e relatórios analíticos para fins políticos, operacionais e para efeitos de qualidade dos dados. O CRRS apoia igualmente os objetivos do </w:t>
            </w:r>
            <w:r w:rsidRPr="002B5B1B">
              <w:rPr>
                <w:b/>
                <w:i/>
              </w:rPr>
              <w:t>Prüm II</w:t>
            </w:r>
            <w:r w:rsidRPr="002B5B1B">
              <w:t>.»</w:t>
            </w:r>
          </w:p>
        </w:tc>
        <w:tc>
          <w:tcPr>
            <w:tcW w:w="4876" w:type="dxa"/>
          </w:tcPr>
          <w:p w:rsidR="003F5BF1" w:rsidRPr="002B5B1B" w:rsidRDefault="00D10947">
            <w:pPr>
              <w:pStyle w:val="Normal6"/>
              <w:rPr>
                <w:szCs w:val="24"/>
              </w:rPr>
            </w:pPr>
            <w:r w:rsidRPr="002B5B1B">
              <w:t>1.</w:t>
            </w:r>
            <w:r w:rsidRPr="002B5B1B">
              <w:tab/>
              <w:t>É criado um repositório central par</w:t>
            </w:r>
            <w:r w:rsidRPr="002B5B1B">
              <w:t>a a elaboração de relatórios e estatísticas (CRRS) para efeitos de apoio aos objetivos do SIS, do Eurodac e do ECRIS-TCN, em conformidade com os respetivos atos jurídicos que regem esses sistemas, e para fornecer dados estatísticos intersistemas e relatóri</w:t>
            </w:r>
            <w:r w:rsidRPr="002B5B1B">
              <w:t xml:space="preserve">os analíticos para fins políticos, operacionais e para efeitos de qualidade dos dados. O CRRS apoia igualmente os objetivos do </w:t>
            </w:r>
            <w:r w:rsidRPr="002B5B1B">
              <w:rPr>
                <w:b/>
                <w:i/>
              </w:rPr>
              <w:t>Regulamento (UE) …/… do Parlamento Europeu e do Conselho* [2021/0410(COD)]</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w:t>
      </w:r>
      <w:r w:rsidRPr="002B5B1B">
        <w:t>eração</w:t>
      </w:r>
      <w:r w:rsidRPr="002B5B1B">
        <w:tab/>
      </w:r>
      <w:r w:rsidRPr="002B5B1B">
        <w:tab/>
      </w:r>
      <w:r w:rsidRPr="002B5B1B">
        <w:rPr>
          <w:rStyle w:val="HideTWBExt"/>
          <w:b w:val="0"/>
          <w:noProof w:val="0"/>
        </w:rPr>
        <w:t>&lt;NumAm&gt;</w:t>
      </w:r>
      <w:r w:rsidRPr="002B5B1B">
        <w:t>203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70 – parágrafo 1 – ponto 2</w:t>
      </w:r>
      <w:r w:rsidRPr="002B5B1B">
        <w:rPr>
          <w:rStyle w:val="HideTWBExt"/>
          <w:b w:val="0"/>
          <w:noProof w:val="0"/>
        </w:rPr>
        <w:t>&lt;/Article&gt;</w:t>
      </w:r>
    </w:p>
    <w:p w:rsidR="003F5BF1" w:rsidRPr="002B5B1B" w:rsidRDefault="00D10947" w:rsidP="003F5BF1">
      <w:pPr>
        <w:keepNext/>
      </w:pPr>
      <w:r w:rsidRPr="002B5B1B">
        <w:rPr>
          <w:rStyle w:val="HideTWBExt"/>
          <w:noProof w:val="0"/>
        </w:rPr>
        <w:t>&lt;DocAmend2&gt;</w:t>
      </w:r>
      <w:r w:rsidRPr="002B5B1B">
        <w:t>Regulamento (UE) 2019/818</w:t>
      </w:r>
      <w:r w:rsidRPr="002B5B1B">
        <w:rPr>
          <w:rStyle w:val="HideTWBExt"/>
          <w:noProof w:val="0"/>
        </w:rPr>
        <w:t>&lt;/DocAmend2&gt;</w:t>
      </w:r>
    </w:p>
    <w:p w:rsidR="003F5BF1" w:rsidRPr="002B5B1B" w:rsidRDefault="00D10947" w:rsidP="003F5BF1">
      <w:r w:rsidRPr="002B5B1B">
        <w:rPr>
          <w:rStyle w:val="HideTWBExt"/>
          <w:noProof w:val="0"/>
        </w:rPr>
        <w:t>&lt;Article2&gt;</w:t>
      </w:r>
      <w:r w:rsidRPr="002B5B1B">
        <w:t>Artigo 39 – n.º 2</w:t>
      </w:r>
      <w:r w:rsidRPr="002B5B1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r>
            <w:r w:rsidRPr="002B5B1B">
              <w:t>eu-LISA estabelece, implementa e aloja o CRRS nas suas instalações técnicas, contendo os dados e as estatísticas referidos no artigo 74.º do Regulamento (UE) 2018/1862 e no artigo 32.º do Regulamento (UE) 2019/816, logicamente separados pelo sistema de inf</w:t>
            </w:r>
            <w:r w:rsidRPr="002B5B1B">
              <w:t xml:space="preserve">ormação da UE. A eu-LISA também recolhe os dados e as estatísticas do encaminhador referido no artigo </w:t>
            </w:r>
            <w:r w:rsidRPr="002B5B1B">
              <w:rPr>
                <w:b/>
                <w:i/>
              </w:rPr>
              <w:t>65.º</w:t>
            </w:r>
            <w:r w:rsidRPr="002B5B1B">
              <w:t>, n.º 1, do Regulamento (UE) …/…* [</w:t>
            </w:r>
            <w:r w:rsidRPr="002B5B1B">
              <w:rPr>
                <w:i/>
                <w:iCs/>
              </w:rPr>
              <w:t>o presente regulamento</w:t>
            </w:r>
            <w:r w:rsidRPr="002B5B1B">
              <w:t xml:space="preserve">]. O acesso ao CRRS é concedido mediante um acesso </w:t>
            </w:r>
            <w:r w:rsidRPr="002B5B1B">
              <w:lastRenderedPageBreak/>
              <w:t xml:space="preserve">seguro com controlo do acesso e perfis de </w:t>
            </w:r>
            <w:r w:rsidRPr="002B5B1B">
              <w:t>utilizador específicos, unicamente com a finalidade de elaboração de relatórios e estatísticas, às autoridades a que se refere o artigo 74.º do Regulamento (UE) 2018/1862, o artigo 32.º do Regulamento (UE) 2019/816 e o artigo 65.º, n.º 1, do Regulamento (U</w:t>
            </w:r>
            <w:r w:rsidRPr="002B5B1B">
              <w:t>E) .../... * [</w:t>
            </w:r>
            <w:r w:rsidRPr="002B5B1B">
              <w:rPr>
                <w:i/>
                <w:iCs/>
              </w:rPr>
              <w:t>o presente regulamento</w:t>
            </w:r>
            <w:r w:rsidRPr="002B5B1B">
              <w:t>].»</w:t>
            </w:r>
          </w:p>
        </w:tc>
        <w:tc>
          <w:tcPr>
            <w:tcW w:w="4876" w:type="dxa"/>
          </w:tcPr>
          <w:p w:rsidR="003F5BF1" w:rsidRPr="002B5B1B" w:rsidRDefault="00D10947" w:rsidP="00D27444">
            <w:pPr>
              <w:pStyle w:val="Normal6"/>
              <w:rPr>
                <w:szCs w:val="24"/>
              </w:rPr>
            </w:pPr>
            <w:r w:rsidRPr="002B5B1B">
              <w:lastRenderedPageBreak/>
              <w:t>“2.</w:t>
            </w:r>
            <w:r w:rsidRPr="002B5B1B">
              <w:tab/>
              <w:t>eu-LISA estabelece, implementa e aloja o CRRS nas suas instalações técnicas, contendo os dados e as estatísticas referidos no artigo 74.º do Regulamento (UE) 2018/1862 e no artigo 32.º do Regulamento (UE) 2019/81</w:t>
            </w:r>
            <w:r w:rsidRPr="002B5B1B">
              <w:t xml:space="preserve">6, logicamente separados pelo sistema de informação da UE. A eu-LISA também recolhe os dados e as estatísticas do encaminhador referido no artigo </w:t>
            </w:r>
            <w:r w:rsidRPr="002B5B1B">
              <w:rPr>
                <w:b/>
                <w:i/>
              </w:rPr>
              <w:t>71.º</w:t>
            </w:r>
            <w:r w:rsidRPr="002B5B1B">
              <w:t>, n.º 1, do Regulamento (UE) …/…* [</w:t>
            </w:r>
            <w:r w:rsidRPr="002B5B1B">
              <w:rPr>
                <w:i/>
                <w:iCs/>
              </w:rPr>
              <w:t>o presente regulamento</w:t>
            </w:r>
            <w:r w:rsidRPr="002B5B1B">
              <w:t>]. O acesso ao CRRS é concedido mediante um acess</w:t>
            </w:r>
            <w:r w:rsidRPr="002B5B1B">
              <w:t xml:space="preserve">o </w:t>
            </w:r>
            <w:r w:rsidRPr="002B5B1B">
              <w:lastRenderedPageBreak/>
              <w:t>seguro com controlo do acesso e perfis de utilizador específicos, unicamente com a finalidade de elaboração de relatórios e estatísticas, às autoridades a que se refere o artigo 74.º do Regulamento (UE) 2018/1862, o artigo 32.º do Regulamento (UE) 2019/8</w:t>
            </w:r>
            <w:r w:rsidRPr="002B5B1B">
              <w:t>16 e o artigo 65.º, n.º 1, do Regulamento (UE) .../... * [</w:t>
            </w:r>
            <w:r w:rsidRPr="002B5B1B">
              <w:rPr>
                <w:i/>
                <w:iCs/>
              </w:rPr>
              <w:t>o presente regulamento</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O pessoal devidamente autorizado das autoridades competentes dos Estados-Membros, da Comissão, da Europol e da eu-LISA tem acesso </w:t>
            </w:r>
            <w:r w:rsidRPr="002B5B1B">
              <w:rPr>
                <w:b/>
                <w:i/>
              </w:rPr>
              <w:t>ao sistema para consultar os</w:t>
            </w:r>
            <w:r w:rsidRPr="002B5B1B">
              <w:t xml:space="preserve"> seguintes dados relativos ao encaminhador unicamente para efeitos da elaboração de relatórios e estatísticas:</w:t>
            </w:r>
          </w:p>
        </w:tc>
        <w:tc>
          <w:tcPr>
            <w:tcW w:w="4876" w:type="dxa"/>
          </w:tcPr>
          <w:p w:rsidR="003F5BF1" w:rsidRPr="002B5B1B" w:rsidRDefault="00D10947" w:rsidP="00D27444">
            <w:pPr>
              <w:pStyle w:val="Normal6"/>
              <w:rPr>
                <w:szCs w:val="24"/>
              </w:rPr>
            </w:pPr>
            <w:r w:rsidRPr="002B5B1B">
              <w:t>1.</w:t>
            </w:r>
            <w:r w:rsidRPr="002B5B1B">
              <w:tab/>
              <w:t xml:space="preserve">O pessoal devidamente autorizado das autoridades </w:t>
            </w:r>
            <w:r w:rsidRPr="002B5B1B">
              <w:rPr>
                <w:b/>
                <w:i/>
              </w:rPr>
              <w:t>de aplicação da lei</w:t>
            </w:r>
            <w:r w:rsidRPr="002B5B1B">
              <w:t xml:space="preserve"> competentes dos Estados-Membros, da Comissão, da Europol e da eu-LISA tem</w:t>
            </w:r>
            <w:r w:rsidRPr="002B5B1B">
              <w:t xml:space="preserve"> acesso </w:t>
            </w:r>
            <w:r w:rsidRPr="002B5B1B">
              <w:rPr>
                <w:b/>
                <w:i/>
              </w:rPr>
              <w:t>aos</w:t>
            </w:r>
            <w:r w:rsidRPr="002B5B1B">
              <w:t xml:space="preserve"> seguintes dados relativos ao encaminhador</w:t>
            </w:r>
            <w:r w:rsidRPr="002B5B1B">
              <w:rPr>
                <w:b/>
                <w:i/>
              </w:rPr>
              <w:t>, conforme pertinente,</w:t>
            </w:r>
            <w:r w:rsidRPr="002B5B1B">
              <w:t xml:space="preserve"> unicamente para efeitos da elaboração de relatórios e estatísticas: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1 – alínea 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w:t>
            </w:r>
            <w:r w:rsidRPr="002B5B1B">
              <w:tab/>
              <w:t>Número de consultas efetuadas por Estado-Membro e pela Europol;</w:t>
            </w:r>
          </w:p>
        </w:tc>
        <w:tc>
          <w:tcPr>
            <w:tcW w:w="4876" w:type="dxa"/>
          </w:tcPr>
          <w:p w:rsidR="003F5BF1" w:rsidRPr="002B5B1B" w:rsidRDefault="00D10947" w:rsidP="00D27444">
            <w:pPr>
              <w:pStyle w:val="Normal6"/>
              <w:rPr>
                <w:szCs w:val="24"/>
              </w:rPr>
            </w:pPr>
            <w:r w:rsidRPr="002B5B1B">
              <w:t>(a)</w:t>
            </w:r>
            <w:r w:rsidRPr="002B5B1B">
              <w:tab/>
              <w:t xml:space="preserve">Número de consultas efetuadas por Estado-Membro e pela Europol </w:t>
            </w:r>
            <w:r w:rsidRPr="002B5B1B">
              <w:rPr>
                <w:b/>
                <w:i/>
              </w:rPr>
              <w:t>por categoria de d</w:t>
            </w:r>
            <w:r w:rsidRPr="002B5B1B">
              <w:rPr>
                <w:b/>
                <w:i/>
              </w:rPr>
              <w:t>ados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206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1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rPr>
                <w:b/>
                <w:i/>
              </w:rPr>
              <w:t>(b)</w:t>
            </w:r>
            <w:r w:rsidRPr="002B5B1B">
              <w:rPr>
                <w:b/>
                <w:i/>
              </w:rPr>
              <w:tab/>
              <w:t xml:space="preserve">Número de consultas efetuadas por </w:t>
            </w:r>
            <w:r w:rsidRPr="002B5B1B">
              <w:rPr>
                <w:b/>
                <w:i/>
              </w:rPr>
              <w:t>categoria de dados;</w:t>
            </w:r>
          </w:p>
        </w:tc>
        <w:tc>
          <w:tcPr>
            <w:tcW w:w="4876" w:type="dxa"/>
          </w:tcPr>
          <w:p w:rsidR="003F5BF1" w:rsidRPr="002B5B1B" w:rsidRDefault="00D10947" w:rsidP="00D27444">
            <w:pPr>
              <w:pStyle w:val="Normal6"/>
              <w:rPr>
                <w:szCs w:val="24"/>
              </w:rPr>
            </w:pPr>
            <w:r w:rsidRPr="002B5B1B">
              <w:rPr>
                <w:b/>
                <w:i/>
              </w:rPr>
              <w:t>Suprimido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1 – alínea f)</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(f)</w:t>
            </w:r>
            <w:r w:rsidRPr="002B5B1B">
              <w:tab/>
              <w:t xml:space="preserve">Número de </w:t>
            </w:r>
            <w:r w:rsidRPr="002B5B1B">
              <w:t xml:space="preserve">correspondências confirmadas em que se verificou intercâmbios de dados de base; </w:t>
            </w:r>
            <w:r w:rsidRPr="002B5B1B">
              <w:rPr>
                <w:b/>
                <w:i/>
              </w:rPr>
              <w:t>e</w:t>
            </w:r>
          </w:p>
        </w:tc>
        <w:tc>
          <w:tcPr>
            <w:tcW w:w="4876" w:type="dxa"/>
          </w:tcPr>
          <w:p w:rsidR="003F5BF1" w:rsidRPr="002B5B1B" w:rsidRDefault="00D10947" w:rsidP="00D27444">
            <w:pPr>
              <w:pStyle w:val="Normal6"/>
              <w:rPr>
                <w:szCs w:val="24"/>
              </w:rPr>
            </w:pPr>
            <w:r w:rsidRPr="002B5B1B">
              <w:t>(f)</w:t>
            </w:r>
            <w:r w:rsidRPr="002B5B1B">
              <w:tab/>
              <w:t>Número de correspondências confirmadas em que se verificou intercâmbios de dados de base;</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1 – alínea f-A) (nova)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(f-A)</w:t>
            </w:r>
            <w:r w:rsidRPr="002B5B1B">
              <w:rPr>
                <w:b/>
                <w:i/>
              </w:rPr>
              <w:tab/>
              <w:t>Número de correspondências confirmadas em que não se verificou intercâmbios de dados de base; e</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209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Os dados não podem permitir a identificação de pessoas.</w:t>
            </w:r>
          </w:p>
        </w:tc>
        <w:tc>
          <w:tcPr>
            <w:tcW w:w="4876" w:type="dxa"/>
          </w:tcPr>
          <w:p w:rsidR="003F5BF1" w:rsidRPr="002B5B1B" w:rsidRDefault="00D10947" w:rsidP="0074550F">
            <w:pPr>
              <w:pStyle w:val="Normal6"/>
              <w:rPr>
                <w:szCs w:val="24"/>
              </w:rPr>
            </w:pPr>
            <w:r w:rsidRPr="002B5B1B">
              <w:rPr>
                <w:b/>
                <w:i/>
              </w:rPr>
              <w:t xml:space="preserve">Os dados são </w:t>
            </w:r>
            <w:r w:rsidRPr="002B5B1B">
              <w:rPr>
                <w:b/>
                <w:i/>
              </w:rPr>
              <w:t xml:space="preserve">agregados. </w:t>
            </w:r>
            <w:r w:rsidRPr="002B5B1B">
              <w:t>Os dados não podem permitir a identificação de pessoas.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w:t>
            </w:r>
            <w:r w:rsidRPr="002B5B1B">
              <w:t xml:space="preserve">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O pessoal devidamente autorizado das autoridades competentes dos Estados-Membros, da Europol e da Comissão tem acesso ao sistema para consultar os seguintes dados relacionados com o EUCARIS, unicamente para efeitos da elaboração </w:t>
            </w:r>
            <w:r w:rsidRPr="002B5B1B">
              <w:t>de relatórios e estatísticas:</w:t>
            </w:r>
          </w:p>
        </w:tc>
        <w:tc>
          <w:tcPr>
            <w:tcW w:w="4876" w:type="dxa"/>
          </w:tcPr>
          <w:p w:rsidR="003F5BF1" w:rsidRPr="002B5B1B" w:rsidRDefault="00D10947" w:rsidP="00D27444">
            <w:pPr>
              <w:pStyle w:val="Normal6"/>
              <w:rPr>
                <w:szCs w:val="24"/>
              </w:rPr>
            </w:pPr>
            <w:r w:rsidRPr="002B5B1B">
              <w:t>2.</w:t>
            </w:r>
            <w:r w:rsidRPr="002B5B1B">
              <w:tab/>
              <w:t xml:space="preserve">O pessoal devidamente autorizado das autoridades </w:t>
            </w:r>
            <w:r w:rsidRPr="002B5B1B">
              <w:rPr>
                <w:b/>
                <w:i/>
              </w:rPr>
              <w:t>de aplicação da lei</w:t>
            </w:r>
            <w:r w:rsidRPr="002B5B1B">
              <w:t xml:space="preserve"> competentes dos Estados-Membros, da Europol e da Comissão tem acesso ao sistema para consultar os seguintes dados relacionados com o EUCARIS, unicamente p</w:t>
            </w:r>
            <w:r w:rsidRPr="002B5B1B">
              <w:t>ara efeitos da elaboração de relatórios e estatísticas: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2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Os dados não podem permitir a identificação de pessoas.</w:t>
            </w:r>
          </w:p>
        </w:tc>
        <w:tc>
          <w:tcPr>
            <w:tcW w:w="4876" w:type="dxa"/>
          </w:tcPr>
          <w:p w:rsidR="003F5BF1" w:rsidRPr="002B5B1B" w:rsidRDefault="00D10947" w:rsidP="0074550F">
            <w:pPr>
              <w:pStyle w:val="Normal6"/>
              <w:rPr>
                <w:szCs w:val="24"/>
              </w:rPr>
            </w:pPr>
            <w:r w:rsidRPr="002B5B1B">
              <w:rPr>
                <w:b/>
                <w:i/>
              </w:rPr>
              <w:t xml:space="preserve">Os dados são agregados. </w:t>
            </w:r>
            <w:r w:rsidRPr="002B5B1B">
              <w:t>Os dados não podem permitir a identificação de pessoas.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w:t>
      </w:r>
      <w:r w:rsidRPr="002B5B1B">
        <w:t>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71 – n.º 3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O pessoal devidamente autorizado das autoridades competentes dos Estados-Membros, da Comissão e da Europol tem acesso ao sistema para consultar os </w:t>
            </w:r>
            <w:r w:rsidRPr="002B5B1B">
              <w:t>seguintes dados relacionados com o EPRIS, unicamente para efeitos da elaboração de relatórios e estatísticas:</w:t>
            </w:r>
          </w:p>
        </w:tc>
        <w:tc>
          <w:tcPr>
            <w:tcW w:w="4876" w:type="dxa"/>
          </w:tcPr>
          <w:p w:rsidR="003F5BF1" w:rsidRPr="002B5B1B" w:rsidRDefault="00D10947" w:rsidP="00D27444">
            <w:pPr>
              <w:pStyle w:val="Normal6"/>
              <w:rPr>
                <w:szCs w:val="24"/>
              </w:rPr>
            </w:pPr>
            <w:r w:rsidRPr="002B5B1B">
              <w:t>3.</w:t>
            </w:r>
            <w:r w:rsidRPr="002B5B1B">
              <w:tab/>
              <w:t xml:space="preserve">O pessoal devidamente autorizado das autoridades </w:t>
            </w:r>
            <w:r w:rsidRPr="002B5B1B">
              <w:rPr>
                <w:b/>
                <w:i/>
              </w:rPr>
              <w:t>de aplicação da lei</w:t>
            </w:r>
            <w:r w:rsidRPr="002B5B1B">
              <w:t xml:space="preserve"> competentes dos Estados-Membros, da Comissão e da Europol tem acesso ao si</w:t>
            </w:r>
            <w:r w:rsidRPr="002B5B1B">
              <w:t>stema para consultar os seguintes dados relacionados com o EPRIS, unicamente para efeitos da elaboração de relatórios e estatísticas: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w:t>
      </w:r>
      <w:r w:rsidRPr="002B5B1B">
        <w:rPr>
          <w:rStyle w:val="HideTWBExt"/>
          <w:b w:val="0"/>
          <w:noProof w:val="0"/>
        </w:rPr>
        <w:t>&gt;</w:t>
      </w:r>
    </w:p>
    <w:p w:rsidR="003F5BF1" w:rsidRPr="002B5B1B" w:rsidRDefault="00D10947" w:rsidP="003F5BF1">
      <w:pPr>
        <w:pStyle w:val="NormalBold"/>
      </w:pPr>
      <w:r w:rsidRPr="002B5B1B">
        <w:rPr>
          <w:rStyle w:val="HideTWBExt"/>
          <w:b w:val="0"/>
          <w:noProof w:val="0"/>
        </w:rPr>
        <w:t>&lt;Article&gt;</w:t>
      </w:r>
      <w:r w:rsidRPr="002B5B1B">
        <w:t>Artigo 71 – n.º 4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4.</w:t>
            </w:r>
            <w:r w:rsidRPr="002B5B1B">
              <w:tab/>
              <w:t xml:space="preserve">A eu-LISA conserva os dados referidos </w:t>
            </w:r>
            <w:r w:rsidRPr="002B5B1B">
              <w:rPr>
                <w:b/>
                <w:i/>
              </w:rPr>
              <w:t>nesses números</w:t>
            </w:r>
            <w:r w:rsidRPr="002B5B1B">
              <w:t>.</w:t>
            </w:r>
          </w:p>
        </w:tc>
        <w:tc>
          <w:tcPr>
            <w:tcW w:w="4876" w:type="dxa"/>
          </w:tcPr>
          <w:p w:rsidR="003F5BF1" w:rsidRPr="002B5B1B" w:rsidRDefault="00D10947" w:rsidP="0074550F">
            <w:pPr>
              <w:pStyle w:val="Normal6"/>
              <w:rPr>
                <w:szCs w:val="24"/>
              </w:rPr>
            </w:pPr>
            <w:r w:rsidRPr="002B5B1B">
              <w:t>4.</w:t>
            </w:r>
            <w:r w:rsidRPr="002B5B1B">
              <w:tab/>
              <w:t xml:space="preserve">A eu-LISA conserva os dados referidos </w:t>
            </w:r>
            <w:r w:rsidRPr="002B5B1B">
              <w:rPr>
                <w:b/>
                <w:i/>
              </w:rPr>
              <w:t xml:space="preserve">no n.º 1 do presente artigo no repositório central para a </w:t>
            </w:r>
            <w:r w:rsidRPr="002B5B1B">
              <w:rPr>
                <w:b/>
                <w:i/>
              </w:rPr>
              <w:t>elaboração de relatórios e estatísticas criado nos termos do artigo 39.º do Regulamento (UE) 2019/818</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 xml:space="preserve">Artigo 71 – n.º 4 – </w:t>
      </w:r>
      <w:r w:rsidRPr="002B5B1B">
        <w:t>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Os dados permitem às autoridades </w:t>
            </w:r>
            <w:r w:rsidRPr="002B5B1B">
              <w:rPr>
                <w:b/>
                <w:i/>
              </w:rPr>
              <w:t>enumeradas no n.º 1</w:t>
            </w:r>
            <w:r w:rsidRPr="002B5B1B">
              <w:t xml:space="preserve"> obter relatórios e dados estatísticos adaptáveis para melhorar a eficiência da cooperação policial.</w:t>
            </w:r>
          </w:p>
        </w:tc>
        <w:tc>
          <w:tcPr>
            <w:tcW w:w="4876" w:type="dxa"/>
          </w:tcPr>
          <w:p w:rsidR="003F5BF1" w:rsidRPr="002B5B1B" w:rsidRDefault="00D10947" w:rsidP="0074550F">
            <w:pPr>
              <w:pStyle w:val="Normal6"/>
              <w:rPr>
                <w:szCs w:val="24"/>
              </w:rPr>
            </w:pPr>
            <w:r w:rsidRPr="002B5B1B">
              <w:t xml:space="preserve">Os dados permitem às autoridades </w:t>
            </w:r>
            <w:r w:rsidRPr="002B5B1B">
              <w:rPr>
                <w:b/>
                <w:i/>
              </w:rPr>
              <w:t>de aplicação da l</w:t>
            </w:r>
            <w:r w:rsidRPr="002B5B1B">
              <w:rPr>
                <w:b/>
                <w:i/>
              </w:rPr>
              <w:t>ei competentes dos Estados-Membros, à Europol, à eu-LISA e à Comissão</w:t>
            </w:r>
            <w:r w:rsidRPr="002B5B1B">
              <w:t xml:space="preserve"> obter relatórios e dados estatísticos adaptáveis para melhorar a eficiência da cooperação policial.</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73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Os Estados-Membros comunicam à eu-LISA as autoridades referidas no artigo 36.º que podem utilizar ou ter acesso ao encaminhador.</w:t>
            </w:r>
          </w:p>
        </w:tc>
        <w:tc>
          <w:tcPr>
            <w:tcW w:w="4876" w:type="dxa"/>
          </w:tcPr>
          <w:p w:rsidR="003F5BF1" w:rsidRPr="002B5B1B" w:rsidRDefault="00D10947" w:rsidP="0074550F">
            <w:pPr>
              <w:pStyle w:val="Normal6"/>
              <w:rPr>
                <w:szCs w:val="24"/>
              </w:rPr>
            </w:pPr>
            <w:r w:rsidRPr="002B5B1B">
              <w:t>1.</w:t>
            </w:r>
            <w:r w:rsidRPr="002B5B1B">
              <w:tab/>
              <w:t>Os Estad</w:t>
            </w:r>
            <w:r w:rsidRPr="002B5B1B">
              <w:t xml:space="preserve">os-Membros comunicam à eu-LISA as autoridades </w:t>
            </w:r>
            <w:r w:rsidRPr="002B5B1B">
              <w:rPr>
                <w:b/>
                <w:i/>
              </w:rPr>
              <w:t>de aplicação da lei competentes</w:t>
            </w:r>
            <w:r w:rsidRPr="002B5B1B">
              <w:t xml:space="preserve"> referidas no artigo 36.º que podem utilizar ou ter acesso ao encaminhador.</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73 – n.º 2-A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683926">
            <w:pPr>
              <w:pStyle w:val="Normal6"/>
              <w:rPr>
                <w:szCs w:val="24"/>
              </w:rPr>
            </w:pPr>
            <w:r w:rsidRPr="002B5B1B">
              <w:rPr>
                <w:b/>
                <w:i/>
              </w:rPr>
              <w:t>2-A.</w:t>
            </w:r>
            <w:r w:rsidRPr="002B5B1B">
              <w:rPr>
                <w:b/>
                <w:i/>
              </w:rPr>
              <w:tab/>
              <w:t xml:space="preserve">Os Estados-Membros notificam os outros Estados-Membros, a Comissão, a eu-LISA e a Europol do conteúdo das suas bases de dados nacionais de ADN, às </w:t>
            </w:r>
            <w:r w:rsidRPr="002B5B1B">
              <w:rPr>
                <w:b/>
                <w:i/>
              </w:rPr>
              <w:t>quais se aplicam os artigos 5.º, 6.º e 7.º.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73 – n.º 2-B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2-B.</w:t>
            </w:r>
            <w:r w:rsidRPr="002B5B1B">
              <w:rPr>
                <w:b/>
                <w:i/>
              </w:rPr>
              <w:tab/>
              <w:t xml:space="preserve">Os </w:t>
            </w:r>
            <w:r w:rsidRPr="002B5B1B">
              <w:rPr>
                <w:b/>
                <w:i/>
              </w:rPr>
              <w:t xml:space="preserve">Estados-Membros informam os outros Estados-Membros, a Comissão, a eu-LISA e a Europol do conteúdo das suas bases de dados dactiloscópicas </w:t>
            </w:r>
            <w:r w:rsidRPr="002B5B1B">
              <w:rPr>
                <w:b/>
                <w:i/>
              </w:rPr>
              <w:lastRenderedPageBreak/>
              <w:t>nacionais, às quais se aplicam os artigos 12.º e 13.º.</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w:t>
      </w:r>
      <w:r w:rsidRPr="002B5B1B">
        <w:rPr>
          <w:rStyle w:val="HideTWBExt"/>
          <w:b w:val="0"/>
          <w:noProof w:val="0"/>
        </w:rPr>
        <w:t>mAm&gt;</w:t>
      </w:r>
      <w:r w:rsidRPr="002B5B1B">
        <w:t>218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73 – n.º 2-C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4550F">
            <w:pPr>
              <w:pStyle w:val="Normal6"/>
              <w:rPr>
                <w:szCs w:val="24"/>
              </w:rPr>
            </w:pPr>
            <w:r w:rsidRPr="002B5B1B">
              <w:rPr>
                <w:b/>
                <w:i/>
              </w:rPr>
              <w:t>2-C.</w:t>
            </w:r>
            <w:r w:rsidRPr="002B5B1B">
              <w:rPr>
                <w:b/>
                <w:i/>
              </w:rPr>
              <w:tab/>
              <w:t xml:space="preserve">Os Estados-Membros informam os outros Estados-Membros, a Comissão, a eu-LISA e a Europol do conteúdo das suas </w:t>
            </w:r>
            <w:r w:rsidRPr="002B5B1B">
              <w:rPr>
                <w:b/>
                <w:i/>
              </w:rPr>
              <w:t>bases de dados nacionais de imagens faciais, às quais se aplicam os artigos 21.º e 22.º.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219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73 – n.º 2-D (novo)</w:t>
      </w:r>
      <w:r w:rsidRPr="002B5B1B">
        <w:rPr>
          <w:rStyle w:val="HideTWBExt"/>
          <w:b w:val="0"/>
          <w:noProof w:val="0"/>
        </w:rPr>
        <w:t>&lt;/Articl</w:t>
      </w:r>
      <w:r w:rsidRPr="002B5B1B">
        <w:rPr>
          <w:rStyle w:val="HideTWBExt"/>
          <w:b w:val="0"/>
          <w:noProof w:val="0"/>
        </w:rPr>
        <w:t>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7F433A">
            <w:pPr>
              <w:pStyle w:val="Normal6"/>
              <w:rPr>
                <w:szCs w:val="24"/>
              </w:rPr>
            </w:pPr>
            <w:r w:rsidRPr="002B5B1B">
              <w:rPr>
                <w:b/>
                <w:i/>
              </w:rPr>
              <w:t>2-D.</w:t>
            </w:r>
            <w:r w:rsidRPr="002B5B1B">
              <w:rPr>
                <w:b/>
                <w:i/>
              </w:rPr>
              <w:tab/>
              <w:t xml:space="preserve">Os Estados-Membros que participam no intercâmbio automatizado de ficheiros policiais nos termos dos artigos 25.º e 26.º notificam os outros Estados-Membros, a Comissão e a Europol do conteúdo dos seus índices </w:t>
            </w:r>
            <w:r w:rsidRPr="002B5B1B">
              <w:rPr>
                <w:b/>
                <w:i/>
              </w:rPr>
              <w:t xml:space="preserve">nacionais de ficheiros policiais, das bases de dados nacionais utilizadas para a criação desses índices e das condições de consulta automatizada. </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220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 xml:space="preserve">Proposta de </w:t>
      </w:r>
      <w:r w:rsidRPr="002B5B1B">
        <w:t>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73 – n.º 3</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t xml:space="preserve">Os Estados-Membros notificam </w:t>
            </w:r>
            <w:r w:rsidRPr="002B5B1B">
              <w:rPr>
                <w:b/>
                <w:i/>
              </w:rPr>
              <w:t>os pontos</w:t>
            </w:r>
            <w:r w:rsidRPr="002B5B1B">
              <w:t xml:space="preserve"> de contacto </w:t>
            </w:r>
            <w:r w:rsidRPr="002B5B1B">
              <w:rPr>
                <w:b/>
                <w:i/>
              </w:rPr>
              <w:t>nacionais</w:t>
            </w:r>
            <w:r w:rsidRPr="002B5B1B">
              <w:t xml:space="preserve"> à Comissão, à Europol e à eu-LISA.</w:t>
            </w:r>
          </w:p>
        </w:tc>
        <w:tc>
          <w:tcPr>
            <w:tcW w:w="4876" w:type="dxa"/>
          </w:tcPr>
          <w:p w:rsidR="003F5BF1" w:rsidRPr="002B5B1B" w:rsidRDefault="00D10947" w:rsidP="0074550F">
            <w:pPr>
              <w:pStyle w:val="Normal6"/>
              <w:rPr>
                <w:szCs w:val="24"/>
              </w:rPr>
            </w:pPr>
            <w:r w:rsidRPr="002B5B1B">
              <w:t>3.</w:t>
            </w:r>
            <w:r w:rsidRPr="002B5B1B">
              <w:tab/>
              <w:t xml:space="preserve">Os Estados-Membros notificam </w:t>
            </w:r>
            <w:r w:rsidRPr="002B5B1B">
              <w:rPr>
                <w:b/>
                <w:i/>
              </w:rPr>
              <w:t>o seu ponto</w:t>
            </w:r>
            <w:r w:rsidRPr="002B5B1B">
              <w:t xml:space="preserve"> de contacto </w:t>
            </w:r>
            <w:r w:rsidRPr="002B5B1B">
              <w:rPr>
                <w:b/>
                <w:i/>
              </w:rPr>
              <w:t xml:space="preserve">nacional </w:t>
            </w:r>
            <w:r w:rsidRPr="002B5B1B">
              <w:rPr>
                <w:b/>
                <w:i/>
              </w:rPr>
              <w:t>designado nos termos do artigo 29.º</w:t>
            </w:r>
            <w:r w:rsidRPr="002B5B1B">
              <w:t xml:space="preserve"> à Comissão, à Europol e à eu-LISA. </w:t>
            </w:r>
            <w:r w:rsidRPr="002B5B1B">
              <w:rPr>
                <w:b/>
                <w:i/>
              </w:rPr>
              <w:t>A Comissão compila uma lista dos pontos de contacto nacionais dos quais foi notificada e disponibiliza-a a todos os Estados-Membros.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w:t>
      </w:r>
      <w:r w:rsidRPr="002B5B1B">
        <w:t>eração</w:t>
      </w:r>
      <w:r w:rsidRPr="002B5B1B">
        <w:tab/>
      </w:r>
      <w:r w:rsidRPr="002B5B1B">
        <w:tab/>
      </w:r>
      <w:r w:rsidRPr="002B5B1B">
        <w:rPr>
          <w:rStyle w:val="HideTWBExt"/>
          <w:b w:val="0"/>
          <w:noProof w:val="0"/>
        </w:rPr>
        <w:t>&lt;NumAm&gt;</w:t>
      </w:r>
      <w:r w:rsidRPr="002B5B1B">
        <w:t>221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1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t xml:space="preserve">A Comissão fixa a data a partir da qual os Estados-Membros e </w:t>
            </w:r>
            <w:r w:rsidRPr="002B5B1B">
              <w:rPr>
                <w:b/>
                <w:i/>
              </w:rPr>
              <w:t>as agências da União</w:t>
            </w:r>
            <w:r w:rsidRPr="002B5B1B">
              <w:t xml:space="preserve"> podem começar a utilizar o encaminhador, por meio de um ato de execução, logo que estejam preenchidas as seguintes condições:</w:t>
            </w:r>
          </w:p>
        </w:tc>
        <w:tc>
          <w:tcPr>
            <w:tcW w:w="4876" w:type="dxa"/>
          </w:tcPr>
          <w:p w:rsidR="003F5BF1" w:rsidRPr="002B5B1B" w:rsidRDefault="00D10947" w:rsidP="00D27444">
            <w:pPr>
              <w:pStyle w:val="Normal6"/>
              <w:rPr>
                <w:szCs w:val="24"/>
              </w:rPr>
            </w:pPr>
            <w:r w:rsidRPr="002B5B1B">
              <w:t>1.</w:t>
            </w:r>
            <w:r w:rsidRPr="002B5B1B">
              <w:tab/>
              <w:t xml:space="preserve">A Comissão fixa a data a partir da qual os Estados-Membros e </w:t>
            </w:r>
            <w:r w:rsidRPr="002B5B1B">
              <w:rPr>
                <w:b/>
                <w:i/>
              </w:rPr>
              <w:t>a Europol</w:t>
            </w:r>
            <w:r w:rsidRPr="002B5B1B">
              <w:t xml:space="preserve"> podem começar a utilizar o encaminhador, por meio de um</w:t>
            </w:r>
            <w:r w:rsidRPr="002B5B1B">
              <w:t xml:space="preserve"> ato de execução, logo que estejam preenchidas as seguintes condições: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1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 xml:space="preserve">A eu-LISA tiver declarado a conclusão com êxito de um teste global do encaminhador, que deve ser efetuado em cooperação com as autoridades dos </w:t>
            </w:r>
            <w:r w:rsidRPr="002B5B1B">
              <w:lastRenderedPageBreak/>
              <w:t>Estados-Membros e a Europol.</w:t>
            </w:r>
          </w:p>
        </w:tc>
        <w:tc>
          <w:tcPr>
            <w:tcW w:w="4876" w:type="dxa"/>
          </w:tcPr>
          <w:p w:rsidR="003F5BF1" w:rsidRPr="002B5B1B" w:rsidRDefault="00D10947" w:rsidP="00D27444">
            <w:pPr>
              <w:pStyle w:val="Normal6"/>
              <w:rPr>
                <w:szCs w:val="24"/>
              </w:rPr>
            </w:pPr>
            <w:r w:rsidRPr="002B5B1B">
              <w:lastRenderedPageBreak/>
              <w:t>(b)</w:t>
            </w:r>
            <w:r w:rsidRPr="002B5B1B">
              <w:tab/>
              <w:t>A eu-LISA declarou a conclusão com êxito de um teste glo</w:t>
            </w:r>
            <w:r w:rsidRPr="002B5B1B">
              <w:t xml:space="preserve">bal do encaminhador, que efetuou em cooperação com as autoridades </w:t>
            </w:r>
            <w:r w:rsidRPr="002B5B1B">
              <w:rPr>
                <w:b/>
                <w:i/>
              </w:rPr>
              <w:t xml:space="preserve">de aplicação da lei </w:t>
            </w:r>
            <w:r w:rsidRPr="002B5B1B">
              <w:rPr>
                <w:b/>
                <w:i/>
              </w:rPr>
              <w:lastRenderedPageBreak/>
              <w:t>competentes</w:t>
            </w:r>
            <w:r w:rsidRPr="002B5B1B">
              <w:t xml:space="preserve"> dos Estados-Membros e a Europol.</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1 – parágrafo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 xml:space="preserve">Nesse ato de execução, a Comissão determina igualmente a data a partir da qual os Estados-Membros e </w:t>
            </w:r>
            <w:r w:rsidRPr="002B5B1B">
              <w:rPr>
                <w:b/>
                <w:i/>
              </w:rPr>
              <w:t>as agências da União</w:t>
            </w:r>
            <w:r w:rsidRPr="002B5B1B">
              <w:t xml:space="preserve"> devem começar a utilizar o encaminhador. Essa data é </w:t>
            </w:r>
            <w:r w:rsidRPr="002B5B1B">
              <w:t>de um ano a contar da data determinada nos termos do primeiro parágrafo.</w:t>
            </w:r>
          </w:p>
        </w:tc>
        <w:tc>
          <w:tcPr>
            <w:tcW w:w="4876" w:type="dxa"/>
          </w:tcPr>
          <w:p w:rsidR="003F5BF1" w:rsidRPr="002B5B1B" w:rsidRDefault="00D10947" w:rsidP="00D27444">
            <w:pPr>
              <w:pStyle w:val="Normal6"/>
              <w:rPr>
                <w:szCs w:val="24"/>
              </w:rPr>
            </w:pPr>
            <w:r w:rsidRPr="002B5B1B">
              <w:t xml:space="preserve">Nesse ato de execução, a Comissão determina igualmente a data a partir da qual os Estados-Membros e </w:t>
            </w:r>
            <w:r w:rsidRPr="002B5B1B">
              <w:rPr>
                <w:b/>
                <w:i/>
              </w:rPr>
              <w:t>a Europol</w:t>
            </w:r>
            <w:r w:rsidRPr="002B5B1B">
              <w:t xml:space="preserve"> devem começar a utilizar o encaminhador. Essa data é de um ano a contar d</w:t>
            </w:r>
            <w:r w:rsidRPr="002B5B1B">
              <w:t>a data determinada nos termos do primeiro parágrafo.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1 – parágrafo 2</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A Comissão pode adiar por um ano, no máximo, a data a partir da qual os Estados-Membros e as agências da União devem começar a utilizar o encaminhador, caso uma avaliação da implementação do encaminhador demonstre que esse adiamento é necessário</w:t>
            </w:r>
            <w:r w:rsidRPr="002B5B1B">
              <w:t xml:space="preserve">. </w:t>
            </w:r>
            <w:r w:rsidRPr="002B5B1B">
              <w:rPr>
                <w:b/>
                <w:i/>
              </w:rPr>
              <w:t>O referido ato de execução é adotado pelo procedimento a que se refere o artigo 76.º, n.º 2.</w:t>
            </w:r>
          </w:p>
        </w:tc>
        <w:tc>
          <w:tcPr>
            <w:tcW w:w="4876" w:type="dxa"/>
          </w:tcPr>
          <w:p w:rsidR="003F5BF1" w:rsidRPr="002B5B1B" w:rsidRDefault="00D10947" w:rsidP="0074550F">
            <w:pPr>
              <w:pStyle w:val="Normal6"/>
              <w:rPr>
                <w:szCs w:val="24"/>
              </w:rPr>
            </w:pPr>
            <w:r w:rsidRPr="002B5B1B">
              <w:t xml:space="preserve">A Comissão pode adiar por um ano, no máximo, a data a partir da qual os Estados-Membros e as agências da União devem começar a utilizar o encaminhador, caso uma </w:t>
            </w:r>
            <w:r w:rsidRPr="002B5B1B">
              <w:t>avaliação da implementação do encaminhador demonstre que esse adiamento é necessário.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lastRenderedPageBreak/>
        <w:t>&lt;Amend&gt;</w:t>
      </w:r>
      <w:r w:rsidRPr="002B5B1B">
        <w:t>Alteração</w:t>
      </w:r>
      <w:r w:rsidRPr="002B5B1B">
        <w:tab/>
      </w:r>
      <w:r w:rsidRPr="002B5B1B">
        <w:tab/>
      </w:r>
      <w:r w:rsidRPr="002B5B1B">
        <w:rPr>
          <w:rStyle w:val="HideTWBExt"/>
          <w:b w:val="0"/>
          <w:noProof w:val="0"/>
        </w:rPr>
        <w:t>&lt;NumAm&gt;</w:t>
      </w:r>
      <w:r w:rsidRPr="002B5B1B">
        <w:t>225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2 – parte introdutóri</w:t>
      </w:r>
      <w:r w:rsidRPr="002B5B1B">
        <w:t>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A Comissão fixa a data a partir da qual os Estados-Membros e </w:t>
            </w:r>
            <w:r w:rsidRPr="002B5B1B">
              <w:rPr>
                <w:b/>
                <w:i/>
              </w:rPr>
              <w:t>as agências da União</w:t>
            </w:r>
            <w:r w:rsidRPr="002B5B1B">
              <w:t xml:space="preserve"> podem começar a utilizar o EPRIS, por meio de um ato de execução, logo que estejam preenchidas as seguintes condições:</w:t>
            </w:r>
          </w:p>
        </w:tc>
        <w:tc>
          <w:tcPr>
            <w:tcW w:w="4876" w:type="dxa"/>
          </w:tcPr>
          <w:p w:rsidR="003F5BF1" w:rsidRPr="002B5B1B" w:rsidRDefault="00D10947" w:rsidP="00D27444">
            <w:pPr>
              <w:pStyle w:val="Normal6"/>
              <w:rPr>
                <w:szCs w:val="24"/>
              </w:rPr>
            </w:pPr>
            <w:r w:rsidRPr="002B5B1B">
              <w:t>2.</w:t>
            </w:r>
            <w:r w:rsidRPr="002B5B1B">
              <w:tab/>
            </w:r>
            <w:r w:rsidRPr="002B5B1B">
              <w:t xml:space="preserve">A Comissão fixa a data a partir da qual os Estados-Membros e </w:t>
            </w:r>
            <w:r w:rsidRPr="002B5B1B">
              <w:rPr>
                <w:b/>
                <w:i/>
              </w:rPr>
              <w:t>a Europol</w:t>
            </w:r>
            <w:r w:rsidRPr="002B5B1B">
              <w:t xml:space="preserve"> podem começar a utilizar o EPRIS, por meio de um ato de execução, logo que estejam preenchidas as seguintes condições: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2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A Europol tiver declarado a conclusão com êxito de um teste global do EPRIS, a realizar em cooperação com as</w:t>
            </w:r>
            <w:r w:rsidRPr="002B5B1B">
              <w:t xml:space="preserve"> autoridades dos Estados-Membros.</w:t>
            </w:r>
          </w:p>
        </w:tc>
        <w:tc>
          <w:tcPr>
            <w:tcW w:w="4876" w:type="dxa"/>
          </w:tcPr>
          <w:p w:rsidR="003F5BF1" w:rsidRPr="002B5B1B" w:rsidRDefault="00D10947" w:rsidP="00D27444">
            <w:pPr>
              <w:pStyle w:val="Normal6"/>
              <w:rPr>
                <w:szCs w:val="24"/>
              </w:rPr>
            </w:pPr>
            <w:r w:rsidRPr="002B5B1B">
              <w:t>(b)</w:t>
            </w:r>
            <w:r w:rsidRPr="002B5B1B">
              <w:tab/>
              <w:t xml:space="preserve">A Europol tiver declarado a conclusão com êxito de um teste global do EPRIS, a realizar em cooperação com as autoridades </w:t>
            </w:r>
            <w:r w:rsidRPr="002B5B1B">
              <w:rPr>
                <w:b/>
                <w:i/>
              </w:rPr>
              <w:t>de aplicação da lei competentes</w:t>
            </w:r>
            <w:r w:rsidRPr="002B5B1B">
              <w:t xml:space="preserve"> dos Estados-Membros.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w:t>
      </w:r>
      <w:r w:rsidRPr="002B5B1B">
        <w:rPr>
          <w:rStyle w:val="HideTWBExt"/>
          <w:b w:val="0"/>
          <w:noProof w:val="0"/>
        </w:rPr>
        <w:t>mend&gt;</w:t>
      </w:r>
      <w:r w:rsidRPr="002B5B1B">
        <w:t>Alteração</w:t>
      </w:r>
      <w:r w:rsidRPr="002B5B1B">
        <w:tab/>
      </w:r>
      <w:r w:rsidRPr="002B5B1B">
        <w:tab/>
      </w:r>
      <w:r w:rsidRPr="002B5B1B">
        <w:rPr>
          <w:rStyle w:val="HideTWBExt"/>
          <w:b w:val="0"/>
          <w:noProof w:val="0"/>
        </w:rPr>
        <w:t>&lt;NumAm&gt;</w:t>
      </w:r>
      <w:r w:rsidRPr="002B5B1B">
        <w:t>227</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3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 xml:space="preserve">A Europol tiver declarado a conclusão com êxito de um teste global da ligação, que deve ser </w:t>
            </w:r>
            <w:r w:rsidRPr="002B5B1B">
              <w:t>efetuado em cooperação com as autoridades dos Estados-Membros e a eu-LISA.</w:t>
            </w:r>
          </w:p>
        </w:tc>
        <w:tc>
          <w:tcPr>
            <w:tcW w:w="4876" w:type="dxa"/>
          </w:tcPr>
          <w:p w:rsidR="003F5BF1" w:rsidRPr="002B5B1B" w:rsidRDefault="00D10947" w:rsidP="00D27444">
            <w:pPr>
              <w:pStyle w:val="Normal6"/>
              <w:rPr>
                <w:szCs w:val="24"/>
              </w:rPr>
            </w:pPr>
            <w:r w:rsidRPr="002B5B1B">
              <w:t>(b)</w:t>
            </w:r>
            <w:r w:rsidRPr="002B5B1B">
              <w:tab/>
              <w:t xml:space="preserve">A Europol declarou a conclusão com êxito de um teste global da ligação, que efetuou em cooperação com as autoridades </w:t>
            </w:r>
            <w:r w:rsidRPr="002B5B1B">
              <w:rPr>
                <w:b/>
                <w:i/>
              </w:rPr>
              <w:t>de aplicação da lei competentes</w:t>
            </w:r>
            <w:r w:rsidRPr="002B5B1B">
              <w:t xml:space="preserve"> dos Estados-Membros e a eu-L</w:t>
            </w:r>
            <w:r w:rsidRPr="002B5B1B">
              <w:t>ISA.</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228</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4 – alínea b)</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(b)</w:t>
            </w:r>
            <w:r w:rsidRPr="002B5B1B">
              <w:tab/>
              <w:t xml:space="preserve">A Europol tiver declarado a conclusão com </w:t>
            </w:r>
            <w:r w:rsidRPr="002B5B1B">
              <w:t>êxito de um teste global da ligação, que deve ser efetuado em cooperação com as autoridades dos Estados-Membros e a eu-LISA.</w:t>
            </w:r>
          </w:p>
        </w:tc>
        <w:tc>
          <w:tcPr>
            <w:tcW w:w="4876" w:type="dxa"/>
          </w:tcPr>
          <w:p w:rsidR="003F5BF1" w:rsidRPr="002B5B1B" w:rsidRDefault="00D10947" w:rsidP="00D27444">
            <w:pPr>
              <w:pStyle w:val="Normal6"/>
              <w:rPr>
                <w:szCs w:val="24"/>
              </w:rPr>
            </w:pPr>
            <w:r w:rsidRPr="002B5B1B">
              <w:t>(b)</w:t>
            </w:r>
            <w:r w:rsidRPr="002B5B1B">
              <w:tab/>
              <w:t xml:space="preserve">A Europol declarou a conclusão com êxito de um teste global da ligação, que efetuou em cooperação com as autoridades </w:t>
            </w:r>
            <w:r w:rsidRPr="002B5B1B">
              <w:rPr>
                <w:b/>
                <w:i/>
              </w:rPr>
              <w:t>de aplicaç</w:t>
            </w:r>
            <w:r w:rsidRPr="002B5B1B">
              <w:rPr>
                <w:b/>
                <w:i/>
              </w:rPr>
              <w:t>ão da lei competentes</w:t>
            </w:r>
            <w:r w:rsidRPr="002B5B1B">
              <w:t xml:space="preserve"> dos Estados-Membros e a eu-LISA.</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229</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74 – n.º 4-A (novo)</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3F5BF1" w:rsidP="00D27444">
            <w:pPr>
              <w:pStyle w:val="Normal6"/>
            </w:pPr>
          </w:p>
        </w:tc>
        <w:tc>
          <w:tcPr>
            <w:tcW w:w="4876" w:type="dxa"/>
          </w:tcPr>
          <w:p w:rsidR="003F5BF1" w:rsidRPr="002B5B1B" w:rsidRDefault="00D10947" w:rsidP="00D27444">
            <w:pPr>
              <w:pStyle w:val="Normal6"/>
              <w:rPr>
                <w:szCs w:val="24"/>
              </w:rPr>
            </w:pPr>
            <w:r w:rsidRPr="002B5B1B">
              <w:rPr>
                <w:b/>
                <w:i/>
              </w:rPr>
              <w:t>4-A.</w:t>
            </w:r>
            <w:r w:rsidRPr="002B5B1B">
              <w:rPr>
                <w:b/>
                <w:i/>
              </w:rPr>
              <w:tab/>
              <w:t>Os atos de execução referidos no presente artigo são adotados em conformidade com o procedimento a que se refere o artigo 76.º, n.º 2.</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230</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w:t>
      </w:r>
      <w:r w:rsidRPr="002B5B1B">
        <w:rPr>
          <w:rStyle w:val="HideTWBExt"/>
          <w:b w:val="0"/>
          <w:noProof w:val="0"/>
        </w:rPr>
        <w:t>ocAmend&gt;</w:t>
      </w:r>
    </w:p>
    <w:p w:rsidR="003F5BF1" w:rsidRPr="002B5B1B" w:rsidRDefault="00D10947" w:rsidP="003F5BF1">
      <w:pPr>
        <w:pStyle w:val="NormalBold"/>
      </w:pPr>
      <w:r w:rsidRPr="002B5B1B">
        <w:rPr>
          <w:rStyle w:val="HideTWBExt"/>
          <w:b w:val="0"/>
          <w:noProof w:val="0"/>
        </w:rPr>
        <w:t>&lt;Article&gt;</w:t>
      </w:r>
      <w:r w:rsidRPr="002B5B1B">
        <w:t>Artigo 79 – n.º 1</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w:t>
            </w:r>
            <w:r w:rsidRPr="002B5B1B">
              <w:tab/>
            </w:r>
            <w:r w:rsidRPr="002B5B1B">
              <w:t xml:space="preserve">A eu-LISA e a Europol asseguram que são criados procedimentos para acompanhar o desenvolvimento do encaminhador e do EPRIS, respetivamente, </w:t>
            </w:r>
            <w:r w:rsidRPr="002B5B1B">
              <w:lastRenderedPageBreak/>
              <w:t xml:space="preserve">à luz dos objetivos relacionados com o planeamento e os custos, e para controlar o funcionamento </w:t>
            </w:r>
            <w:r w:rsidRPr="002B5B1B">
              <w:rPr>
                <w:b/>
                <w:i/>
              </w:rPr>
              <w:t>do encaminhador e d</w:t>
            </w:r>
            <w:r w:rsidRPr="002B5B1B">
              <w:rPr>
                <w:b/>
                <w:i/>
              </w:rPr>
              <w:t>o EPRIS</w:t>
            </w:r>
            <w:r w:rsidRPr="002B5B1B">
              <w:t>, à luz dos objetivos fixados em termos de resultados técnicos, relação custo-eficácia, segurança e qualidade do serviço.</w:t>
            </w:r>
          </w:p>
        </w:tc>
        <w:tc>
          <w:tcPr>
            <w:tcW w:w="4876" w:type="dxa"/>
          </w:tcPr>
          <w:p w:rsidR="003F5BF1" w:rsidRPr="002B5B1B" w:rsidRDefault="00D10947" w:rsidP="00D27444">
            <w:pPr>
              <w:pStyle w:val="Normal6"/>
              <w:rPr>
                <w:szCs w:val="24"/>
              </w:rPr>
            </w:pPr>
            <w:r w:rsidRPr="002B5B1B">
              <w:lastRenderedPageBreak/>
              <w:t>1.</w:t>
            </w:r>
            <w:r w:rsidRPr="002B5B1B">
              <w:tab/>
              <w:t xml:space="preserve">A eu-LISA e a Europol asseguram que são criados procedimentos para acompanhar o desenvolvimento do encaminhador e do EPRIS, </w:t>
            </w:r>
            <w:r w:rsidRPr="002B5B1B">
              <w:t xml:space="preserve">respetivamente, </w:t>
            </w:r>
            <w:r w:rsidRPr="002B5B1B">
              <w:lastRenderedPageBreak/>
              <w:t xml:space="preserve">à luz dos objetivos relacionados com o planeamento e os custos, e para controlar o </w:t>
            </w:r>
            <w:r w:rsidRPr="002B5B1B">
              <w:rPr>
                <w:b/>
                <w:i/>
              </w:rPr>
              <w:t>seu</w:t>
            </w:r>
            <w:r w:rsidRPr="002B5B1B">
              <w:t xml:space="preserve"> funcionamento, à luz dos objetivos fixados em termos de resultados técnicos, relação custo-eficácia, segurança e qualidade do serviço.</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rStyle w:val="HideTWBInt"/>
          <w:noProof w:val="0"/>
        </w:rPr>
        <w:t>}</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231</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79 – n.º 2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2.</w:t>
            </w:r>
            <w:r w:rsidRPr="002B5B1B">
              <w:tab/>
              <w:t xml:space="preserve">Até [um ano após a entrada em vigor do presente </w:t>
            </w:r>
            <w:r w:rsidRPr="002B5B1B">
              <w:t>regulamento] e, posteriormente, todos os anos, durante a fase de desenvolvimento do encaminhador, a eu-LISA apresenta</w:t>
            </w:r>
            <w:r w:rsidRPr="002B5B1B">
              <w:rPr>
                <w:b/>
                <w:i/>
              </w:rPr>
              <w:t>, respetivamente,</w:t>
            </w:r>
            <w:r w:rsidRPr="002B5B1B">
              <w:t xml:space="preserve"> um relatório ao Parlamento Europeu e ao Conselho sobre o ponto da situação do desenvolvimento do encaminhador. Esse relat</w:t>
            </w:r>
            <w:r w:rsidRPr="002B5B1B">
              <w:t>ório inclui informações detalhadas sobre os custos incorridos e informações sobre os riscos que possam ter impacto nos custos globais a suportar pelo orçamento geral da União em conformidade com o artigo 72.º.</w:t>
            </w:r>
          </w:p>
        </w:tc>
        <w:tc>
          <w:tcPr>
            <w:tcW w:w="4876" w:type="dxa"/>
          </w:tcPr>
          <w:p w:rsidR="003F5BF1" w:rsidRPr="002B5B1B" w:rsidRDefault="00D10947" w:rsidP="00D27444">
            <w:pPr>
              <w:pStyle w:val="Normal6"/>
              <w:rPr>
                <w:szCs w:val="24"/>
              </w:rPr>
            </w:pPr>
            <w:r w:rsidRPr="002B5B1B">
              <w:t>2.</w:t>
            </w:r>
            <w:r w:rsidRPr="002B5B1B">
              <w:tab/>
              <w:t>Até [um ano após a entrada em vigor do pres</w:t>
            </w:r>
            <w:r w:rsidRPr="002B5B1B">
              <w:t xml:space="preserve">ente regulamento] e, posteriormente, todos os anos, durante a fase de desenvolvimento do encaminhador, a eu-LISA apresenta um relatório ao Parlamento Europeu e ao Conselho sobre o ponto da situação do desenvolvimento do encaminhador. Esse relatório inclui </w:t>
            </w:r>
            <w:r w:rsidRPr="002B5B1B">
              <w:t>informações detalhadas sobre os custos incorridos e informações sobre os riscos que possam ter impacto nos custos globais a suportar pelo orçamento geral da União em conformidade com o artigo 72.º.</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232</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79 – n.º 3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3.</w:t>
            </w:r>
            <w:r w:rsidRPr="002B5B1B">
              <w:tab/>
            </w:r>
            <w:r w:rsidRPr="002B5B1B">
              <w:t xml:space="preserve">Até [um ano após a entrada em vigor do presente regulamento] e, posteriormente, todos os anos durante a fase de desenvolvimento do EPRIS, a </w:t>
            </w:r>
            <w:r w:rsidRPr="002B5B1B">
              <w:lastRenderedPageBreak/>
              <w:t xml:space="preserve">Europol apresenta ao Parlamento Europeu e ao Conselho um relatório </w:t>
            </w:r>
            <w:r w:rsidRPr="002B5B1B">
              <w:rPr>
                <w:b/>
                <w:i/>
              </w:rPr>
              <w:t>sobre o estado de preparação da aplicação do pres</w:t>
            </w:r>
            <w:r w:rsidRPr="002B5B1B">
              <w:rPr>
                <w:b/>
                <w:i/>
              </w:rPr>
              <w:t>ente regulamento e</w:t>
            </w:r>
            <w:r w:rsidRPr="002B5B1B">
              <w:t xml:space="preserve"> sobre o ponto da situação do desenvolvimento do EPRIS, incluindo informações pormenorizadas sobre os custos incorridos e sobre eventuais riscos suscetíveis de afetar os custos globais a suportar pelo orçamento geral da União, nos termos </w:t>
            </w:r>
            <w:r w:rsidRPr="002B5B1B">
              <w:t>do artigo 72.º.</w:t>
            </w:r>
          </w:p>
        </w:tc>
        <w:tc>
          <w:tcPr>
            <w:tcW w:w="4876" w:type="dxa"/>
          </w:tcPr>
          <w:p w:rsidR="003F5BF1" w:rsidRPr="002B5B1B" w:rsidRDefault="00D10947" w:rsidP="00D27444">
            <w:pPr>
              <w:pStyle w:val="Normal6"/>
              <w:rPr>
                <w:szCs w:val="24"/>
              </w:rPr>
            </w:pPr>
            <w:r w:rsidRPr="002B5B1B">
              <w:lastRenderedPageBreak/>
              <w:t>3.</w:t>
            </w:r>
            <w:r w:rsidRPr="002B5B1B">
              <w:tab/>
              <w:t xml:space="preserve">Até [um ano após a entrada em vigor do presente regulamento] e, posteriormente, todos os anos durante a fase de desenvolvimento do EPRIS, a </w:t>
            </w:r>
            <w:r w:rsidRPr="002B5B1B">
              <w:lastRenderedPageBreak/>
              <w:t>Europol apresenta ao Parlamento Europeu e ao Conselho um relatório sobre o ponto da situação do d</w:t>
            </w:r>
            <w:r w:rsidRPr="002B5B1B">
              <w:t>esenvolvimento do EPRIS, incluindo informações pormenorizadas sobre os custos incorridos e sobre eventuais riscos suscetíveis de afetar os custos globais a suportar pelo orçamento geral da União, nos termos do artigo 72.º.</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233</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79 – n.º 7 – parte introdutória</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7.</w:t>
            </w:r>
            <w:r w:rsidRPr="002B5B1B">
              <w:tab/>
            </w:r>
            <w:r w:rsidRPr="002B5B1B">
              <w:rPr>
                <w:b/>
                <w:i/>
              </w:rPr>
              <w:t>Três</w:t>
            </w:r>
            <w:r w:rsidRPr="002B5B1B">
              <w:t xml:space="preserve"> anos após a entrada em funcionamento do encaminhador e do EPRIS, conforme referido no artigo 74.º, e, posteriormente, de quatro em quatro anos, a Comissão elabora uma avaliação global do Prüm II, incluindo:</w:t>
            </w:r>
          </w:p>
        </w:tc>
        <w:tc>
          <w:tcPr>
            <w:tcW w:w="4876" w:type="dxa"/>
          </w:tcPr>
          <w:p w:rsidR="003F5BF1" w:rsidRPr="002B5B1B" w:rsidRDefault="00D10947" w:rsidP="00D27444">
            <w:pPr>
              <w:pStyle w:val="Normal6"/>
              <w:rPr>
                <w:szCs w:val="24"/>
              </w:rPr>
            </w:pPr>
            <w:r w:rsidRPr="002B5B1B">
              <w:t>7.</w:t>
            </w:r>
            <w:r w:rsidRPr="002B5B1B">
              <w:tab/>
            </w:r>
            <w:r w:rsidRPr="002B5B1B">
              <w:rPr>
                <w:b/>
                <w:i/>
              </w:rPr>
              <w:t>Dois</w:t>
            </w:r>
            <w:r w:rsidRPr="002B5B1B">
              <w:t xml:space="preserve"> anos após a entrada em funcionamento do </w:t>
            </w:r>
            <w:r w:rsidRPr="002B5B1B">
              <w:t>encaminhador e do EPRIS, conforme referido no artigo 74.º, e, posteriormente, de quatro em quatro anos, a Comissão elabora uma avaliação global do Prüm II, incluindo:</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234</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79 – n.º 8</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8.</w:t>
            </w:r>
            <w:r w:rsidRPr="002B5B1B">
              <w:tab/>
              <w:t>Os Estados-Membros e a Europol fornecem à eu-LISA e à Comissão as informações necessárias para a elaboração dos relatórios referidos nos n.</w:t>
            </w:r>
            <w:r w:rsidRPr="002B5B1B">
              <w:rPr>
                <w:vertAlign w:val="superscript"/>
              </w:rPr>
              <w:t>os</w:t>
            </w:r>
            <w:r w:rsidRPr="002B5B1B">
              <w:t xml:space="preserve"> 2 e 5. </w:t>
            </w:r>
            <w:r w:rsidRPr="002B5B1B">
              <w:t xml:space="preserve">Estas informações não podem pôr em causa os métodos de trabalho, nem incluir informações que revelem fontes, membros do pessoal ou investigações das </w:t>
            </w:r>
            <w:r w:rsidRPr="002B5B1B">
              <w:lastRenderedPageBreak/>
              <w:t xml:space="preserve">autoridades </w:t>
            </w:r>
            <w:r w:rsidRPr="002B5B1B">
              <w:rPr>
                <w:b/>
                <w:i/>
              </w:rPr>
              <w:t>designadas</w:t>
            </w:r>
            <w:r w:rsidRPr="002B5B1B">
              <w:t>.</w:t>
            </w:r>
          </w:p>
        </w:tc>
        <w:tc>
          <w:tcPr>
            <w:tcW w:w="4876" w:type="dxa"/>
          </w:tcPr>
          <w:p w:rsidR="003F5BF1" w:rsidRPr="002B5B1B" w:rsidRDefault="00D10947" w:rsidP="00D27444">
            <w:pPr>
              <w:pStyle w:val="Normal6"/>
              <w:rPr>
                <w:szCs w:val="24"/>
              </w:rPr>
            </w:pPr>
            <w:r w:rsidRPr="002B5B1B">
              <w:lastRenderedPageBreak/>
              <w:t>8.</w:t>
            </w:r>
            <w:r w:rsidRPr="002B5B1B">
              <w:tab/>
              <w:t>Os Estados-Membros e a Europol fornecem à eu-LISA e à Comissão as informações ne</w:t>
            </w:r>
            <w:r w:rsidRPr="002B5B1B">
              <w:t>cessárias para a elaboração dos relatórios referidos nos n.</w:t>
            </w:r>
            <w:r w:rsidRPr="002B5B1B">
              <w:rPr>
                <w:vertAlign w:val="superscript"/>
              </w:rPr>
              <w:t>os</w:t>
            </w:r>
            <w:r w:rsidRPr="002B5B1B">
              <w:t xml:space="preserve"> 2 e 5. Estas informações não podem pôr em causa os métodos de trabalho, nem incluir informações que revelem fontes, membros do pessoal ou investigações das autoridades </w:t>
            </w:r>
            <w:r w:rsidRPr="002B5B1B">
              <w:rPr>
                <w:b/>
                <w:i/>
              </w:rPr>
              <w:t xml:space="preserve">de aplicação da lei </w:t>
            </w:r>
            <w:r w:rsidRPr="002B5B1B">
              <w:rPr>
                <w:b/>
                <w:i/>
              </w:rPr>
              <w:lastRenderedPageBreak/>
              <w:t>compet</w:t>
            </w:r>
            <w:r w:rsidRPr="002B5B1B">
              <w:rPr>
                <w:b/>
                <w:i/>
              </w:rPr>
              <w:t>entes</w:t>
            </w:r>
            <w:r w:rsidRPr="002B5B1B">
              <w:t>.</w:t>
            </w:r>
          </w:p>
        </w:tc>
      </w:tr>
    </w:tbl>
    <w:p w:rsidR="003F5BF1" w:rsidRPr="002B5B1B" w:rsidRDefault="00D10947" w:rsidP="003F5BF1">
      <w:pPr>
        <w:pStyle w:val="Olang"/>
        <w:rPr>
          <w:noProof w:val="0"/>
        </w:rPr>
      </w:pPr>
      <w:r w:rsidRPr="002B5B1B">
        <w:rPr>
          <w:noProof w:val="0"/>
        </w:rPr>
        <w:lastRenderedPageBreak/>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235</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79 – n.º 9</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Texto da 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9.</w:t>
            </w:r>
            <w:r w:rsidRPr="002B5B1B">
              <w:tab/>
              <w:t xml:space="preserve">Os Estados-Membros fornecem à Europol e à Comissão as </w:t>
            </w:r>
            <w:r w:rsidRPr="002B5B1B">
              <w:t>informações necessárias para a elaboração dos relatórios referidos nos n.</w:t>
            </w:r>
            <w:r w:rsidRPr="002B5B1B">
              <w:rPr>
                <w:vertAlign w:val="superscript"/>
              </w:rPr>
              <w:t>os</w:t>
            </w:r>
            <w:r w:rsidRPr="002B5B1B">
              <w:t xml:space="preserve"> 3 e 6. Estas informações não podem pôr em causa os métodos de trabalho, nem incluir informações que revelem fontes, membros do pessoal ou investigações das autoridades </w:t>
            </w:r>
            <w:r w:rsidRPr="002B5B1B">
              <w:rPr>
                <w:b/>
                <w:i/>
              </w:rPr>
              <w:t>designadas</w:t>
            </w:r>
            <w:r w:rsidRPr="002B5B1B">
              <w:t>.</w:t>
            </w:r>
          </w:p>
        </w:tc>
        <w:tc>
          <w:tcPr>
            <w:tcW w:w="4876" w:type="dxa"/>
          </w:tcPr>
          <w:p w:rsidR="003F5BF1" w:rsidRPr="002B5B1B" w:rsidRDefault="00D10947" w:rsidP="00D27444">
            <w:pPr>
              <w:pStyle w:val="Normal6"/>
              <w:rPr>
                <w:szCs w:val="24"/>
              </w:rPr>
            </w:pPr>
            <w:r w:rsidRPr="002B5B1B">
              <w:t>9.</w:t>
            </w:r>
            <w:r w:rsidRPr="002B5B1B">
              <w:tab/>
              <w:t>Os Estados-Membros fornecem à Europol e à Comissão as informações necessárias para a elaboração dos relatórios referidos nos n.</w:t>
            </w:r>
            <w:r w:rsidRPr="002B5B1B">
              <w:rPr>
                <w:vertAlign w:val="superscript"/>
              </w:rPr>
              <w:t>os</w:t>
            </w:r>
            <w:r w:rsidRPr="002B5B1B">
              <w:t> 3 e 6. Estas informações não podem pôr em causa os métodos de trabalho, nem incluir informações que revelem fontes, membros</w:t>
            </w:r>
            <w:r w:rsidRPr="002B5B1B">
              <w:t xml:space="preserve"> do pessoal ou investigações das autoridades </w:t>
            </w:r>
            <w:r w:rsidRPr="002B5B1B">
              <w:rPr>
                <w:b/>
                <w:i/>
              </w:rPr>
              <w:t>de aplicação da lei competentes</w:t>
            </w:r>
            <w:r w:rsidRPr="002B5B1B">
              <w:t>.</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w:t>
      </w:r>
    </w:p>
    <w:p w:rsidR="003F5BF1" w:rsidRPr="002B5B1B" w:rsidRDefault="00D10947" w:rsidP="003F5BF1">
      <w:pPr>
        <w:pStyle w:val="AMNumberTabs0"/>
        <w:keepNext/>
      </w:pPr>
      <w:r w:rsidRPr="002B5B1B">
        <w:rPr>
          <w:rStyle w:val="HideTWBExt"/>
          <w:b w:val="0"/>
          <w:noProof w:val="0"/>
        </w:rPr>
        <w:t>&lt;Amend&gt;</w:t>
      </w:r>
      <w:r w:rsidRPr="002B5B1B">
        <w:t>Alteração</w:t>
      </w:r>
      <w:r w:rsidRPr="002B5B1B">
        <w:tab/>
      </w:r>
      <w:r w:rsidRPr="002B5B1B">
        <w:tab/>
      </w:r>
      <w:r w:rsidRPr="002B5B1B">
        <w:rPr>
          <w:rStyle w:val="HideTWBExt"/>
          <w:b w:val="0"/>
          <w:noProof w:val="0"/>
        </w:rPr>
        <w:t>&lt;NumAm&gt;</w:t>
      </w:r>
      <w:r w:rsidRPr="002B5B1B">
        <w:t>236</w:t>
      </w:r>
      <w:r w:rsidRPr="002B5B1B">
        <w:rPr>
          <w:rStyle w:val="HideTWBExt"/>
          <w:b w:val="0"/>
          <w:noProof w:val="0"/>
        </w:rPr>
        <w:t>&lt;/NumAm&gt;</w:t>
      </w:r>
    </w:p>
    <w:p w:rsidR="003F5BF1" w:rsidRPr="002B5B1B" w:rsidRDefault="00D10947" w:rsidP="003F5BF1">
      <w:pPr>
        <w:pStyle w:val="NormalBold12b"/>
        <w:keepNext/>
      </w:pPr>
      <w:r w:rsidRPr="002B5B1B">
        <w:rPr>
          <w:rStyle w:val="HideTWBExt"/>
          <w:b w:val="0"/>
          <w:noProof w:val="0"/>
        </w:rPr>
        <w:t>&lt;DocAmend&gt;</w:t>
      </w:r>
      <w:r w:rsidRPr="002B5B1B">
        <w:t>Proposta de regulamento</w:t>
      </w:r>
      <w:r w:rsidRPr="002B5B1B">
        <w:rPr>
          <w:rStyle w:val="HideTWBExt"/>
          <w:b w:val="0"/>
          <w:noProof w:val="0"/>
        </w:rPr>
        <w:t>&lt;/DocAmend&gt;</w:t>
      </w:r>
    </w:p>
    <w:p w:rsidR="003F5BF1" w:rsidRPr="002B5B1B" w:rsidRDefault="00D10947" w:rsidP="003F5BF1">
      <w:pPr>
        <w:pStyle w:val="NormalBold"/>
      </w:pPr>
      <w:r w:rsidRPr="002B5B1B">
        <w:rPr>
          <w:rStyle w:val="HideTWBExt"/>
          <w:b w:val="0"/>
          <w:noProof w:val="0"/>
        </w:rPr>
        <w:t>&lt;Article&gt;</w:t>
      </w:r>
      <w:r w:rsidRPr="002B5B1B">
        <w:t>Artigo 79 – n.º 10</w:t>
      </w:r>
      <w:r w:rsidRPr="002B5B1B">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B152A" w:rsidRPr="002B5B1B" w:rsidTr="00D27444">
        <w:trPr>
          <w:jc w:val="center"/>
        </w:trPr>
        <w:tc>
          <w:tcPr>
            <w:tcW w:w="9752" w:type="dxa"/>
            <w:gridSpan w:val="2"/>
          </w:tcPr>
          <w:p w:rsidR="003F5BF1" w:rsidRPr="002B5B1B" w:rsidRDefault="003F5BF1" w:rsidP="00D27444">
            <w:pPr>
              <w:keepNext/>
            </w:pPr>
          </w:p>
        </w:tc>
      </w:tr>
      <w:tr w:rsidR="008B152A" w:rsidRPr="002B5B1B" w:rsidTr="00D27444">
        <w:trPr>
          <w:jc w:val="center"/>
        </w:trPr>
        <w:tc>
          <w:tcPr>
            <w:tcW w:w="4876" w:type="dxa"/>
          </w:tcPr>
          <w:p w:rsidR="003F5BF1" w:rsidRPr="002B5B1B" w:rsidRDefault="00D10947" w:rsidP="00D27444">
            <w:pPr>
              <w:pStyle w:val="ColumnHeading"/>
              <w:keepNext/>
            </w:pPr>
            <w:r w:rsidRPr="002B5B1B">
              <w:t xml:space="preserve">Texto da </w:t>
            </w:r>
            <w:r w:rsidRPr="002B5B1B">
              <w:t>Comissão</w:t>
            </w:r>
          </w:p>
        </w:tc>
        <w:tc>
          <w:tcPr>
            <w:tcW w:w="4876" w:type="dxa"/>
          </w:tcPr>
          <w:p w:rsidR="003F5BF1" w:rsidRPr="002B5B1B" w:rsidRDefault="00D10947" w:rsidP="00D27444">
            <w:pPr>
              <w:pStyle w:val="ColumnHeading"/>
              <w:keepNext/>
            </w:pPr>
            <w:r w:rsidRPr="002B5B1B">
              <w:t>Alteração</w:t>
            </w:r>
          </w:p>
        </w:tc>
      </w:tr>
      <w:tr w:rsidR="008B152A" w:rsidRPr="002B5B1B" w:rsidTr="00D27444">
        <w:trPr>
          <w:jc w:val="center"/>
        </w:trPr>
        <w:tc>
          <w:tcPr>
            <w:tcW w:w="4876" w:type="dxa"/>
          </w:tcPr>
          <w:p w:rsidR="003F5BF1" w:rsidRPr="002B5B1B" w:rsidRDefault="00D10947" w:rsidP="00D27444">
            <w:pPr>
              <w:pStyle w:val="Normal6"/>
            </w:pPr>
            <w:r w:rsidRPr="002B5B1B">
              <w:t>10.</w:t>
            </w:r>
            <w:r w:rsidRPr="002B5B1B">
              <w:tab/>
              <w:t>Os Estados-Membros, a eu-LISA e a Europol comunicam à Comissão as informações necessárias à elaboração das avaliações referidas no n.º 7. Os Estados-Membros comunicam igualmente à Comissão o número de correspondências confirmadas co</w:t>
            </w:r>
            <w:r w:rsidRPr="002B5B1B">
              <w:t>m a base de dados de cada Estado-Membro por categoria de dados.</w:t>
            </w:r>
          </w:p>
        </w:tc>
        <w:tc>
          <w:tcPr>
            <w:tcW w:w="4876" w:type="dxa"/>
          </w:tcPr>
          <w:p w:rsidR="003F5BF1" w:rsidRPr="002B5B1B" w:rsidRDefault="00D10947" w:rsidP="00D27444">
            <w:pPr>
              <w:pStyle w:val="Normal6"/>
              <w:rPr>
                <w:szCs w:val="24"/>
              </w:rPr>
            </w:pPr>
            <w:r w:rsidRPr="002B5B1B">
              <w:t>10.</w:t>
            </w:r>
            <w:r w:rsidRPr="002B5B1B">
              <w:tab/>
            </w:r>
            <w:r w:rsidRPr="002B5B1B">
              <w:rPr>
                <w:b/>
                <w:i/>
              </w:rPr>
              <w:t>Sem prejuízo das normas de confidencialidade e da proteção das investigações em curso,</w:t>
            </w:r>
            <w:r w:rsidRPr="002B5B1B">
              <w:t xml:space="preserve"> os Estados-Membros, a eu-LISA e a Europol comunicam à Comissão as informações necessárias à elaboração das avaliações referidas no n.º 7. Os Estados-Membros comunicam igualmente à Comissão o número de correspondências confirmadas com a base de dados de ca</w:t>
            </w:r>
            <w:r w:rsidRPr="002B5B1B">
              <w:t>da Estado-Membro por categoria de dados.</w:t>
            </w:r>
          </w:p>
        </w:tc>
      </w:tr>
    </w:tbl>
    <w:p w:rsidR="003F5BF1" w:rsidRPr="002B5B1B" w:rsidRDefault="00D10947" w:rsidP="003F5BF1">
      <w:pPr>
        <w:pStyle w:val="Olang"/>
        <w:rPr>
          <w:noProof w:val="0"/>
        </w:rPr>
      </w:pPr>
      <w:r w:rsidRPr="002B5B1B">
        <w:rPr>
          <w:noProof w:val="0"/>
        </w:rPr>
        <w:t xml:space="preserve">Or. </w:t>
      </w:r>
      <w:r w:rsidRPr="002B5B1B">
        <w:rPr>
          <w:rStyle w:val="HideTWBExt"/>
          <w:noProof w:val="0"/>
        </w:rPr>
        <w:t>&lt;Original&gt;</w:t>
      </w:r>
      <w:r w:rsidRPr="002B5B1B">
        <w:rPr>
          <w:rStyle w:val="HideTWBInt"/>
          <w:noProof w:val="0"/>
        </w:rPr>
        <w:t>{EN}</w:t>
      </w:r>
      <w:r w:rsidRPr="002B5B1B">
        <w:rPr>
          <w:noProof w:val="0"/>
        </w:rPr>
        <w:t>en</w:t>
      </w:r>
      <w:r w:rsidRPr="002B5B1B">
        <w:rPr>
          <w:rStyle w:val="HideTWBExt"/>
          <w:noProof w:val="0"/>
        </w:rPr>
        <w:t>&lt;/Original&gt;</w:t>
      </w:r>
    </w:p>
    <w:p w:rsidR="003F5BF1" w:rsidRPr="002B5B1B" w:rsidRDefault="00D10947" w:rsidP="003F5BF1">
      <w:r w:rsidRPr="002B5B1B">
        <w:rPr>
          <w:rStyle w:val="HideTWBExt"/>
          <w:noProof w:val="0"/>
        </w:rPr>
        <w:t>&lt;/Amend&gt;&lt;/RepeatBlock-Amend&gt;</w:t>
      </w:r>
    </w:p>
    <w:p w:rsidR="002669B6" w:rsidRPr="002B5B1B" w:rsidRDefault="002669B6" w:rsidP="002669B6"/>
    <w:sectPr w:rsidR="002669B6" w:rsidRPr="002B5B1B" w:rsidSect="002B5B1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B5B1B" w:rsidRDefault="00D10947">
      <w:r w:rsidRPr="002B5B1B">
        <w:separator/>
      </w:r>
    </w:p>
  </w:endnote>
  <w:endnote w:type="continuationSeparator" w:id="0">
    <w:p w:rsidR="00000000" w:rsidRPr="002B5B1B" w:rsidRDefault="00D10947">
      <w:r w:rsidRPr="002B5B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1B" w:rsidRPr="002B5B1B" w:rsidRDefault="002B5B1B" w:rsidP="002B5B1B">
    <w:pPr>
      <w:pStyle w:val="EPFooter"/>
    </w:pPr>
    <w:r w:rsidRPr="002B5B1B">
      <w:t>PE</w:t>
    </w:r>
    <w:r w:rsidRPr="002B5B1B">
      <w:rPr>
        <w:rStyle w:val="HideTWBExt"/>
        <w:noProof w:val="0"/>
      </w:rPr>
      <w:t>&lt;NoPE&gt;</w:t>
    </w:r>
    <w:r w:rsidRPr="002B5B1B">
      <w:t>736.469</w:t>
    </w:r>
    <w:r w:rsidRPr="002B5B1B">
      <w:rPr>
        <w:rStyle w:val="HideTWBExt"/>
        <w:noProof w:val="0"/>
      </w:rPr>
      <w:t>&lt;/NoPE&gt;&lt;Version&gt;</w:t>
    </w:r>
    <w:r w:rsidRPr="002B5B1B">
      <w:t>v01-00</w:t>
    </w:r>
    <w:r w:rsidRPr="002B5B1B">
      <w:rPr>
        <w:rStyle w:val="HideTWBExt"/>
        <w:noProof w:val="0"/>
      </w:rPr>
      <w:t>&lt;/Version&gt;</w:t>
    </w:r>
    <w:r w:rsidRPr="002B5B1B">
      <w:tab/>
    </w:r>
    <w:r w:rsidRPr="002B5B1B">
      <w:fldChar w:fldCharType="begin"/>
    </w:r>
    <w:r w:rsidRPr="002B5B1B">
      <w:instrText xml:space="preserve"> PAGE  \* MERGEFORMAT </w:instrText>
    </w:r>
    <w:r w:rsidRPr="002B5B1B">
      <w:fldChar w:fldCharType="separate"/>
    </w:r>
    <w:r w:rsidR="00D10947">
      <w:rPr>
        <w:noProof/>
      </w:rPr>
      <w:t>2</w:t>
    </w:r>
    <w:r w:rsidRPr="002B5B1B">
      <w:fldChar w:fldCharType="end"/>
    </w:r>
    <w:r w:rsidRPr="002B5B1B">
      <w:t>/</w:t>
    </w:r>
    <w:fldSimple w:instr=" NUMPAGES  \* MERGEFORMAT ">
      <w:r w:rsidR="00D10947">
        <w:rPr>
          <w:noProof/>
        </w:rPr>
        <w:t>111</w:t>
      </w:r>
    </w:fldSimple>
    <w:r w:rsidRPr="002B5B1B">
      <w:tab/>
    </w:r>
    <w:r w:rsidRPr="002B5B1B">
      <w:rPr>
        <w:rStyle w:val="HideTWBExt"/>
        <w:noProof w:val="0"/>
      </w:rPr>
      <w:t>&lt;PathFdR&gt;</w:t>
    </w:r>
    <w:r w:rsidRPr="002B5B1B">
      <w:t>PR\1263010PT.docx</w:t>
    </w:r>
    <w:r w:rsidRPr="002B5B1B">
      <w:rPr>
        <w:rStyle w:val="HideTWBExt"/>
        <w:noProof w:val="0"/>
      </w:rPr>
      <w:t>&lt;/PathFdR&gt;</w:t>
    </w:r>
  </w:p>
  <w:p w:rsidR="00406CFA" w:rsidRPr="002B5B1B" w:rsidRDefault="002B5B1B" w:rsidP="002B5B1B">
    <w:pPr>
      <w:pStyle w:val="EPFooter2"/>
    </w:pPr>
    <w:r w:rsidRPr="002B5B1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1B" w:rsidRPr="002B5B1B" w:rsidRDefault="002B5B1B" w:rsidP="002B5B1B">
    <w:pPr>
      <w:pStyle w:val="EPFooter"/>
    </w:pPr>
    <w:r w:rsidRPr="002B5B1B">
      <w:rPr>
        <w:rStyle w:val="HideTWBExt"/>
        <w:noProof w:val="0"/>
      </w:rPr>
      <w:t>&lt;PathFdR&gt;</w:t>
    </w:r>
    <w:r w:rsidRPr="002B5B1B">
      <w:t>PR\1263010PT.docx</w:t>
    </w:r>
    <w:r w:rsidRPr="002B5B1B">
      <w:rPr>
        <w:rStyle w:val="HideTWBExt"/>
        <w:noProof w:val="0"/>
      </w:rPr>
      <w:t>&lt;/PathFdR&gt;</w:t>
    </w:r>
    <w:r w:rsidRPr="002B5B1B">
      <w:tab/>
    </w:r>
    <w:r w:rsidRPr="002B5B1B">
      <w:fldChar w:fldCharType="begin"/>
    </w:r>
    <w:r w:rsidRPr="002B5B1B">
      <w:instrText xml:space="preserve"> PAGE  \* MERGEFORMAT </w:instrText>
    </w:r>
    <w:r w:rsidRPr="002B5B1B">
      <w:fldChar w:fldCharType="separate"/>
    </w:r>
    <w:r w:rsidR="00D10947">
      <w:rPr>
        <w:noProof/>
      </w:rPr>
      <w:t>3</w:t>
    </w:r>
    <w:r w:rsidRPr="002B5B1B">
      <w:fldChar w:fldCharType="end"/>
    </w:r>
    <w:r w:rsidRPr="002B5B1B">
      <w:t>/</w:t>
    </w:r>
    <w:fldSimple w:instr=" NUMPAGES  \* MERGEFORMAT ">
      <w:r w:rsidR="00D10947">
        <w:rPr>
          <w:noProof/>
        </w:rPr>
        <w:t>111</w:t>
      </w:r>
    </w:fldSimple>
    <w:r w:rsidRPr="002B5B1B">
      <w:tab/>
      <w:t>PE</w:t>
    </w:r>
    <w:r w:rsidRPr="002B5B1B">
      <w:rPr>
        <w:rStyle w:val="HideTWBExt"/>
        <w:noProof w:val="0"/>
      </w:rPr>
      <w:t>&lt;NoPE&gt;</w:t>
    </w:r>
    <w:r w:rsidRPr="002B5B1B">
      <w:t>736.469</w:t>
    </w:r>
    <w:r w:rsidRPr="002B5B1B">
      <w:rPr>
        <w:rStyle w:val="HideTWBExt"/>
        <w:noProof w:val="0"/>
      </w:rPr>
      <w:t>&lt;/NoPE&gt;&lt;Version&gt;</w:t>
    </w:r>
    <w:r w:rsidRPr="002B5B1B">
      <w:t>v01-00</w:t>
    </w:r>
    <w:r w:rsidRPr="002B5B1B">
      <w:rPr>
        <w:rStyle w:val="HideTWBExt"/>
        <w:noProof w:val="0"/>
      </w:rPr>
      <w:t>&lt;/Version&gt;</w:t>
    </w:r>
  </w:p>
  <w:p w:rsidR="00406CFA" w:rsidRPr="002B5B1B" w:rsidRDefault="002B5B1B" w:rsidP="002B5B1B">
    <w:pPr>
      <w:pStyle w:val="EPFooter2"/>
    </w:pPr>
    <w:r w:rsidRPr="002B5B1B">
      <w:tab/>
    </w:r>
    <w:r w:rsidRPr="002B5B1B">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B1B" w:rsidRPr="002B5B1B" w:rsidRDefault="002B5B1B" w:rsidP="002B5B1B">
    <w:pPr>
      <w:pStyle w:val="EPFooter"/>
    </w:pPr>
    <w:r w:rsidRPr="002B5B1B">
      <w:rPr>
        <w:rStyle w:val="HideTWBExt"/>
        <w:noProof w:val="0"/>
      </w:rPr>
      <w:t>&lt;PathFdR&gt;</w:t>
    </w:r>
    <w:r w:rsidRPr="002B5B1B">
      <w:t>PR\1263010PT.docx</w:t>
    </w:r>
    <w:r w:rsidRPr="002B5B1B">
      <w:rPr>
        <w:rStyle w:val="HideTWBExt"/>
        <w:noProof w:val="0"/>
      </w:rPr>
      <w:t>&lt;/PathFdR&gt;</w:t>
    </w:r>
    <w:r w:rsidRPr="002B5B1B">
      <w:tab/>
    </w:r>
    <w:r w:rsidRPr="002B5B1B">
      <w:tab/>
      <w:t>PE</w:t>
    </w:r>
    <w:r w:rsidRPr="002B5B1B">
      <w:rPr>
        <w:rStyle w:val="HideTWBExt"/>
        <w:noProof w:val="0"/>
      </w:rPr>
      <w:t>&lt;NoPE&gt;</w:t>
    </w:r>
    <w:r w:rsidRPr="002B5B1B">
      <w:t>736.469</w:t>
    </w:r>
    <w:r w:rsidRPr="002B5B1B">
      <w:rPr>
        <w:rStyle w:val="HideTWBExt"/>
        <w:noProof w:val="0"/>
      </w:rPr>
      <w:t>&lt;/NoPE&gt;&lt;Version&gt;</w:t>
    </w:r>
    <w:r w:rsidRPr="002B5B1B">
      <w:t>v01-00</w:t>
    </w:r>
    <w:r w:rsidRPr="002B5B1B">
      <w:rPr>
        <w:rStyle w:val="HideTWBExt"/>
        <w:noProof w:val="0"/>
      </w:rPr>
      <w:t>&lt;/Version&gt;</w:t>
    </w:r>
  </w:p>
  <w:p w:rsidR="00406CFA" w:rsidRPr="002B5B1B" w:rsidRDefault="002B5B1B" w:rsidP="002B5B1B">
    <w:pPr>
      <w:pStyle w:val="EPFooter2"/>
    </w:pPr>
    <w:r w:rsidRPr="002B5B1B">
      <w:t>PT</w:t>
    </w:r>
    <w:r w:rsidRPr="002B5B1B">
      <w:tab/>
    </w:r>
    <w:r w:rsidRPr="002B5B1B">
      <w:rPr>
        <w:b w:val="0"/>
        <w:i/>
        <w:color w:val="C0C0C0"/>
        <w:sz w:val="22"/>
      </w:rPr>
      <w:t>Unida na diversidade</w:t>
    </w:r>
    <w:r w:rsidRPr="002B5B1B">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B5B1B" w:rsidRDefault="00D10947">
      <w:r w:rsidRPr="002B5B1B">
        <w:separator/>
      </w:r>
    </w:p>
  </w:footnote>
  <w:footnote w:type="continuationSeparator" w:id="0">
    <w:p w:rsidR="00000000" w:rsidRPr="002B5B1B" w:rsidRDefault="00D10947">
      <w:r w:rsidRPr="002B5B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947" w:rsidRDefault="00D10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947" w:rsidRDefault="00D109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947" w:rsidRDefault="00D109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OJMNU" w:val=" 3"/>
    <w:docVar w:name="OTHERSTATMNU" w:val=" 3"/>
    <w:docVar w:name="OTHERSTATPLURMNU" w:val=" 1"/>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Paulo Rangel"/>
    <w:docVar w:name="TXTLANGUE" w:val="PT"/>
    <w:docVar w:name="TXTLANGUEMIN" w:val="pt"/>
    <w:docVar w:name="TXTNRC" w:val="0455/2021"/>
    <w:docVar w:name="TXTNRCOD" w:val="2021/0410"/>
    <w:docVar w:name="TXTNRCOM" w:val="(2021)0784"/>
    <w:docVar w:name="TXTNRFIRSTAM" w:val="1"/>
    <w:docVar w:name="TXTNRLASTAM" w:val="1"/>
    <w:docVar w:name="TXTNRPE" w:val="736.469"/>
    <w:docVar w:name="TXTPEorAP" w:val="PE"/>
    <w:docVar w:name="TXTROUTE" w:val="PR\1263010PT.docx"/>
    <w:docVar w:name="TXTTITLE" w:val="on automated data exchange for police cooperation (“Prüm II”), amending Council Decisions 2008/615/JHA and 2008/616/JHA and Regulations (EU) 2018/1726, 2019/817 and 2019/818 of the European Parliament and of the Council"/>
    <w:docVar w:name="TXTVERSION" w:val="01-00"/>
  </w:docVars>
  <w:rsids>
    <w:rsidRoot w:val="003C3E13"/>
    <w:rsid w:val="00011AAB"/>
    <w:rsid w:val="00012351"/>
    <w:rsid w:val="000139E5"/>
    <w:rsid w:val="00023872"/>
    <w:rsid w:val="00027745"/>
    <w:rsid w:val="00030678"/>
    <w:rsid w:val="00031C7A"/>
    <w:rsid w:val="000448F1"/>
    <w:rsid w:val="0005439E"/>
    <w:rsid w:val="00084DD2"/>
    <w:rsid w:val="00084E89"/>
    <w:rsid w:val="000A1004"/>
    <w:rsid w:val="000B7489"/>
    <w:rsid w:val="000D1F2E"/>
    <w:rsid w:val="000F1096"/>
    <w:rsid w:val="00120948"/>
    <w:rsid w:val="00123DD5"/>
    <w:rsid w:val="001256B2"/>
    <w:rsid w:val="001277AE"/>
    <w:rsid w:val="00142215"/>
    <w:rsid w:val="00170EAB"/>
    <w:rsid w:val="00176714"/>
    <w:rsid w:val="001767E2"/>
    <w:rsid w:val="001845E5"/>
    <w:rsid w:val="00187008"/>
    <w:rsid w:val="001878C7"/>
    <w:rsid w:val="00191480"/>
    <w:rsid w:val="001B3829"/>
    <w:rsid w:val="001B3F64"/>
    <w:rsid w:val="001C5592"/>
    <w:rsid w:val="001C5B44"/>
    <w:rsid w:val="001C6FFC"/>
    <w:rsid w:val="001F10A2"/>
    <w:rsid w:val="001F7C7C"/>
    <w:rsid w:val="00211297"/>
    <w:rsid w:val="00212B84"/>
    <w:rsid w:val="002331AD"/>
    <w:rsid w:val="002346B0"/>
    <w:rsid w:val="002409AA"/>
    <w:rsid w:val="0026088E"/>
    <w:rsid w:val="00264C2D"/>
    <w:rsid w:val="002667C3"/>
    <w:rsid w:val="002669B6"/>
    <w:rsid w:val="00267AA5"/>
    <w:rsid w:val="00275BF1"/>
    <w:rsid w:val="002829D9"/>
    <w:rsid w:val="00290BED"/>
    <w:rsid w:val="002A783F"/>
    <w:rsid w:val="002B5B1B"/>
    <w:rsid w:val="002D13EE"/>
    <w:rsid w:val="002E029A"/>
    <w:rsid w:val="002E33EE"/>
    <w:rsid w:val="002F40BB"/>
    <w:rsid w:val="002F4B02"/>
    <w:rsid w:val="00304AAB"/>
    <w:rsid w:val="00306BEC"/>
    <w:rsid w:val="0031071C"/>
    <w:rsid w:val="00315C1B"/>
    <w:rsid w:val="00323EF8"/>
    <w:rsid w:val="003316DD"/>
    <w:rsid w:val="00365AC7"/>
    <w:rsid w:val="00366A46"/>
    <w:rsid w:val="00370AC3"/>
    <w:rsid w:val="003824EE"/>
    <w:rsid w:val="00396E16"/>
    <w:rsid w:val="003A0CB1"/>
    <w:rsid w:val="003B4689"/>
    <w:rsid w:val="003B5724"/>
    <w:rsid w:val="003C2068"/>
    <w:rsid w:val="003C37CF"/>
    <w:rsid w:val="003C3E13"/>
    <w:rsid w:val="003E10F0"/>
    <w:rsid w:val="003F5BF1"/>
    <w:rsid w:val="00401D95"/>
    <w:rsid w:val="00406CFA"/>
    <w:rsid w:val="004100B1"/>
    <w:rsid w:val="00426E47"/>
    <w:rsid w:val="00445260"/>
    <w:rsid w:val="00445DCA"/>
    <w:rsid w:val="00455743"/>
    <w:rsid w:val="00461601"/>
    <w:rsid w:val="00470838"/>
    <w:rsid w:val="004856A1"/>
    <w:rsid w:val="004B022D"/>
    <w:rsid w:val="004C0915"/>
    <w:rsid w:val="004D424E"/>
    <w:rsid w:val="004E42C8"/>
    <w:rsid w:val="004E733D"/>
    <w:rsid w:val="004F3FA5"/>
    <w:rsid w:val="004F57A0"/>
    <w:rsid w:val="0051271F"/>
    <w:rsid w:val="00521F46"/>
    <w:rsid w:val="00551111"/>
    <w:rsid w:val="00551123"/>
    <w:rsid w:val="00570A6A"/>
    <w:rsid w:val="00586E50"/>
    <w:rsid w:val="0059583D"/>
    <w:rsid w:val="005A42D9"/>
    <w:rsid w:val="005C2BEF"/>
    <w:rsid w:val="005D1A99"/>
    <w:rsid w:val="005D7609"/>
    <w:rsid w:val="005D7EE8"/>
    <w:rsid w:val="0061544E"/>
    <w:rsid w:val="00635AA0"/>
    <w:rsid w:val="00640B89"/>
    <w:rsid w:val="00642325"/>
    <w:rsid w:val="00683926"/>
    <w:rsid w:val="006A2F5D"/>
    <w:rsid w:val="006B5A34"/>
    <w:rsid w:val="006E183A"/>
    <w:rsid w:val="006F7907"/>
    <w:rsid w:val="00714848"/>
    <w:rsid w:val="00743189"/>
    <w:rsid w:val="00743D33"/>
    <w:rsid w:val="0074550F"/>
    <w:rsid w:val="007932B3"/>
    <w:rsid w:val="00793EA9"/>
    <w:rsid w:val="007C2FE9"/>
    <w:rsid w:val="007D6F68"/>
    <w:rsid w:val="007F433A"/>
    <w:rsid w:val="00802FCC"/>
    <w:rsid w:val="00823E6B"/>
    <w:rsid w:val="00826780"/>
    <w:rsid w:val="00837CCD"/>
    <w:rsid w:val="00851B20"/>
    <w:rsid w:val="008633CC"/>
    <w:rsid w:val="00865190"/>
    <w:rsid w:val="008719B9"/>
    <w:rsid w:val="008749B5"/>
    <w:rsid w:val="008945EB"/>
    <w:rsid w:val="00894ECE"/>
    <w:rsid w:val="00896BB4"/>
    <w:rsid w:val="008A4D6C"/>
    <w:rsid w:val="008A7FB8"/>
    <w:rsid w:val="008B152A"/>
    <w:rsid w:val="008B5845"/>
    <w:rsid w:val="008C04AE"/>
    <w:rsid w:val="008C3939"/>
    <w:rsid w:val="008E70DF"/>
    <w:rsid w:val="009022B8"/>
    <w:rsid w:val="00914537"/>
    <w:rsid w:val="009175C9"/>
    <w:rsid w:val="00917CC4"/>
    <w:rsid w:val="009242EE"/>
    <w:rsid w:val="00936E24"/>
    <w:rsid w:val="00961CE8"/>
    <w:rsid w:val="00965C4B"/>
    <w:rsid w:val="009763DA"/>
    <w:rsid w:val="009857FE"/>
    <w:rsid w:val="009975B3"/>
    <w:rsid w:val="009A216D"/>
    <w:rsid w:val="009B4B93"/>
    <w:rsid w:val="009C4D24"/>
    <w:rsid w:val="009E25C9"/>
    <w:rsid w:val="009F24BE"/>
    <w:rsid w:val="009F6C2F"/>
    <w:rsid w:val="009F767A"/>
    <w:rsid w:val="00A22533"/>
    <w:rsid w:val="00A26F46"/>
    <w:rsid w:val="00A30BD4"/>
    <w:rsid w:val="00A34FD3"/>
    <w:rsid w:val="00A36929"/>
    <w:rsid w:val="00A50548"/>
    <w:rsid w:val="00A60EE7"/>
    <w:rsid w:val="00A847EF"/>
    <w:rsid w:val="00A910C9"/>
    <w:rsid w:val="00AA35B0"/>
    <w:rsid w:val="00AB05B7"/>
    <w:rsid w:val="00AB5964"/>
    <w:rsid w:val="00AC65FA"/>
    <w:rsid w:val="00AD18C8"/>
    <w:rsid w:val="00AD7FA6"/>
    <w:rsid w:val="00AE4643"/>
    <w:rsid w:val="00AF0416"/>
    <w:rsid w:val="00AF3A4D"/>
    <w:rsid w:val="00B10CB4"/>
    <w:rsid w:val="00B1234A"/>
    <w:rsid w:val="00B13D6F"/>
    <w:rsid w:val="00B23B72"/>
    <w:rsid w:val="00B42702"/>
    <w:rsid w:val="00B43EA1"/>
    <w:rsid w:val="00B57B8B"/>
    <w:rsid w:val="00B8119A"/>
    <w:rsid w:val="00B83895"/>
    <w:rsid w:val="00B85407"/>
    <w:rsid w:val="00B95702"/>
    <w:rsid w:val="00BC15B7"/>
    <w:rsid w:val="00BC6489"/>
    <w:rsid w:val="00BD480C"/>
    <w:rsid w:val="00C20954"/>
    <w:rsid w:val="00C23324"/>
    <w:rsid w:val="00C42A41"/>
    <w:rsid w:val="00C47E74"/>
    <w:rsid w:val="00C57A72"/>
    <w:rsid w:val="00C64458"/>
    <w:rsid w:val="00C64C3C"/>
    <w:rsid w:val="00C73602"/>
    <w:rsid w:val="00C82C11"/>
    <w:rsid w:val="00CE4748"/>
    <w:rsid w:val="00CF60C8"/>
    <w:rsid w:val="00CF6FA6"/>
    <w:rsid w:val="00D10947"/>
    <w:rsid w:val="00D27444"/>
    <w:rsid w:val="00D30DE2"/>
    <w:rsid w:val="00D32924"/>
    <w:rsid w:val="00D33806"/>
    <w:rsid w:val="00D36159"/>
    <w:rsid w:val="00D47877"/>
    <w:rsid w:val="00D503A3"/>
    <w:rsid w:val="00D523A4"/>
    <w:rsid w:val="00D97E13"/>
    <w:rsid w:val="00DA6ED0"/>
    <w:rsid w:val="00DB5888"/>
    <w:rsid w:val="00DC5011"/>
    <w:rsid w:val="00DD5088"/>
    <w:rsid w:val="00DF1120"/>
    <w:rsid w:val="00E171B6"/>
    <w:rsid w:val="00E60ED1"/>
    <w:rsid w:val="00E72695"/>
    <w:rsid w:val="00EB1753"/>
    <w:rsid w:val="00EB35B3"/>
    <w:rsid w:val="00EB6CFF"/>
    <w:rsid w:val="00EE3996"/>
    <w:rsid w:val="00F07062"/>
    <w:rsid w:val="00F23CFC"/>
    <w:rsid w:val="00F433E2"/>
    <w:rsid w:val="00F46128"/>
    <w:rsid w:val="00F645D3"/>
    <w:rsid w:val="00F848C0"/>
    <w:rsid w:val="00F904AE"/>
    <w:rsid w:val="00F91976"/>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D6DAC4-B9BC-499C-AF3D-49CF9D58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F57A0"/>
    <w:pPr>
      <w:tabs>
        <w:tab w:val="right" w:pos="454"/>
        <w:tab w:val="left" w:pos="737"/>
      </w:tabs>
      <w:ind w:left="737" w:hanging="737"/>
    </w:pPr>
    <w:rPr>
      <w:snapToGrid w:val="0"/>
      <w:sz w:val="18"/>
      <w:lang w:eastAsia="en-US"/>
    </w:rPr>
  </w:style>
  <w:style w:type="paragraph" w:customStyle="1" w:styleId="Lgendetitre">
    <w:name w:val="Légende titre"/>
    <w:basedOn w:val="Normal"/>
    <w:rsid w:val="004F57A0"/>
    <w:pPr>
      <w:spacing w:before="240" w:after="240"/>
    </w:pPr>
    <w:rPr>
      <w:b/>
      <w:i/>
      <w:snapToGrid w:val="0"/>
      <w:lang w:eastAsia="en-US"/>
    </w:rPr>
  </w:style>
  <w:style w:type="paragraph" w:customStyle="1" w:styleId="Lgendestandard">
    <w:name w:val="Légende standard"/>
    <w:basedOn w:val="Normal"/>
    <w:rsid w:val="004F57A0"/>
    <w:rPr>
      <w:sz w:val="18"/>
    </w:rPr>
  </w:style>
  <w:style w:type="paragraph" w:customStyle="1" w:styleId="EntPE">
    <w:name w:val="EntPE"/>
    <w:basedOn w:val="Normal12"/>
    <w:rsid w:val="003F5BF1"/>
    <w:pPr>
      <w:jc w:val="center"/>
    </w:pPr>
    <w:rPr>
      <w:noProof w:val="0"/>
      <w:sz w:val="56"/>
    </w:rPr>
  </w:style>
  <w:style w:type="paragraph" w:customStyle="1" w:styleId="Normal12">
    <w:name w:val="Normal12"/>
    <w:basedOn w:val="Normal"/>
    <w:link w:val="Normal12Char"/>
    <w:rsid w:val="003F5BF1"/>
    <w:pPr>
      <w:spacing w:after="240"/>
    </w:pPr>
    <w:rPr>
      <w:noProof/>
    </w:rPr>
  </w:style>
  <w:style w:type="paragraph" w:customStyle="1" w:styleId="CommitteeAM">
    <w:name w:val="CommitteeAM"/>
    <w:basedOn w:val="Normal"/>
    <w:rsid w:val="003F5BF1"/>
    <w:pPr>
      <w:spacing w:before="240" w:after="600"/>
      <w:jc w:val="center"/>
    </w:pPr>
    <w:rPr>
      <w:i/>
    </w:rPr>
  </w:style>
  <w:style w:type="paragraph" w:customStyle="1" w:styleId="ZDateAM">
    <w:name w:val="ZDateAM"/>
    <w:basedOn w:val="Normal"/>
    <w:rsid w:val="003F5BF1"/>
    <w:pPr>
      <w:tabs>
        <w:tab w:val="right" w:pos="9356"/>
      </w:tabs>
      <w:spacing w:after="480"/>
    </w:pPr>
    <w:rPr>
      <w:noProof/>
    </w:rPr>
  </w:style>
  <w:style w:type="paragraph" w:customStyle="1" w:styleId="ProjRap">
    <w:name w:val="ProjRap"/>
    <w:basedOn w:val="Normal"/>
    <w:rsid w:val="003F5BF1"/>
    <w:pPr>
      <w:tabs>
        <w:tab w:val="right" w:pos="9356"/>
      </w:tabs>
    </w:pPr>
    <w:rPr>
      <w:b/>
      <w:noProof/>
    </w:rPr>
  </w:style>
  <w:style w:type="character" w:customStyle="1" w:styleId="Normal12Char">
    <w:name w:val="Normal12 Char"/>
    <w:basedOn w:val="DefaultParagraphFont"/>
    <w:link w:val="Normal12"/>
    <w:locked/>
    <w:rsid w:val="003F5BF1"/>
    <w:rPr>
      <w:noProof/>
      <w:sz w:val="24"/>
    </w:rPr>
  </w:style>
  <w:style w:type="paragraph" w:customStyle="1" w:styleId="PELeft">
    <w:name w:val="PELeft"/>
    <w:basedOn w:val="Normal"/>
    <w:rsid w:val="003F5BF1"/>
    <w:pPr>
      <w:spacing w:before="40" w:after="40"/>
    </w:pPr>
    <w:rPr>
      <w:rFonts w:ascii="Arial" w:hAnsi="Arial" w:cs="Arial"/>
      <w:sz w:val="22"/>
      <w:szCs w:val="22"/>
    </w:rPr>
  </w:style>
  <w:style w:type="paragraph" w:customStyle="1" w:styleId="PERight">
    <w:name w:val="PERight"/>
    <w:basedOn w:val="Normal"/>
    <w:next w:val="Normal"/>
    <w:rsid w:val="003F5BF1"/>
    <w:pPr>
      <w:jc w:val="right"/>
    </w:pPr>
    <w:rPr>
      <w:rFonts w:ascii="Arial" w:hAnsi="Arial" w:cs="Arial"/>
      <w:sz w:val="22"/>
      <w:szCs w:val="22"/>
    </w:rPr>
  </w:style>
  <w:style w:type="paragraph" w:customStyle="1" w:styleId="Normal6">
    <w:name w:val="Normal6"/>
    <w:basedOn w:val="Normal"/>
    <w:link w:val="Normal6Char"/>
    <w:rsid w:val="003F5BF1"/>
    <w:pPr>
      <w:spacing w:after="120"/>
    </w:pPr>
  </w:style>
  <w:style w:type="paragraph" w:customStyle="1" w:styleId="Normal12Italic">
    <w:name w:val="Normal12Italic"/>
    <w:basedOn w:val="Normal12"/>
    <w:rsid w:val="003F5BF1"/>
    <w:rPr>
      <w:i/>
    </w:rPr>
  </w:style>
  <w:style w:type="character" w:customStyle="1" w:styleId="NormalBoldChar">
    <w:name w:val="NormalBold Char"/>
    <w:basedOn w:val="DefaultParagraphFont"/>
    <w:link w:val="NormalBold"/>
    <w:rsid w:val="003F5BF1"/>
    <w:rPr>
      <w:b/>
      <w:sz w:val="24"/>
    </w:rPr>
  </w:style>
  <w:style w:type="paragraph" w:customStyle="1" w:styleId="JustificationTitle">
    <w:name w:val="JustificationTitle"/>
    <w:basedOn w:val="Normal"/>
    <w:next w:val="Normal12"/>
    <w:rsid w:val="003F5BF1"/>
    <w:pPr>
      <w:keepNext/>
      <w:spacing w:before="240" w:after="240"/>
      <w:jc w:val="center"/>
    </w:pPr>
    <w:rPr>
      <w:i/>
      <w:noProof/>
    </w:rPr>
  </w:style>
  <w:style w:type="paragraph" w:customStyle="1" w:styleId="Olang">
    <w:name w:val="Olang"/>
    <w:basedOn w:val="Normal"/>
    <w:rsid w:val="003F5BF1"/>
    <w:pPr>
      <w:spacing w:before="240" w:after="240"/>
      <w:jc w:val="right"/>
    </w:pPr>
    <w:rPr>
      <w:noProof/>
      <w:szCs w:val="24"/>
    </w:rPr>
  </w:style>
  <w:style w:type="character" w:customStyle="1" w:styleId="Normal6Char">
    <w:name w:val="Normal6 Char"/>
    <w:basedOn w:val="DefaultParagraphFont"/>
    <w:link w:val="Normal6"/>
    <w:rsid w:val="003F5BF1"/>
    <w:rPr>
      <w:sz w:val="24"/>
      <w:lang w:val="pt-PT"/>
    </w:rPr>
  </w:style>
  <w:style w:type="paragraph" w:customStyle="1" w:styleId="ColumnHeading">
    <w:name w:val="ColumnHeading"/>
    <w:basedOn w:val="Normal"/>
    <w:rsid w:val="003F5BF1"/>
    <w:pPr>
      <w:spacing w:after="240"/>
      <w:jc w:val="center"/>
    </w:pPr>
    <w:rPr>
      <w:i/>
    </w:rPr>
  </w:style>
  <w:style w:type="paragraph" w:customStyle="1" w:styleId="AMNumberTabs0">
    <w:name w:val="AMNumberTabs"/>
    <w:basedOn w:val="Normal"/>
    <w:rsid w:val="003F5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F5BF1"/>
    <w:pPr>
      <w:spacing w:before="240"/>
      <w:jc w:val="center"/>
    </w:pPr>
    <w:rPr>
      <w:i/>
    </w:rPr>
  </w:style>
  <w:style w:type="paragraph" w:styleId="Footer">
    <w:name w:val="footer"/>
    <w:link w:val="FooterChar"/>
    <w:rsid w:val="003F5BF1"/>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3F5BF1"/>
    <w:rPr>
      <w:sz w:val="22"/>
    </w:rPr>
  </w:style>
  <w:style w:type="paragraph" w:customStyle="1" w:styleId="Footer2">
    <w:name w:val="Footer2"/>
    <w:basedOn w:val="Normal12"/>
    <w:rsid w:val="003F5BF1"/>
    <w:pPr>
      <w:tabs>
        <w:tab w:val="center" w:pos="4535"/>
        <w:tab w:val="right" w:pos="9923"/>
      </w:tabs>
      <w:spacing w:line="480" w:lineRule="auto"/>
      <w:ind w:left="-851"/>
    </w:pPr>
    <w:rPr>
      <w:rFonts w:ascii="Arial" w:cs="Arial"/>
      <w:b/>
      <w:sz w:val="48"/>
    </w:rPr>
  </w:style>
  <w:style w:type="character" w:customStyle="1" w:styleId="Footer2Middle">
    <w:name w:val="Footer2Middle"/>
    <w:rsid w:val="003F5BF1"/>
    <w:rPr>
      <w:rFonts w:ascii="Arial" w:cs="Arial"/>
      <w:b w:val="0"/>
      <w:i/>
      <w:color w:val="C0C0C0"/>
      <w:sz w:val="22"/>
    </w:rPr>
  </w:style>
  <w:style w:type="paragraph" w:styleId="BalloonText">
    <w:name w:val="Balloon Text"/>
    <w:basedOn w:val="Normal"/>
    <w:link w:val="BalloonTextChar"/>
    <w:semiHidden/>
    <w:unhideWhenUsed/>
    <w:rsid w:val="00D27444"/>
    <w:rPr>
      <w:rFonts w:ascii="Segoe UI" w:hAnsi="Segoe UI" w:cs="Segoe UI"/>
      <w:sz w:val="18"/>
      <w:szCs w:val="18"/>
    </w:rPr>
  </w:style>
  <w:style w:type="character" w:customStyle="1" w:styleId="BalloonTextChar">
    <w:name w:val="Balloon Text Char"/>
    <w:basedOn w:val="DefaultParagraphFont"/>
    <w:link w:val="BalloonText"/>
    <w:semiHidden/>
    <w:rsid w:val="00D27444"/>
    <w:rPr>
      <w:rFonts w:ascii="Segoe UI" w:hAnsi="Segoe UI" w:cs="Segoe UI"/>
      <w:sz w:val="18"/>
      <w:szCs w:val="18"/>
    </w:rPr>
  </w:style>
  <w:style w:type="character" w:styleId="CommentReference">
    <w:name w:val="annotation reference"/>
    <w:basedOn w:val="DefaultParagraphFont"/>
    <w:rsid w:val="009242EE"/>
    <w:rPr>
      <w:sz w:val="16"/>
      <w:szCs w:val="16"/>
    </w:rPr>
  </w:style>
  <w:style w:type="paragraph" w:styleId="CommentText">
    <w:name w:val="annotation text"/>
    <w:basedOn w:val="Normal"/>
    <w:link w:val="CommentTextChar"/>
    <w:rsid w:val="009242EE"/>
    <w:rPr>
      <w:sz w:val="20"/>
    </w:rPr>
  </w:style>
  <w:style w:type="character" w:customStyle="1" w:styleId="CommentTextChar">
    <w:name w:val="Comment Text Char"/>
    <w:basedOn w:val="DefaultParagraphFont"/>
    <w:link w:val="CommentText"/>
    <w:rsid w:val="009242EE"/>
  </w:style>
  <w:style w:type="paragraph" w:styleId="CommentSubject">
    <w:name w:val="annotation subject"/>
    <w:basedOn w:val="CommentText"/>
    <w:next w:val="CommentText"/>
    <w:link w:val="CommentSubjectChar"/>
    <w:semiHidden/>
    <w:unhideWhenUsed/>
    <w:rsid w:val="009242EE"/>
    <w:rPr>
      <w:b/>
      <w:bCs/>
    </w:rPr>
  </w:style>
  <w:style w:type="character" w:customStyle="1" w:styleId="CommentSubjectChar">
    <w:name w:val="Comment Subject Char"/>
    <w:basedOn w:val="CommentTextChar"/>
    <w:link w:val="CommentSubject"/>
    <w:semiHidden/>
    <w:rsid w:val="009242EE"/>
    <w:rPr>
      <w:b/>
      <w:bCs/>
    </w:rPr>
  </w:style>
  <w:style w:type="paragraph" w:customStyle="1" w:styleId="norm">
    <w:name w:val="norm"/>
    <w:basedOn w:val="Normal"/>
    <w:rsid w:val="009857FE"/>
    <w:pPr>
      <w:widowControl/>
      <w:spacing w:before="100" w:beforeAutospacing="1" w:after="100" w:afterAutospacing="1"/>
    </w:pPr>
    <w:rPr>
      <w:szCs w:val="24"/>
    </w:rPr>
  </w:style>
  <w:style w:type="character" w:styleId="Hyperlink">
    <w:name w:val="Hyperlink"/>
    <w:basedOn w:val="DefaultParagraphFont"/>
    <w:uiPriority w:val="99"/>
    <w:unhideWhenUsed/>
    <w:rsid w:val="009857FE"/>
    <w:rPr>
      <w:color w:val="0000FF"/>
      <w:u w:val="single"/>
    </w:rPr>
  </w:style>
  <w:style w:type="character" w:customStyle="1" w:styleId="superscript">
    <w:name w:val="superscript"/>
    <w:basedOn w:val="DefaultParagraphFont"/>
    <w:rsid w:val="009857FE"/>
  </w:style>
  <w:style w:type="paragraph" w:styleId="Revision">
    <w:name w:val="Revision"/>
    <w:hidden/>
    <w:uiPriority w:val="99"/>
    <w:semiHidden/>
    <w:rsid w:val="00936E24"/>
    <w:rPr>
      <w:sz w:val="24"/>
    </w:rPr>
  </w:style>
  <w:style w:type="character" w:styleId="FollowedHyperlink">
    <w:name w:val="FollowedHyperlink"/>
    <w:basedOn w:val="DefaultParagraphFont"/>
    <w:rsid w:val="00874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PT/TXT/?uri=CELEX:02018R1726-20220621" TargetMode="External"/><Relationship Id="rId4" Type="http://schemas.openxmlformats.org/officeDocument/2006/relationships/settings" Target="settings.xml"/><Relationship Id="rId9" Type="http://schemas.openxmlformats.org/officeDocument/2006/relationships/hyperlink" Target="https://eur-lex.europa.eu/legal-content/PT/TXT/?uri=CELEX:02018R1726-2022062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85CE7-FFBF-46CD-9B4C-FF65B7D87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29026</Words>
  <Characters>158483</Characters>
  <Application>Microsoft Office Word</Application>
  <DocSecurity>0</DocSecurity>
  <Lines>6890</Lines>
  <Paragraphs>2717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SILVA Carla Marina</cp:lastModifiedBy>
  <cp:revision>2</cp:revision>
  <cp:lastPrinted>2004-11-04T09:41:00Z</cp:lastPrinted>
  <dcterms:created xsi:type="dcterms:W3CDTF">2022-10-06T14:19:00Z</dcterms:created>
  <dcterms:modified xsi:type="dcterms:W3CDTF">2022-10-06T14:19:00Z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PR\1263010PT.docx</vt:lpwstr>
  </property>
  <property fmtid="{D5CDD505-2E9C-101B-9397-08002B2CF9AE}" pid="10" name="LastEdited with">
    <vt:lpwstr>9.11.0 Build [20211103]</vt:lpwstr>
  </property>
  <property fmtid="{D5CDD505-2E9C-101B-9397-08002B2CF9AE}" pid="11" name="PE number">
    <vt:lpwstr>736.469</vt:lpwstr>
  </property>
  <property fmtid="{D5CDD505-2E9C-101B-9397-08002B2CF9AE}" pid="12" name="SDLStudio">
    <vt:lpwstr/>
  </property>
  <property fmtid="{D5CDD505-2E9C-101B-9397-08002B2CF9AE}" pid="13" name="SendToEpades">
    <vt:lpwstr>OK - 2022/09/19 15:21</vt:lpwstr>
  </property>
  <property fmtid="{D5CDD505-2E9C-101B-9397-08002B2CF9AE}" pid="14" name="Bookout">
    <vt:lpwstr>OK - 2022/10/06 16:19</vt:lpwstr>
  </property>
</Properties>
</file>