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E12821" w14:paraId="4D196790" w14:textId="77777777" w:rsidTr="00C85D0F">
        <w:trPr>
          <w:trHeight w:hRule="exact" w:val="1418"/>
        </w:trPr>
        <w:tc>
          <w:tcPr>
            <w:tcW w:w="6804" w:type="dxa"/>
            <w:shd w:val="clear" w:color="auto" w:fill="auto"/>
            <w:vAlign w:val="center"/>
          </w:tcPr>
          <w:p w14:paraId="4D4F6412" w14:textId="77777777" w:rsidR="00B13D6F" w:rsidRPr="00E12821" w:rsidRDefault="00307279" w:rsidP="00C85D0F">
            <w:pPr>
              <w:pStyle w:val="EPName"/>
            </w:pPr>
            <w:r w:rsidRPr="00E12821">
              <w:t>European Parliament</w:t>
            </w:r>
          </w:p>
          <w:p w14:paraId="79BEE0C0" w14:textId="77777777" w:rsidR="00B13D6F" w:rsidRPr="00E12821" w:rsidRDefault="001257CF" w:rsidP="001257CF">
            <w:pPr>
              <w:pStyle w:val="EPTerm"/>
            </w:pPr>
            <w:r w:rsidRPr="00E12821">
              <w:t>2019-2024</w:t>
            </w:r>
          </w:p>
        </w:tc>
        <w:tc>
          <w:tcPr>
            <w:tcW w:w="2268" w:type="dxa"/>
            <w:shd w:val="clear" w:color="auto" w:fill="auto"/>
          </w:tcPr>
          <w:p w14:paraId="2AC11A44" w14:textId="77777777" w:rsidR="00B13D6F" w:rsidRPr="00E12821" w:rsidRDefault="00B13D6F" w:rsidP="00C85D0F">
            <w:pPr>
              <w:pStyle w:val="EPLogo"/>
            </w:pPr>
            <w:r w:rsidRPr="00E12821">
              <w:rPr>
                <w:noProof/>
              </w:rPr>
              <w:drawing>
                <wp:inline distT="0" distB="0" distL="0" distR="0" wp14:anchorId="2ED13DF0" wp14:editId="2C41F2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A6D661" w14:textId="77777777" w:rsidR="00461601" w:rsidRPr="00E12821" w:rsidRDefault="00461601" w:rsidP="00461601">
      <w:pPr>
        <w:pStyle w:val="LineTop"/>
      </w:pPr>
    </w:p>
    <w:p w14:paraId="357B23A0" w14:textId="77777777" w:rsidR="00461601" w:rsidRPr="00E12821" w:rsidRDefault="00461601" w:rsidP="00461601">
      <w:pPr>
        <w:pStyle w:val="EPBody"/>
      </w:pPr>
      <w:r w:rsidRPr="00E12821">
        <w:rPr>
          <w:rStyle w:val="HideTWBExt"/>
          <w:noProof w:val="0"/>
        </w:rPr>
        <w:t>&lt;</w:t>
      </w:r>
      <w:r w:rsidRPr="00E12821">
        <w:rPr>
          <w:rStyle w:val="HideTWBExt"/>
          <w:i w:val="0"/>
          <w:noProof w:val="0"/>
        </w:rPr>
        <w:t>Commission</w:t>
      </w:r>
      <w:r w:rsidRPr="00E12821">
        <w:rPr>
          <w:rStyle w:val="HideTWBExt"/>
          <w:noProof w:val="0"/>
        </w:rPr>
        <w:t>&gt;</w:t>
      </w:r>
      <w:r w:rsidR="001257CF" w:rsidRPr="00E12821">
        <w:rPr>
          <w:rStyle w:val="HideTWBInt"/>
        </w:rPr>
        <w:t>{LIBE}</w:t>
      </w:r>
      <w:r w:rsidR="001257CF" w:rsidRPr="00E12821">
        <w:t>Committee on Civil Liberties, Justice and Home Affairs</w:t>
      </w:r>
      <w:r w:rsidRPr="00E12821">
        <w:rPr>
          <w:rStyle w:val="HideTWBExt"/>
          <w:noProof w:val="0"/>
        </w:rPr>
        <w:t>&lt;/</w:t>
      </w:r>
      <w:r w:rsidRPr="00E12821">
        <w:rPr>
          <w:rStyle w:val="HideTWBExt"/>
          <w:i w:val="0"/>
          <w:noProof w:val="0"/>
        </w:rPr>
        <w:t>Commission</w:t>
      </w:r>
      <w:r w:rsidRPr="00E12821">
        <w:rPr>
          <w:rStyle w:val="HideTWBExt"/>
          <w:noProof w:val="0"/>
        </w:rPr>
        <w:t>&gt;</w:t>
      </w:r>
    </w:p>
    <w:p w14:paraId="5012898A" w14:textId="77777777" w:rsidR="00461601" w:rsidRPr="00E12821" w:rsidRDefault="00461601" w:rsidP="00461601">
      <w:pPr>
        <w:pStyle w:val="LineBottom"/>
      </w:pPr>
    </w:p>
    <w:p w14:paraId="723359DB" w14:textId="77777777" w:rsidR="00793EA9" w:rsidRPr="00E12821" w:rsidRDefault="00793EA9">
      <w:pPr>
        <w:pStyle w:val="CoverReference"/>
      </w:pPr>
      <w:r w:rsidRPr="00E12821">
        <w:rPr>
          <w:rStyle w:val="HideTWBExt"/>
          <w:b w:val="0"/>
          <w:noProof w:val="0"/>
        </w:rPr>
        <w:t>&lt;RefProc&gt;</w:t>
      </w:r>
      <w:r w:rsidR="001257CF" w:rsidRPr="00E12821">
        <w:t>2022/0135</w:t>
      </w:r>
      <w:r w:rsidRPr="00E12821">
        <w:rPr>
          <w:rStyle w:val="HideTWBExt"/>
          <w:b w:val="0"/>
          <w:noProof w:val="0"/>
        </w:rPr>
        <w:t>&lt;/RefProc&gt;&lt;RefTypeProc&gt;</w:t>
      </w:r>
      <w:r w:rsidRPr="00E12821">
        <w:t>(COD)</w:t>
      </w:r>
      <w:r w:rsidRPr="00E12821">
        <w:rPr>
          <w:rStyle w:val="HideTWBExt"/>
          <w:b w:val="0"/>
          <w:noProof w:val="0"/>
        </w:rPr>
        <w:t>&lt;/RefTypeProc&gt;</w:t>
      </w:r>
    </w:p>
    <w:p w14:paraId="370B27E3" w14:textId="77777777" w:rsidR="00793EA9" w:rsidRPr="00E12821" w:rsidRDefault="00793EA9">
      <w:pPr>
        <w:pStyle w:val="CoverDate"/>
      </w:pPr>
      <w:r w:rsidRPr="00E12821">
        <w:rPr>
          <w:rStyle w:val="HideTWBExt"/>
          <w:noProof w:val="0"/>
        </w:rPr>
        <w:t>&lt;Date&gt;</w:t>
      </w:r>
      <w:r w:rsidR="00C13A6F" w:rsidRPr="00E12821">
        <w:rPr>
          <w:rStyle w:val="HideTWBInt"/>
        </w:rPr>
        <w:t>{16</w:t>
      </w:r>
      <w:r w:rsidR="001257CF" w:rsidRPr="00E12821">
        <w:rPr>
          <w:rStyle w:val="HideTWBInt"/>
        </w:rPr>
        <w:t>/09/2022}</w:t>
      </w:r>
      <w:r w:rsidR="00C13A6F" w:rsidRPr="00E12821">
        <w:t>16</w:t>
      </w:r>
      <w:r w:rsidR="001257CF" w:rsidRPr="00E12821">
        <w:t>.9.2022</w:t>
      </w:r>
      <w:r w:rsidRPr="00E12821">
        <w:rPr>
          <w:rStyle w:val="HideTWBExt"/>
          <w:noProof w:val="0"/>
        </w:rPr>
        <w:t>&lt;/Date&gt;</w:t>
      </w:r>
    </w:p>
    <w:p w14:paraId="4205F6B9" w14:textId="77777777" w:rsidR="00793EA9" w:rsidRPr="00E12821" w:rsidRDefault="00793EA9">
      <w:pPr>
        <w:pStyle w:val="CoverDocType"/>
      </w:pPr>
      <w:r w:rsidRPr="00E12821">
        <w:rPr>
          <w:rStyle w:val="HideTWBExt"/>
          <w:b w:val="0"/>
          <w:noProof w:val="0"/>
        </w:rPr>
        <w:t>&lt;RefProcLect&gt;</w:t>
      </w:r>
      <w:r w:rsidRPr="00E12821">
        <w:t>***I</w:t>
      </w:r>
      <w:r w:rsidRPr="00E12821">
        <w:rPr>
          <w:rStyle w:val="HideTWBExt"/>
          <w:b w:val="0"/>
          <w:noProof w:val="0"/>
        </w:rPr>
        <w:t>&lt;/RefProcLect&gt;</w:t>
      </w:r>
    </w:p>
    <w:p w14:paraId="79D6E714" w14:textId="77777777" w:rsidR="00793EA9" w:rsidRPr="00E12821" w:rsidRDefault="00793EA9">
      <w:pPr>
        <w:pStyle w:val="CoverDocType24a"/>
      </w:pPr>
      <w:r w:rsidRPr="00E12821">
        <w:rPr>
          <w:rStyle w:val="HideTWBExt"/>
          <w:b w:val="0"/>
          <w:noProof w:val="0"/>
        </w:rPr>
        <w:t>&lt;TitreType&gt;</w:t>
      </w:r>
      <w:r w:rsidR="00307279" w:rsidRPr="00E12821">
        <w:t>DRAFT REPORT</w:t>
      </w:r>
      <w:r w:rsidRPr="00E12821">
        <w:rPr>
          <w:rStyle w:val="HideTWBExt"/>
          <w:b w:val="0"/>
          <w:noProof w:val="0"/>
        </w:rPr>
        <w:t>&lt;/TitreType&gt;</w:t>
      </w:r>
    </w:p>
    <w:p w14:paraId="446BDC3B" w14:textId="77777777" w:rsidR="00793EA9" w:rsidRPr="00E12821" w:rsidRDefault="00793EA9">
      <w:pPr>
        <w:pStyle w:val="CoverNormal"/>
      </w:pPr>
      <w:r w:rsidRPr="00E12821">
        <w:rPr>
          <w:rStyle w:val="HideTWBExt"/>
          <w:noProof w:val="0"/>
        </w:rPr>
        <w:t>&lt;Titre&gt;</w:t>
      </w:r>
      <w:r w:rsidR="00307279" w:rsidRPr="00E12821">
        <w:t xml:space="preserve">on the proposal for a </w:t>
      </w:r>
      <w:r w:rsidR="001257CF" w:rsidRPr="00E12821">
        <w:t>regulation</w:t>
      </w:r>
      <w:r w:rsidR="00307279" w:rsidRPr="00E12821">
        <w:t xml:space="preserve"> of the European Parliament and of the Council </w:t>
      </w:r>
      <w:r w:rsidR="001257CF" w:rsidRPr="00E12821">
        <w:t xml:space="preserve">amending Regulation (EU) 2018/1806, listing the third countries whose nationals must be in possession of visas when crossing the external borders and those whose nationals are </w:t>
      </w:r>
      <w:bookmarkStart w:id="0" w:name="_GoBack"/>
      <w:bookmarkEnd w:id="0"/>
      <w:r w:rsidR="001257CF" w:rsidRPr="00E12821">
        <w:t>exempt from that requirement (Kuwait, Qatar)</w:t>
      </w:r>
      <w:r w:rsidRPr="00E12821">
        <w:rPr>
          <w:rStyle w:val="HideTWBExt"/>
          <w:noProof w:val="0"/>
        </w:rPr>
        <w:t>&lt;/Titre&gt;</w:t>
      </w:r>
    </w:p>
    <w:p w14:paraId="78ECA7E9" w14:textId="77777777" w:rsidR="00793EA9" w:rsidRPr="00E12821" w:rsidRDefault="00793EA9">
      <w:pPr>
        <w:pStyle w:val="CoverNormal24a"/>
      </w:pPr>
      <w:r w:rsidRPr="00E12821">
        <w:rPr>
          <w:rStyle w:val="HideTWBExt"/>
          <w:noProof w:val="0"/>
        </w:rPr>
        <w:t>&lt;DocRef&gt;</w:t>
      </w:r>
      <w:r w:rsidR="00307279" w:rsidRPr="00E12821">
        <w:t>(COM</w:t>
      </w:r>
      <w:r w:rsidR="001257CF" w:rsidRPr="00E12821">
        <w:t>(2022)0189</w:t>
      </w:r>
      <w:r w:rsidR="00307279" w:rsidRPr="00E12821">
        <w:t xml:space="preserve"> </w:t>
      </w:r>
      <w:r w:rsidR="001257CF" w:rsidRPr="00E12821">
        <w:t>–</w:t>
      </w:r>
      <w:r w:rsidR="00307279" w:rsidRPr="00E12821">
        <w:t xml:space="preserve"> </w:t>
      </w:r>
      <w:r w:rsidR="001257CF" w:rsidRPr="00E12821">
        <w:t>C9</w:t>
      </w:r>
      <w:r w:rsidR="001257CF" w:rsidRPr="00E12821">
        <w:noBreakHyphen/>
        <w:t>0160/2022</w:t>
      </w:r>
      <w:r w:rsidR="00307279" w:rsidRPr="00E12821">
        <w:t xml:space="preserve"> </w:t>
      </w:r>
      <w:r w:rsidR="001257CF" w:rsidRPr="00E12821">
        <w:t>–</w:t>
      </w:r>
      <w:r w:rsidR="00307279" w:rsidRPr="00E12821">
        <w:t xml:space="preserve"> </w:t>
      </w:r>
      <w:r w:rsidR="001257CF" w:rsidRPr="00E12821">
        <w:t>2022/0135</w:t>
      </w:r>
      <w:r w:rsidR="00307279" w:rsidRPr="00E12821">
        <w:t>(COD))</w:t>
      </w:r>
      <w:r w:rsidRPr="00E12821">
        <w:rPr>
          <w:rStyle w:val="HideTWBExt"/>
          <w:noProof w:val="0"/>
        </w:rPr>
        <w:t>&lt;/DocRef&gt;</w:t>
      </w:r>
    </w:p>
    <w:p w14:paraId="29F285BD" w14:textId="77777777" w:rsidR="00793EA9" w:rsidRPr="00E12821" w:rsidRDefault="00793EA9">
      <w:pPr>
        <w:pStyle w:val="CoverNormal24a"/>
      </w:pPr>
      <w:r w:rsidRPr="00E12821">
        <w:rPr>
          <w:rStyle w:val="HideTWBExt"/>
          <w:noProof w:val="0"/>
        </w:rPr>
        <w:t>&lt;Commission&gt;</w:t>
      </w:r>
      <w:r w:rsidR="001257CF" w:rsidRPr="00E12821">
        <w:rPr>
          <w:rStyle w:val="HideTWBInt"/>
        </w:rPr>
        <w:t>{LIBE}</w:t>
      </w:r>
      <w:r w:rsidR="001257CF" w:rsidRPr="00E12821">
        <w:t>Committee on Civil Liberties, Justice and Home Affairs</w:t>
      </w:r>
      <w:r w:rsidRPr="00E12821">
        <w:rPr>
          <w:rStyle w:val="HideTWBExt"/>
          <w:noProof w:val="0"/>
        </w:rPr>
        <w:t>&lt;/Commission&gt;</w:t>
      </w:r>
    </w:p>
    <w:p w14:paraId="5801734F" w14:textId="77777777" w:rsidR="00793EA9" w:rsidRPr="00E12821" w:rsidRDefault="00307279">
      <w:pPr>
        <w:pStyle w:val="CoverNormal24a"/>
        <w:rPr>
          <w:lang w:val="fr-FR"/>
        </w:rPr>
      </w:pPr>
      <w:r w:rsidRPr="00E12821">
        <w:rPr>
          <w:lang w:val="fr-FR"/>
        </w:rPr>
        <w:t>Rapporteur:</w:t>
      </w:r>
      <w:r w:rsidR="00793EA9" w:rsidRPr="00E12821">
        <w:rPr>
          <w:lang w:val="fr-FR"/>
        </w:rPr>
        <w:t xml:space="preserve"> </w:t>
      </w:r>
      <w:r w:rsidR="00793EA9" w:rsidRPr="00E12821">
        <w:rPr>
          <w:rStyle w:val="HideTWBExt"/>
          <w:noProof w:val="0"/>
          <w:lang w:val="fr-FR"/>
        </w:rPr>
        <w:t>&lt;Depute&gt;</w:t>
      </w:r>
      <w:r w:rsidR="001257CF" w:rsidRPr="00E12821">
        <w:rPr>
          <w:lang w:val="fr-FR"/>
        </w:rPr>
        <w:t>Erik Marquardt</w:t>
      </w:r>
      <w:r w:rsidR="00793EA9" w:rsidRPr="00E12821">
        <w:rPr>
          <w:rStyle w:val="HideTWBExt"/>
          <w:noProof w:val="0"/>
          <w:lang w:val="fr-FR"/>
        </w:rPr>
        <w:t>&lt;/Depute&gt;</w:t>
      </w:r>
    </w:p>
    <w:p w14:paraId="4AB17AC3" w14:textId="77777777" w:rsidR="001C5B44" w:rsidRPr="00E12821" w:rsidRDefault="001C5B44" w:rsidP="001C5B44">
      <w:pPr>
        <w:pStyle w:val="CoverNormal"/>
        <w:rPr>
          <w:lang w:val="fr-FR"/>
        </w:rPr>
      </w:pPr>
    </w:p>
    <w:p w14:paraId="15BF553F" w14:textId="6E95F050" w:rsidR="001257CF" w:rsidRPr="00E12821" w:rsidRDefault="00793EA9" w:rsidP="00894923">
      <w:pPr>
        <w:rPr>
          <w:lang w:val="fr-FR"/>
        </w:rPr>
      </w:pPr>
      <w:r w:rsidRPr="00E12821">
        <w:rPr>
          <w:lang w:val="fr-FR"/>
        </w:rPr>
        <w:br w:type="page"/>
      </w:r>
      <w:r w:rsidR="001257CF" w:rsidRPr="00E12821">
        <w:rPr>
          <w:lang w:val="fr-FR"/>
        </w:rPr>
        <w:lastRenderedPageBreak/>
        <w:fldChar w:fldCharType="begin"/>
      </w:r>
      <w:r w:rsidR="001257CF" w:rsidRPr="00E12821">
        <w:rPr>
          <w:lang w:val="fr-FR"/>
        </w:rPr>
        <w:instrText xml:space="preserve"> TITLE  \* MERGEFORMAT </w:instrText>
      </w:r>
      <w:r w:rsidR="001257CF" w:rsidRPr="00E12821">
        <w:rPr>
          <w:lang w:val="fr-FR"/>
        </w:rPr>
        <w:fldChar w:fldCharType="separate"/>
      </w:r>
      <w:r w:rsidR="0013710F">
        <w:rPr>
          <w:lang w:val="fr-FR"/>
        </w:rPr>
        <w:t>PR_COD_1amCom</w:t>
      </w:r>
      <w:r w:rsidR="001257CF" w:rsidRPr="00E12821">
        <w:rPr>
          <w:lang w:val="fr-FR"/>
        </w:rPr>
        <w:fldChar w:fldCharType="end"/>
      </w:r>
    </w:p>
    <w:p w14:paraId="68361386" w14:textId="77777777" w:rsidR="001257CF" w:rsidRPr="00E12821" w:rsidRDefault="001257CF" w:rsidP="00894923">
      <w:pPr>
        <w:rPr>
          <w:lang w:val="fr-FR"/>
        </w:rPr>
      </w:pPr>
    </w:p>
    <w:p w14:paraId="7D97DA03" w14:textId="77777777" w:rsidR="001257CF" w:rsidRPr="00E12821" w:rsidRDefault="001257CF"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257CF" w:rsidRPr="00E12821" w14:paraId="4A6A34E4" w14:textId="77777777">
        <w:tc>
          <w:tcPr>
            <w:tcW w:w="5811" w:type="dxa"/>
          </w:tcPr>
          <w:p w14:paraId="4593993B" w14:textId="77777777" w:rsidR="001257CF" w:rsidRPr="00E12821" w:rsidRDefault="001257CF" w:rsidP="00894923">
            <w:pPr>
              <w:pStyle w:val="Lgendetitre"/>
              <w:rPr>
                <w:lang w:val="fr-FR"/>
              </w:rPr>
            </w:pPr>
            <w:r w:rsidRPr="00E12821">
              <w:rPr>
                <w:lang w:val="fr-FR"/>
              </w:rPr>
              <w:t>Symbols for procedures</w:t>
            </w:r>
          </w:p>
        </w:tc>
      </w:tr>
      <w:tr w:rsidR="001257CF" w:rsidRPr="00E12821" w14:paraId="6E0CE68F" w14:textId="77777777" w:rsidTr="007452CB">
        <w:trPr>
          <w:cantSplit/>
          <w:trHeight w:val="1807"/>
        </w:trPr>
        <w:tc>
          <w:tcPr>
            <w:tcW w:w="5811" w:type="dxa"/>
            <w:tcBorders>
              <w:bottom w:val="single" w:sz="4" w:space="0" w:color="auto"/>
            </w:tcBorders>
          </w:tcPr>
          <w:p w14:paraId="677BDB1A" w14:textId="77777777" w:rsidR="001257CF" w:rsidRPr="00E12821" w:rsidRDefault="001257CF" w:rsidP="003506ED">
            <w:pPr>
              <w:pStyle w:val="Lgendesigne"/>
            </w:pPr>
            <w:r w:rsidRPr="00E12821">
              <w:tab/>
              <w:t>*</w:t>
            </w:r>
            <w:r w:rsidRPr="00E12821">
              <w:tab/>
              <w:t>Consultation procedure</w:t>
            </w:r>
          </w:p>
          <w:p w14:paraId="15917134" w14:textId="77777777" w:rsidR="001257CF" w:rsidRPr="00E12821" w:rsidRDefault="001257CF" w:rsidP="003506ED">
            <w:pPr>
              <w:pStyle w:val="Lgendesigne"/>
            </w:pPr>
            <w:r w:rsidRPr="00E12821">
              <w:tab/>
              <w:t>***</w:t>
            </w:r>
            <w:r w:rsidRPr="00E12821">
              <w:tab/>
              <w:t>Consent procedure</w:t>
            </w:r>
          </w:p>
          <w:p w14:paraId="07B09BEE" w14:textId="77777777" w:rsidR="001257CF" w:rsidRPr="00E12821" w:rsidRDefault="001257CF" w:rsidP="003506ED">
            <w:pPr>
              <w:pStyle w:val="Lgendesigne"/>
            </w:pPr>
            <w:r w:rsidRPr="00E12821">
              <w:tab/>
              <w:t>***I</w:t>
            </w:r>
            <w:r w:rsidRPr="00E12821">
              <w:tab/>
              <w:t>Ordinary legislative procedure (first reading)</w:t>
            </w:r>
          </w:p>
          <w:p w14:paraId="1D5AAA3E" w14:textId="77777777" w:rsidR="001257CF" w:rsidRPr="00E12821" w:rsidRDefault="001257CF" w:rsidP="003506ED">
            <w:pPr>
              <w:pStyle w:val="Lgendesigne"/>
            </w:pPr>
            <w:r w:rsidRPr="00E12821">
              <w:tab/>
              <w:t>***II</w:t>
            </w:r>
            <w:r w:rsidRPr="00E12821">
              <w:tab/>
              <w:t>Ordinary legislative procedure (second reading)</w:t>
            </w:r>
          </w:p>
          <w:p w14:paraId="3A41C984" w14:textId="77777777" w:rsidR="001257CF" w:rsidRPr="00E12821" w:rsidRDefault="001257CF" w:rsidP="003506ED">
            <w:pPr>
              <w:pStyle w:val="Lgendesigne"/>
            </w:pPr>
            <w:r w:rsidRPr="00E12821">
              <w:tab/>
              <w:t>***III</w:t>
            </w:r>
            <w:r w:rsidRPr="00E12821">
              <w:tab/>
              <w:t>Ordinary legislative procedure (third reading)</w:t>
            </w:r>
          </w:p>
          <w:p w14:paraId="08DCA140" w14:textId="77777777" w:rsidR="001257CF" w:rsidRPr="00E12821" w:rsidRDefault="001257CF" w:rsidP="003506ED">
            <w:pPr>
              <w:pStyle w:val="Lgendestandard"/>
            </w:pPr>
          </w:p>
          <w:p w14:paraId="1322D4FE" w14:textId="77777777" w:rsidR="001257CF" w:rsidRPr="00E12821" w:rsidRDefault="001257CF" w:rsidP="003506ED">
            <w:pPr>
              <w:pStyle w:val="Lgendestandard"/>
            </w:pPr>
            <w:r w:rsidRPr="00E12821">
              <w:t>(The type of procedure depends on the legal basis proposed by the draft act.)</w:t>
            </w:r>
          </w:p>
          <w:p w14:paraId="3A51C55A" w14:textId="77777777" w:rsidR="001257CF" w:rsidRPr="00E12821" w:rsidRDefault="001257CF" w:rsidP="00B54EAF">
            <w:pPr>
              <w:pStyle w:val="Lgendestandard"/>
            </w:pPr>
          </w:p>
        </w:tc>
      </w:tr>
    </w:tbl>
    <w:p w14:paraId="7FF5E61E" w14:textId="77777777" w:rsidR="001257CF" w:rsidRPr="00E12821" w:rsidRDefault="001257CF" w:rsidP="00894923"/>
    <w:p w14:paraId="178A1BF0" w14:textId="77777777" w:rsidR="001257CF" w:rsidRPr="00E12821" w:rsidRDefault="001257CF" w:rsidP="00894923"/>
    <w:p w14:paraId="285E9696" w14:textId="77777777" w:rsidR="001257CF" w:rsidRPr="00E12821" w:rsidRDefault="001257CF" w:rsidP="00894923"/>
    <w:p w14:paraId="4FC3CE82" w14:textId="77777777" w:rsidR="001257CF" w:rsidRPr="00E12821" w:rsidRDefault="001257C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257CF" w:rsidRPr="00E12821" w14:paraId="27415A31" w14:textId="77777777">
        <w:tc>
          <w:tcPr>
            <w:tcW w:w="5811" w:type="dxa"/>
          </w:tcPr>
          <w:p w14:paraId="25D63F26" w14:textId="77777777" w:rsidR="001257CF" w:rsidRPr="00E12821" w:rsidRDefault="001257CF" w:rsidP="00894923">
            <w:pPr>
              <w:pStyle w:val="Lgendetitre"/>
            </w:pPr>
            <w:r w:rsidRPr="00E12821">
              <w:t>Amendments to a draft act</w:t>
            </w:r>
          </w:p>
        </w:tc>
      </w:tr>
      <w:tr w:rsidR="001257CF" w:rsidRPr="00E12821" w14:paraId="70934A1E" w14:textId="77777777" w:rsidTr="00554250">
        <w:trPr>
          <w:trHeight w:val="4496"/>
        </w:trPr>
        <w:tc>
          <w:tcPr>
            <w:tcW w:w="5811" w:type="dxa"/>
          </w:tcPr>
          <w:p w14:paraId="112DC4EC" w14:textId="77777777" w:rsidR="001257CF" w:rsidRPr="00E12821" w:rsidRDefault="001257CF" w:rsidP="003506ED">
            <w:pPr>
              <w:pStyle w:val="Lgendestandard"/>
              <w:rPr>
                <w:szCs w:val="24"/>
              </w:rPr>
            </w:pPr>
            <w:r w:rsidRPr="00E12821">
              <w:rPr>
                <w:b/>
                <w:szCs w:val="24"/>
              </w:rPr>
              <w:t>Amendments by Parliament set out in two columns</w:t>
            </w:r>
          </w:p>
          <w:p w14:paraId="23E85147" w14:textId="77777777" w:rsidR="001257CF" w:rsidRPr="00E12821" w:rsidRDefault="001257CF" w:rsidP="003506ED">
            <w:pPr>
              <w:pStyle w:val="Lgendestandard"/>
              <w:rPr>
                <w:szCs w:val="24"/>
              </w:rPr>
            </w:pPr>
          </w:p>
          <w:p w14:paraId="2282C578" w14:textId="77777777" w:rsidR="001257CF" w:rsidRPr="00E12821" w:rsidRDefault="001257CF" w:rsidP="003506ED">
            <w:pPr>
              <w:pStyle w:val="Lgendestandard"/>
              <w:rPr>
                <w:szCs w:val="24"/>
              </w:rPr>
            </w:pPr>
            <w:r w:rsidRPr="00E12821">
              <w:rPr>
                <w:szCs w:val="24"/>
              </w:rPr>
              <w:t xml:space="preserve">Deletions are indicated in </w:t>
            </w:r>
            <w:r w:rsidRPr="00E12821">
              <w:rPr>
                <w:b/>
                <w:i/>
                <w:szCs w:val="24"/>
              </w:rPr>
              <w:t>bold italics</w:t>
            </w:r>
            <w:r w:rsidRPr="00E12821">
              <w:rPr>
                <w:szCs w:val="24"/>
              </w:rPr>
              <w:t xml:space="preserve"> in the left-hand column. Replacements are indicated in </w:t>
            </w:r>
            <w:r w:rsidRPr="00E12821">
              <w:rPr>
                <w:b/>
                <w:i/>
                <w:szCs w:val="24"/>
              </w:rPr>
              <w:t>bold italics</w:t>
            </w:r>
            <w:r w:rsidRPr="00E12821">
              <w:rPr>
                <w:szCs w:val="24"/>
              </w:rPr>
              <w:t xml:space="preserve"> in both columns. New text is indicated in </w:t>
            </w:r>
            <w:r w:rsidRPr="00E12821">
              <w:rPr>
                <w:b/>
                <w:i/>
                <w:szCs w:val="24"/>
              </w:rPr>
              <w:t>bold italics</w:t>
            </w:r>
            <w:r w:rsidRPr="00E12821">
              <w:rPr>
                <w:szCs w:val="24"/>
              </w:rPr>
              <w:t xml:space="preserve"> in the right-hand column.</w:t>
            </w:r>
          </w:p>
          <w:p w14:paraId="0DDE5AAC" w14:textId="77777777" w:rsidR="001257CF" w:rsidRPr="00E12821" w:rsidRDefault="001257CF" w:rsidP="003506ED">
            <w:pPr>
              <w:pStyle w:val="Lgendestandard"/>
              <w:rPr>
                <w:szCs w:val="24"/>
              </w:rPr>
            </w:pPr>
          </w:p>
          <w:p w14:paraId="2649364D" w14:textId="77777777" w:rsidR="001257CF" w:rsidRPr="00E12821" w:rsidRDefault="001257CF" w:rsidP="003506ED">
            <w:pPr>
              <w:pStyle w:val="Lgendestandard"/>
              <w:rPr>
                <w:szCs w:val="24"/>
              </w:rPr>
            </w:pPr>
            <w:r w:rsidRPr="00E12821">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14:paraId="61B4FC31" w14:textId="77777777" w:rsidR="001257CF" w:rsidRPr="00E12821" w:rsidRDefault="001257CF" w:rsidP="003506ED">
            <w:pPr>
              <w:pStyle w:val="Lgendestandard"/>
              <w:rPr>
                <w:szCs w:val="24"/>
              </w:rPr>
            </w:pPr>
          </w:p>
          <w:p w14:paraId="773BC3EE" w14:textId="77777777" w:rsidR="001257CF" w:rsidRPr="00E12821" w:rsidRDefault="001257CF" w:rsidP="003506ED">
            <w:pPr>
              <w:pStyle w:val="Lgendestandard"/>
              <w:rPr>
                <w:b/>
                <w:szCs w:val="24"/>
              </w:rPr>
            </w:pPr>
            <w:r w:rsidRPr="00E12821">
              <w:rPr>
                <w:b/>
                <w:szCs w:val="24"/>
              </w:rPr>
              <w:t>Amendments by Parliament in the form of a consolidated text</w:t>
            </w:r>
          </w:p>
          <w:p w14:paraId="4AD88363" w14:textId="77777777" w:rsidR="001257CF" w:rsidRPr="00E12821" w:rsidRDefault="001257CF" w:rsidP="003506ED">
            <w:pPr>
              <w:pStyle w:val="Lgendestandard"/>
              <w:rPr>
                <w:szCs w:val="24"/>
              </w:rPr>
            </w:pPr>
          </w:p>
          <w:p w14:paraId="6F35459A" w14:textId="77777777" w:rsidR="001257CF" w:rsidRPr="00E12821" w:rsidRDefault="001257CF" w:rsidP="003506ED">
            <w:pPr>
              <w:pStyle w:val="Lgendestandard"/>
              <w:rPr>
                <w:szCs w:val="24"/>
              </w:rPr>
            </w:pPr>
            <w:r w:rsidRPr="00E12821">
              <w:rPr>
                <w:szCs w:val="24"/>
              </w:rPr>
              <w:t xml:space="preserve">New text is highlighted in </w:t>
            </w:r>
            <w:r w:rsidRPr="00E12821">
              <w:rPr>
                <w:b/>
                <w:i/>
                <w:szCs w:val="24"/>
              </w:rPr>
              <w:t>bold italics</w:t>
            </w:r>
            <w:r w:rsidRPr="00E12821">
              <w:rPr>
                <w:szCs w:val="24"/>
              </w:rPr>
              <w:t xml:space="preserve">. Deletions are indicated using either the ▌symbol or strikeout. Replacements are indicated by highlighting the new text in </w:t>
            </w:r>
            <w:r w:rsidRPr="00E12821">
              <w:rPr>
                <w:b/>
                <w:i/>
                <w:szCs w:val="24"/>
              </w:rPr>
              <w:t>bold italics</w:t>
            </w:r>
            <w:r w:rsidRPr="00E12821">
              <w:rPr>
                <w:szCs w:val="24"/>
              </w:rPr>
              <w:t xml:space="preserve"> and by deleting or striking out the text that has been replaced. </w:t>
            </w:r>
          </w:p>
          <w:p w14:paraId="69BC2093" w14:textId="77777777" w:rsidR="001257CF" w:rsidRPr="00E12821" w:rsidRDefault="001257CF" w:rsidP="003506ED">
            <w:pPr>
              <w:pStyle w:val="Lgendestandard"/>
            </w:pPr>
            <w:r w:rsidRPr="00E12821">
              <w:rPr>
                <w:szCs w:val="24"/>
              </w:rPr>
              <w:t>By way of exception, purely technical changes made by the drafting departments in preparing the final text are not highlighted.</w:t>
            </w:r>
          </w:p>
          <w:p w14:paraId="713A9C83" w14:textId="77777777" w:rsidR="001257CF" w:rsidRPr="00E12821" w:rsidRDefault="001257CF" w:rsidP="0069092A">
            <w:pPr>
              <w:pStyle w:val="Lgendestandard"/>
            </w:pPr>
          </w:p>
        </w:tc>
      </w:tr>
    </w:tbl>
    <w:p w14:paraId="5D8F5CE7" w14:textId="77777777" w:rsidR="001257CF" w:rsidRPr="00E12821" w:rsidRDefault="001257CF" w:rsidP="00894923"/>
    <w:p w14:paraId="5FEBFB6F" w14:textId="77777777" w:rsidR="00793EA9" w:rsidRPr="00E12821" w:rsidRDefault="00793EA9" w:rsidP="00012351">
      <w:pPr>
        <w:widowControl/>
        <w:tabs>
          <w:tab w:val="center" w:pos="4677"/>
        </w:tabs>
      </w:pPr>
    </w:p>
    <w:p w14:paraId="7B19B247" w14:textId="77777777" w:rsidR="00793EA9" w:rsidRPr="00E12821" w:rsidRDefault="00793EA9">
      <w:pPr>
        <w:pStyle w:val="TOCHeading"/>
        <w:rPr>
          <w:lang w:val="fr-FR"/>
        </w:rPr>
      </w:pPr>
      <w:r w:rsidRPr="0013710F">
        <w:br w:type="page"/>
      </w:r>
      <w:r w:rsidR="00307279" w:rsidRPr="00E12821">
        <w:rPr>
          <w:lang w:val="fr-FR"/>
        </w:rPr>
        <w:lastRenderedPageBreak/>
        <w:t>CONTENTS</w:t>
      </w:r>
    </w:p>
    <w:p w14:paraId="23D94FA5" w14:textId="77777777" w:rsidR="00793EA9" w:rsidRPr="00E12821" w:rsidRDefault="00307279">
      <w:pPr>
        <w:pStyle w:val="TOCPage"/>
        <w:rPr>
          <w:lang w:val="fr-FR"/>
        </w:rPr>
      </w:pPr>
      <w:r w:rsidRPr="00E12821">
        <w:rPr>
          <w:lang w:val="fr-FR"/>
        </w:rPr>
        <w:t>Page</w:t>
      </w:r>
    </w:p>
    <w:p w14:paraId="07D41B7D" w14:textId="2EE5D7BA" w:rsidR="0013710F" w:rsidRDefault="00C23324">
      <w:pPr>
        <w:pStyle w:val="TOC1"/>
        <w:tabs>
          <w:tab w:val="right" w:leader="dot" w:pos="9060"/>
        </w:tabs>
        <w:rPr>
          <w:rFonts w:asciiTheme="minorHAnsi" w:eastAsiaTheme="minorEastAsia" w:hAnsiTheme="minorHAnsi" w:cstheme="minorBidi"/>
          <w:noProof/>
          <w:sz w:val="22"/>
          <w:szCs w:val="22"/>
        </w:rPr>
      </w:pPr>
      <w:r w:rsidRPr="00E12821">
        <w:rPr>
          <w:b/>
        </w:rPr>
        <w:fldChar w:fldCharType="begin"/>
      </w:r>
      <w:r w:rsidRPr="00E12821">
        <w:rPr>
          <w:b/>
        </w:rPr>
        <w:instrText xml:space="preserve"> TOC \t "PageHeading</w:instrText>
      </w:r>
      <w:r w:rsidR="006456F0" w:rsidRPr="00E12821">
        <w:rPr>
          <w:b/>
        </w:rPr>
        <w:instrText>;</w:instrText>
      </w:r>
      <w:r w:rsidRPr="00E12821">
        <w:rPr>
          <w:b/>
        </w:rPr>
        <w:instrText xml:space="preserve">1" </w:instrText>
      </w:r>
      <w:r w:rsidRPr="00E12821">
        <w:rPr>
          <w:b/>
        </w:rPr>
        <w:fldChar w:fldCharType="separate"/>
      </w:r>
      <w:r w:rsidR="0013710F">
        <w:rPr>
          <w:noProof/>
        </w:rPr>
        <w:t>DRAFT EUROPEAN PARLIAMENT LEGISLATIVE RESOLUTION</w:t>
      </w:r>
      <w:r w:rsidR="0013710F">
        <w:rPr>
          <w:noProof/>
        </w:rPr>
        <w:tab/>
      </w:r>
      <w:r w:rsidR="0013710F">
        <w:rPr>
          <w:noProof/>
        </w:rPr>
        <w:fldChar w:fldCharType="begin"/>
      </w:r>
      <w:r w:rsidR="0013710F">
        <w:rPr>
          <w:noProof/>
        </w:rPr>
        <w:instrText xml:space="preserve"> PAGEREF _Toc114644600 \h </w:instrText>
      </w:r>
      <w:r w:rsidR="0013710F">
        <w:rPr>
          <w:noProof/>
        </w:rPr>
      </w:r>
      <w:r w:rsidR="0013710F">
        <w:rPr>
          <w:noProof/>
        </w:rPr>
        <w:fldChar w:fldCharType="separate"/>
      </w:r>
      <w:r w:rsidR="0013710F">
        <w:rPr>
          <w:noProof/>
        </w:rPr>
        <w:t>5</w:t>
      </w:r>
      <w:r w:rsidR="0013710F">
        <w:rPr>
          <w:noProof/>
        </w:rPr>
        <w:fldChar w:fldCharType="end"/>
      </w:r>
    </w:p>
    <w:p w14:paraId="6F2F4CCB" w14:textId="6B9ABF56" w:rsidR="0013710F" w:rsidRDefault="0013710F">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_Toc114644601 \h </w:instrText>
      </w:r>
      <w:r>
        <w:rPr>
          <w:noProof/>
        </w:rPr>
      </w:r>
      <w:r>
        <w:rPr>
          <w:noProof/>
        </w:rPr>
        <w:fldChar w:fldCharType="separate"/>
      </w:r>
      <w:r>
        <w:rPr>
          <w:noProof/>
        </w:rPr>
        <w:t>9</w:t>
      </w:r>
      <w:r>
        <w:rPr>
          <w:noProof/>
        </w:rPr>
        <w:fldChar w:fldCharType="end"/>
      </w:r>
    </w:p>
    <w:p w14:paraId="425D47EF" w14:textId="1DD8236F" w:rsidR="002346B0" w:rsidRPr="00E12821" w:rsidRDefault="00C23324" w:rsidP="00C23324">
      <w:r w:rsidRPr="00E12821">
        <w:rPr>
          <w:b/>
        </w:rPr>
        <w:fldChar w:fldCharType="end"/>
      </w:r>
    </w:p>
    <w:p w14:paraId="0F9D6735" w14:textId="77777777" w:rsidR="00793EA9" w:rsidRPr="00E12821" w:rsidRDefault="00793EA9">
      <w:pPr>
        <w:pStyle w:val="PageHeading"/>
      </w:pPr>
      <w:r w:rsidRPr="00E12821">
        <w:br w:type="page"/>
      </w:r>
      <w:r w:rsidRPr="00E12821">
        <w:lastRenderedPageBreak/>
        <w:br w:type="page"/>
      </w:r>
      <w:bookmarkStart w:id="1" w:name="_Toc114644600"/>
      <w:r w:rsidR="00307279" w:rsidRPr="00E12821">
        <w:lastRenderedPageBreak/>
        <w:t>DRAFT EUROPEAN PARLIAMENT LEGISLATIVE RESOLUTION</w:t>
      </w:r>
      <w:bookmarkEnd w:id="1"/>
    </w:p>
    <w:p w14:paraId="248D0564" w14:textId="77777777" w:rsidR="00793EA9" w:rsidRPr="00E12821" w:rsidRDefault="00307279">
      <w:pPr>
        <w:pStyle w:val="NormalBold"/>
      </w:pPr>
      <w:r w:rsidRPr="00E12821">
        <w:t xml:space="preserve">on the proposal for a </w:t>
      </w:r>
      <w:r w:rsidR="001257CF" w:rsidRPr="00E12821">
        <w:t>regulation</w:t>
      </w:r>
      <w:r w:rsidRPr="00E12821">
        <w:t xml:space="preserve"> of the European Parliament and of the Council </w:t>
      </w:r>
      <w:r w:rsidR="001257CF" w:rsidRPr="00E12821">
        <w:t>amending Regulation (EU) 2018/1806, listing the third countries whose nationals must be in possession of visas when crossing the external borders and those whose nationals are exempt from that requirement (Kuwait, Qatar)</w:t>
      </w:r>
    </w:p>
    <w:p w14:paraId="51149C74" w14:textId="77777777" w:rsidR="00793EA9" w:rsidRPr="00E12821" w:rsidRDefault="00307279">
      <w:pPr>
        <w:pStyle w:val="NormalBold12a"/>
      </w:pPr>
      <w:r w:rsidRPr="00E12821">
        <w:t>(COM</w:t>
      </w:r>
      <w:r w:rsidR="001257CF" w:rsidRPr="00E12821">
        <w:t>(2022)0189</w:t>
      </w:r>
      <w:r w:rsidRPr="00E12821">
        <w:t xml:space="preserve"> </w:t>
      </w:r>
      <w:r w:rsidR="001257CF" w:rsidRPr="00E12821">
        <w:t>–</w:t>
      </w:r>
      <w:r w:rsidRPr="00E12821">
        <w:t xml:space="preserve"> </w:t>
      </w:r>
      <w:r w:rsidR="001257CF" w:rsidRPr="00E12821">
        <w:t>C9</w:t>
      </w:r>
      <w:r w:rsidR="001257CF" w:rsidRPr="00E12821">
        <w:noBreakHyphen/>
        <w:t>0160/2022</w:t>
      </w:r>
      <w:r w:rsidRPr="00E12821">
        <w:t xml:space="preserve"> </w:t>
      </w:r>
      <w:r w:rsidR="001257CF" w:rsidRPr="00E12821">
        <w:t>–</w:t>
      </w:r>
      <w:r w:rsidRPr="00E12821">
        <w:t xml:space="preserve"> </w:t>
      </w:r>
      <w:r w:rsidR="001257CF" w:rsidRPr="00E12821">
        <w:t>2022/0135</w:t>
      </w:r>
      <w:r w:rsidRPr="00E12821">
        <w:t>(COD))</w:t>
      </w:r>
    </w:p>
    <w:p w14:paraId="1EC2E0CA" w14:textId="77777777" w:rsidR="00793EA9" w:rsidRPr="00E12821" w:rsidRDefault="00307279" w:rsidP="00A910C9">
      <w:pPr>
        <w:pStyle w:val="NormalBold"/>
      </w:pPr>
      <w:r w:rsidRPr="00E12821">
        <w:t>(Ordinary legislative procedure: first reading)</w:t>
      </w:r>
    </w:p>
    <w:p w14:paraId="35366646" w14:textId="77777777" w:rsidR="00793EA9" w:rsidRPr="00E12821" w:rsidRDefault="00307279" w:rsidP="00A910C9">
      <w:pPr>
        <w:pStyle w:val="EPComma"/>
      </w:pPr>
      <w:r w:rsidRPr="00E12821">
        <w:rPr>
          <w:i/>
        </w:rPr>
        <w:t>The European Parliament</w:t>
      </w:r>
      <w:r w:rsidRPr="00E12821">
        <w:t>,</w:t>
      </w:r>
    </w:p>
    <w:p w14:paraId="02FE4A73" w14:textId="77777777" w:rsidR="00793EA9" w:rsidRPr="00E12821" w:rsidRDefault="00793EA9">
      <w:pPr>
        <w:pStyle w:val="NormalHanging12a"/>
      </w:pPr>
      <w:r w:rsidRPr="00E12821">
        <w:t>–</w:t>
      </w:r>
      <w:r w:rsidRPr="00E12821">
        <w:tab/>
      </w:r>
      <w:r w:rsidR="00307279" w:rsidRPr="00E12821">
        <w:t>having regard to the Commission proposal to Parliament and the Council (COM</w:t>
      </w:r>
      <w:r w:rsidR="001257CF" w:rsidRPr="00E12821">
        <w:t>(2022)0189</w:t>
      </w:r>
      <w:r w:rsidR="00307279" w:rsidRPr="00E12821">
        <w:t>),</w:t>
      </w:r>
    </w:p>
    <w:p w14:paraId="707AC809" w14:textId="77777777" w:rsidR="00793EA9" w:rsidRPr="00E12821" w:rsidRDefault="00793EA9">
      <w:pPr>
        <w:pStyle w:val="NormalHanging12a"/>
      </w:pPr>
      <w:r w:rsidRPr="00E12821">
        <w:t>–</w:t>
      </w:r>
      <w:r w:rsidRPr="00E12821">
        <w:tab/>
      </w:r>
      <w:r w:rsidR="00307279" w:rsidRPr="00E12821">
        <w:t>having regard to Article</w:t>
      </w:r>
      <w:r w:rsidR="001257CF" w:rsidRPr="00E12821">
        <w:t> </w:t>
      </w:r>
      <w:r w:rsidR="00307279" w:rsidRPr="00E12821">
        <w:t xml:space="preserve">294(2) and </w:t>
      </w:r>
      <w:r w:rsidR="001257CF" w:rsidRPr="00E12821">
        <w:t>Article 77(2)</w:t>
      </w:r>
      <w:r w:rsidR="00C13A6F" w:rsidRPr="00E12821">
        <w:t xml:space="preserve"> point </w:t>
      </w:r>
      <w:r w:rsidR="001257CF" w:rsidRPr="00E12821">
        <w:t>(a)</w:t>
      </w:r>
      <w:r w:rsidR="00307279" w:rsidRPr="00E12821">
        <w:t xml:space="preserve"> of the Treaty on the Functioning of the European Union, pursuant to which the Commission submitted the proposal to Parliament (</w:t>
      </w:r>
      <w:r w:rsidR="001257CF" w:rsidRPr="00E12821">
        <w:t>C9</w:t>
      </w:r>
      <w:r w:rsidR="001257CF" w:rsidRPr="00E12821">
        <w:noBreakHyphen/>
        <w:t>0160/2022</w:t>
      </w:r>
      <w:r w:rsidR="00307279" w:rsidRPr="00E12821">
        <w:t>),</w:t>
      </w:r>
    </w:p>
    <w:p w14:paraId="3158EC32" w14:textId="77777777" w:rsidR="00A26F46" w:rsidRPr="00E12821" w:rsidRDefault="00A26F46" w:rsidP="00A26F46">
      <w:pPr>
        <w:pStyle w:val="NormalHanging12a"/>
      </w:pPr>
      <w:r w:rsidRPr="00E12821">
        <w:t>–</w:t>
      </w:r>
      <w:r w:rsidRPr="00E12821">
        <w:tab/>
      </w:r>
      <w:r w:rsidR="00307279" w:rsidRPr="00E12821">
        <w:t>having regard to Article 294(3) of the Treaty on the Functioning of the European Union,</w:t>
      </w:r>
    </w:p>
    <w:p w14:paraId="3B6A0C5C" w14:textId="77777777" w:rsidR="00793EA9" w:rsidRPr="00E12821" w:rsidRDefault="00793EA9">
      <w:pPr>
        <w:pStyle w:val="NormalHanging12a"/>
      </w:pPr>
      <w:r w:rsidRPr="00E12821">
        <w:t>–</w:t>
      </w:r>
      <w:r w:rsidRPr="00E12821">
        <w:tab/>
      </w:r>
      <w:r w:rsidR="001257CF" w:rsidRPr="00E12821">
        <w:t>having regard to Rule 59 of its Rules of Procedure,</w:t>
      </w:r>
    </w:p>
    <w:p w14:paraId="6E690939" w14:textId="77777777" w:rsidR="006A2F5D" w:rsidRPr="00E12821" w:rsidRDefault="006A2F5D" w:rsidP="006A2F5D">
      <w:pPr>
        <w:pStyle w:val="NormalHanging12a"/>
      </w:pPr>
      <w:r w:rsidRPr="00E12821">
        <w:t>–</w:t>
      </w:r>
      <w:r w:rsidRPr="00E12821">
        <w:tab/>
      </w:r>
      <w:r w:rsidR="00307279" w:rsidRPr="00E12821">
        <w:t xml:space="preserve">having regard to the report of the </w:t>
      </w:r>
      <w:r w:rsidR="001257CF" w:rsidRPr="00E12821">
        <w:t>Committee on Civil Liberties, Justice and Home Affairs</w:t>
      </w:r>
      <w:r w:rsidR="00307279" w:rsidRPr="00E12821">
        <w:t xml:space="preserve"> (</w:t>
      </w:r>
      <w:r w:rsidR="001257CF" w:rsidRPr="00E12821">
        <w:t>A9</w:t>
      </w:r>
      <w:r w:rsidR="001257CF" w:rsidRPr="00E12821">
        <w:noBreakHyphen/>
      </w:r>
      <w:r w:rsidR="00307279" w:rsidRPr="00E12821">
        <w:t>0000/</w:t>
      </w:r>
      <w:r w:rsidR="001257CF" w:rsidRPr="00E12821">
        <w:t>2022</w:t>
      </w:r>
      <w:r w:rsidR="00307279" w:rsidRPr="00E12821">
        <w:t>),</w:t>
      </w:r>
    </w:p>
    <w:p w14:paraId="4E93CDD0" w14:textId="77777777" w:rsidR="009F6C2F" w:rsidRPr="00E12821" w:rsidRDefault="009F6C2F" w:rsidP="009F6C2F">
      <w:pPr>
        <w:pStyle w:val="NormalHanging12a"/>
      </w:pPr>
      <w:r w:rsidRPr="00E12821">
        <w:t>1.</w:t>
      </w:r>
      <w:r w:rsidRPr="00E12821">
        <w:tab/>
      </w:r>
      <w:r w:rsidR="00307279" w:rsidRPr="00E12821">
        <w:t>Adopts its position at first reading hereinafter set out;</w:t>
      </w:r>
    </w:p>
    <w:p w14:paraId="174B7304" w14:textId="77777777" w:rsidR="009F6C2F" w:rsidRPr="00E12821" w:rsidRDefault="001257CF" w:rsidP="009F6C2F">
      <w:pPr>
        <w:pStyle w:val="NormalHanging12a"/>
      </w:pPr>
      <w:r w:rsidRPr="00E12821">
        <w:t>2.</w:t>
      </w:r>
      <w:r w:rsidRPr="00E12821">
        <w:tab/>
        <w:t>Calls on the Commission to refer the matter to Parliament again if it replaces, substantially amends or intends to substantially amend its proposal;</w:t>
      </w:r>
    </w:p>
    <w:p w14:paraId="44881ABF" w14:textId="77777777" w:rsidR="009F6C2F" w:rsidRPr="00E12821" w:rsidRDefault="001257CF" w:rsidP="009F6C2F">
      <w:pPr>
        <w:pStyle w:val="NormalHanging12a"/>
      </w:pPr>
      <w:r w:rsidRPr="00E12821">
        <w:t>3.</w:t>
      </w:r>
      <w:r w:rsidRPr="00E12821">
        <w:tab/>
        <w:t>Instructs its President to forward its position to the Council, the Commission and the national parliaments.</w:t>
      </w:r>
    </w:p>
    <w:p w14:paraId="3476F75D" w14:textId="77777777" w:rsidR="00D30DE2" w:rsidRPr="00E12821" w:rsidRDefault="00D30DE2" w:rsidP="00D30DE2"/>
    <w:p w14:paraId="52FC8CCA" w14:textId="77777777" w:rsidR="002669B6" w:rsidRPr="00E12821" w:rsidRDefault="002669B6" w:rsidP="00212B84">
      <w:pPr>
        <w:pStyle w:val="AmNumberTabs"/>
        <w:keepNext/>
      </w:pPr>
      <w:r w:rsidRPr="00E12821">
        <w:rPr>
          <w:rStyle w:val="HideTWBExt"/>
          <w:b w:val="0"/>
          <w:noProof w:val="0"/>
        </w:rPr>
        <w:t>&lt;RepeatBlock-Amend&gt;</w:t>
      </w:r>
      <w:bookmarkStart w:id="2" w:name="restart"/>
      <w:r w:rsidRPr="00E12821">
        <w:rPr>
          <w:rStyle w:val="HideTWBExt"/>
          <w:b w:val="0"/>
          <w:noProof w:val="0"/>
        </w:rPr>
        <w:t>&lt;Amend&gt;</w:t>
      </w:r>
      <w:r w:rsidR="00307279" w:rsidRPr="00E12821">
        <w:t>Amendment</w:t>
      </w:r>
      <w:r w:rsidRPr="00E12821">
        <w:tab/>
      </w:r>
      <w:r w:rsidRPr="00E12821">
        <w:tab/>
      </w:r>
      <w:r w:rsidRPr="00E12821">
        <w:rPr>
          <w:rStyle w:val="HideTWBExt"/>
          <w:b w:val="0"/>
          <w:noProof w:val="0"/>
        </w:rPr>
        <w:t>&lt;NumAm&gt;</w:t>
      </w:r>
      <w:r w:rsidR="00797A79" w:rsidRPr="00E12821">
        <w:t>1</w:t>
      </w:r>
      <w:r w:rsidRPr="00E12821">
        <w:rPr>
          <w:rStyle w:val="HideTWBExt"/>
          <w:b w:val="0"/>
          <w:noProof w:val="0"/>
        </w:rPr>
        <w:t>&lt;/NumAm&gt;</w:t>
      </w:r>
    </w:p>
    <w:bookmarkEnd w:id="2"/>
    <w:p w14:paraId="3DB211B3" w14:textId="77777777" w:rsidR="00797A79" w:rsidRPr="00E12821" w:rsidRDefault="00797A79" w:rsidP="00797A79">
      <w:pPr>
        <w:pStyle w:val="NormalBold12b"/>
        <w:keepNext/>
      </w:pPr>
      <w:r w:rsidRPr="00E12821">
        <w:rPr>
          <w:rStyle w:val="HideTWBExt"/>
          <w:b w:val="0"/>
          <w:noProof w:val="0"/>
        </w:rPr>
        <w:t>&lt;DocAmend&gt;</w:t>
      </w:r>
      <w:r w:rsidRPr="00E12821">
        <w:t>Proposal for a regulation</w:t>
      </w:r>
      <w:r w:rsidRPr="00E12821">
        <w:rPr>
          <w:rStyle w:val="HideTWBExt"/>
          <w:b w:val="0"/>
          <w:noProof w:val="0"/>
        </w:rPr>
        <w:t>&lt;/DocAmend&gt;</w:t>
      </w:r>
    </w:p>
    <w:p w14:paraId="735DE494" w14:textId="77777777" w:rsidR="00797A79" w:rsidRPr="00E12821" w:rsidRDefault="00797A79" w:rsidP="00797A79">
      <w:pPr>
        <w:pStyle w:val="NormalBold"/>
      </w:pPr>
      <w:r w:rsidRPr="00E12821">
        <w:rPr>
          <w:rStyle w:val="HideTWBExt"/>
          <w:b w:val="0"/>
          <w:noProof w:val="0"/>
        </w:rPr>
        <w:t>&lt;Article&gt;</w:t>
      </w:r>
      <w:r w:rsidRPr="00E12821">
        <w:t>Recital 3</w:t>
      </w:r>
      <w:r w:rsidRPr="00E12821">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A79" w:rsidRPr="00E12821" w14:paraId="3054A89F" w14:textId="77777777" w:rsidTr="002E3887">
        <w:trPr>
          <w:jc w:val="center"/>
        </w:trPr>
        <w:tc>
          <w:tcPr>
            <w:tcW w:w="9752" w:type="dxa"/>
            <w:gridSpan w:val="2"/>
          </w:tcPr>
          <w:p w14:paraId="7416F8D3" w14:textId="77777777" w:rsidR="00797A79" w:rsidRPr="00E12821" w:rsidRDefault="00797A79" w:rsidP="002E3887">
            <w:pPr>
              <w:keepNext/>
            </w:pPr>
          </w:p>
        </w:tc>
      </w:tr>
      <w:tr w:rsidR="00797A79" w:rsidRPr="00E12821" w14:paraId="6CD3C93D" w14:textId="77777777" w:rsidTr="002E3887">
        <w:trPr>
          <w:jc w:val="center"/>
        </w:trPr>
        <w:tc>
          <w:tcPr>
            <w:tcW w:w="4876" w:type="dxa"/>
          </w:tcPr>
          <w:p w14:paraId="3AD599E1" w14:textId="77777777" w:rsidR="00797A79" w:rsidRPr="00E12821" w:rsidRDefault="00797A79" w:rsidP="002E3887">
            <w:pPr>
              <w:pStyle w:val="ColumnHeading"/>
              <w:keepNext/>
              <w:rPr>
                <w:lang w:val="en-GB"/>
              </w:rPr>
            </w:pPr>
            <w:r w:rsidRPr="00E12821">
              <w:rPr>
                <w:lang w:val="en-GB"/>
              </w:rPr>
              <w:t>Text proposed by the Commission</w:t>
            </w:r>
          </w:p>
        </w:tc>
        <w:tc>
          <w:tcPr>
            <w:tcW w:w="4876" w:type="dxa"/>
          </w:tcPr>
          <w:p w14:paraId="2F7D1678" w14:textId="77777777" w:rsidR="00797A79" w:rsidRPr="00E12821" w:rsidRDefault="00797A79" w:rsidP="002E3887">
            <w:pPr>
              <w:pStyle w:val="ColumnHeading"/>
              <w:keepNext/>
              <w:rPr>
                <w:lang w:val="en-GB"/>
              </w:rPr>
            </w:pPr>
            <w:r w:rsidRPr="00E12821">
              <w:rPr>
                <w:lang w:val="en-GB"/>
              </w:rPr>
              <w:t>Amendment</w:t>
            </w:r>
          </w:p>
        </w:tc>
      </w:tr>
      <w:tr w:rsidR="00797A79" w:rsidRPr="00E12821" w14:paraId="2B7738EF" w14:textId="77777777" w:rsidTr="002E3887">
        <w:trPr>
          <w:jc w:val="center"/>
        </w:trPr>
        <w:tc>
          <w:tcPr>
            <w:tcW w:w="4876" w:type="dxa"/>
          </w:tcPr>
          <w:p w14:paraId="13DC2C96" w14:textId="77777777" w:rsidR="00797A79" w:rsidRPr="00E12821" w:rsidRDefault="00797A79" w:rsidP="002E3887">
            <w:pPr>
              <w:pStyle w:val="Normal6"/>
              <w:rPr>
                <w:lang w:val="en-GB"/>
              </w:rPr>
            </w:pPr>
            <w:r w:rsidRPr="00E12821">
              <w:rPr>
                <w:lang w:val="en-GB"/>
              </w:rPr>
              <w:t>(3)</w:t>
            </w:r>
            <w:r w:rsidRPr="00E12821">
              <w:rPr>
                <w:lang w:val="en-GB"/>
              </w:rPr>
              <w:tab/>
              <w:t xml:space="preserve">Kuwait and Qatar </w:t>
            </w:r>
            <w:r w:rsidRPr="00E12821">
              <w:rPr>
                <w:b/>
                <w:i/>
                <w:lang w:val="en-GB"/>
              </w:rPr>
              <w:t>present low risks of irregular migration to the Union and</w:t>
            </w:r>
            <w:r w:rsidRPr="00E12821">
              <w:rPr>
                <w:lang w:val="en-GB"/>
              </w:rPr>
              <w:t xml:space="preserve"> issue biometric passports in line with standards of the International Civil Aviation Organisation. </w:t>
            </w:r>
            <w:r w:rsidRPr="00E12821">
              <w:rPr>
                <w:b/>
                <w:i/>
                <w:lang w:val="en-GB"/>
              </w:rPr>
              <w:t xml:space="preserve">Security </w:t>
            </w:r>
            <w:r w:rsidRPr="00E12821">
              <w:rPr>
                <w:b/>
                <w:i/>
                <w:lang w:val="en-GB"/>
              </w:rPr>
              <w:lastRenderedPageBreak/>
              <w:t>cooperation with those countries has intensified in recent years. As regards economic interests, Kuwait and Qatar are important economic partners for the Union, in particular</w:t>
            </w:r>
            <w:r w:rsidRPr="00E12821">
              <w:rPr>
                <w:lang w:val="en-GB"/>
              </w:rPr>
              <w:t xml:space="preserve"> in the </w:t>
            </w:r>
            <w:r w:rsidRPr="00E12821">
              <w:rPr>
                <w:b/>
                <w:i/>
                <w:lang w:val="en-GB"/>
              </w:rPr>
              <w:t>area of energy. Although</w:t>
            </w:r>
            <w:r w:rsidRPr="00E12821">
              <w:rPr>
                <w:lang w:val="en-GB"/>
              </w:rPr>
              <w:t xml:space="preserve"> challenges remain in the area of human rights and fundamental freedoms</w:t>
            </w:r>
            <w:r w:rsidRPr="00E12821">
              <w:rPr>
                <w:b/>
                <w:i/>
                <w:lang w:val="en-GB"/>
              </w:rPr>
              <w:t>,</w:t>
            </w:r>
            <w:r w:rsidRPr="00E12821">
              <w:rPr>
                <w:lang w:val="en-GB"/>
              </w:rPr>
              <w:t xml:space="preserve"> Kuwait and Qatar </w:t>
            </w:r>
            <w:r w:rsidRPr="00E12821">
              <w:rPr>
                <w:b/>
                <w:i/>
                <w:lang w:val="en-GB"/>
              </w:rPr>
              <w:t>have undergone</w:t>
            </w:r>
            <w:r w:rsidRPr="00E12821">
              <w:rPr>
                <w:lang w:val="en-GB"/>
              </w:rPr>
              <w:t xml:space="preserve"> societal transformations and </w:t>
            </w:r>
            <w:r w:rsidRPr="00E12821">
              <w:rPr>
                <w:b/>
                <w:i/>
                <w:lang w:val="en-GB"/>
              </w:rPr>
              <w:t>improvements regarding women’s rights, labour rights and freedom of religion and interfaith dialogue and are expected to continue making progress and reforms. The long-term</w:t>
            </w:r>
            <w:r w:rsidRPr="00E12821">
              <w:rPr>
                <w:lang w:val="en-GB"/>
              </w:rPr>
              <w:t xml:space="preserve"> </w:t>
            </w:r>
            <w:r w:rsidRPr="00E12821">
              <w:rPr>
                <w:b/>
                <w:i/>
                <w:lang w:val="en-GB"/>
              </w:rPr>
              <w:t>benefits of visa-free travel to the</w:t>
            </w:r>
            <w:r w:rsidRPr="00E12821">
              <w:rPr>
                <w:lang w:val="en-GB"/>
              </w:rPr>
              <w:t xml:space="preserve"> </w:t>
            </w:r>
            <w:r w:rsidRPr="00E12821">
              <w:rPr>
                <w:b/>
                <w:i/>
                <w:lang w:val="en-GB"/>
              </w:rPr>
              <w:t>EU can reinforce positive trends in these areas</w:t>
            </w:r>
            <w:r w:rsidRPr="00E12821">
              <w:rPr>
                <w:lang w:val="en-GB"/>
              </w:rPr>
              <w:t>.</w:t>
            </w:r>
          </w:p>
        </w:tc>
        <w:tc>
          <w:tcPr>
            <w:tcW w:w="4876" w:type="dxa"/>
          </w:tcPr>
          <w:p w14:paraId="00A7410D" w14:textId="21087372" w:rsidR="00797A79" w:rsidRPr="00E12821" w:rsidRDefault="00797A79" w:rsidP="00FE7349">
            <w:pPr>
              <w:pStyle w:val="Normal6"/>
              <w:rPr>
                <w:szCs w:val="24"/>
                <w:lang w:val="en-GB"/>
              </w:rPr>
            </w:pPr>
            <w:r w:rsidRPr="00E12821">
              <w:rPr>
                <w:lang w:val="en-GB"/>
              </w:rPr>
              <w:lastRenderedPageBreak/>
              <w:t>(3)</w:t>
            </w:r>
            <w:r w:rsidRPr="00E12821">
              <w:rPr>
                <w:lang w:val="en-GB"/>
              </w:rPr>
              <w:tab/>
            </w:r>
            <w:r w:rsidR="0012324A" w:rsidRPr="00E12821">
              <w:rPr>
                <w:b/>
                <w:i/>
                <w:lang w:val="en-GB"/>
              </w:rPr>
              <w:t>Based on</w:t>
            </w:r>
            <w:r w:rsidRPr="00E12821">
              <w:rPr>
                <w:b/>
                <w:i/>
                <w:lang w:val="en-GB"/>
              </w:rPr>
              <w:t xml:space="preserve"> the Commission’s assessment,</w:t>
            </w:r>
            <w:r w:rsidRPr="00E12821">
              <w:rPr>
                <w:lang w:val="en-GB"/>
              </w:rPr>
              <w:t xml:space="preserve"> Kuwait and Qatar </w:t>
            </w:r>
            <w:r w:rsidRPr="00E12821">
              <w:rPr>
                <w:b/>
                <w:i/>
                <w:lang w:val="en-GB"/>
              </w:rPr>
              <w:t xml:space="preserve">fulfil the criteria </w:t>
            </w:r>
            <w:r w:rsidR="0012324A" w:rsidRPr="00E12821">
              <w:rPr>
                <w:b/>
                <w:i/>
                <w:lang w:val="en-GB"/>
              </w:rPr>
              <w:t xml:space="preserve">set out </w:t>
            </w:r>
            <w:r w:rsidRPr="00E12821">
              <w:rPr>
                <w:b/>
                <w:i/>
                <w:lang w:val="en-GB"/>
              </w:rPr>
              <w:t>in Regulation (EU) 2018/1806</w:t>
            </w:r>
            <w:r w:rsidR="0012324A" w:rsidRPr="00E12821">
              <w:rPr>
                <w:b/>
                <w:i/>
                <w:lang w:val="en-GB"/>
              </w:rPr>
              <w:t>,</w:t>
            </w:r>
            <w:r w:rsidRPr="00E12821">
              <w:rPr>
                <w:b/>
                <w:i/>
                <w:lang w:val="en-GB"/>
              </w:rPr>
              <w:t xml:space="preserve"> allowing their </w:t>
            </w:r>
            <w:r w:rsidR="0012324A" w:rsidRPr="00E12821">
              <w:rPr>
                <w:b/>
                <w:i/>
                <w:lang w:val="en-GB"/>
              </w:rPr>
              <w:t>inclusion on the list of countries whose nationals are</w:t>
            </w:r>
            <w:r w:rsidRPr="00E12821">
              <w:rPr>
                <w:b/>
                <w:i/>
                <w:lang w:val="en-GB"/>
              </w:rPr>
              <w:t xml:space="preserve"> </w:t>
            </w:r>
            <w:r w:rsidRPr="00E12821">
              <w:rPr>
                <w:b/>
                <w:i/>
                <w:lang w:val="en-GB"/>
              </w:rPr>
              <w:lastRenderedPageBreak/>
              <w:t>exempt from the visa requirement</w:t>
            </w:r>
            <w:r w:rsidR="0012324A" w:rsidRPr="00E12821">
              <w:rPr>
                <w:b/>
                <w:i/>
                <w:lang w:val="en-GB"/>
              </w:rPr>
              <w:t>. B</w:t>
            </w:r>
            <w:r w:rsidRPr="00E12821">
              <w:rPr>
                <w:b/>
                <w:i/>
                <w:lang w:val="en-GB"/>
              </w:rPr>
              <w:t>oth countries also</w:t>
            </w:r>
            <w:r w:rsidRPr="00E12821">
              <w:rPr>
                <w:lang w:val="en-GB"/>
              </w:rPr>
              <w:t xml:space="preserve"> issue biometric passports in line with standards of the International Civil Aviation Organisation. </w:t>
            </w:r>
            <w:r w:rsidRPr="00E12821">
              <w:rPr>
                <w:b/>
                <w:i/>
                <w:lang w:val="en-GB"/>
              </w:rPr>
              <w:t>However</w:t>
            </w:r>
            <w:r w:rsidR="00FE7349" w:rsidRPr="00E12821">
              <w:rPr>
                <w:b/>
                <w:i/>
                <w:lang w:val="en-GB"/>
              </w:rPr>
              <w:t>, a</w:t>
            </w:r>
            <w:r w:rsidR="0012324A" w:rsidRPr="00E12821">
              <w:rPr>
                <w:b/>
                <w:i/>
                <w:lang w:val="en-GB"/>
              </w:rPr>
              <w:t>s</w:t>
            </w:r>
            <w:r w:rsidRPr="00E12821">
              <w:rPr>
                <w:b/>
                <w:i/>
                <w:lang w:val="en-GB"/>
              </w:rPr>
              <w:t xml:space="preserve"> </w:t>
            </w:r>
            <w:r w:rsidR="00FE7349" w:rsidRPr="00E12821">
              <w:rPr>
                <w:b/>
                <w:i/>
                <w:lang w:val="en-GB"/>
              </w:rPr>
              <w:t>outlined</w:t>
            </w:r>
            <w:r w:rsidRPr="00E12821">
              <w:rPr>
                <w:b/>
                <w:i/>
                <w:lang w:val="en-GB"/>
              </w:rPr>
              <w:t xml:space="preserve"> in the Commission’s assessment</w:t>
            </w:r>
            <w:r w:rsidR="00FE7349" w:rsidRPr="00E12821">
              <w:rPr>
                <w:b/>
                <w:i/>
                <w:lang w:val="en-GB"/>
              </w:rPr>
              <w:t xml:space="preserve"> (Commission’s Staff Working Document on the fulfilment by Kuwait and Qatar of the criteria listed in Article 1 of Regulation (EU) 2018/1806)</w:t>
            </w:r>
            <w:r w:rsidRPr="00E12821">
              <w:rPr>
                <w:b/>
                <w:i/>
                <w:lang w:val="en-GB"/>
              </w:rPr>
              <w:t>,</w:t>
            </w:r>
            <w:r w:rsidRPr="00E12821">
              <w:rPr>
                <w:lang w:val="en-GB"/>
              </w:rPr>
              <w:t xml:space="preserve"> in the </w:t>
            </w:r>
            <w:r w:rsidRPr="00E12821">
              <w:rPr>
                <w:b/>
                <w:i/>
                <w:lang w:val="en-GB"/>
              </w:rPr>
              <w:t>EEAS 2021 EU</w:t>
            </w:r>
            <w:r w:rsidR="004D5661" w:rsidRPr="00E12821">
              <w:rPr>
                <w:b/>
                <w:i/>
                <w:lang w:val="en-GB"/>
              </w:rPr>
              <w:t xml:space="preserve"> </w:t>
            </w:r>
            <w:r w:rsidRPr="00E12821">
              <w:rPr>
                <w:b/>
                <w:i/>
                <w:lang w:val="en-GB"/>
              </w:rPr>
              <w:t xml:space="preserve">Annual </w:t>
            </w:r>
            <w:r w:rsidR="0012324A" w:rsidRPr="00E12821">
              <w:rPr>
                <w:b/>
                <w:i/>
                <w:lang w:val="en-GB"/>
              </w:rPr>
              <w:t xml:space="preserve">Report on </w:t>
            </w:r>
            <w:r w:rsidRPr="00E12821">
              <w:rPr>
                <w:b/>
                <w:i/>
                <w:lang w:val="en-GB"/>
              </w:rPr>
              <w:t xml:space="preserve">Human Rights and Democracy </w:t>
            </w:r>
            <w:r w:rsidR="0012324A" w:rsidRPr="00E12821">
              <w:rPr>
                <w:b/>
                <w:i/>
                <w:lang w:val="en-GB"/>
              </w:rPr>
              <w:t>in the World (</w:t>
            </w:r>
            <w:r w:rsidRPr="00E12821">
              <w:rPr>
                <w:b/>
                <w:i/>
                <w:lang w:val="en-GB"/>
              </w:rPr>
              <w:t>Country Report</w:t>
            </w:r>
            <w:r w:rsidR="0012324A" w:rsidRPr="00E12821">
              <w:rPr>
                <w:b/>
                <w:i/>
                <w:lang w:val="en-GB"/>
              </w:rPr>
              <w:t>s)</w:t>
            </w:r>
            <w:r w:rsidRPr="00E12821">
              <w:rPr>
                <w:b/>
                <w:i/>
                <w:lang w:val="en-GB"/>
              </w:rPr>
              <w:t xml:space="preserve"> and in various NGOs’ reports, serious concern</w:t>
            </w:r>
            <w:r w:rsidR="00646926" w:rsidRPr="00E12821">
              <w:rPr>
                <w:b/>
                <w:i/>
                <w:lang w:val="en-GB"/>
              </w:rPr>
              <w:t>s</w:t>
            </w:r>
            <w:r w:rsidRPr="00E12821">
              <w:rPr>
                <w:b/>
                <w:i/>
                <w:lang w:val="en-GB"/>
              </w:rPr>
              <w:t xml:space="preserve"> and many</w:t>
            </w:r>
            <w:r w:rsidRPr="00E12821">
              <w:rPr>
                <w:lang w:val="en-GB"/>
              </w:rPr>
              <w:t xml:space="preserve"> challenges remain in the area of human rights and fundamental freedoms </w:t>
            </w:r>
            <w:r w:rsidRPr="00E12821">
              <w:rPr>
                <w:b/>
                <w:i/>
                <w:lang w:val="en-GB"/>
              </w:rPr>
              <w:t>in</w:t>
            </w:r>
            <w:r w:rsidRPr="00E12821">
              <w:rPr>
                <w:lang w:val="en-GB"/>
              </w:rPr>
              <w:t xml:space="preserve"> Kuwait and Qatar </w:t>
            </w:r>
            <w:r w:rsidRPr="00E12821">
              <w:rPr>
                <w:b/>
                <w:i/>
                <w:lang w:val="en-GB"/>
              </w:rPr>
              <w:t>despite the recent and ongoing</w:t>
            </w:r>
            <w:r w:rsidRPr="00E12821">
              <w:rPr>
                <w:lang w:val="en-GB"/>
              </w:rPr>
              <w:t xml:space="preserve"> societal transformations and </w:t>
            </w:r>
            <w:r w:rsidRPr="00E12821">
              <w:rPr>
                <w:b/>
                <w:i/>
                <w:lang w:val="en-GB"/>
              </w:rPr>
              <w:t>legislative changes</w:t>
            </w:r>
            <w:r w:rsidR="006305D6" w:rsidRPr="00E12821">
              <w:rPr>
                <w:b/>
                <w:i/>
                <w:lang w:val="en-GB"/>
              </w:rPr>
              <w:t>.</w:t>
            </w:r>
            <w:r w:rsidR="00FE7349" w:rsidRPr="00E12821">
              <w:rPr>
                <w:b/>
                <w:i/>
                <w:lang w:val="en-GB"/>
              </w:rPr>
              <w:t xml:space="preserve"> </w:t>
            </w:r>
            <w:r w:rsidRPr="00E12821">
              <w:rPr>
                <w:b/>
                <w:i/>
                <w:lang w:val="en-GB"/>
              </w:rPr>
              <w:t>In order to guarantee the effectiveness of the visa exemption and its full reciprocity, the visa waiver agreement should ensure that any obstacle preventing the enjoyment of the</w:t>
            </w:r>
            <w:r w:rsidRPr="00E12821">
              <w:rPr>
                <w:lang w:val="en-GB"/>
              </w:rPr>
              <w:t xml:space="preserve"> benefits of visa-free travel </w:t>
            </w:r>
            <w:r w:rsidR="00FE7349" w:rsidRPr="00E12821">
              <w:rPr>
                <w:b/>
                <w:i/>
                <w:lang w:val="en-GB"/>
              </w:rPr>
              <w:t>when crossing the external borders of the Member States</w:t>
            </w:r>
            <w:r w:rsidR="00FE7349" w:rsidRPr="00E12821" w:rsidDel="00E6537B">
              <w:rPr>
                <w:b/>
                <w:i/>
                <w:lang w:val="en-GB"/>
              </w:rPr>
              <w:t xml:space="preserve"> </w:t>
            </w:r>
            <w:r w:rsidRPr="00E12821">
              <w:rPr>
                <w:b/>
                <w:i/>
                <w:lang w:val="en-GB"/>
              </w:rPr>
              <w:t>be removed by allowing access for the beneficiaries on non-discriminatory basis, in particular independent access to travel for women, members of the LGBTQ+ community and stateless persons</w:t>
            </w:r>
            <w:r w:rsidRPr="00E12821">
              <w:rPr>
                <w:lang w:val="en-GB"/>
              </w:rPr>
              <w:t xml:space="preserve">. </w:t>
            </w:r>
            <w:r w:rsidRPr="00E12821">
              <w:rPr>
                <w:b/>
                <w:i/>
                <w:lang w:val="en-GB"/>
              </w:rPr>
              <w:t>Such conditions should be reflected in the bilateral agreements on visa waiver to be concluded between the Union and those countries.</w:t>
            </w:r>
          </w:p>
        </w:tc>
      </w:tr>
    </w:tbl>
    <w:p w14:paraId="17CFFEEC" w14:textId="77777777" w:rsidR="00797A79" w:rsidRPr="00E12821" w:rsidRDefault="00797A79" w:rsidP="00797A79">
      <w:pPr>
        <w:pStyle w:val="Olang"/>
        <w:rPr>
          <w:sz w:val="24"/>
          <w:szCs w:val="24"/>
        </w:rPr>
      </w:pPr>
      <w:r w:rsidRPr="00E12821">
        <w:rPr>
          <w:sz w:val="24"/>
          <w:szCs w:val="24"/>
        </w:rPr>
        <w:lastRenderedPageBreak/>
        <w:t xml:space="preserve">Or. </w:t>
      </w:r>
      <w:r w:rsidRPr="00E12821">
        <w:rPr>
          <w:rStyle w:val="HideTWBExt"/>
          <w:noProof w:val="0"/>
        </w:rPr>
        <w:t>&lt;Original&gt;</w:t>
      </w:r>
      <w:r w:rsidRPr="00E12821">
        <w:rPr>
          <w:rStyle w:val="HideTWBInt"/>
          <w:sz w:val="24"/>
          <w:szCs w:val="24"/>
        </w:rPr>
        <w:t>{EN}</w:t>
      </w:r>
      <w:r w:rsidRPr="00E12821">
        <w:rPr>
          <w:sz w:val="24"/>
          <w:szCs w:val="24"/>
        </w:rPr>
        <w:t>en</w:t>
      </w:r>
      <w:r w:rsidRPr="00E12821">
        <w:rPr>
          <w:rStyle w:val="HideTWBExt"/>
          <w:noProof w:val="0"/>
        </w:rPr>
        <w:t>&lt;/Original&gt;</w:t>
      </w:r>
    </w:p>
    <w:p w14:paraId="21735766" w14:textId="77777777" w:rsidR="00797A79" w:rsidRPr="00E12821" w:rsidRDefault="00797A79" w:rsidP="00797A79">
      <w:r w:rsidRPr="00E12821">
        <w:rPr>
          <w:rStyle w:val="HideTWBExt"/>
          <w:noProof w:val="0"/>
        </w:rPr>
        <w:t>&lt;/Amend&gt;</w:t>
      </w:r>
    </w:p>
    <w:p w14:paraId="60ECB3F7" w14:textId="77777777" w:rsidR="00797A79" w:rsidRPr="00E12821" w:rsidRDefault="00797A79" w:rsidP="00797A79">
      <w:pPr>
        <w:pStyle w:val="AMNumberTabs0"/>
        <w:keepNext/>
        <w:rPr>
          <w:lang w:val="en-GB"/>
        </w:rPr>
      </w:pPr>
      <w:r w:rsidRPr="00E12821">
        <w:rPr>
          <w:rStyle w:val="HideTWBExt"/>
          <w:b w:val="0"/>
          <w:noProof w:val="0"/>
          <w:lang w:val="en-GB"/>
        </w:rPr>
        <w:t>&lt;Amend&gt;</w:t>
      </w:r>
      <w:r w:rsidRPr="00E12821">
        <w:rPr>
          <w:lang w:val="en-GB"/>
        </w:rPr>
        <w:t>Amendment</w:t>
      </w:r>
      <w:r w:rsidRPr="00E12821">
        <w:rPr>
          <w:lang w:val="en-GB"/>
        </w:rPr>
        <w:tab/>
      </w:r>
      <w:r w:rsidRPr="00E12821">
        <w:rPr>
          <w:lang w:val="en-GB"/>
        </w:rPr>
        <w:tab/>
      </w:r>
      <w:r w:rsidRPr="00E12821">
        <w:rPr>
          <w:rStyle w:val="HideTWBExt"/>
          <w:b w:val="0"/>
          <w:noProof w:val="0"/>
          <w:lang w:val="en-GB"/>
        </w:rPr>
        <w:t>&lt;NumAm&gt;</w:t>
      </w:r>
      <w:r w:rsidRPr="00E12821">
        <w:rPr>
          <w:color w:val="000000"/>
          <w:lang w:val="en-GB"/>
        </w:rPr>
        <w:t>2</w:t>
      </w:r>
      <w:r w:rsidRPr="00E12821">
        <w:rPr>
          <w:rStyle w:val="HideTWBExt"/>
          <w:b w:val="0"/>
          <w:noProof w:val="0"/>
          <w:lang w:val="en-GB"/>
        </w:rPr>
        <w:t>&lt;/NumAm&gt;</w:t>
      </w:r>
    </w:p>
    <w:p w14:paraId="73C0ECFF" w14:textId="77777777" w:rsidR="00797A79" w:rsidRPr="00E12821" w:rsidRDefault="00797A79" w:rsidP="00797A79">
      <w:pPr>
        <w:pStyle w:val="NormalBold12b"/>
        <w:keepNext/>
      </w:pPr>
      <w:r w:rsidRPr="00E12821">
        <w:rPr>
          <w:rStyle w:val="HideTWBExt"/>
          <w:b w:val="0"/>
          <w:noProof w:val="0"/>
        </w:rPr>
        <w:t>&lt;DocAmend&gt;</w:t>
      </w:r>
      <w:r w:rsidRPr="00E12821">
        <w:t>Proposal for a regulation</w:t>
      </w:r>
      <w:r w:rsidRPr="00E12821">
        <w:rPr>
          <w:rStyle w:val="HideTWBExt"/>
          <w:b w:val="0"/>
          <w:noProof w:val="0"/>
        </w:rPr>
        <w:t>&lt;/DocAmend&gt;</w:t>
      </w:r>
    </w:p>
    <w:p w14:paraId="4B50E820" w14:textId="77777777" w:rsidR="00797A79" w:rsidRPr="00E12821" w:rsidRDefault="00797A79" w:rsidP="00797A79">
      <w:pPr>
        <w:pStyle w:val="NormalBold"/>
      </w:pPr>
      <w:r w:rsidRPr="00E12821">
        <w:rPr>
          <w:rStyle w:val="HideTWBExt"/>
          <w:b w:val="0"/>
          <w:noProof w:val="0"/>
        </w:rPr>
        <w:t>&lt;Article&gt;</w:t>
      </w:r>
      <w:r w:rsidRPr="00E12821">
        <w:t>Recital 3 a (new)</w:t>
      </w:r>
      <w:r w:rsidRPr="00E12821">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A79" w:rsidRPr="00E12821" w14:paraId="03BFCC52" w14:textId="77777777" w:rsidTr="002E3887">
        <w:trPr>
          <w:jc w:val="center"/>
        </w:trPr>
        <w:tc>
          <w:tcPr>
            <w:tcW w:w="9752" w:type="dxa"/>
            <w:gridSpan w:val="2"/>
          </w:tcPr>
          <w:p w14:paraId="79E5E645" w14:textId="77777777" w:rsidR="00797A79" w:rsidRPr="00E12821" w:rsidRDefault="00797A79" w:rsidP="002E3887">
            <w:pPr>
              <w:keepNext/>
            </w:pPr>
          </w:p>
        </w:tc>
      </w:tr>
      <w:tr w:rsidR="00797A79" w:rsidRPr="00E12821" w14:paraId="1A321E5C" w14:textId="77777777" w:rsidTr="002E3887">
        <w:trPr>
          <w:jc w:val="center"/>
        </w:trPr>
        <w:tc>
          <w:tcPr>
            <w:tcW w:w="4876" w:type="dxa"/>
          </w:tcPr>
          <w:p w14:paraId="700E24F3" w14:textId="77777777" w:rsidR="00797A79" w:rsidRPr="00E12821" w:rsidRDefault="00797A79" w:rsidP="002E3887">
            <w:pPr>
              <w:pStyle w:val="ColumnHeading"/>
              <w:keepNext/>
              <w:rPr>
                <w:lang w:val="en-GB"/>
              </w:rPr>
            </w:pPr>
            <w:r w:rsidRPr="00E12821">
              <w:rPr>
                <w:lang w:val="en-GB"/>
              </w:rPr>
              <w:t>Text proposed by the Commission</w:t>
            </w:r>
          </w:p>
        </w:tc>
        <w:tc>
          <w:tcPr>
            <w:tcW w:w="4876" w:type="dxa"/>
          </w:tcPr>
          <w:p w14:paraId="69AC8333" w14:textId="77777777" w:rsidR="00797A79" w:rsidRPr="00E12821" w:rsidRDefault="00797A79" w:rsidP="002E3887">
            <w:pPr>
              <w:pStyle w:val="ColumnHeading"/>
              <w:keepNext/>
              <w:rPr>
                <w:lang w:val="en-GB"/>
              </w:rPr>
            </w:pPr>
            <w:r w:rsidRPr="00E12821">
              <w:rPr>
                <w:lang w:val="en-GB"/>
              </w:rPr>
              <w:t>Amendment</w:t>
            </w:r>
          </w:p>
        </w:tc>
      </w:tr>
      <w:tr w:rsidR="00797A79" w:rsidRPr="00E12821" w14:paraId="0A18AEC6" w14:textId="77777777" w:rsidTr="002E3887">
        <w:trPr>
          <w:jc w:val="center"/>
        </w:trPr>
        <w:tc>
          <w:tcPr>
            <w:tcW w:w="4876" w:type="dxa"/>
          </w:tcPr>
          <w:p w14:paraId="0FC3794E" w14:textId="77777777" w:rsidR="00797A79" w:rsidRPr="00E12821" w:rsidRDefault="00797A79" w:rsidP="002E3887">
            <w:pPr>
              <w:pStyle w:val="Normal6"/>
              <w:rPr>
                <w:lang w:val="en-GB"/>
              </w:rPr>
            </w:pPr>
          </w:p>
        </w:tc>
        <w:tc>
          <w:tcPr>
            <w:tcW w:w="4876" w:type="dxa"/>
          </w:tcPr>
          <w:p w14:paraId="59115C8F" w14:textId="0508B939" w:rsidR="00797A79" w:rsidRPr="00E12821" w:rsidRDefault="0013710F" w:rsidP="00FE7349">
            <w:pPr>
              <w:pStyle w:val="Normal6"/>
              <w:rPr>
                <w:szCs w:val="24"/>
                <w:lang w:val="en-GB"/>
              </w:rPr>
            </w:pPr>
            <w:r>
              <w:rPr>
                <w:b/>
                <w:i/>
                <w:lang w:val="en-GB"/>
              </w:rPr>
              <w:t>(3</w:t>
            </w:r>
            <w:r w:rsidR="00797A79" w:rsidRPr="00E12821">
              <w:rPr>
                <w:b/>
                <w:i/>
                <w:lang w:val="en-GB"/>
              </w:rPr>
              <w:t>a)</w:t>
            </w:r>
            <w:r w:rsidR="00797A79" w:rsidRPr="00E12821">
              <w:rPr>
                <w:b/>
                <w:i/>
                <w:lang w:val="en-GB"/>
              </w:rPr>
              <w:tab/>
              <w:t xml:space="preserve">Moreover a full-fledged, official human rights dialogue should be pursued with Kuwait and Qatar, leading to tangible improvements and achievements regarding, among others, labour and </w:t>
            </w:r>
            <w:r w:rsidR="006A04ED" w:rsidRPr="00E12821">
              <w:rPr>
                <w:b/>
                <w:i/>
                <w:lang w:val="en-GB"/>
              </w:rPr>
              <w:lastRenderedPageBreak/>
              <w:t>workers’</w:t>
            </w:r>
            <w:r w:rsidR="00797A79" w:rsidRPr="00E12821">
              <w:rPr>
                <w:b/>
                <w:i/>
                <w:lang w:val="en-GB"/>
              </w:rPr>
              <w:t xml:space="preserve"> rights, including the rights of migrant workers, women’s rights, LGBTQ+ people’s rights, freedom of religion, prohibition of torture, freedom of speech, right of assembly, and the prohibition of the death penalty. The bilateral agreements on visa waiver between the Union and Kuwait and </w:t>
            </w:r>
            <w:r w:rsidR="0012324A" w:rsidRPr="00E12821">
              <w:rPr>
                <w:b/>
                <w:i/>
                <w:lang w:val="en-GB"/>
              </w:rPr>
              <w:t xml:space="preserve">the Union and </w:t>
            </w:r>
            <w:r w:rsidR="00797A79" w:rsidRPr="00E12821">
              <w:rPr>
                <w:b/>
                <w:i/>
                <w:lang w:val="en-GB"/>
              </w:rPr>
              <w:t>Qatar should include explicit and concrete commitments to this aim.</w:t>
            </w:r>
          </w:p>
        </w:tc>
      </w:tr>
    </w:tbl>
    <w:p w14:paraId="6FF586B8" w14:textId="77777777" w:rsidR="00797A79" w:rsidRPr="00E12821" w:rsidRDefault="00797A79" w:rsidP="00797A79">
      <w:pPr>
        <w:pStyle w:val="Olang"/>
        <w:rPr>
          <w:sz w:val="24"/>
          <w:szCs w:val="24"/>
        </w:rPr>
      </w:pPr>
      <w:r w:rsidRPr="00E12821">
        <w:rPr>
          <w:sz w:val="24"/>
          <w:szCs w:val="24"/>
        </w:rPr>
        <w:lastRenderedPageBreak/>
        <w:t xml:space="preserve">Or. </w:t>
      </w:r>
      <w:r w:rsidRPr="00E12821">
        <w:rPr>
          <w:rStyle w:val="HideTWBExt"/>
          <w:noProof w:val="0"/>
        </w:rPr>
        <w:t>&lt;Original&gt;</w:t>
      </w:r>
      <w:r w:rsidRPr="00E12821">
        <w:rPr>
          <w:rStyle w:val="HideTWBInt"/>
          <w:sz w:val="24"/>
          <w:szCs w:val="24"/>
        </w:rPr>
        <w:t>{EN}</w:t>
      </w:r>
      <w:r w:rsidRPr="00E12821">
        <w:rPr>
          <w:sz w:val="24"/>
          <w:szCs w:val="24"/>
        </w:rPr>
        <w:t>en</w:t>
      </w:r>
      <w:r w:rsidRPr="00E12821">
        <w:rPr>
          <w:rStyle w:val="HideTWBExt"/>
          <w:noProof w:val="0"/>
        </w:rPr>
        <w:t>&lt;/Original&gt;</w:t>
      </w:r>
    </w:p>
    <w:p w14:paraId="393E21CD" w14:textId="77777777" w:rsidR="00797A79" w:rsidRPr="00E12821" w:rsidRDefault="00797A79" w:rsidP="00797A79">
      <w:r w:rsidRPr="00E12821">
        <w:rPr>
          <w:rStyle w:val="HideTWBExt"/>
          <w:noProof w:val="0"/>
        </w:rPr>
        <w:t>&lt;/Amend&gt;</w:t>
      </w:r>
    </w:p>
    <w:p w14:paraId="1FA3911D" w14:textId="77777777" w:rsidR="00797A79" w:rsidRPr="00E12821" w:rsidRDefault="00797A79" w:rsidP="00797A79">
      <w:pPr>
        <w:pStyle w:val="AMNumberTabs0"/>
        <w:keepNext/>
        <w:rPr>
          <w:lang w:val="en-GB"/>
        </w:rPr>
      </w:pPr>
      <w:r w:rsidRPr="00E12821">
        <w:rPr>
          <w:rStyle w:val="HideTWBExt"/>
          <w:b w:val="0"/>
          <w:noProof w:val="0"/>
          <w:lang w:val="en-GB"/>
        </w:rPr>
        <w:t>&lt;Amend&gt;</w:t>
      </w:r>
      <w:r w:rsidRPr="00E12821">
        <w:rPr>
          <w:lang w:val="en-GB"/>
        </w:rPr>
        <w:t>Amendment</w:t>
      </w:r>
      <w:r w:rsidRPr="00E12821">
        <w:rPr>
          <w:lang w:val="en-GB"/>
        </w:rPr>
        <w:tab/>
      </w:r>
      <w:r w:rsidRPr="00E12821">
        <w:rPr>
          <w:lang w:val="en-GB"/>
        </w:rPr>
        <w:tab/>
      </w:r>
      <w:r w:rsidRPr="00E12821">
        <w:rPr>
          <w:rStyle w:val="HideTWBExt"/>
          <w:b w:val="0"/>
          <w:noProof w:val="0"/>
          <w:lang w:val="en-GB"/>
        </w:rPr>
        <w:t>&lt;NumAm&gt;</w:t>
      </w:r>
      <w:r w:rsidRPr="00E12821">
        <w:rPr>
          <w:color w:val="000000"/>
          <w:lang w:val="en-GB"/>
        </w:rPr>
        <w:t>3</w:t>
      </w:r>
      <w:r w:rsidRPr="00E12821">
        <w:rPr>
          <w:rStyle w:val="HideTWBExt"/>
          <w:b w:val="0"/>
          <w:noProof w:val="0"/>
          <w:lang w:val="en-GB"/>
        </w:rPr>
        <w:t>&lt;/NumAm&gt;</w:t>
      </w:r>
    </w:p>
    <w:p w14:paraId="6102BEA1" w14:textId="77777777" w:rsidR="00797A79" w:rsidRPr="00E12821" w:rsidRDefault="00797A79" w:rsidP="00797A79">
      <w:pPr>
        <w:pStyle w:val="NormalBold12b"/>
        <w:keepNext/>
      </w:pPr>
      <w:r w:rsidRPr="00E12821">
        <w:rPr>
          <w:rStyle w:val="HideTWBExt"/>
          <w:b w:val="0"/>
          <w:noProof w:val="0"/>
        </w:rPr>
        <w:t>&lt;DocAmend&gt;</w:t>
      </w:r>
      <w:r w:rsidRPr="00E12821">
        <w:t>Proposal for a regulation</w:t>
      </w:r>
      <w:r w:rsidRPr="00E12821">
        <w:rPr>
          <w:rStyle w:val="HideTWBExt"/>
          <w:b w:val="0"/>
          <w:noProof w:val="0"/>
        </w:rPr>
        <w:t>&lt;/DocAmend&gt;</w:t>
      </w:r>
    </w:p>
    <w:p w14:paraId="41581010" w14:textId="77777777" w:rsidR="00797A79" w:rsidRPr="00E12821" w:rsidRDefault="00797A79" w:rsidP="00797A79">
      <w:pPr>
        <w:pStyle w:val="NormalBold"/>
      </w:pPr>
      <w:r w:rsidRPr="00E12821">
        <w:rPr>
          <w:rStyle w:val="HideTWBExt"/>
          <w:b w:val="0"/>
          <w:noProof w:val="0"/>
        </w:rPr>
        <w:t>&lt;Article&gt;</w:t>
      </w:r>
      <w:r w:rsidRPr="00E12821">
        <w:t>Recital 4</w:t>
      </w:r>
      <w:r w:rsidRPr="00E12821">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A79" w:rsidRPr="00E12821" w14:paraId="7499AFDD" w14:textId="77777777" w:rsidTr="002E3887">
        <w:trPr>
          <w:jc w:val="center"/>
        </w:trPr>
        <w:tc>
          <w:tcPr>
            <w:tcW w:w="9752" w:type="dxa"/>
            <w:gridSpan w:val="2"/>
          </w:tcPr>
          <w:p w14:paraId="6A6D0D07" w14:textId="77777777" w:rsidR="00797A79" w:rsidRPr="00E12821" w:rsidRDefault="00797A79" w:rsidP="002E3887">
            <w:pPr>
              <w:keepNext/>
            </w:pPr>
          </w:p>
        </w:tc>
      </w:tr>
      <w:tr w:rsidR="00797A79" w:rsidRPr="00E12821" w14:paraId="6D1294DD" w14:textId="77777777" w:rsidTr="002E3887">
        <w:trPr>
          <w:jc w:val="center"/>
        </w:trPr>
        <w:tc>
          <w:tcPr>
            <w:tcW w:w="4876" w:type="dxa"/>
          </w:tcPr>
          <w:p w14:paraId="46FCA7D2" w14:textId="77777777" w:rsidR="00797A79" w:rsidRPr="00E12821" w:rsidRDefault="00797A79" w:rsidP="002E3887">
            <w:pPr>
              <w:pStyle w:val="ColumnHeading"/>
              <w:keepNext/>
              <w:rPr>
                <w:lang w:val="en-GB"/>
              </w:rPr>
            </w:pPr>
            <w:r w:rsidRPr="00E12821">
              <w:rPr>
                <w:lang w:val="en-GB"/>
              </w:rPr>
              <w:t>Text proposed by the Commission</w:t>
            </w:r>
          </w:p>
        </w:tc>
        <w:tc>
          <w:tcPr>
            <w:tcW w:w="4876" w:type="dxa"/>
          </w:tcPr>
          <w:p w14:paraId="65BF0AEA" w14:textId="77777777" w:rsidR="00797A79" w:rsidRPr="00E12821" w:rsidRDefault="00797A79" w:rsidP="002E3887">
            <w:pPr>
              <w:pStyle w:val="ColumnHeading"/>
              <w:keepNext/>
              <w:rPr>
                <w:lang w:val="en-GB"/>
              </w:rPr>
            </w:pPr>
            <w:r w:rsidRPr="00E12821">
              <w:rPr>
                <w:lang w:val="en-GB"/>
              </w:rPr>
              <w:t>Amendment</w:t>
            </w:r>
          </w:p>
        </w:tc>
      </w:tr>
      <w:tr w:rsidR="00797A79" w:rsidRPr="00E12821" w14:paraId="1956E97C" w14:textId="77777777" w:rsidTr="002E3887">
        <w:trPr>
          <w:jc w:val="center"/>
        </w:trPr>
        <w:tc>
          <w:tcPr>
            <w:tcW w:w="4876" w:type="dxa"/>
          </w:tcPr>
          <w:p w14:paraId="7CE5C4AA" w14:textId="77777777" w:rsidR="00797A79" w:rsidRPr="00E12821" w:rsidRDefault="00797A79" w:rsidP="002E3887">
            <w:pPr>
              <w:pStyle w:val="Normal6"/>
              <w:rPr>
                <w:lang w:val="en-GB"/>
              </w:rPr>
            </w:pPr>
            <w:r w:rsidRPr="00E12821">
              <w:rPr>
                <w:lang w:val="en-GB"/>
              </w:rPr>
              <w:t>(4)</w:t>
            </w:r>
            <w:r w:rsidRPr="00E12821">
              <w:rPr>
                <w:lang w:val="en-GB"/>
              </w:rPr>
              <w:tab/>
            </w:r>
            <w:r w:rsidRPr="00E12821">
              <w:rPr>
                <w:b/>
                <w:i/>
                <w:lang w:val="en-GB"/>
              </w:rPr>
              <w:t>Consequently</w:t>
            </w:r>
            <w:r w:rsidRPr="00E12821">
              <w:rPr>
                <w:lang w:val="en-GB"/>
              </w:rPr>
              <w:t>, nationals of those countries should be exempt from the visa requirement for stays of no more than 90 days in any 180-day period, and references to those countries should be transferred to Annex II to Regulation (EU) 2018/1806.</w:t>
            </w:r>
          </w:p>
        </w:tc>
        <w:tc>
          <w:tcPr>
            <w:tcW w:w="4876" w:type="dxa"/>
          </w:tcPr>
          <w:p w14:paraId="15B69AA2" w14:textId="77777777" w:rsidR="00797A79" w:rsidRPr="00E12821" w:rsidRDefault="00797A79" w:rsidP="00885C34">
            <w:pPr>
              <w:pStyle w:val="Normal6"/>
              <w:rPr>
                <w:szCs w:val="24"/>
                <w:lang w:val="en-GB"/>
              </w:rPr>
            </w:pPr>
            <w:r w:rsidRPr="00E12821">
              <w:rPr>
                <w:lang w:val="en-GB"/>
              </w:rPr>
              <w:t>(4)</w:t>
            </w:r>
            <w:r w:rsidRPr="00E12821">
              <w:rPr>
                <w:lang w:val="en-GB"/>
              </w:rPr>
              <w:tab/>
            </w:r>
            <w:r w:rsidRPr="00E12821">
              <w:rPr>
                <w:b/>
                <w:i/>
                <w:lang w:val="en-GB"/>
              </w:rPr>
              <w:t xml:space="preserve">Considering that </w:t>
            </w:r>
            <w:r w:rsidR="0012324A" w:rsidRPr="00E12821">
              <w:rPr>
                <w:b/>
                <w:i/>
                <w:lang w:val="en-GB"/>
              </w:rPr>
              <w:t xml:space="preserve">the </w:t>
            </w:r>
            <w:r w:rsidRPr="00E12821">
              <w:rPr>
                <w:b/>
                <w:i/>
                <w:lang w:val="en-GB"/>
              </w:rPr>
              <w:t>long-term benefits of visa-free travel and reciprocal exchange to the EU can reinforce positive trends also in the areas of human rights and fundamental freedoms</w:t>
            </w:r>
            <w:r w:rsidRPr="00E12821">
              <w:rPr>
                <w:lang w:val="en-GB"/>
              </w:rPr>
              <w:t>, nationals of those countries should be exempt from the visa requirement for stays of no more than 90 days in any 180-day period, and references to those countries should be transferred to Annex II to Regulation (EU) 2018/1806.</w:t>
            </w:r>
          </w:p>
        </w:tc>
      </w:tr>
    </w:tbl>
    <w:p w14:paraId="3647E91A" w14:textId="77777777" w:rsidR="00797A79" w:rsidRPr="00E12821" w:rsidRDefault="00797A79" w:rsidP="00797A79">
      <w:pPr>
        <w:pStyle w:val="Olang"/>
        <w:rPr>
          <w:sz w:val="24"/>
          <w:szCs w:val="24"/>
        </w:rPr>
      </w:pPr>
      <w:r w:rsidRPr="00E12821">
        <w:rPr>
          <w:sz w:val="24"/>
          <w:szCs w:val="24"/>
        </w:rPr>
        <w:t xml:space="preserve">Or. </w:t>
      </w:r>
      <w:r w:rsidRPr="00E12821">
        <w:rPr>
          <w:rStyle w:val="HideTWBExt"/>
          <w:noProof w:val="0"/>
        </w:rPr>
        <w:t>&lt;Original&gt;</w:t>
      </w:r>
      <w:r w:rsidRPr="00E12821">
        <w:rPr>
          <w:rStyle w:val="HideTWBInt"/>
          <w:sz w:val="24"/>
          <w:szCs w:val="24"/>
        </w:rPr>
        <w:t>{EN}</w:t>
      </w:r>
      <w:r w:rsidRPr="00E12821">
        <w:rPr>
          <w:sz w:val="24"/>
          <w:szCs w:val="24"/>
        </w:rPr>
        <w:t>en</w:t>
      </w:r>
      <w:r w:rsidRPr="00E12821">
        <w:rPr>
          <w:rStyle w:val="HideTWBExt"/>
          <w:noProof w:val="0"/>
        </w:rPr>
        <w:t>&lt;/Original&gt;</w:t>
      </w:r>
    </w:p>
    <w:p w14:paraId="7FC666FA" w14:textId="77777777" w:rsidR="00797A79" w:rsidRPr="00E12821" w:rsidRDefault="00797A79" w:rsidP="00797A79">
      <w:r w:rsidRPr="00E12821">
        <w:rPr>
          <w:rStyle w:val="HideTWBExt"/>
          <w:noProof w:val="0"/>
        </w:rPr>
        <w:t>&lt;/Amend&gt;</w:t>
      </w:r>
    </w:p>
    <w:p w14:paraId="79699188" w14:textId="77777777" w:rsidR="00797A79" w:rsidRPr="00E12821" w:rsidRDefault="00797A79" w:rsidP="00797A79">
      <w:pPr>
        <w:pStyle w:val="AMNumberTabs0"/>
        <w:keepNext/>
        <w:rPr>
          <w:lang w:val="en-GB"/>
        </w:rPr>
      </w:pPr>
      <w:r w:rsidRPr="00E12821">
        <w:rPr>
          <w:rStyle w:val="HideTWBExt"/>
          <w:b w:val="0"/>
          <w:noProof w:val="0"/>
          <w:lang w:val="en-GB"/>
        </w:rPr>
        <w:t>&lt;Amend&gt;</w:t>
      </w:r>
      <w:r w:rsidRPr="00E12821">
        <w:rPr>
          <w:lang w:val="en-GB"/>
        </w:rPr>
        <w:t>Amendment</w:t>
      </w:r>
      <w:r w:rsidRPr="00E12821">
        <w:rPr>
          <w:lang w:val="en-GB"/>
        </w:rPr>
        <w:tab/>
      </w:r>
      <w:r w:rsidRPr="00E12821">
        <w:rPr>
          <w:lang w:val="en-GB"/>
        </w:rPr>
        <w:tab/>
      </w:r>
      <w:r w:rsidRPr="00E12821">
        <w:rPr>
          <w:rStyle w:val="HideTWBExt"/>
          <w:b w:val="0"/>
          <w:noProof w:val="0"/>
          <w:lang w:val="en-GB"/>
        </w:rPr>
        <w:t>&lt;NumAm&gt;</w:t>
      </w:r>
      <w:r w:rsidRPr="00E12821">
        <w:rPr>
          <w:color w:val="000000"/>
          <w:lang w:val="en-GB"/>
        </w:rPr>
        <w:t>4</w:t>
      </w:r>
      <w:r w:rsidRPr="00E12821">
        <w:rPr>
          <w:rStyle w:val="HideTWBExt"/>
          <w:b w:val="0"/>
          <w:noProof w:val="0"/>
          <w:lang w:val="en-GB"/>
        </w:rPr>
        <w:t>&lt;/NumAm&gt;</w:t>
      </w:r>
    </w:p>
    <w:p w14:paraId="62011367" w14:textId="77777777" w:rsidR="00797A79" w:rsidRPr="00E12821" w:rsidRDefault="00797A79" w:rsidP="00797A79">
      <w:pPr>
        <w:pStyle w:val="NormalBold12b"/>
        <w:keepNext/>
      </w:pPr>
      <w:r w:rsidRPr="00E12821">
        <w:rPr>
          <w:rStyle w:val="HideTWBExt"/>
          <w:b w:val="0"/>
          <w:noProof w:val="0"/>
        </w:rPr>
        <w:t>&lt;DocAmend&gt;</w:t>
      </w:r>
      <w:r w:rsidRPr="00E12821">
        <w:t>Proposal for a regulation</w:t>
      </w:r>
      <w:r w:rsidRPr="00E12821">
        <w:rPr>
          <w:rStyle w:val="HideTWBExt"/>
          <w:b w:val="0"/>
          <w:noProof w:val="0"/>
        </w:rPr>
        <w:t>&lt;/DocAmend&gt;</w:t>
      </w:r>
    </w:p>
    <w:p w14:paraId="5E524024" w14:textId="77777777" w:rsidR="00797A79" w:rsidRPr="00E12821" w:rsidRDefault="00797A79" w:rsidP="00797A79">
      <w:pPr>
        <w:pStyle w:val="NormalBold"/>
      </w:pPr>
      <w:r w:rsidRPr="00E12821">
        <w:rPr>
          <w:rStyle w:val="HideTWBExt"/>
          <w:b w:val="0"/>
          <w:noProof w:val="0"/>
        </w:rPr>
        <w:t>&lt;Article&gt;</w:t>
      </w:r>
      <w:r w:rsidRPr="00E12821">
        <w:t>Recital 4 a (new)</w:t>
      </w:r>
      <w:r w:rsidRPr="00E12821">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A79" w:rsidRPr="00E12821" w14:paraId="2F8ADB84" w14:textId="77777777" w:rsidTr="002E3887">
        <w:trPr>
          <w:jc w:val="center"/>
        </w:trPr>
        <w:tc>
          <w:tcPr>
            <w:tcW w:w="9752" w:type="dxa"/>
            <w:gridSpan w:val="2"/>
          </w:tcPr>
          <w:p w14:paraId="14738A3C" w14:textId="77777777" w:rsidR="00797A79" w:rsidRPr="00E12821" w:rsidRDefault="00797A79" w:rsidP="002E3887">
            <w:pPr>
              <w:keepNext/>
            </w:pPr>
          </w:p>
        </w:tc>
      </w:tr>
      <w:tr w:rsidR="00797A79" w:rsidRPr="00E12821" w14:paraId="0E6E825A" w14:textId="77777777" w:rsidTr="002E3887">
        <w:trPr>
          <w:jc w:val="center"/>
        </w:trPr>
        <w:tc>
          <w:tcPr>
            <w:tcW w:w="4876" w:type="dxa"/>
          </w:tcPr>
          <w:p w14:paraId="7D1427DF" w14:textId="77777777" w:rsidR="00797A79" w:rsidRPr="00E12821" w:rsidRDefault="00797A79" w:rsidP="002E3887">
            <w:pPr>
              <w:pStyle w:val="ColumnHeading"/>
              <w:keepNext/>
              <w:rPr>
                <w:lang w:val="en-GB"/>
              </w:rPr>
            </w:pPr>
            <w:r w:rsidRPr="00E12821">
              <w:rPr>
                <w:lang w:val="en-GB"/>
              </w:rPr>
              <w:t>Text proposed by the Commission</w:t>
            </w:r>
          </w:p>
        </w:tc>
        <w:tc>
          <w:tcPr>
            <w:tcW w:w="4876" w:type="dxa"/>
          </w:tcPr>
          <w:p w14:paraId="094A9CD0" w14:textId="77777777" w:rsidR="00797A79" w:rsidRPr="00E12821" w:rsidRDefault="00797A79" w:rsidP="002E3887">
            <w:pPr>
              <w:pStyle w:val="ColumnHeading"/>
              <w:keepNext/>
              <w:rPr>
                <w:lang w:val="en-GB"/>
              </w:rPr>
            </w:pPr>
            <w:r w:rsidRPr="00E12821">
              <w:rPr>
                <w:lang w:val="en-GB"/>
              </w:rPr>
              <w:t>Amendment</w:t>
            </w:r>
          </w:p>
        </w:tc>
      </w:tr>
      <w:tr w:rsidR="00797A79" w:rsidRPr="00E12821" w14:paraId="0D9F6B47" w14:textId="77777777" w:rsidTr="002E3887">
        <w:trPr>
          <w:jc w:val="center"/>
        </w:trPr>
        <w:tc>
          <w:tcPr>
            <w:tcW w:w="4876" w:type="dxa"/>
          </w:tcPr>
          <w:p w14:paraId="408B5F4F" w14:textId="77777777" w:rsidR="00797A79" w:rsidRPr="00E12821" w:rsidRDefault="00797A79" w:rsidP="002E3887">
            <w:pPr>
              <w:pStyle w:val="Normal6"/>
              <w:rPr>
                <w:lang w:val="en-GB"/>
              </w:rPr>
            </w:pPr>
          </w:p>
        </w:tc>
        <w:tc>
          <w:tcPr>
            <w:tcW w:w="4876" w:type="dxa"/>
          </w:tcPr>
          <w:p w14:paraId="3DD41E69" w14:textId="3603A0C0" w:rsidR="00797A79" w:rsidRPr="00E12821" w:rsidRDefault="00797A79" w:rsidP="0012324A">
            <w:pPr>
              <w:pStyle w:val="Normal6"/>
              <w:rPr>
                <w:szCs w:val="24"/>
                <w:lang w:val="en-GB"/>
              </w:rPr>
            </w:pPr>
            <w:r w:rsidRPr="00E12821">
              <w:rPr>
                <w:b/>
                <w:i/>
                <w:lang w:val="en-GB"/>
              </w:rPr>
              <w:t>(4a)</w:t>
            </w:r>
            <w:r w:rsidRPr="00E12821">
              <w:rPr>
                <w:b/>
                <w:i/>
                <w:lang w:val="en-GB"/>
              </w:rPr>
              <w:tab/>
              <w:t>In order to assess the benefits, achievements and potential improvements linked to the reciprocal exemption from the visa requirement,</w:t>
            </w:r>
            <w:r w:rsidR="0012324A" w:rsidRPr="00E12821">
              <w:rPr>
                <w:b/>
                <w:i/>
                <w:lang w:val="en-GB"/>
              </w:rPr>
              <w:t xml:space="preserve"> </w:t>
            </w:r>
            <w:r w:rsidRPr="00E12821">
              <w:rPr>
                <w:b/>
                <w:i/>
                <w:lang w:val="en-GB"/>
              </w:rPr>
              <w:t xml:space="preserve">the bilateral agreements on visa waiver between the Union and Kuwait and </w:t>
            </w:r>
            <w:r w:rsidR="0012324A" w:rsidRPr="00E12821">
              <w:rPr>
                <w:b/>
                <w:i/>
                <w:lang w:val="en-GB"/>
              </w:rPr>
              <w:t xml:space="preserve">the Union and </w:t>
            </w:r>
            <w:r w:rsidRPr="00E12821">
              <w:rPr>
                <w:b/>
                <w:i/>
                <w:lang w:val="en-GB"/>
              </w:rPr>
              <w:t xml:space="preserve">Qatar should provide for the periodic </w:t>
            </w:r>
            <w:r w:rsidRPr="00E12821">
              <w:rPr>
                <w:b/>
                <w:i/>
                <w:lang w:val="en-GB"/>
              </w:rPr>
              <w:lastRenderedPageBreak/>
              <w:t>evaluation by the Commission of the implementation of their provisions, including their human rights’ dimension.</w:t>
            </w:r>
          </w:p>
        </w:tc>
      </w:tr>
    </w:tbl>
    <w:p w14:paraId="37E3410F" w14:textId="77777777" w:rsidR="00797A79" w:rsidRPr="00E12821" w:rsidRDefault="00797A79" w:rsidP="00797A79">
      <w:pPr>
        <w:pStyle w:val="Olang"/>
        <w:rPr>
          <w:sz w:val="24"/>
          <w:szCs w:val="24"/>
        </w:rPr>
      </w:pPr>
      <w:r w:rsidRPr="00E12821">
        <w:rPr>
          <w:sz w:val="24"/>
          <w:szCs w:val="24"/>
        </w:rPr>
        <w:lastRenderedPageBreak/>
        <w:t xml:space="preserve">Or. </w:t>
      </w:r>
      <w:r w:rsidRPr="00E12821">
        <w:rPr>
          <w:rStyle w:val="HideTWBExt"/>
          <w:noProof w:val="0"/>
        </w:rPr>
        <w:t>&lt;Original&gt;</w:t>
      </w:r>
      <w:r w:rsidRPr="00E12821">
        <w:rPr>
          <w:rStyle w:val="HideTWBInt"/>
          <w:sz w:val="24"/>
          <w:szCs w:val="24"/>
        </w:rPr>
        <w:t>{EN}</w:t>
      </w:r>
      <w:r w:rsidRPr="00E12821">
        <w:rPr>
          <w:sz w:val="24"/>
          <w:szCs w:val="24"/>
        </w:rPr>
        <w:t>en</w:t>
      </w:r>
      <w:r w:rsidRPr="00E12821">
        <w:rPr>
          <w:rStyle w:val="HideTWBExt"/>
          <w:noProof w:val="0"/>
        </w:rPr>
        <w:t>&lt;/Original&gt;</w:t>
      </w:r>
    </w:p>
    <w:p w14:paraId="2443B41E" w14:textId="77777777" w:rsidR="00797A79" w:rsidRPr="00E12821" w:rsidRDefault="00797A79" w:rsidP="00797A79">
      <w:r w:rsidRPr="00E12821">
        <w:rPr>
          <w:rStyle w:val="HideTWBExt"/>
          <w:noProof w:val="0"/>
        </w:rPr>
        <w:t>&lt;/Amend&gt;</w:t>
      </w:r>
    </w:p>
    <w:p w14:paraId="5461AA4E" w14:textId="77777777" w:rsidR="00797A79" w:rsidRPr="00E12821" w:rsidRDefault="00797A79" w:rsidP="00797A79">
      <w:pPr>
        <w:pStyle w:val="AMNumberTabs0"/>
        <w:keepNext/>
        <w:rPr>
          <w:lang w:val="en-GB"/>
        </w:rPr>
      </w:pPr>
      <w:r w:rsidRPr="00E12821">
        <w:rPr>
          <w:rStyle w:val="HideTWBExt"/>
          <w:b w:val="0"/>
          <w:noProof w:val="0"/>
          <w:lang w:val="en-GB"/>
        </w:rPr>
        <w:t>&lt;Amend&gt;</w:t>
      </w:r>
      <w:r w:rsidRPr="00E12821">
        <w:rPr>
          <w:lang w:val="en-GB"/>
        </w:rPr>
        <w:t>Amendment</w:t>
      </w:r>
      <w:r w:rsidRPr="00E12821">
        <w:rPr>
          <w:lang w:val="en-GB"/>
        </w:rPr>
        <w:tab/>
      </w:r>
      <w:r w:rsidRPr="00E12821">
        <w:rPr>
          <w:lang w:val="en-GB"/>
        </w:rPr>
        <w:tab/>
      </w:r>
      <w:r w:rsidRPr="00E12821">
        <w:rPr>
          <w:rStyle w:val="HideTWBExt"/>
          <w:b w:val="0"/>
          <w:noProof w:val="0"/>
          <w:lang w:val="en-GB"/>
        </w:rPr>
        <w:t>&lt;NumAm&gt;</w:t>
      </w:r>
      <w:r w:rsidRPr="00E12821">
        <w:rPr>
          <w:color w:val="000000"/>
          <w:lang w:val="en-GB"/>
        </w:rPr>
        <w:t>5</w:t>
      </w:r>
      <w:r w:rsidRPr="00E12821">
        <w:rPr>
          <w:rStyle w:val="HideTWBExt"/>
          <w:b w:val="0"/>
          <w:noProof w:val="0"/>
          <w:lang w:val="en-GB"/>
        </w:rPr>
        <w:t>&lt;/NumAm&gt;</w:t>
      </w:r>
    </w:p>
    <w:p w14:paraId="41CF5025" w14:textId="77777777" w:rsidR="00797A79" w:rsidRPr="00E12821" w:rsidRDefault="00797A79" w:rsidP="00797A79">
      <w:pPr>
        <w:pStyle w:val="NormalBold12b"/>
        <w:keepNext/>
      </w:pPr>
      <w:r w:rsidRPr="00E12821">
        <w:rPr>
          <w:rStyle w:val="HideTWBExt"/>
          <w:b w:val="0"/>
          <w:noProof w:val="0"/>
        </w:rPr>
        <w:t>&lt;DocAmend&gt;</w:t>
      </w:r>
      <w:r w:rsidRPr="00E12821">
        <w:t>Proposal for a regulation</w:t>
      </w:r>
      <w:r w:rsidRPr="00E12821">
        <w:rPr>
          <w:rStyle w:val="HideTWBExt"/>
          <w:b w:val="0"/>
          <w:noProof w:val="0"/>
        </w:rPr>
        <w:t>&lt;/DocAmend&gt;</w:t>
      </w:r>
    </w:p>
    <w:p w14:paraId="4942852A" w14:textId="77777777" w:rsidR="00797A79" w:rsidRPr="00E12821" w:rsidRDefault="00797A79" w:rsidP="00797A79">
      <w:pPr>
        <w:pStyle w:val="NormalBold"/>
      </w:pPr>
      <w:r w:rsidRPr="00E12821">
        <w:rPr>
          <w:rStyle w:val="HideTWBExt"/>
          <w:b w:val="0"/>
          <w:noProof w:val="0"/>
        </w:rPr>
        <w:t>&lt;Article&gt;</w:t>
      </w:r>
      <w:r w:rsidRPr="00E12821">
        <w:t>Recital 6</w:t>
      </w:r>
      <w:r w:rsidRPr="00E12821">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A79" w:rsidRPr="00E12821" w14:paraId="26A07B3A" w14:textId="77777777" w:rsidTr="002E3887">
        <w:trPr>
          <w:jc w:val="center"/>
        </w:trPr>
        <w:tc>
          <w:tcPr>
            <w:tcW w:w="9752" w:type="dxa"/>
            <w:gridSpan w:val="2"/>
          </w:tcPr>
          <w:p w14:paraId="17FB816A" w14:textId="77777777" w:rsidR="00797A79" w:rsidRPr="00E12821" w:rsidRDefault="00797A79" w:rsidP="002E3887">
            <w:pPr>
              <w:keepNext/>
            </w:pPr>
          </w:p>
        </w:tc>
      </w:tr>
      <w:tr w:rsidR="00797A79" w:rsidRPr="00E12821" w14:paraId="71A2D0E6" w14:textId="77777777" w:rsidTr="002E3887">
        <w:trPr>
          <w:jc w:val="center"/>
        </w:trPr>
        <w:tc>
          <w:tcPr>
            <w:tcW w:w="4876" w:type="dxa"/>
          </w:tcPr>
          <w:p w14:paraId="75A430FD" w14:textId="77777777" w:rsidR="00797A79" w:rsidRPr="00E12821" w:rsidRDefault="00797A79" w:rsidP="002E3887">
            <w:pPr>
              <w:pStyle w:val="ColumnHeading"/>
              <w:keepNext/>
              <w:rPr>
                <w:lang w:val="en-GB"/>
              </w:rPr>
            </w:pPr>
            <w:r w:rsidRPr="00E12821">
              <w:rPr>
                <w:lang w:val="en-GB"/>
              </w:rPr>
              <w:t>Text proposed by the Commission</w:t>
            </w:r>
          </w:p>
        </w:tc>
        <w:tc>
          <w:tcPr>
            <w:tcW w:w="4876" w:type="dxa"/>
          </w:tcPr>
          <w:p w14:paraId="36F860B5" w14:textId="77777777" w:rsidR="00797A79" w:rsidRPr="00E12821" w:rsidRDefault="00797A79" w:rsidP="002E3887">
            <w:pPr>
              <w:pStyle w:val="ColumnHeading"/>
              <w:keepNext/>
              <w:rPr>
                <w:lang w:val="en-GB"/>
              </w:rPr>
            </w:pPr>
            <w:r w:rsidRPr="00E12821">
              <w:rPr>
                <w:lang w:val="en-GB"/>
              </w:rPr>
              <w:t>Amendment</w:t>
            </w:r>
          </w:p>
        </w:tc>
      </w:tr>
      <w:tr w:rsidR="00797A79" w:rsidRPr="00E12821" w14:paraId="4213A3CA" w14:textId="77777777" w:rsidTr="002E3887">
        <w:trPr>
          <w:jc w:val="center"/>
        </w:trPr>
        <w:tc>
          <w:tcPr>
            <w:tcW w:w="4876" w:type="dxa"/>
          </w:tcPr>
          <w:p w14:paraId="0E34FCE5" w14:textId="77777777" w:rsidR="00797A79" w:rsidRPr="00E12821" w:rsidRDefault="00797A79" w:rsidP="002E3887">
            <w:pPr>
              <w:pStyle w:val="Normal6"/>
              <w:rPr>
                <w:lang w:val="en-GB"/>
              </w:rPr>
            </w:pPr>
            <w:r w:rsidRPr="00E12821">
              <w:rPr>
                <w:lang w:val="en-GB"/>
              </w:rPr>
              <w:t>(6)</w:t>
            </w:r>
            <w:r w:rsidRPr="00E12821">
              <w:rPr>
                <w:lang w:val="en-GB"/>
              </w:rPr>
              <w:tab/>
              <w:t>The exemption from the visa requirement for nationals of Kuwait and Qatar should not apply until bilateral agreements on visa waiver between the Union and Kuwait and Qatar have been concluded, in order notably to ensure full reciprocity is maintained.</w:t>
            </w:r>
          </w:p>
        </w:tc>
        <w:tc>
          <w:tcPr>
            <w:tcW w:w="4876" w:type="dxa"/>
          </w:tcPr>
          <w:p w14:paraId="21D6A20D" w14:textId="0D3E2C38" w:rsidR="00797A79" w:rsidRPr="00E12821" w:rsidRDefault="00797A79" w:rsidP="00885C34">
            <w:pPr>
              <w:pStyle w:val="Normal6"/>
              <w:rPr>
                <w:szCs w:val="24"/>
                <w:lang w:val="en-GB"/>
              </w:rPr>
            </w:pPr>
            <w:r w:rsidRPr="00E12821">
              <w:rPr>
                <w:lang w:val="en-GB"/>
              </w:rPr>
              <w:t>(6)</w:t>
            </w:r>
            <w:r w:rsidRPr="00E12821">
              <w:rPr>
                <w:lang w:val="en-GB"/>
              </w:rPr>
              <w:tab/>
              <w:t xml:space="preserve">The exemption from the visa requirement for nationals of Kuwait and Qatar should not apply until bilateral agreements on visa waiver between the Union and Kuwait and Qatar have been concluded, in order notably to ensure full reciprocity is maintained. </w:t>
            </w:r>
            <w:r w:rsidRPr="00E12821">
              <w:rPr>
                <w:b/>
                <w:i/>
                <w:lang w:val="en-GB"/>
              </w:rPr>
              <w:t xml:space="preserve">The conclusion of bilateral agreements on visa waiver between the Union and Kuwait and </w:t>
            </w:r>
            <w:r w:rsidR="0012324A" w:rsidRPr="00E12821">
              <w:rPr>
                <w:b/>
                <w:i/>
                <w:lang w:val="en-GB"/>
              </w:rPr>
              <w:t xml:space="preserve">the Union and </w:t>
            </w:r>
            <w:r w:rsidRPr="00E12821">
              <w:rPr>
                <w:b/>
                <w:i/>
                <w:lang w:val="en-GB"/>
              </w:rPr>
              <w:t>Qatar should not be dependent on, or otherwise interlinked with, the conclusion of bilateral agreements related to other policy areas, such as return or readmission.</w:t>
            </w:r>
          </w:p>
        </w:tc>
      </w:tr>
    </w:tbl>
    <w:p w14:paraId="067F58C6" w14:textId="77777777" w:rsidR="00797A79" w:rsidRPr="00E12821" w:rsidRDefault="00797A79" w:rsidP="00797A79">
      <w:pPr>
        <w:pStyle w:val="Olang"/>
        <w:rPr>
          <w:sz w:val="24"/>
          <w:szCs w:val="24"/>
        </w:rPr>
      </w:pPr>
      <w:r w:rsidRPr="00E12821">
        <w:rPr>
          <w:sz w:val="24"/>
          <w:szCs w:val="24"/>
        </w:rPr>
        <w:t xml:space="preserve">Or. </w:t>
      </w:r>
      <w:r w:rsidRPr="00E12821">
        <w:rPr>
          <w:rStyle w:val="HideTWBExt"/>
          <w:noProof w:val="0"/>
        </w:rPr>
        <w:t>&lt;Original&gt;</w:t>
      </w:r>
      <w:r w:rsidRPr="00E12821">
        <w:rPr>
          <w:rStyle w:val="HideTWBInt"/>
          <w:sz w:val="24"/>
          <w:szCs w:val="24"/>
        </w:rPr>
        <w:t>{EN}</w:t>
      </w:r>
      <w:r w:rsidRPr="00E12821">
        <w:rPr>
          <w:sz w:val="24"/>
          <w:szCs w:val="24"/>
        </w:rPr>
        <w:t>en</w:t>
      </w:r>
      <w:r w:rsidRPr="00E12821">
        <w:rPr>
          <w:rStyle w:val="HideTWBExt"/>
          <w:noProof w:val="0"/>
        </w:rPr>
        <w:t>&lt;/Original&gt;</w:t>
      </w:r>
    </w:p>
    <w:p w14:paraId="5E7D55FB" w14:textId="77777777" w:rsidR="00797A79" w:rsidRPr="00E12821" w:rsidRDefault="00797A79" w:rsidP="00797A79">
      <w:r w:rsidRPr="00E12821">
        <w:rPr>
          <w:rStyle w:val="HideTWBExt"/>
          <w:noProof w:val="0"/>
        </w:rPr>
        <w:t>&lt;/Amend&gt;</w:t>
      </w:r>
    </w:p>
    <w:p w14:paraId="095864EA" w14:textId="77777777" w:rsidR="00797A79" w:rsidRPr="00E12821" w:rsidRDefault="00797A79" w:rsidP="00797A79">
      <w:pPr>
        <w:pStyle w:val="AMNumberTabs0"/>
        <w:keepNext/>
        <w:rPr>
          <w:lang w:val="en-GB"/>
        </w:rPr>
      </w:pPr>
      <w:r w:rsidRPr="00E12821">
        <w:rPr>
          <w:rStyle w:val="HideTWBExt"/>
          <w:b w:val="0"/>
          <w:noProof w:val="0"/>
          <w:lang w:val="en-GB"/>
        </w:rPr>
        <w:t>&lt;Amend&gt;</w:t>
      </w:r>
      <w:r w:rsidRPr="00E12821">
        <w:rPr>
          <w:lang w:val="en-GB"/>
        </w:rPr>
        <w:t>Amendment</w:t>
      </w:r>
      <w:r w:rsidRPr="00E12821">
        <w:rPr>
          <w:lang w:val="en-GB"/>
        </w:rPr>
        <w:tab/>
      </w:r>
      <w:r w:rsidRPr="00E12821">
        <w:rPr>
          <w:lang w:val="en-GB"/>
        </w:rPr>
        <w:tab/>
      </w:r>
      <w:r w:rsidRPr="00E12821">
        <w:rPr>
          <w:rStyle w:val="HideTWBExt"/>
          <w:b w:val="0"/>
          <w:noProof w:val="0"/>
          <w:lang w:val="en-GB"/>
        </w:rPr>
        <w:t>&lt;NumAm&gt;</w:t>
      </w:r>
      <w:r w:rsidRPr="00E12821">
        <w:rPr>
          <w:color w:val="000000"/>
          <w:lang w:val="en-GB"/>
        </w:rPr>
        <w:t>6</w:t>
      </w:r>
      <w:r w:rsidRPr="00E12821">
        <w:rPr>
          <w:rStyle w:val="HideTWBExt"/>
          <w:b w:val="0"/>
          <w:noProof w:val="0"/>
          <w:lang w:val="en-GB"/>
        </w:rPr>
        <w:t>&lt;/NumAm&gt;</w:t>
      </w:r>
    </w:p>
    <w:p w14:paraId="1F24199C" w14:textId="77777777" w:rsidR="00797A79" w:rsidRPr="00E12821" w:rsidRDefault="00797A79" w:rsidP="00797A79">
      <w:pPr>
        <w:pStyle w:val="NormalBold12b"/>
        <w:keepNext/>
      </w:pPr>
      <w:r w:rsidRPr="00E12821">
        <w:rPr>
          <w:rStyle w:val="HideTWBExt"/>
          <w:b w:val="0"/>
          <w:noProof w:val="0"/>
        </w:rPr>
        <w:t>&lt;DocAmend&gt;</w:t>
      </w:r>
      <w:r w:rsidRPr="00E12821">
        <w:t>Proposal for a regulation</w:t>
      </w:r>
      <w:r w:rsidRPr="00E12821">
        <w:rPr>
          <w:rStyle w:val="HideTWBExt"/>
          <w:b w:val="0"/>
          <w:noProof w:val="0"/>
        </w:rPr>
        <w:t>&lt;/DocAmend&gt;</w:t>
      </w:r>
    </w:p>
    <w:p w14:paraId="46F73CC7" w14:textId="77777777" w:rsidR="00797A79" w:rsidRPr="00E12821" w:rsidRDefault="00797A79" w:rsidP="00797A79">
      <w:pPr>
        <w:pStyle w:val="NormalBold"/>
      </w:pPr>
      <w:r w:rsidRPr="00E12821">
        <w:rPr>
          <w:rStyle w:val="HideTWBExt"/>
          <w:b w:val="0"/>
          <w:noProof w:val="0"/>
        </w:rPr>
        <w:t>&lt;Article&gt;</w:t>
      </w:r>
      <w:r w:rsidRPr="00E12821">
        <w:t>Recital 6 a (new)</w:t>
      </w:r>
      <w:r w:rsidRPr="00E12821">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A79" w:rsidRPr="00E12821" w14:paraId="54AF4910" w14:textId="77777777" w:rsidTr="002E3887">
        <w:trPr>
          <w:jc w:val="center"/>
        </w:trPr>
        <w:tc>
          <w:tcPr>
            <w:tcW w:w="9752" w:type="dxa"/>
            <w:gridSpan w:val="2"/>
          </w:tcPr>
          <w:p w14:paraId="15E38699" w14:textId="77777777" w:rsidR="00797A79" w:rsidRPr="00E12821" w:rsidRDefault="00797A79" w:rsidP="002E3887">
            <w:pPr>
              <w:keepNext/>
            </w:pPr>
          </w:p>
        </w:tc>
      </w:tr>
      <w:tr w:rsidR="00797A79" w:rsidRPr="00E12821" w14:paraId="48E16EAC" w14:textId="77777777" w:rsidTr="002E3887">
        <w:trPr>
          <w:jc w:val="center"/>
        </w:trPr>
        <w:tc>
          <w:tcPr>
            <w:tcW w:w="4876" w:type="dxa"/>
          </w:tcPr>
          <w:p w14:paraId="6392CE77" w14:textId="77777777" w:rsidR="00797A79" w:rsidRPr="00E12821" w:rsidRDefault="00797A79" w:rsidP="002E3887">
            <w:pPr>
              <w:pStyle w:val="ColumnHeading"/>
              <w:keepNext/>
              <w:rPr>
                <w:lang w:val="en-GB"/>
              </w:rPr>
            </w:pPr>
            <w:r w:rsidRPr="00E12821">
              <w:rPr>
                <w:lang w:val="en-GB"/>
              </w:rPr>
              <w:t>Text proposed by the Commission</w:t>
            </w:r>
          </w:p>
        </w:tc>
        <w:tc>
          <w:tcPr>
            <w:tcW w:w="4876" w:type="dxa"/>
          </w:tcPr>
          <w:p w14:paraId="12079B67" w14:textId="77777777" w:rsidR="00797A79" w:rsidRPr="00E12821" w:rsidRDefault="00797A79" w:rsidP="002E3887">
            <w:pPr>
              <w:pStyle w:val="ColumnHeading"/>
              <w:keepNext/>
              <w:rPr>
                <w:lang w:val="en-GB"/>
              </w:rPr>
            </w:pPr>
            <w:r w:rsidRPr="00E12821">
              <w:rPr>
                <w:lang w:val="en-GB"/>
              </w:rPr>
              <w:t>Amendment</w:t>
            </w:r>
          </w:p>
        </w:tc>
      </w:tr>
      <w:tr w:rsidR="00797A79" w:rsidRPr="00E12821" w14:paraId="717CE45A" w14:textId="77777777" w:rsidTr="002E3887">
        <w:trPr>
          <w:jc w:val="center"/>
        </w:trPr>
        <w:tc>
          <w:tcPr>
            <w:tcW w:w="4876" w:type="dxa"/>
          </w:tcPr>
          <w:p w14:paraId="0B5F956E" w14:textId="77777777" w:rsidR="00797A79" w:rsidRPr="00E12821" w:rsidRDefault="00797A79" w:rsidP="002E3887">
            <w:pPr>
              <w:pStyle w:val="Normal6"/>
              <w:rPr>
                <w:lang w:val="en-GB"/>
              </w:rPr>
            </w:pPr>
          </w:p>
        </w:tc>
        <w:tc>
          <w:tcPr>
            <w:tcW w:w="4876" w:type="dxa"/>
          </w:tcPr>
          <w:p w14:paraId="6CF44160" w14:textId="443AB4F3" w:rsidR="00797A79" w:rsidRPr="00E12821" w:rsidRDefault="00797A79" w:rsidP="00885C34">
            <w:pPr>
              <w:pStyle w:val="Normal6"/>
              <w:rPr>
                <w:szCs w:val="24"/>
                <w:lang w:val="en-GB"/>
              </w:rPr>
            </w:pPr>
            <w:r w:rsidRPr="00E12821">
              <w:rPr>
                <w:b/>
                <w:i/>
                <w:lang w:val="en-GB"/>
              </w:rPr>
              <w:t>(6a)</w:t>
            </w:r>
            <w:r w:rsidRPr="00E12821">
              <w:rPr>
                <w:b/>
                <w:i/>
                <w:lang w:val="en-GB"/>
              </w:rPr>
              <w:tab/>
              <w:t>Following the model of the current process covering Kuwait and Qatar as new generation agreements under Regulation (EU) 2018/1806,</w:t>
            </w:r>
            <w:r w:rsidR="00646926" w:rsidRPr="00E12821">
              <w:rPr>
                <w:b/>
                <w:i/>
                <w:lang w:val="en-GB"/>
              </w:rPr>
              <w:t xml:space="preserve"> </w:t>
            </w:r>
            <w:r w:rsidRPr="00E12821">
              <w:rPr>
                <w:b/>
                <w:i/>
                <w:lang w:val="en-GB"/>
              </w:rPr>
              <w:t>the Commission should promptly assess the situation of other third countries potentially eligible for visa exemption, in particular Oman and Ecuador, taking into consideration respective regional coherence.</w:t>
            </w:r>
          </w:p>
        </w:tc>
      </w:tr>
    </w:tbl>
    <w:p w14:paraId="5F5140DD" w14:textId="77777777" w:rsidR="00797A79" w:rsidRPr="00E12821" w:rsidRDefault="00797A79" w:rsidP="00797A79">
      <w:pPr>
        <w:pStyle w:val="Olang"/>
        <w:rPr>
          <w:sz w:val="24"/>
          <w:szCs w:val="24"/>
        </w:rPr>
      </w:pPr>
      <w:r w:rsidRPr="00E12821">
        <w:rPr>
          <w:sz w:val="24"/>
          <w:szCs w:val="24"/>
        </w:rPr>
        <w:t xml:space="preserve">Or. </w:t>
      </w:r>
      <w:r w:rsidRPr="00E12821">
        <w:rPr>
          <w:rStyle w:val="HideTWBExt"/>
          <w:noProof w:val="0"/>
        </w:rPr>
        <w:t>&lt;Original&gt;</w:t>
      </w:r>
      <w:r w:rsidRPr="00E12821">
        <w:rPr>
          <w:rStyle w:val="HideTWBInt"/>
          <w:sz w:val="24"/>
          <w:szCs w:val="24"/>
        </w:rPr>
        <w:t>{EN}</w:t>
      </w:r>
      <w:r w:rsidRPr="00E12821">
        <w:rPr>
          <w:sz w:val="24"/>
          <w:szCs w:val="24"/>
        </w:rPr>
        <w:t>en</w:t>
      </w:r>
      <w:r w:rsidRPr="00E12821">
        <w:rPr>
          <w:rStyle w:val="HideTWBExt"/>
          <w:noProof w:val="0"/>
        </w:rPr>
        <w:t>&lt;/Original&gt;</w:t>
      </w:r>
    </w:p>
    <w:p w14:paraId="4B3234FA" w14:textId="77777777" w:rsidR="00797A79" w:rsidRPr="00E12821" w:rsidRDefault="00797A79" w:rsidP="00797A79">
      <w:r w:rsidRPr="00E12821">
        <w:rPr>
          <w:rStyle w:val="HideTWBExt"/>
          <w:noProof w:val="0"/>
        </w:rPr>
        <w:lastRenderedPageBreak/>
        <w:t>&lt;/Amend&gt;&lt;/RepeatBlock-Amend&gt;</w:t>
      </w:r>
    </w:p>
    <w:p w14:paraId="60273ABA" w14:textId="77777777" w:rsidR="00CA3F76" w:rsidRPr="00E12821" w:rsidRDefault="00CA3F76" w:rsidP="002669B6">
      <w:pPr>
        <w:sectPr w:rsidR="00CA3F76" w:rsidRPr="00E12821" w:rsidSect="00E128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C04DE97" w14:textId="77777777" w:rsidR="002669B6" w:rsidRPr="00E12821" w:rsidRDefault="00CA3F76" w:rsidP="00CA3F76">
      <w:pPr>
        <w:pStyle w:val="PageHeading"/>
      </w:pPr>
      <w:bookmarkStart w:id="3" w:name="_Toc114644601"/>
      <w:r w:rsidRPr="00E12821">
        <w:lastRenderedPageBreak/>
        <w:t>EXPLANATORY STATEMENT</w:t>
      </w:r>
      <w:bookmarkEnd w:id="3"/>
    </w:p>
    <w:p w14:paraId="41DC2BB6" w14:textId="77777777" w:rsidR="009F13DC" w:rsidRPr="00E12821" w:rsidRDefault="00CA3F76" w:rsidP="00531D7A">
      <w:pPr>
        <w:spacing w:before="100" w:beforeAutospacing="1" w:after="240"/>
        <w:jc w:val="both"/>
        <w:rPr>
          <w:rFonts w:eastAsia="Calibri"/>
        </w:rPr>
      </w:pPr>
      <w:r w:rsidRPr="00E12821">
        <w:rPr>
          <w:rFonts w:eastAsia="Calibri"/>
        </w:rPr>
        <w:t xml:space="preserve">The proposal of the European Commission aims </w:t>
      </w:r>
      <w:r w:rsidRPr="00E12821">
        <w:t xml:space="preserve">to amend Regulation (EC) 2018/1806 to exempt nationals of Kuwait and Qatar from the requirement to be in possession of a visa when crossing the external borders of the Member States for stays of no more than 90 days in any 180-day period. </w:t>
      </w:r>
      <w:r w:rsidRPr="00E12821">
        <w:rPr>
          <w:rFonts w:eastAsia="Calibri"/>
          <w:lang w:val="en-US"/>
        </w:rPr>
        <w:t>T</w:t>
      </w:r>
      <w:r w:rsidRPr="00E12821">
        <w:rPr>
          <w:rFonts w:eastAsia="Calibri"/>
        </w:rPr>
        <w:t xml:space="preserve">he legal basis for the proposal is point (a) of Article 77(2) of the Treaty on the Functioning of the European Union (TFEU). The proposed regulation will constitute a development of the Schengen </w:t>
      </w:r>
      <w:r w:rsidRPr="00E12821">
        <w:rPr>
          <w:rFonts w:eastAsia="Calibri"/>
          <w:i/>
        </w:rPr>
        <w:t>acquis</w:t>
      </w:r>
      <w:r w:rsidRPr="00E12821">
        <w:rPr>
          <w:rFonts w:eastAsia="Calibri"/>
        </w:rPr>
        <w:t>.</w:t>
      </w:r>
    </w:p>
    <w:p w14:paraId="3685AB53" w14:textId="77777777" w:rsidR="009F13DC" w:rsidRPr="00E12821" w:rsidRDefault="00CA3F76" w:rsidP="00531D7A">
      <w:pPr>
        <w:spacing w:before="100" w:beforeAutospacing="1" w:after="240"/>
        <w:jc w:val="both"/>
        <w:rPr>
          <w:rFonts w:eastAsia="Calibri"/>
        </w:rPr>
      </w:pPr>
      <w:r w:rsidRPr="00E12821">
        <w:t xml:space="preserve">The third countries whose nationals are exempt from the visa requirement are to be determined on the basis of a case-by-case assessment of a variety of criteria laid down in Article 1 of </w:t>
      </w:r>
      <w:r w:rsidRPr="00E12821">
        <w:rPr>
          <w:rFonts w:eastAsia="Calibri"/>
        </w:rPr>
        <w:t>Regulation (EU) 2018/1806</w:t>
      </w:r>
      <w:r w:rsidRPr="00E12821">
        <w:t>. The criteria relate inter alia to “illegal immigration, public policy and security, economic benefit, in particular in terms of tourism and foreign trade, and the Union’s external relations with the relevant third countries, including in particular, considerations of human rights and fundamental freedoms, as well as the implications of regional cohe</w:t>
      </w:r>
      <w:r w:rsidR="001B1316" w:rsidRPr="00E12821">
        <w:t>rence and reciprocity”.</w:t>
      </w:r>
    </w:p>
    <w:p w14:paraId="410A708F" w14:textId="77777777" w:rsidR="009F13DC" w:rsidRPr="00E12821" w:rsidRDefault="00CA3F76" w:rsidP="00531D7A">
      <w:pPr>
        <w:spacing w:before="100" w:beforeAutospacing="1" w:after="240"/>
        <w:jc w:val="both"/>
        <w:rPr>
          <w:rFonts w:eastAsia="Calibri"/>
        </w:rPr>
      </w:pPr>
      <w:r w:rsidRPr="00E12821">
        <w:t xml:space="preserve">A visa waiver agreement, which will include safeguards in relation to the criteria of Regulation (EU) 2018/1806 having justified the visa exemption, will have to be concluded between each of the two countries and the EU to make the exemption effective. Following the application of the proposed exemption from the visa requirement, the reciprocity and suspension mechanisms of </w:t>
      </w:r>
      <w:r w:rsidRPr="00E12821">
        <w:rPr>
          <w:rFonts w:eastAsia="Calibri"/>
        </w:rPr>
        <w:t xml:space="preserve">Regulation (EU) 2018/1806 </w:t>
      </w:r>
      <w:r w:rsidRPr="00E12821">
        <w:t>can be applied in case full visa reciprocity is not ensured or if the visa-free regime is abused or in case of abuse resulting from the exemption from the visa requirement.</w:t>
      </w:r>
    </w:p>
    <w:p w14:paraId="488CFCE2" w14:textId="77777777" w:rsidR="009F13DC" w:rsidRPr="00E12821" w:rsidRDefault="00CA3F76" w:rsidP="00531D7A">
      <w:pPr>
        <w:spacing w:before="100" w:beforeAutospacing="1" w:after="240"/>
        <w:jc w:val="both"/>
        <w:rPr>
          <w:rFonts w:eastAsia="Calibri"/>
        </w:rPr>
      </w:pPr>
      <w:r w:rsidRPr="00E12821">
        <w:t>Visa-free travellers will continue to be checked at the EU’s external borders whether they fulfil the entry requirements, including by checking the Schengen Information System and Member States' national databases. In addition, visa-exempt travellers visiting the Schengen area will be subject to the EU Entry/Exit System (EES) and to the European Travel Information and Authorisation System (ETIAS) as soon as they are fully operational</w:t>
      </w:r>
      <w:r w:rsidR="001B1316" w:rsidRPr="00E12821">
        <w:t>.</w:t>
      </w:r>
    </w:p>
    <w:p w14:paraId="63CE4942" w14:textId="77777777" w:rsidR="009F13DC" w:rsidRPr="00E12821" w:rsidRDefault="00CA3F76" w:rsidP="00531D7A">
      <w:pPr>
        <w:spacing w:before="100" w:beforeAutospacing="1" w:after="240"/>
        <w:jc w:val="both"/>
        <w:rPr>
          <w:rFonts w:eastAsia="Calibri"/>
        </w:rPr>
      </w:pPr>
      <w:r w:rsidRPr="00E12821">
        <w:rPr>
          <w:rFonts w:eastAsia="Calibri"/>
        </w:rPr>
        <w:t>B</w:t>
      </w:r>
      <w:r w:rsidRPr="00E12821">
        <w:t xml:space="preserve">oth Kuwait and Qatar are important economic partners for the Union, in particular in the area of energy and in view of the EU’s objectives to diversify its energy supplies. Cooperation between the EU and Kuwait and Qatar has also intensified in the recent years in several policy fields, such as in the field of security both at bilateral level and through the Golf Cooperation Council (GCC). Additionally, Kuwait and Qatar both </w:t>
      </w:r>
      <w:r w:rsidR="001B1316" w:rsidRPr="00E12821">
        <w:t>issue biometric passports.</w:t>
      </w:r>
    </w:p>
    <w:p w14:paraId="7BDD5D0A" w14:textId="77777777" w:rsidR="00CA3F76" w:rsidRPr="00E12821" w:rsidRDefault="00CA3F76" w:rsidP="00531D7A">
      <w:pPr>
        <w:spacing w:before="100" w:beforeAutospacing="1" w:after="240"/>
        <w:jc w:val="both"/>
        <w:rPr>
          <w:rFonts w:eastAsia="Calibri"/>
        </w:rPr>
      </w:pPr>
      <w:r w:rsidRPr="00E12821">
        <w:t>Serious concerns and shortcomings remain however in the area of human rights and fundamental freedoms. Notwithstanding recent legislative reforms and political initiatives, many challenges still persist in several areas as well as in the enforcement of newly adopted legislation as pointed out, among others, in the Commission’s own assessessment, in the EEAS 2021 EU Annual Human Rights, and in the annual reports of Amnesty International and Human Rights Watch. In this context, particular attention has been devoted to the labour conditions of migrant workers in the wake of the upcoming FIFA World Cup. However, other areas of concern include women’s rights, LGBTQ+ people’s rights, freedom of religion, prohibition of torture, freedom of speech, right of assembly, and the prohibition of the death penalty.</w:t>
      </w:r>
    </w:p>
    <w:p w14:paraId="76473055" w14:textId="77777777" w:rsidR="009F13DC" w:rsidRPr="00E12821" w:rsidRDefault="00CA3F76" w:rsidP="00531D7A">
      <w:pPr>
        <w:spacing w:after="240"/>
        <w:jc w:val="both"/>
      </w:pPr>
      <w:r w:rsidRPr="00E12821">
        <w:lastRenderedPageBreak/>
        <w:t xml:space="preserve">Visa-free status can play a key role in promoting the partnership between both regions and in strengthening political dialogue, and economic, research, educational, cultural and societal exchanges. The pursuing of official human rights dialogues shall be an integral part of the commitments undertaken under the bilateral agreements to be concluded between the Union and Qatar and Kuwait, and the continuos evaluation of such dialogues shall also be foreseen. Considering that those bilateral agreement will be the first ones adopted under the new regime provided for by Regulation (EU) 2018/1806, the Rapporteur believes that the introduction of such clauses will represent a positive role model with beneficial trickle-down effects on </w:t>
      </w:r>
      <w:r w:rsidR="001B1316" w:rsidRPr="00E12821">
        <w:t>future agreements of this kind.</w:t>
      </w:r>
    </w:p>
    <w:p w14:paraId="241615B5" w14:textId="77777777" w:rsidR="009F13DC" w:rsidRPr="00E12821" w:rsidRDefault="00CA3F76" w:rsidP="00531D7A">
      <w:pPr>
        <w:spacing w:after="240"/>
        <w:jc w:val="both"/>
      </w:pPr>
      <w:r w:rsidRPr="00E12821">
        <w:t>The introduction of the visa free regime is of significant importance for Qatar and Kuwait citizens as well as for EU citizens, it will contribute to the deepening of people-to-people contacts and exchanges, and the strengthening of the social and cultural relations. In this regard, it will be essential to ensure equal and non-discriminatory access to all citizens of both parties to the benefits related to the visa free regime.</w:t>
      </w:r>
    </w:p>
    <w:p w14:paraId="7E4B78B9" w14:textId="77777777" w:rsidR="009F13DC" w:rsidRPr="00E12821" w:rsidRDefault="00CA3F76" w:rsidP="00531D7A">
      <w:pPr>
        <w:spacing w:after="240"/>
        <w:jc w:val="both"/>
      </w:pPr>
      <w:r w:rsidRPr="00E12821">
        <w:t>In order to assess the actual benefits and achievements deriving from the visa free regime and the potential need for improvements, the Rapporteur deems it appropriate to have a periodic evaluation of such regime, by incorporating in all future bilateral agreements on visa waiver an explicit provision on the evaluation an</w:t>
      </w:r>
      <w:r w:rsidR="001B1316" w:rsidRPr="00E12821">
        <w:t>d reporting by the Commission.</w:t>
      </w:r>
    </w:p>
    <w:p w14:paraId="30634559" w14:textId="77777777" w:rsidR="009F13DC" w:rsidRPr="00E12821" w:rsidRDefault="00CA3F76" w:rsidP="00531D7A">
      <w:pPr>
        <w:spacing w:after="240"/>
        <w:jc w:val="both"/>
      </w:pPr>
      <w:r w:rsidRPr="00E12821">
        <w:t>In view of the benefits that the visa free regime could bring to the parties involved, the EU should step up its efforts to engage with other third countries that are interested in visa-free travel to the EU. The proposed exemptions from the visa requirement for nationals of Qatar and Kuwait should give impetus to the Commission to start a concrete dialogue with other countries based on the criteria and the procedure established in Regulation (EU) 2018/1806 and to evaluate those countries potentially eligible and interested in a timely fashion</w:t>
      </w:r>
      <w:r w:rsidR="001B1316" w:rsidRPr="00E12821">
        <w:t>.</w:t>
      </w:r>
    </w:p>
    <w:p w14:paraId="6B682FC9" w14:textId="77777777" w:rsidR="00CA3F76" w:rsidRPr="00E12821" w:rsidRDefault="00CA3F76" w:rsidP="00531D7A">
      <w:pPr>
        <w:spacing w:after="240"/>
        <w:jc w:val="both"/>
      </w:pPr>
      <w:r w:rsidRPr="00E12821">
        <w:rPr>
          <w:rFonts w:eastAsia="Calibri"/>
        </w:rPr>
        <w:t>Finally, the Rapporteur believes, that with the adoption of this proposal of the European Commission, the European Parliament confirms its commitment to strengthen people-to-people relations and societal exchanges with Kuwait and Qatar. Therefore and taking into consideration the significance of visa liberalisation for the citizens of all parties involved, the Rapporteur recommends that the members of the Committee on Civil Liberties, Justice and Home Affairs support this report.</w:t>
      </w:r>
    </w:p>
    <w:p w14:paraId="16FE24AA" w14:textId="77777777" w:rsidR="00CA3F76" w:rsidRPr="00E12821" w:rsidRDefault="00CA3F76" w:rsidP="002669B6"/>
    <w:sectPr w:rsidR="00CA3F76" w:rsidRPr="00E12821" w:rsidSect="00CA3F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711762" w14:textId="77777777" w:rsidR="00307279" w:rsidRPr="00307279" w:rsidRDefault="00307279">
      <w:r w:rsidRPr="00307279">
        <w:separator/>
      </w:r>
    </w:p>
  </w:endnote>
  <w:endnote w:type="continuationSeparator" w:id="0">
    <w:p w14:paraId="20A778DE" w14:textId="77777777" w:rsidR="00307279" w:rsidRPr="00307279" w:rsidRDefault="00307279">
      <w:r w:rsidRPr="003072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E7C81" w14:textId="0FFADC45" w:rsidR="00E12821" w:rsidRDefault="00E12821" w:rsidP="00E12821">
    <w:pPr>
      <w:pStyle w:val="EPFooter"/>
    </w:pPr>
    <w:r>
      <w:t>PE</w:t>
    </w:r>
    <w:r w:rsidRPr="00E12821">
      <w:rPr>
        <w:rStyle w:val="HideTWBExt"/>
      </w:rPr>
      <w:t>&lt;NoPE&gt;</w:t>
    </w:r>
    <w:r>
      <w:t>736.470</w:t>
    </w:r>
    <w:r w:rsidRPr="00E12821">
      <w:rPr>
        <w:rStyle w:val="HideTWBExt"/>
      </w:rPr>
      <w:t>&lt;/NoPE&gt;&lt;Version&gt;</w:t>
    </w:r>
    <w:r>
      <w:t>v01-00</w:t>
    </w:r>
    <w:r w:rsidRPr="00E12821">
      <w:rPr>
        <w:rStyle w:val="HideTWBExt"/>
      </w:rPr>
      <w:t>&lt;/Version&gt;</w:t>
    </w:r>
    <w:r>
      <w:tab/>
    </w:r>
    <w:r>
      <w:fldChar w:fldCharType="begin"/>
    </w:r>
    <w:r>
      <w:instrText xml:space="preserve"> PAGE  \* MERGEFORMAT </w:instrText>
    </w:r>
    <w:r>
      <w:fldChar w:fldCharType="separate"/>
    </w:r>
    <w:r w:rsidR="0013710F">
      <w:rPr>
        <w:noProof/>
      </w:rPr>
      <w:t>2</w:t>
    </w:r>
    <w:r>
      <w:fldChar w:fldCharType="end"/>
    </w:r>
    <w:r>
      <w:t>/</w:t>
    </w:r>
    <w:fldSimple w:instr=" NUMPAGES  \* MERGEFORMAT ">
      <w:r w:rsidR="0013710F">
        <w:rPr>
          <w:noProof/>
        </w:rPr>
        <w:t>10</w:t>
      </w:r>
    </w:fldSimple>
    <w:r>
      <w:tab/>
    </w:r>
    <w:r w:rsidRPr="00E12821">
      <w:rPr>
        <w:rStyle w:val="HideTWBExt"/>
      </w:rPr>
      <w:t>&lt;PathFdR&gt;</w:t>
    </w:r>
    <w:r>
      <w:t>PR\1263011EN.docx</w:t>
    </w:r>
    <w:r w:rsidRPr="00E12821">
      <w:rPr>
        <w:rStyle w:val="HideTWBExt"/>
      </w:rPr>
      <w:t>&lt;/PathFdR&gt;</w:t>
    </w:r>
  </w:p>
  <w:p w14:paraId="3334C2A3" w14:textId="42D5C3CF" w:rsidR="00FB52FE" w:rsidRPr="00307279" w:rsidRDefault="00E12821" w:rsidP="00E12821">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2F857" w14:textId="02F1A6ED" w:rsidR="00E12821" w:rsidRDefault="00E12821" w:rsidP="00E12821">
    <w:pPr>
      <w:pStyle w:val="EPFooter"/>
    </w:pPr>
    <w:r w:rsidRPr="00E12821">
      <w:rPr>
        <w:rStyle w:val="HideTWBExt"/>
      </w:rPr>
      <w:t>&lt;PathFdR&gt;</w:t>
    </w:r>
    <w:r>
      <w:t>PR\1263011EN.docx</w:t>
    </w:r>
    <w:r w:rsidRPr="00E12821">
      <w:rPr>
        <w:rStyle w:val="HideTWBExt"/>
      </w:rPr>
      <w:t>&lt;/PathFdR&gt;</w:t>
    </w:r>
    <w:r>
      <w:tab/>
    </w:r>
    <w:r>
      <w:fldChar w:fldCharType="begin"/>
    </w:r>
    <w:r>
      <w:instrText xml:space="preserve"> PAGE  \* MERGEFORMAT </w:instrText>
    </w:r>
    <w:r>
      <w:fldChar w:fldCharType="separate"/>
    </w:r>
    <w:r w:rsidR="0013710F">
      <w:rPr>
        <w:noProof/>
      </w:rPr>
      <w:t>10</w:t>
    </w:r>
    <w:r>
      <w:fldChar w:fldCharType="end"/>
    </w:r>
    <w:r>
      <w:t>/</w:t>
    </w:r>
    <w:fldSimple w:instr=" NUMPAGES  \* MERGEFORMAT ">
      <w:r w:rsidR="0013710F">
        <w:rPr>
          <w:noProof/>
        </w:rPr>
        <w:t>10</w:t>
      </w:r>
    </w:fldSimple>
    <w:r>
      <w:tab/>
      <w:t>PE</w:t>
    </w:r>
    <w:r w:rsidRPr="00E12821">
      <w:rPr>
        <w:rStyle w:val="HideTWBExt"/>
      </w:rPr>
      <w:t>&lt;NoPE&gt;</w:t>
    </w:r>
    <w:r>
      <w:t>736.470</w:t>
    </w:r>
    <w:r w:rsidRPr="00E12821">
      <w:rPr>
        <w:rStyle w:val="HideTWBExt"/>
      </w:rPr>
      <w:t>&lt;/NoPE&gt;&lt;Version&gt;</w:t>
    </w:r>
    <w:r>
      <w:t>v01-00</w:t>
    </w:r>
    <w:r w:rsidRPr="00E12821">
      <w:rPr>
        <w:rStyle w:val="HideTWBExt"/>
      </w:rPr>
      <w:t>&lt;/Version&gt;</w:t>
    </w:r>
  </w:p>
  <w:p w14:paraId="22A96321" w14:textId="52623C04" w:rsidR="00FB52FE" w:rsidRPr="00307279" w:rsidRDefault="00E12821" w:rsidP="00E12821">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21050" w14:textId="77777777" w:rsidR="00E12821" w:rsidRDefault="00E12821" w:rsidP="00E12821">
    <w:pPr>
      <w:pStyle w:val="EPFooter"/>
    </w:pPr>
    <w:r w:rsidRPr="00E12821">
      <w:rPr>
        <w:rStyle w:val="HideTWBExt"/>
      </w:rPr>
      <w:t>&lt;PathFdR&gt;</w:t>
    </w:r>
    <w:r>
      <w:t>PR\1263011EN.docx</w:t>
    </w:r>
    <w:r w:rsidRPr="00E12821">
      <w:rPr>
        <w:rStyle w:val="HideTWBExt"/>
      </w:rPr>
      <w:t>&lt;/PathFdR&gt;</w:t>
    </w:r>
    <w:r>
      <w:tab/>
    </w:r>
    <w:r>
      <w:tab/>
      <w:t>PE</w:t>
    </w:r>
    <w:r w:rsidRPr="00E12821">
      <w:rPr>
        <w:rStyle w:val="HideTWBExt"/>
      </w:rPr>
      <w:t>&lt;NoPE&gt;</w:t>
    </w:r>
    <w:r>
      <w:t>736.470</w:t>
    </w:r>
    <w:r w:rsidRPr="00E12821">
      <w:rPr>
        <w:rStyle w:val="HideTWBExt"/>
      </w:rPr>
      <w:t>&lt;/NoPE&gt;&lt;Version&gt;</w:t>
    </w:r>
    <w:r>
      <w:t>v01-00</w:t>
    </w:r>
    <w:r w:rsidRPr="00E12821">
      <w:rPr>
        <w:rStyle w:val="HideTWBExt"/>
      </w:rPr>
      <w:t>&lt;/Version&gt;</w:t>
    </w:r>
  </w:p>
  <w:p w14:paraId="0C908766" w14:textId="1AD64EEA" w:rsidR="00FB52FE" w:rsidRPr="00307279" w:rsidRDefault="00E12821" w:rsidP="00E12821">
    <w:pPr>
      <w:pStyle w:val="EPFooter2"/>
    </w:pPr>
    <w:r>
      <w:t>EN</w:t>
    </w:r>
    <w:r>
      <w:tab/>
    </w:r>
    <w:r w:rsidRPr="00E12821">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59E196" w14:textId="77777777" w:rsidR="00307279" w:rsidRPr="00307279" w:rsidRDefault="00307279">
      <w:r w:rsidRPr="00307279">
        <w:separator/>
      </w:r>
    </w:p>
  </w:footnote>
  <w:footnote w:type="continuationSeparator" w:id="0">
    <w:p w14:paraId="3F2751CC" w14:textId="77777777" w:rsidR="00307279" w:rsidRPr="00307279" w:rsidRDefault="00307279">
      <w:r w:rsidRPr="003072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90F7F" w14:textId="77777777" w:rsidR="00797A79" w:rsidRDefault="00797A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BB8C8" w14:textId="77777777" w:rsidR="00797A79" w:rsidRDefault="00797A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D0E82" w14:textId="77777777" w:rsidR="00797A79" w:rsidRDefault="00797A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47959 HideTWBExt;}{\*\cs18 \additive \v\f1\fs20\cf15 _x000d__x000a_\spriority0 \styrsid7747959 HideTWBInt;}{\s19\ql \li0\ri0\sa120\nowidctlpar\wrapdefault\aspalpha\aspnum\faauto\adjustright\rin0\lin0\itap0 \rtlch\fcs1 \af0\afs20\alang1025 \ltrch\fcs0 \fs24\lang2057\langfe2057\cgrid\langnp2057\langfenp2057 _x000d__x000a_\sbasedon0 \snext19 \spriority0 \styrsid7747959 Normal6a;}{\s20\ql \li0\ri0\nowidctlpar\wrapdefault\aspalpha\aspnum\faauto\adjustright\rin0\lin0\itap0 \rtlch\fcs1 \af0\afs20\alang1025 \ltrch\fcs0 \b\fs24\lang2057\langfe2057\cgrid\langnp2057\langfenp2057 _x000d__x000a_\sbasedon0 \snext20 \spriority0 \styrsid7747959 NormalBold;}{\s21\ql \li0\ri0\sa240\nowidctlpar\wrapdefault\aspalpha\aspnum\faauto\adjustright\rin0\lin0\itap0 \rtlch\fcs1 \af0\afs20\alang1025 \ltrch\fcs0 _x000d__x000a_\i\fs24\lang2057\langfe2057\cgrid\langnp2057\langfenp2057 \sbasedon0 \snext21 \spriority0 \styrsid7747959 AmJustText;}{\s22\qc \li0\ri0\sb240\sa240\nowidctlpar\wrapdefault\aspalpha\aspnum\faauto\adjustright\rin0\lin0\itap0 \rtlch\fcs1 _x000d__x000a_\af0\afs20\alang1025 \ltrch\fcs0 \i\fs24\lang2057\langfe2057\cgrid\langnp2057\langfenp2057 \sbasedon0 \snext22 \spriority0 \styrsid7747959 AmCrossRef;}{_x000d__x000a_\s23\qc \li0\ri0\sb240\sa240\keepn\nowidctlpar\wrapdefault\aspalpha\aspnum\faauto\adjustright\rin0\lin0\itap0 \rtlch\fcs1 \af0\afs20\alang1025 \ltrch\fcs0 \i\fs24\lang2057\langfe2057\cgrid\langnp2057\langfenp2057 _x000d__x000a_\sbasedon0 \snext21 \spriority0 \styrsid7747959 AmJustTitle;}{\s24\qr \li0\ri0\sb240\sa240\nowidctlpar\wrapdefault\aspalpha\aspnum\faauto\adjustright\rin0\lin0\itap0 \rtlch\fcs1 \af0\afs20\alang1025 \ltrch\fcs0 _x000d__x000a_\fs24\lang2057\langfe2057\cgrid\langnp2057\langfenp2057 \sbasedon0 \snext24 \spriority0 \styrsid7747959 AmOrLang;}{\s25\qc \li0\ri0\sa240\nowidctlpar\wrapdefault\aspalpha\aspnum\faauto\adjustright\rin0\lin0\itap0 \rtlch\fcs1 \af0\afs20\alang1025 _x000d__x000a_\ltrch\fcs0 \i\fs24\lang2057\langfe2057\cgrid\langnp2057\langfenp2057 \sbasedon0 \snext25 \spriority0 \styrsid77479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747959 AmNumberTabs;}{\s27\ql \li0\ri0\sb240\nowidctlpar\wrapdefault\aspalpha\aspnum\faauto\adjustright\rin0\lin0\itap0 \rtlch\fcs1 _x000d__x000a_\af0\afs20\alang1025 \ltrch\fcs0 \b\fs24\lang2057\langfe2057\cgrid\langnp2057\langfenp2057 \sbasedon0 \snext27 \spriority0 \styrsid7747959 NormalBold12b;}}{\*\rsidtbl \rsid24658\rsid223860\rsid735077\rsid1718133\rsid2754035\rsid2892074\rsid3565327_x000d__x000a_\rsid4666813\rsid6641733\rsid7747959\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2\mo9\dy13\hr10\min5}{\revtim\yr2022\mo9\dy13\hr10\min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74795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2754035 \chftnsep _x000d__x000a_\par }}{\*\ftnsepc \ltrpar \pard\plain \ltrpar\ql \li0\ri0\widctlpar\wrapdefault\aspalpha\aspnum\faauto\adjustright\rin0\lin0\itap0 \rtlch\fcs1 \af0\afs20\alang1025 \ltrch\fcs0 \fs24\lang2057\langfe2057\cgrid\langnp2057\langfenp2057 {\rtlch\fcs1 \af0 _x000d__x000a_\ltrch\fcs0 \insrsid2754035 \chftnsepc _x000d__x000a_\par }}{\*\aftnsep \ltrpar \pard\plain \ltrpar\ql \li0\ri0\widctlpar\wrapdefault\aspalpha\aspnum\faauto\adjustright\rin0\lin0\itap0 \rtlch\fcs1 \af0\afs20\alang1025 \ltrch\fcs0 \fs24\lang2057\langfe2057\cgrid\langnp2057\langfenp2057 {\rtlch\fcs1 \af0 _x000d__x000a_\ltrch\fcs0 \insrsid2754035 \chftnsep _x000d__x000a_\par }}{\*\aftnsepc \ltrpar \pard\plain \ltrpar\ql \li0\ri0\widctlpar\wrapdefault\aspalpha\aspnum\faauto\adjustright\rin0\lin0\itap0 \rtlch\fcs1 \af0\afs20\alang1025 \ltrch\fcs0 \fs24\lang2057\langfe2057\cgrid\langnp2057\langfenp2057 {\rtlch\fcs1 \af0 _x000d__x000a_\ltrch\fcs0 \insrsid27540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747959 \rtlch\fcs1 _x000d__x000a_\af0\afs20\alang1025 \ltrch\fcs0 \b\fs24\lang2057\langfe2057\cgrid\langnp2057\langfenp2057 {\rtlch\fcs1 \af0 \ltrch\fcs0 \cs17\b0\v\fs20\cf9\loch\af1\hich\af1\dbch\af31501\insrsid7747959\charrsid13639606 {\*\bkmkstart restart}_x000d__x000a_\hich\af1\dbch\af31501\loch\f1 &lt;Amend&gt;}{\rtlch\fcs1 \af0 \ltrch\fcs0 \insrsid7747959\charrsid13639606 Amendment\tab \tab }{\rtlch\fcs1 \af0 \ltrch\fcs0 \cs17\b0\v\fs20\cf9\loch\af1\hich\af1\dbch\af31501\insrsid7747959\charrsid13639606 _x000d__x000a_\hich\af1\dbch\af31501\loch\f1 &lt;NumAm&gt;}{\rtlch\fcs1 \af0 \ltrch\fcs0 \insrsid7747959\charrsid13639606 #}{\rtlch\fcs1 \af1 \ltrch\fcs0 \cs18\v\f1\fs20\cf15\insrsid7747959\charrsid13639606 ENMIENDA@NRAM@}{\rtlch\fcs1 \af0 \ltrch\fcs0 _x000d__x000a_\insrsid7747959\charrsid13639606 #}{\rtlch\fcs1 \af0 \ltrch\fcs0 \cs17\b0\v\fs20\cf9\loch\af1\hich\af1\dbch\af31501\insrsid7747959\charrsid13639606 \hich\af1\dbch\af31501\loch\f1 &lt;/NumAm&gt;}{\rtlch\fcs1 \af0 \ltrch\fcs0 \insrsid7747959\charrsid13639606 _x000d__x000a__x000d__x000a_\par }\pard\plain \ltrpar\s27\ql \li0\ri0\sb240\keepn\nowidctlpar\wrapdefault\aspalpha\aspnum\faauto\adjustright\rin0\lin0\itap0\pararsid7747959 \rtlch\fcs1 \af0\afs20\alang1025 \ltrch\fcs0 \b\fs24\lang2057\langfe2057\cgrid\langnp2057\langfenp2057 {_x000d__x000a_\rtlch\fcs1 \af0 \ltrch\fcs0 \cs17\b0\v\fs20\cf9\loch\af1\hich\af1\dbch\af31501\insrsid7747959\charrsid13639606 \hich\af1\dbch\af31501\loch\f1 &lt;DocAmend&gt;}{\rtlch\fcs1 \af0 \ltrch\fcs0 \insrsid7747959\charrsid13639606 Proposal for a #}{\rtlch\fcs1 \af1 _x000d__x000a_\ltrch\fcs0 \cs18\v\f1\fs20\cf15\insrsid7747959\charrsid13639606 MNU[DOC1][DOC2][DOC3]@DOCMSG@DOCMNU}{\rtlch\fcs1 \af0 \ltrch\fcs0 \insrsid7747959\charrsid13639606 ##}{\rtlch\fcs1 \af1 \ltrch\fcs0 \cs18\v\f1\fs20\cf15\insrsid7747959\charrsid13639606 _x000d__x000a_MNU[AMACTYES][NOTAPP]@CHOICE@AMACTMNU}{\rtlch\fcs1 \af0 \ltrch\fcs0 \insrsid7747959\charrsid13639606 #}{\rtlch\fcs1 \af0 \ltrch\fcs0 \cs17\b0\v\fs20\cf9\loch\af1\hich\af1\dbch\af31501\insrsid7747959\charrsid13639606 \hich\af1\dbch\af31501\loch\f1 _x000d__x000a_&lt;/DocAmend&gt;}{\rtlch\fcs1 \af0 \ltrch\fcs0 \insrsid7747959\charrsid13639606 _x000d__x000a_\par }\pard\plain \ltrpar\s20\ql \li0\ri0\keepn\nowidctlpar\wrapdefault\aspalpha\aspnum\faauto\adjustright\rin0\lin0\itap0\pararsid7747959 \rtlch\fcs1 \af0\afs20\alang1025 \ltrch\fcs0 \b\fs24\lang2057\langfe2057\cgrid\langnp2057\langfenp2057 {\rtlch\fcs1 \af0 _x000d__x000a_\ltrch\fcs0 \cs17\b0\v\fs20\cf9\loch\af1\hich\af1\dbch\af31501\insrsid7747959\charrsid13639606 \hich\af1\dbch\af31501\loch\f1 &lt;Article&gt;}{\rtlch\fcs1 \af0 \ltrch\fcs0 \insrsid7747959\charrsid13639606 #}{\rtlch\fcs1 \af1 \ltrch\fcs0 _x000d__x000a_\cs18\v\f1\fs20\cf15\insrsid7747959\charrsid13639606 MNU[AMACTPARTYES][AMACTPARTNO]@CHOICE@AMACTMNU}{\rtlch\fcs1 \af0 \ltrch\fcs0 \insrsid7747959\charrsid13639606 #}{\rtlch\fcs1 \af0 \ltrch\fcs0 _x000d__x000a_\cs17\b0\v\fs20\cf9\loch\af1\hich\af1\dbch\af31501\insrsid7747959\charrsid13639606 \hich\af1\dbch\af31501\loch\f1 &lt;/Article&gt;}{\rtlch\fcs1 \af0 \ltrch\fcs0 \insrsid7747959\charrsid13639606 _x000d__x000a_\par }\pard\plain \ltrpar\ql \li0\ri0\keepn\widctlpar\wrapdefault\aspalpha\aspnum\faauto\adjustright\rin0\lin0\itap0\pararsid7747959 \rtlch\fcs1 \af0\afs20\alang1025 \ltrch\fcs0 \fs24\lang2057\langfe2057\cgrid\langnp2057\langfenp2057 {\rtlch\fcs1 \af0 _x000d__x000a_\ltrch\fcs0 \cs17\v\fs20\cf9\loch\af1\hich\af1\dbch\af31501\insrsid7747959\charrsid13639606 \hich\af1\dbch\af31501\loch\f1 &lt;DocAmend2&gt;&lt;OptDel&gt;}{\rtlch\fcs1 \af0 \ltrch\fcs0 \insrsid7747959\charrsid13639606 #}{\rtlch\fcs1 \af1 \ltrch\fcs0 _x000d__x000a_\cs18\v\f1\fs20\cf15\insrsid7747959\charrsid13639606 MNU[OPTNRACTYES][NOTAPP]@CHOICE@AMACTMNU}{\rtlch\fcs1 \af0 \ltrch\fcs0 \insrsid7747959\charrsid13639606 #}{\rtlch\fcs1 \af0 \ltrch\fcs0 _x000d__x000a_\cs17\v\fs20\cf9\loch\af1\hich\af1\dbch\af31501\insrsid7747959\charrsid13639606 \hich\af1\dbch\af31501\loch\f1 &lt;/OptDel&gt;&lt;/DocAmend2&gt;}{\rtlch\fcs1 \af0 \ltrch\fcs0 \insrsid7747959\charrsid13639606 _x000d__x000a_\par }\pard \ltrpar\ql \li0\ri0\widctlpar\wrapdefault\aspalpha\aspnum\faauto\adjustright\rin0\lin0\itap0\pararsid7747959 {\rtlch\fcs1 \af0 \ltrch\fcs0 \cs17\v\fs20\cf9\loch\af1\hich\af1\dbch\af31501\insrsid7747959\charrsid13639606 _x000d__x000a_\hich\af1\dbch\af31501\loch\f1 &lt;Article2&gt;&lt;OptDel&gt;}{\rtlch\fcs1 \af0 \ltrch\fcs0 \insrsid7747959\charrsid13639606 #}{\rtlch\fcs1 \af1 \ltrch\fcs0 \cs18\v\f1\fs20\cf15\insrsid7747959\charrsid13639606 MNU[OPTACTPARTYES][NOTAPP]@CHOICE@AMACTMNU}{\rtlch\fcs1 _x000d__x000a_\af0 \ltrch\fcs0 \insrsid7747959\charrsid13639606 #}{\rtlch\fcs1 \af0 \ltrch\fcs0 \cs17\v\fs20\cf9\loch\af1\hich\af1\dbch\af31501\insrsid7747959\charrsid13639606 \hich\af1\dbch\af31501\loch\f1 &lt;/OptDel&gt;&lt;/Article2&gt;}{\rtlch\fcs1 \af0 \ltrch\fcs0 _x000d__x000a_\insrsid7747959\charrsid1363960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7747959\charrsid13639606 \cell }\pard\plain \ltrpar\ql \li0\ri0\widctlpar\intbl\wrapdefault\aspalpha\aspnum\faauto\adjustright\rin0\lin0 \rtlch\fcs1 _x000d__x000a_\af0\afs20\alang1025 \ltrch\fcs0 \fs24\lang2057\langfe2057\cgrid\langnp2057\langfenp2057 {\rtlch\fcs1 \af0 \ltrch\fcs0 \insrsid7747959\charrsid1363960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7747959\charrsid13639606 #}{\rtlch\fcs1 \af1 \ltrch\fcs0 \cs18\v\f1\fs20\cf15\insrsid7747959\charrsid13639606 MNU[OPTLEFTAMACT][LEFTPROP]@CHOICE@AMACTMNU}{\rtlch\fcs1 \af0 \ltrch\fcs0 \insrsid7747959\charrsid13639606 #\cell Amendment\cell _x000d__x000a_}\pard\plain \ltrpar\ql \li0\ri0\widctlpar\intbl\wrapdefault\aspalpha\aspnum\faauto\adjustright\rin0\lin0 \rtlch\fcs1 \af0\afs20\alang1025 \ltrch\fcs0 \fs24\lang2057\langfe2057\cgrid\langnp2057\langfenp2057 {\rtlch\fcs1 \af0 \ltrch\fcs0 _x000d__x000a_\insrsid7747959\charrsid13639606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7747959\charrsid13639606 ##\cell ##}{\rtlch\fcs1 \af0\afs24 \ltrch\fcs0 \insrsid7747959\charrsid13639606 \cell }\pard\plain \ltrpar\ql \li0\ri0\widctlpar\intbl\wrapdefault\aspalpha\aspnum\faauto\adjustright\rin0\lin0 _x000d__x000a_\rtlch\fcs1 \af0\afs20\alang1025 \ltrch\fcs0 \fs24\lang2057\langfe2057\cgrid\langnp2057\langfenp2057 {\rtlch\fcs1 \af0 \ltrch\fcs0 \insrsid7747959\charrsid1363960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747959 \rtlch\fcs1 \af0\afs20\alang1025 \ltrch\fcs0 \fs24\lang2057\langfe2057\cgrid\langnp2057\langfenp2057 {\rtlch\fcs1 \af0 \ltrch\fcs0 _x000d__x000a_\insrsid7747959\charrsid13639606 Or. }{\rtlch\fcs1 \af0 \ltrch\fcs0 \cs17\v\fs20\cf9\loch\af1\hich\af1\dbch\af31501\insrsid7747959\charrsid13639606 \hich\af1\dbch\af31501\loch\f1 &lt;Original&gt;}{\rtlch\fcs1 \af0 \ltrch\fcs0 \insrsid7747959\charrsid13639606 #}_x000d__x000a_{\rtlch\fcs1 \af1 \ltrch\fcs0 \cs18\v\f1\fs20\cf15\insrsid7747959\charrsid13639606 MNU[ORLANGONE][ORLANGMORE]@CHOICE@ORLANGMNU}{\rtlch\fcs1 \af0 \ltrch\fcs0 \insrsid7747959\charrsid13639606 #}{\rtlch\fcs1 \af0 \ltrch\fcs0 _x000d__x000a_\cs17\v\fs20\cf9\loch\af1\hich\af1\dbch\af31501\insrsid7747959\charrsid13639606 \hich\af1\dbch\af31501\loch\f1 &lt;/Original&gt;}{\rtlch\fcs1 \af0 \ltrch\fcs0 \insrsid7747959\charrsid13639606 _x000d__x000a_\par }\pard\plain \ltrpar\s22\qc \li0\ri0\sb240\sa240\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OptDel&gt;}{\rtlch\fcs1 \af0 \ltrch\fcs0 \insrsid7747959\charrsid13639606 #}{\rtlch\fcs1 \af1 \ltrch\fcs0 _x000d__x000a_\cs18\v\f1\fs20\cf15\insrsid7747959\charrsid13639606 MNU[CROSSREFNO][CROSSREFYES]@CHOICE@}{\rtlch\fcs1 \af0 \ltrch\fcs0 \insrsid7747959\charrsid13639606 #}{\rtlch\fcs1 \af0 \ltrch\fcs0 _x000d__x000a_\cs17\i0\v\fs20\cf9\loch\af1\hich\af1\dbch\af31501\insrsid7747959\charrsid13639606 \hich\af1\dbch\af31501\loch\f1 &lt;/OptDel&gt;}{\rtlch\fcs1 \af0 \ltrch\fcs0 \insrsid7747959\charrsid13639606 _x000d__x000a_\par }\pard\plain \ltrpar\s23\qc \li0\ri0\sb240\sa240\keepn\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TitreJust&gt;}{\rtlch\fcs1 \af0 \ltrch\fcs0 \insrsid7747959\charrsid13639606 Justification}{\rtlch\fcs1 \af0 _x000d__x000a_\ltrch\fcs0 \cs17\i0\v\fs20\cf9\loch\af1\hich\af1\dbch\af31501\insrsid7747959\charrsid13639606 \hich\af1\dbch\af31501\loch\f1 &lt;/TitreJust&gt;}{\rtlch\fcs1 \af0 \ltrch\fcs0 \insrsid7747959\charrsid13639606 _x000d__x000a_\par }\pard\plain \ltrpar\s21\ql \li0\ri0\sa240\nowidctlpar\wrapdefault\aspalpha\aspnum\faauto\adjustright\rin0\lin0\itap0\pararsid7747959 \rtlch\fcs1 \af0\afs20\alang1025 \ltrch\fcs0 \i\fs24\lang2057\langfe2057\cgrid\langnp2057\langfenp2057 {\rtlch\fcs1 \af0 _x000d__x000a_\ltrch\fcs0 \cs17\i0\v\fs20\cf9\loch\af1\hich\af1\dbch\af31501\insrsid7747959\charrsid13639606 \hich\af1\dbch\af31501\loch\f1 &lt;OptDelPrev&gt;}{\rtlch\fcs1 \af0 \ltrch\fcs0 \insrsid7747959\charrsid13639606 #}{\rtlch\fcs1 \af1 \ltrch\fcs0 _x000d__x000a_\cs18\v\f1\fs20\cf15\insrsid7747959\charrsid13639606 MNU[TEXTJUSTYES][TEXTJUSTNO]@CHOICE@}{\rtlch\fcs1 \af0 \ltrch\fcs0 \insrsid7747959\charrsid13639606 #}{\rtlch\fcs1 \af0 \ltrch\fcs0 _x000d__x000a_\cs17\i0\v\fs20\cf9\loch\af1\hich\af1\dbch\af31501\insrsid7747959\charrsid13639606 \hich\af1\dbch\af31501\loch\f1 &lt;/OptDelPrev&gt;}{\rtlch\fcs1 \af0 \ltrch\fcs0 \insrsid7747959\charrsid13639606 _x000d__x000a_\par }\pard\plain \ltrpar\ql \li0\ri0\widctlpar\wrapdefault\aspalpha\aspnum\faauto\adjustright\rin0\lin0\itap0\pararsid7747959 \rtlch\fcs1 \af0\afs20\alang1025 \ltrch\fcs0 \fs24\lang2057\langfe2057\cgrid\langnp2057\langfenp2057 {\rtlch\fcs1 \af0 \ltrch\fcs0 _x000d__x000a_\cs17\v\fs20\cf9\loch\af1\hich\af1\dbch\af31501\insrsid7747959\charrsid1363960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Erik Marquardt"/>
    <w:docVar w:name="TXTLANGUE" w:val="EN"/>
    <w:docVar w:name="TXTLANGUEMIN" w:val="en"/>
    <w:docVar w:name="TXTNRC" w:val="0160/2022"/>
    <w:docVar w:name="TXTNRCOD" w:val="2022/0135"/>
    <w:docVar w:name="TXTNRCOM" w:val="(2022)0189"/>
    <w:docVar w:name="TXTNRFIRSTAM" w:val="1"/>
    <w:docVar w:name="TXTNRLASTAM" w:val="1"/>
    <w:docVar w:name="TXTNRPE" w:val="736.470"/>
    <w:docVar w:name="TXTPEorAP" w:val="PE"/>
    <w:docVar w:name="TXTROUTE" w:val="PR\1263011EN.docx"/>
    <w:docVar w:name="TXTTITLE" w:val="amending Regulation (EU) 2018/1806, listing the third countries whose nationals must be in possession of visas when crossing the external borders and those whose nationals are exempt from that requirement (Kuwait, Qatar)"/>
    <w:docVar w:name="TXTVERSION" w:val="01-00"/>
  </w:docVars>
  <w:rsids>
    <w:rsidRoot w:val="00307279"/>
    <w:rsid w:val="00011AAB"/>
    <w:rsid w:val="00012351"/>
    <w:rsid w:val="000139E5"/>
    <w:rsid w:val="00084DD2"/>
    <w:rsid w:val="00084E89"/>
    <w:rsid w:val="000B7489"/>
    <w:rsid w:val="000F1096"/>
    <w:rsid w:val="00120948"/>
    <w:rsid w:val="0012324A"/>
    <w:rsid w:val="00123DD5"/>
    <w:rsid w:val="001257CF"/>
    <w:rsid w:val="001277AE"/>
    <w:rsid w:val="0013710F"/>
    <w:rsid w:val="00142215"/>
    <w:rsid w:val="001767E2"/>
    <w:rsid w:val="00187008"/>
    <w:rsid w:val="001B1316"/>
    <w:rsid w:val="001B3829"/>
    <w:rsid w:val="001C5592"/>
    <w:rsid w:val="001C5B44"/>
    <w:rsid w:val="001C6FFC"/>
    <w:rsid w:val="001F7C7C"/>
    <w:rsid w:val="00212B84"/>
    <w:rsid w:val="002346B0"/>
    <w:rsid w:val="002667C3"/>
    <w:rsid w:val="002669B6"/>
    <w:rsid w:val="002767EC"/>
    <w:rsid w:val="00290BED"/>
    <w:rsid w:val="00293D90"/>
    <w:rsid w:val="002D13EE"/>
    <w:rsid w:val="002E33EE"/>
    <w:rsid w:val="002F40BB"/>
    <w:rsid w:val="002F4B02"/>
    <w:rsid w:val="00307279"/>
    <w:rsid w:val="00312067"/>
    <w:rsid w:val="00323EF8"/>
    <w:rsid w:val="003316DD"/>
    <w:rsid w:val="00366A46"/>
    <w:rsid w:val="00370AC3"/>
    <w:rsid w:val="003824EE"/>
    <w:rsid w:val="003B4689"/>
    <w:rsid w:val="003C2068"/>
    <w:rsid w:val="003C37CF"/>
    <w:rsid w:val="004100B1"/>
    <w:rsid w:val="00411957"/>
    <w:rsid w:val="00426E47"/>
    <w:rsid w:val="00455743"/>
    <w:rsid w:val="00461601"/>
    <w:rsid w:val="004B32B6"/>
    <w:rsid w:val="004B38C6"/>
    <w:rsid w:val="004C0915"/>
    <w:rsid w:val="004D424E"/>
    <w:rsid w:val="004D5661"/>
    <w:rsid w:val="004E42C8"/>
    <w:rsid w:val="004E5825"/>
    <w:rsid w:val="004E733D"/>
    <w:rsid w:val="004F3FA5"/>
    <w:rsid w:val="0051271F"/>
    <w:rsid w:val="00521F46"/>
    <w:rsid w:val="00531D7A"/>
    <w:rsid w:val="00551111"/>
    <w:rsid w:val="00551123"/>
    <w:rsid w:val="00552BBF"/>
    <w:rsid w:val="0057089C"/>
    <w:rsid w:val="00570A6A"/>
    <w:rsid w:val="00586E50"/>
    <w:rsid w:val="0059583D"/>
    <w:rsid w:val="005A42D9"/>
    <w:rsid w:val="005C2BEF"/>
    <w:rsid w:val="005D1A99"/>
    <w:rsid w:val="005D7609"/>
    <w:rsid w:val="005D7EE8"/>
    <w:rsid w:val="006305D6"/>
    <w:rsid w:val="00642325"/>
    <w:rsid w:val="006456F0"/>
    <w:rsid w:val="00646926"/>
    <w:rsid w:val="006A04ED"/>
    <w:rsid w:val="006A2F5D"/>
    <w:rsid w:val="006F7907"/>
    <w:rsid w:val="00743189"/>
    <w:rsid w:val="00743D33"/>
    <w:rsid w:val="007932B3"/>
    <w:rsid w:val="00793EA9"/>
    <w:rsid w:val="00797A79"/>
    <w:rsid w:val="007D6F68"/>
    <w:rsid w:val="00823E6B"/>
    <w:rsid w:val="00826780"/>
    <w:rsid w:val="00837CCD"/>
    <w:rsid w:val="008633CC"/>
    <w:rsid w:val="00865190"/>
    <w:rsid w:val="008719B9"/>
    <w:rsid w:val="00885C34"/>
    <w:rsid w:val="00894ECE"/>
    <w:rsid w:val="00896BB4"/>
    <w:rsid w:val="008A323A"/>
    <w:rsid w:val="008A7FB8"/>
    <w:rsid w:val="008B4F2E"/>
    <w:rsid w:val="009022B8"/>
    <w:rsid w:val="00914537"/>
    <w:rsid w:val="00917CC4"/>
    <w:rsid w:val="00923B7C"/>
    <w:rsid w:val="009763DA"/>
    <w:rsid w:val="0099206A"/>
    <w:rsid w:val="009975B3"/>
    <w:rsid w:val="009A216D"/>
    <w:rsid w:val="009B4B93"/>
    <w:rsid w:val="009D3E42"/>
    <w:rsid w:val="009F13DC"/>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63AB5"/>
    <w:rsid w:val="00B85407"/>
    <w:rsid w:val="00B95702"/>
    <w:rsid w:val="00BC6489"/>
    <w:rsid w:val="00BD480C"/>
    <w:rsid w:val="00C13A6F"/>
    <w:rsid w:val="00C20954"/>
    <w:rsid w:val="00C23324"/>
    <w:rsid w:val="00C42A41"/>
    <w:rsid w:val="00C47E74"/>
    <w:rsid w:val="00C57A72"/>
    <w:rsid w:val="00C73602"/>
    <w:rsid w:val="00C945E5"/>
    <w:rsid w:val="00CA3F76"/>
    <w:rsid w:val="00CE332D"/>
    <w:rsid w:val="00CF60C8"/>
    <w:rsid w:val="00D30DE2"/>
    <w:rsid w:val="00D32924"/>
    <w:rsid w:val="00D503A3"/>
    <w:rsid w:val="00DA436D"/>
    <w:rsid w:val="00DA6ED0"/>
    <w:rsid w:val="00DC5011"/>
    <w:rsid w:val="00E12821"/>
    <w:rsid w:val="00E171B6"/>
    <w:rsid w:val="00E72695"/>
    <w:rsid w:val="00EB1753"/>
    <w:rsid w:val="00EB6CFF"/>
    <w:rsid w:val="00EE3996"/>
    <w:rsid w:val="00F07062"/>
    <w:rsid w:val="00F23CFC"/>
    <w:rsid w:val="00F433E2"/>
    <w:rsid w:val="00F904AE"/>
    <w:rsid w:val="00F934F8"/>
    <w:rsid w:val="00FB52FE"/>
    <w:rsid w:val="00FC0A34"/>
    <w:rsid w:val="00FD1DEF"/>
    <w:rsid w:val="00FE062E"/>
    <w:rsid w:val="00FE3B3F"/>
    <w:rsid w:val="00FE734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C780E"/>
  <w15:chartTrackingRefBased/>
  <w15:docId w15:val="{11F50E51-5574-4F15-B47F-373EC435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257CF"/>
    <w:pPr>
      <w:tabs>
        <w:tab w:val="right" w:pos="454"/>
        <w:tab w:val="left" w:pos="737"/>
      </w:tabs>
      <w:ind w:left="737" w:hanging="737"/>
    </w:pPr>
    <w:rPr>
      <w:snapToGrid w:val="0"/>
      <w:sz w:val="18"/>
      <w:lang w:eastAsia="en-US"/>
    </w:rPr>
  </w:style>
  <w:style w:type="paragraph" w:customStyle="1" w:styleId="Lgendetitre">
    <w:name w:val="Légende titre"/>
    <w:basedOn w:val="Normal"/>
    <w:rsid w:val="001257CF"/>
    <w:pPr>
      <w:spacing w:before="240" w:after="240"/>
    </w:pPr>
    <w:rPr>
      <w:b/>
      <w:i/>
      <w:snapToGrid w:val="0"/>
      <w:lang w:eastAsia="en-US"/>
    </w:rPr>
  </w:style>
  <w:style w:type="paragraph" w:customStyle="1" w:styleId="Lgendestandard">
    <w:name w:val="Légende standard"/>
    <w:basedOn w:val="Normal"/>
    <w:rsid w:val="001257CF"/>
    <w:rPr>
      <w:sz w:val="18"/>
    </w:rPr>
  </w:style>
  <w:style w:type="paragraph" w:customStyle="1" w:styleId="Normal6">
    <w:name w:val="Normal6"/>
    <w:basedOn w:val="Normal"/>
    <w:link w:val="Normal6Char"/>
    <w:rsid w:val="00797A79"/>
    <w:pPr>
      <w:spacing w:after="120"/>
    </w:pPr>
    <w:rPr>
      <w:lang w:val="fr-FR"/>
    </w:rPr>
  </w:style>
  <w:style w:type="character" w:customStyle="1" w:styleId="NormalBoldChar">
    <w:name w:val="NormalBold Char"/>
    <w:link w:val="NormalBold"/>
    <w:rsid w:val="00797A79"/>
    <w:rPr>
      <w:b/>
      <w:sz w:val="24"/>
    </w:rPr>
  </w:style>
  <w:style w:type="character" w:customStyle="1" w:styleId="Normal6Char">
    <w:name w:val="Normal6 Char"/>
    <w:link w:val="Normal6"/>
    <w:rsid w:val="00797A79"/>
    <w:rPr>
      <w:sz w:val="24"/>
      <w:lang w:val="fr-FR"/>
    </w:rPr>
  </w:style>
  <w:style w:type="paragraph" w:customStyle="1" w:styleId="ColumnHeading">
    <w:name w:val="ColumnHeading"/>
    <w:basedOn w:val="Normal"/>
    <w:rsid w:val="00797A79"/>
    <w:pPr>
      <w:spacing w:after="240"/>
      <w:jc w:val="center"/>
    </w:pPr>
    <w:rPr>
      <w:i/>
      <w:lang w:val="fr-FR"/>
    </w:rPr>
  </w:style>
  <w:style w:type="paragraph" w:customStyle="1" w:styleId="AMNumberTabs0">
    <w:name w:val="AMNumberTabs"/>
    <w:basedOn w:val="Normal"/>
    <w:rsid w:val="00797A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797A79"/>
    <w:pPr>
      <w:jc w:val="right"/>
    </w:pPr>
  </w:style>
  <w:style w:type="paragraph" w:styleId="Footer">
    <w:name w:val="footer"/>
    <w:basedOn w:val="Normal"/>
    <w:link w:val="FooterChar"/>
    <w:semiHidden/>
    <w:rsid w:val="004E5825"/>
    <w:pPr>
      <w:tabs>
        <w:tab w:val="center" w:pos="4513"/>
        <w:tab w:val="right" w:pos="9026"/>
      </w:tabs>
    </w:pPr>
  </w:style>
  <w:style w:type="character" w:customStyle="1" w:styleId="FooterChar">
    <w:name w:val="Footer Char"/>
    <w:basedOn w:val="DefaultParagraphFont"/>
    <w:link w:val="Footer"/>
    <w:semiHidden/>
    <w:rsid w:val="004E5825"/>
    <w:rPr>
      <w:sz w:val="24"/>
    </w:rPr>
  </w:style>
  <w:style w:type="paragraph" w:styleId="BalloonText">
    <w:name w:val="Balloon Text"/>
    <w:basedOn w:val="Normal"/>
    <w:link w:val="BalloonTextChar"/>
    <w:semiHidden/>
    <w:unhideWhenUsed/>
    <w:rsid w:val="0012324A"/>
    <w:rPr>
      <w:rFonts w:ascii="Segoe UI" w:hAnsi="Segoe UI" w:cs="Segoe UI"/>
      <w:sz w:val="18"/>
      <w:szCs w:val="18"/>
    </w:rPr>
  </w:style>
  <w:style w:type="character" w:customStyle="1" w:styleId="BalloonTextChar">
    <w:name w:val="Balloon Text Char"/>
    <w:basedOn w:val="DefaultParagraphFont"/>
    <w:link w:val="BalloonText"/>
    <w:semiHidden/>
    <w:rsid w:val="0012324A"/>
    <w:rPr>
      <w:rFonts w:ascii="Segoe UI" w:hAnsi="Segoe UI" w:cs="Segoe UI"/>
      <w:sz w:val="18"/>
      <w:szCs w:val="18"/>
    </w:rPr>
  </w:style>
  <w:style w:type="character" w:styleId="CommentReference">
    <w:name w:val="annotation reference"/>
    <w:basedOn w:val="DefaultParagraphFont"/>
    <w:rsid w:val="0012324A"/>
    <w:rPr>
      <w:sz w:val="16"/>
      <w:szCs w:val="16"/>
    </w:rPr>
  </w:style>
  <w:style w:type="paragraph" w:styleId="CommentText">
    <w:name w:val="annotation text"/>
    <w:basedOn w:val="Normal"/>
    <w:link w:val="CommentTextChar"/>
    <w:uiPriority w:val="99"/>
    <w:rsid w:val="0012324A"/>
    <w:rPr>
      <w:sz w:val="20"/>
    </w:rPr>
  </w:style>
  <w:style w:type="character" w:customStyle="1" w:styleId="CommentTextChar">
    <w:name w:val="Comment Text Char"/>
    <w:basedOn w:val="DefaultParagraphFont"/>
    <w:link w:val="CommentText"/>
    <w:uiPriority w:val="99"/>
    <w:rsid w:val="0012324A"/>
  </w:style>
  <w:style w:type="paragraph" w:styleId="CommentSubject">
    <w:name w:val="annotation subject"/>
    <w:basedOn w:val="CommentText"/>
    <w:next w:val="CommentText"/>
    <w:link w:val="CommentSubjectChar"/>
    <w:semiHidden/>
    <w:unhideWhenUsed/>
    <w:rsid w:val="0012324A"/>
    <w:rPr>
      <w:b/>
      <w:bCs/>
    </w:rPr>
  </w:style>
  <w:style w:type="character" w:customStyle="1" w:styleId="CommentSubjectChar">
    <w:name w:val="Comment Subject Char"/>
    <w:basedOn w:val="CommentTextChar"/>
    <w:link w:val="CommentSubject"/>
    <w:semiHidden/>
    <w:rsid w:val="0012324A"/>
    <w:rPr>
      <w:b/>
      <w:bCs/>
    </w:rPr>
  </w:style>
  <w:style w:type="paragraph" w:customStyle="1" w:styleId="Text1">
    <w:name w:val="Text 1"/>
    <w:basedOn w:val="Normal"/>
    <w:rsid w:val="0012324A"/>
    <w:pPr>
      <w:widowControl/>
      <w:spacing w:before="120" w:after="120"/>
      <w:ind w:left="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D7DFF-AC53-4803-BA8F-C63B9FDB9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2444</Words>
  <Characters>13495</Characters>
  <Application>Microsoft Office Word</Application>
  <DocSecurity>0</DocSecurity>
  <Lines>374</Lines>
  <Paragraphs>125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TOADER Maria</dc:creator>
  <cp:keywords/>
  <dc:description/>
  <cp:lastModifiedBy>VELIKOVA-MALDZHANSKA Lora</cp:lastModifiedBy>
  <cp:revision>3</cp:revision>
  <cp:lastPrinted>2004-11-04T09:41:00Z</cp:lastPrinted>
  <dcterms:created xsi:type="dcterms:W3CDTF">2022-09-21T07:23:00Z</dcterms:created>
  <dcterms:modified xsi:type="dcterms:W3CDTF">2022-09-21T07:23:00Z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9.13.0 Build [20220701]</vt:lpwstr>
  </property>
  <property fmtid="{D5CDD505-2E9C-101B-9397-08002B2CF9AE}" pid="4" name="LastEdited with">
    <vt:lpwstr>9.13.0 Build [20220701]</vt:lpwstr>
  </property>
  <property fmtid="{D5CDD505-2E9C-101B-9397-08002B2CF9AE}" pid="5" name="&lt;FdR&gt;">
    <vt:lpwstr>1263011</vt:lpwstr>
  </property>
  <property fmtid="{D5CDD505-2E9C-101B-9397-08002B2CF9AE}" pid="6" name="&lt;Type&gt;">
    <vt:lpwstr>PR</vt:lpwstr>
  </property>
  <property fmtid="{D5CDD505-2E9C-101B-9397-08002B2CF9AE}" pid="7" name="&lt;ModelCod&gt;">
    <vt:lpwstr>\\eiciBRUpr1\pdocep$\DocEP\DOCS\General\PR\PR_Leg\COD\COD_1st\PR_COD_1amCom.dotx(17/04/2020 19:27:09)</vt:lpwstr>
  </property>
  <property fmtid="{D5CDD505-2E9C-101B-9397-08002B2CF9AE}" pid="8" name="&lt;ModelTra&gt;">
    <vt:lpwstr>\\eiciBRUpr1\pdocep$\DocEP\TRANSFIL\EN\PR_COD_1amCom.EN(29/06/2022 10:21:37)</vt:lpwstr>
  </property>
  <property fmtid="{D5CDD505-2E9C-101B-9397-08002B2CF9AE}" pid="9" name="&lt;Model&gt;">
    <vt:lpwstr>PR_COD_1amCom</vt:lpwstr>
  </property>
  <property fmtid="{D5CDD505-2E9C-101B-9397-08002B2CF9AE}" pid="10" name="FooterPath">
    <vt:lpwstr>PR\1263011EN.docx</vt:lpwstr>
  </property>
  <property fmtid="{D5CDD505-2E9C-101B-9397-08002B2CF9AE}" pid="11" name="PE number">
    <vt:lpwstr>736.470</vt:lpwstr>
  </property>
  <property fmtid="{D5CDD505-2E9C-101B-9397-08002B2CF9AE}" pid="12" name="SendToEpades">
    <vt:lpwstr>OK - 2022/09/16 13:13</vt:lpwstr>
  </property>
</Properties>
</file>