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30108" w:rsidRPr="00FE4A8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FE4A84" w:rsidRDefault="00E47984" w:rsidP="00FE4A84">
            <w:pPr>
              <w:pStyle w:val="EPName"/>
              <w:widowControl/>
            </w:pPr>
            <w:r w:rsidRPr="00FE4A84">
              <w:t>Euroopan parlamentti</w:t>
            </w:r>
          </w:p>
          <w:p w:rsidR="00B13D6F" w:rsidRPr="00FE4A84" w:rsidRDefault="00E47984" w:rsidP="00FE4A84">
            <w:pPr>
              <w:pStyle w:val="EPTerm"/>
              <w:widowControl/>
            </w:pPr>
            <w:r w:rsidRPr="00FE4A8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FE4A84" w:rsidRDefault="00E47984" w:rsidP="00FE4A84">
            <w:pPr>
              <w:pStyle w:val="EPLogo"/>
              <w:widowControl/>
            </w:pPr>
            <w:r w:rsidRPr="00FE4A84">
              <w:rPr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807589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FE4A84" w:rsidRDefault="00461601" w:rsidP="00FE4A84">
      <w:pPr>
        <w:pStyle w:val="LineTop"/>
        <w:widowControl/>
      </w:pPr>
    </w:p>
    <w:p w:rsidR="00461601" w:rsidRPr="00FE4A84" w:rsidRDefault="00E47984" w:rsidP="00FE4A84">
      <w:pPr>
        <w:pStyle w:val="EPBody"/>
        <w:widowControl/>
      </w:pPr>
      <w:r w:rsidRPr="00FE4A84">
        <w:rPr>
          <w:rStyle w:val="HideTWBExt"/>
          <w:noProof w:val="0"/>
        </w:rPr>
        <w:t>&lt;</w:t>
      </w:r>
      <w:r w:rsidRPr="00FE4A84">
        <w:rPr>
          <w:rStyle w:val="HideTWBExt"/>
          <w:i w:val="0"/>
          <w:noProof w:val="0"/>
        </w:rPr>
        <w:t>Commission</w:t>
      </w:r>
      <w:r w:rsidRPr="00FE4A84">
        <w:rPr>
          <w:rStyle w:val="HideTWBExt"/>
          <w:noProof w:val="0"/>
        </w:rPr>
        <w:t>&gt;</w:t>
      </w:r>
      <w:r w:rsidRPr="00FE4A84">
        <w:rPr>
          <w:rStyle w:val="HideTWBInt"/>
        </w:rPr>
        <w:t>{LIBE}</w:t>
      </w:r>
      <w:r w:rsidRPr="00FE4A84">
        <w:t>Kansalaisvapauksien sekä oikeus- ja sisäasioiden valiokunta</w:t>
      </w:r>
      <w:r w:rsidRPr="00FE4A84">
        <w:rPr>
          <w:rStyle w:val="HideTWBExt"/>
          <w:noProof w:val="0"/>
        </w:rPr>
        <w:t>&lt;/</w:t>
      </w:r>
      <w:r w:rsidRPr="00FE4A84">
        <w:rPr>
          <w:rStyle w:val="HideTWBExt"/>
          <w:i w:val="0"/>
          <w:noProof w:val="0"/>
        </w:rPr>
        <w:t>Commission</w:t>
      </w:r>
      <w:r w:rsidRPr="00FE4A84">
        <w:rPr>
          <w:rStyle w:val="HideTWBExt"/>
          <w:noProof w:val="0"/>
        </w:rPr>
        <w:t>&gt;</w:t>
      </w:r>
    </w:p>
    <w:p w:rsidR="00461601" w:rsidRPr="00FE4A84" w:rsidRDefault="00461601" w:rsidP="00FE4A84">
      <w:pPr>
        <w:pStyle w:val="LineBottom"/>
        <w:widowControl/>
      </w:pPr>
    </w:p>
    <w:p w:rsidR="00793EA9" w:rsidRPr="00FE4A84" w:rsidRDefault="00E47984" w:rsidP="00FE4A84">
      <w:pPr>
        <w:pStyle w:val="CoverReference"/>
        <w:widowControl/>
      </w:pPr>
      <w:r w:rsidRPr="00FE4A84">
        <w:rPr>
          <w:rStyle w:val="HideTWBExt"/>
          <w:b w:val="0"/>
          <w:noProof w:val="0"/>
        </w:rPr>
        <w:t>&lt;RefProc&gt;</w:t>
      </w:r>
      <w:r w:rsidRPr="00FE4A84">
        <w:t>2022/0135</w:t>
      </w:r>
      <w:r w:rsidRPr="00FE4A84">
        <w:rPr>
          <w:rStyle w:val="HideTWBExt"/>
          <w:b w:val="0"/>
          <w:noProof w:val="0"/>
        </w:rPr>
        <w:t>&lt;/RefProc&gt;&lt;RefTypeProc&gt;</w:t>
      </w:r>
      <w:r w:rsidRPr="00FE4A84">
        <w:t>(COD)</w:t>
      </w:r>
      <w:r w:rsidRPr="00FE4A84">
        <w:rPr>
          <w:rStyle w:val="HideTWBExt"/>
          <w:b w:val="0"/>
          <w:noProof w:val="0"/>
        </w:rPr>
        <w:t>&lt;/RefTypeProc&gt;</w:t>
      </w:r>
    </w:p>
    <w:p w:rsidR="00793EA9" w:rsidRPr="00FE4A84" w:rsidRDefault="00E47984" w:rsidP="00FE4A84">
      <w:pPr>
        <w:pStyle w:val="CoverDate"/>
        <w:widowControl/>
      </w:pPr>
      <w:r w:rsidRPr="00FE4A84">
        <w:rPr>
          <w:rStyle w:val="HideTWBExt"/>
          <w:noProof w:val="0"/>
        </w:rPr>
        <w:t>&lt;Date&gt;</w:t>
      </w:r>
      <w:r w:rsidRPr="00FE4A84">
        <w:rPr>
          <w:rStyle w:val="HideTWBInt"/>
        </w:rPr>
        <w:t>{16/09/2022}</w:t>
      </w:r>
      <w:r w:rsidRPr="00FE4A84">
        <w:t>16.9.2022</w:t>
      </w:r>
      <w:r w:rsidRPr="00FE4A84">
        <w:rPr>
          <w:rStyle w:val="HideTWBExt"/>
          <w:noProof w:val="0"/>
        </w:rPr>
        <w:t>&lt;/Date&gt;</w:t>
      </w:r>
    </w:p>
    <w:p w:rsidR="00793EA9" w:rsidRPr="00FE4A84" w:rsidRDefault="00E47984" w:rsidP="00FE4A84">
      <w:pPr>
        <w:pStyle w:val="CoverDocType"/>
        <w:widowControl/>
      </w:pPr>
      <w:r w:rsidRPr="00FE4A84">
        <w:rPr>
          <w:rStyle w:val="HideTWBExt"/>
          <w:b w:val="0"/>
          <w:noProof w:val="0"/>
        </w:rPr>
        <w:t>&lt;RefProcLect&gt;</w:t>
      </w:r>
      <w:r w:rsidRPr="00FE4A84">
        <w:t>***I</w:t>
      </w:r>
      <w:r w:rsidRPr="00FE4A84">
        <w:rPr>
          <w:rStyle w:val="HideTWBExt"/>
          <w:b w:val="0"/>
          <w:noProof w:val="0"/>
        </w:rPr>
        <w:t>&lt;/RefProcLect&gt;</w:t>
      </w:r>
    </w:p>
    <w:p w:rsidR="00793EA9" w:rsidRPr="00FE4A84" w:rsidRDefault="00E47984" w:rsidP="00FE4A84">
      <w:pPr>
        <w:pStyle w:val="CoverDocType24a"/>
        <w:widowControl/>
      </w:pPr>
      <w:r w:rsidRPr="00FE4A84">
        <w:rPr>
          <w:rStyle w:val="HideTWBExt"/>
          <w:b w:val="0"/>
          <w:noProof w:val="0"/>
        </w:rPr>
        <w:t>&lt;TitreType&gt;</w:t>
      </w:r>
      <w:r w:rsidRPr="00FE4A84">
        <w:t>MIETINTÖLUONNOS</w:t>
      </w:r>
      <w:r w:rsidRPr="00FE4A84">
        <w:rPr>
          <w:rStyle w:val="HideTWBExt"/>
          <w:b w:val="0"/>
          <w:noProof w:val="0"/>
        </w:rPr>
        <w:t>&lt;/TitreType&gt;</w:t>
      </w:r>
    </w:p>
    <w:p w:rsidR="00793EA9" w:rsidRPr="00FE4A84" w:rsidRDefault="00E47984" w:rsidP="00FE4A84">
      <w:pPr>
        <w:pStyle w:val="CoverNormal"/>
        <w:widowControl/>
      </w:pPr>
      <w:r w:rsidRPr="00FE4A84">
        <w:rPr>
          <w:rStyle w:val="HideTWBExt"/>
          <w:noProof w:val="0"/>
        </w:rPr>
        <w:t>&lt;Titre&gt;</w:t>
      </w:r>
      <w:r w:rsidRPr="00FE4A84">
        <w:t>ehdotuksesta Euroopan parlamentin ja neuvoston asetukseksi luettelon vahvistamisesta kolmansista maista, joiden kansalaisilla on oltava viisumi ulkorajoja ylittäessään, ja niistä kolmansista maista, joiden kans</w:t>
      </w:r>
      <w:r w:rsidRPr="00FE4A84">
        <w:t xml:space="preserve">alaisia tämä vaatimus ei koske, annetun asetuksen (EU) 2018/1806 muuttamisesta (Kuwait, </w:t>
      </w:r>
      <w:proofErr w:type="gramStart"/>
      <w:r w:rsidRPr="00FE4A84">
        <w:t>Qatar)</w:t>
      </w:r>
      <w:r w:rsidRPr="00FE4A84">
        <w:rPr>
          <w:rStyle w:val="HideTWBExt"/>
          <w:noProof w:val="0"/>
        </w:rPr>
        <w:t>&lt;</w:t>
      </w:r>
      <w:proofErr w:type="gramEnd"/>
      <w:r w:rsidRPr="00FE4A84">
        <w:rPr>
          <w:rStyle w:val="HideTWBExt"/>
          <w:noProof w:val="0"/>
        </w:rPr>
        <w:t>/Titre&gt;</w:t>
      </w:r>
    </w:p>
    <w:p w:rsidR="00793EA9" w:rsidRPr="00FE4A84" w:rsidRDefault="00E47984" w:rsidP="00FE4A84">
      <w:pPr>
        <w:pStyle w:val="CoverNormal24a"/>
        <w:widowControl/>
        <w:rPr>
          <w:lang w:val="pt-PT"/>
        </w:rPr>
      </w:pPr>
      <w:r w:rsidRPr="00FE4A84">
        <w:rPr>
          <w:rStyle w:val="HideTWBExt"/>
          <w:noProof w:val="0"/>
          <w:lang w:val="pt-PT"/>
        </w:rPr>
        <w:t>&lt;DocRef&gt;</w:t>
      </w:r>
      <w:r w:rsidRPr="00FE4A84">
        <w:rPr>
          <w:lang w:val="pt-PT"/>
        </w:rPr>
        <w:t>(</w:t>
      </w:r>
      <w:proofErr w:type="gramStart"/>
      <w:r w:rsidRPr="00FE4A84">
        <w:rPr>
          <w:lang w:val="pt-PT"/>
        </w:rPr>
        <w:t>COM(</w:t>
      </w:r>
      <w:proofErr w:type="gramEnd"/>
      <w:r w:rsidRPr="00FE4A84">
        <w:rPr>
          <w:lang w:val="pt-PT"/>
        </w:rPr>
        <w:t>2022)0189 – C9</w:t>
      </w:r>
      <w:r w:rsidRPr="00FE4A84">
        <w:rPr>
          <w:lang w:val="pt-PT"/>
        </w:rPr>
        <w:noBreakHyphen/>
        <w:t>0160/2022 – 2022/0135(COD))</w:t>
      </w:r>
      <w:r w:rsidRPr="00FE4A84">
        <w:rPr>
          <w:rStyle w:val="HideTWBExt"/>
          <w:noProof w:val="0"/>
          <w:lang w:val="pt-PT"/>
        </w:rPr>
        <w:t>&lt;/DocRef&gt;</w:t>
      </w:r>
    </w:p>
    <w:p w:rsidR="00793EA9" w:rsidRPr="00FE4A84" w:rsidRDefault="00E47984" w:rsidP="00FE4A84">
      <w:pPr>
        <w:pStyle w:val="CoverNormal24a"/>
        <w:widowControl/>
      </w:pPr>
      <w:r w:rsidRPr="00FE4A84">
        <w:rPr>
          <w:rStyle w:val="HideTWBExt"/>
          <w:noProof w:val="0"/>
        </w:rPr>
        <w:t>&lt;Commission&gt;</w:t>
      </w:r>
      <w:r w:rsidRPr="00FE4A84">
        <w:rPr>
          <w:rStyle w:val="HideTWBInt"/>
        </w:rPr>
        <w:t>{LIBE}</w:t>
      </w:r>
      <w:r w:rsidRPr="00FE4A84">
        <w:t>Kansalaisvapauksien sekä oikeus- ja sisäasioiden valiokunta</w:t>
      </w:r>
      <w:r w:rsidRPr="00FE4A84">
        <w:rPr>
          <w:rStyle w:val="HideTWBExt"/>
          <w:noProof w:val="0"/>
        </w:rPr>
        <w:t>&lt;/Commissio</w:t>
      </w:r>
      <w:r w:rsidRPr="00FE4A84">
        <w:rPr>
          <w:rStyle w:val="HideTWBExt"/>
          <w:noProof w:val="0"/>
        </w:rPr>
        <w:t>n&gt;</w:t>
      </w:r>
    </w:p>
    <w:p w:rsidR="00793EA9" w:rsidRPr="00FE4A84" w:rsidRDefault="00E47984" w:rsidP="00FE4A84">
      <w:pPr>
        <w:pStyle w:val="CoverNormal24a"/>
        <w:widowControl/>
      </w:pPr>
      <w:r w:rsidRPr="00FE4A84">
        <w:t xml:space="preserve">Esittelijä: </w:t>
      </w:r>
      <w:r w:rsidRPr="00FE4A84">
        <w:rPr>
          <w:rStyle w:val="HideTWBExt"/>
          <w:noProof w:val="0"/>
        </w:rPr>
        <w:t>&lt;Depute&gt;</w:t>
      </w:r>
      <w:r w:rsidRPr="00FE4A84">
        <w:t>Erik Marquardt</w:t>
      </w:r>
      <w:r w:rsidRPr="00FE4A84">
        <w:rPr>
          <w:rStyle w:val="HideTWBExt"/>
          <w:noProof w:val="0"/>
        </w:rPr>
        <w:t>&lt;/Depute&gt;</w:t>
      </w:r>
    </w:p>
    <w:p w:rsidR="001C5B44" w:rsidRPr="00FE4A84" w:rsidRDefault="001C5B44" w:rsidP="00FE4A84">
      <w:pPr>
        <w:pStyle w:val="CoverNormal"/>
        <w:widowControl/>
      </w:pPr>
    </w:p>
    <w:p w:rsidR="001257CF" w:rsidRPr="00FE4A84" w:rsidRDefault="00E47984" w:rsidP="00FE4A84">
      <w:pPr>
        <w:widowControl/>
      </w:pPr>
      <w:r w:rsidRPr="00FE4A84">
        <w:br w:type="page"/>
      </w:r>
      <w:r w:rsidRPr="00FE4A84">
        <w:lastRenderedPageBreak/>
        <w:fldChar w:fldCharType="begin"/>
      </w:r>
      <w:r w:rsidRPr="00FE4A84">
        <w:instrText xml:space="preserve"> TITLE  \* MERGEFORMAT </w:instrText>
      </w:r>
      <w:r w:rsidRPr="00FE4A84">
        <w:fldChar w:fldCharType="separate"/>
      </w:r>
      <w:r>
        <w:t>PR_COD_1amCom</w:t>
      </w:r>
      <w:r w:rsidRPr="00FE4A84">
        <w:fldChar w:fldCharType="end"/>
      </w:r>
    </w:p>
    <w:p w:rsidR="001257CF" w:rsidRPr="00FE4A84" w:rsidRDefault="001257CF" w:rsidP="00FE4A84">
      <w:pPr>
        <w:widowControl/>
      </w:pPr>
    </w:p>
    <w:p w:rsidR="001257CF" w:rsidRPr="00FE4A84" w:rsidRDefault="001257CF" w:rsidP="00FE4A84">
      <w:pPr>
        <w:widowControl/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B30108" w:rsidRPr="00FE4A84">
        <w:tc>
          <w:tcPr>
            <w:tcW w:w="5811" w:type="dxa"/>
          </w:tcPr>
          <w:p w:rsidR="001257CF" w:rsidRPr="00FE4A84" w:rsidRDefault="00E47984" w:rsidP="00FE4A84">
            <w:pPr>
              <w:pStyle w:val="Lgendetitre"/>
              <w:widowControl/>
            </w:pPr>
            <w:r w:rsidRPr="00FE4A84">
              <w:t>Menettelyjen symbolit</w:t>
            </w:r>
          </w:p>
        </w:tc>
      </w:tr>
      <w:tr w:rsidR="00B30108" w:rsidRPr="00FE4A84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1257CF" w:rsidRPr="00FE4A84" w:rsidRDefault="00E47984" w:rsidP="00FE4A84">
            <w:pPr>
              <w:pStyle w:val="Lgendesigne"/>
              <w:widowControl/>
            </w:pPr>
            <w:r w:rsidRPr="00FE4A84">
              <w:tab/>
              <w:t>*</w:t>
            </w:r>
            <w:r w:rsidRPr="00FE4A84">
              <w:tab/>
              <w:t>Kuulemismenettely</w:t>
            </w:r>
          </w:p>
          <w:p w:rsidR="001257CF" w:rsidRPr="00FE4A84" w:rsidRDefault="00E47984" w:rsidP="00FE4A84">
            <w:pPr>
              <w:pStyle w:val="Lgendesigne"/>
              <w:widowControl/>
            </w:pPr>
            <w:r w:rsidRPr="00FE4A84">
              <w:tab/>
              <w:t>***</w:t>
            </w:r>
            <w:r w:rsidRPr="00FE4A84">
              <w:tab/>
              <w:t>Hyväksyntämenettely</w:t>
            </w:r>
          </w:p>
          <w:p w:rsidR="001257CF" w:rsidRPr="00FE4A84" w:rsidRDefault="00E47984" w:rsidP="00FE4A84">
            <w:pPr>
              <w:pStyle w:val="Lgendesigne"/>
              <w:widowControl/>
            </w:pPr>
            <w:r w:rsidRPr="00FE4A84">
              <w:tab/>
              <w:t>***I</w:t>
            </w:r>
            <w:r w:rsidRPr="00FE4A84">
              <w:tab/>
              <w:t>Tavallinen lainsäätämisjärjestys (ensimmäinen käsittely)</w:t>
            </w:r>
          </w:p>
          <w:p w:rsidR="001257CF" w:rsidRPr="00FE4A84" w:rsidRDefault="00E47984" w:rsidP="00FE4A84">
            <w:pPr>
              <w:pStyle w:val="Lgendesigne"/>
              <w:widowControl/>
            </w:pPr>
            <w:r w:rsidRPr="00FE4A84">
              <w:tab/>
              <w:t>***II</w:t>
            </w:r>
            <w:r w:rsidRPr="00FE4A84">
              <w:tab/>
            </w:r>
            <w:r w:rsidRPr="00FE4A84">
              <w:t>Tavallinen lainsäätämisjärjestys (toinen käsittely)</w:t>
            </w:r>
          </w:p>
          <w:p w:rsidR="001257CF" w:rsidRPr="00FE4A84" w:rsidRDefault="00E47984" w:rsidP="00FE4A84">
            <w:pPr>
              <w:pStyle w:val="Lgendesigne"/>
              <w:widowControl/>
            </w:pPr>
            <w:r w:rsidRPr="00FE4A84">
              <w:tab/>
              <w:t>***III</w:t>
            </w:r>
            <w:r w:rsidRPr="00FE4A84">
              <w:tab/>
              <w:t>Tavallinen lainsäätämisjärjestys (kolmas käsittely)</w:t>
            </w:r>
          </w:p>
          <w:p w:rsidR="001257CF" w:rsidRPr="00FE4A84" w:rsidRDefault="001257CF" w:rsidP="00FE4A84">
            <w:pPr>
              <w:pStyle w:val="Lgendestandard"/>
              <w:widowControl/>
            </w:pPr>
          </w:p>
          <w:p w:rsidR="001257CF" w:rsidRPr="00FE4A84" w:rsidRDefault="00E47984" w:rsidP="00FE4A84">
            <w:pPr>
              <w:pStyle w:val="Lgendestandard"/>
              <w:widowControl/>
            </w:pPr>
            <w:r w:rsidRPr="00FE4A84">
              <w:t>(Menettely määräytyy säädösesityksessä ehdotetun oikeusperustan mukaan.)</w:t>
            </w:r>
          </w:p>
          <w:p w:rsidR="001257CF" w:rsidRPr="00FE4A84" w:rsidRDefault="001257CF" w:rsidP="00FE4A84">
            <w:pPr>
              <w:pStyle w:val="Lgendestandard"/>
              <w:widowControl/>
            </w:pPr>
          </w:p>
        </w:tc>
      </w:tr>
    </w:tbl>
    <w:p w:rsidR="001257CF" w:rsidRPr="00FE4A84" w:rsidRDefault="001257CF" w:rsidP="00FE4A84">
      <w:pPr>
        <w:widowControl/>
      </w:pPr>
    </w:p>
    <w:p w:rsidR="001257CF" w:rsidRPr="00FE4A84" w:rsidRDefault="001257CF" w:rsidP="00FE4A84">
      <w:pPr>
        <w:widowControl/>
      </w:pPr>
    </w:p>
    <w:p w:rsidR="001257CF" w:rsidRPr="00FE4A84" w:rsidRDefault="001257CF" w:rsidP="00FE4A84">
      <w:pPr>
        <w:widowControl/>
      </w:pPr>
    </w:p>
    <w:p w:rsidR="001257CF" w:rsidRPr="00FE4A84" w:rsidRDefault="001257CF" w:rsidP="00FE4A84">
      <w:pPr>
        <w:widowControl/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B30108" w:rsidRPr="00FE4A84">
        <w:tc>
          <w:tcPr>
            <w:tcW w:w="5811" w:type="dxa"/>
          </w:tcPr>
          <w:p w:rsidR="001257CF" w:rsidRPr="00FE4A84" w:rsidRDefault="00E47984" w:rsidP="00FE4A84">
            <w:pPr>
              <w:pStyle w:val="Lgendetitre"/>
              <w:widowControl/>
            </w:pPr>
            <w:r w:rsidRPr="00FE4A84">
              <w:t>Tarkistukset säädösesitykseen</w:t>
            </w:r>
          </w:p>
        </w:tc>
      </w:tr>
      <w:tr w:rsidR="00B30108" w:rsidRPr="00FE4A84" w:rsidTr="00554250">
        <w:trPr>
          <w:trHeight w:val="4496"/>
        </w:trPr>
        <w:tc>
          <w:tcPr>
            <w:tcW w:w="5811" w:type="dxa"/>
          </w:tcPr>
          <w:p w:rsidR="001257CF" w:rsidRPr="00FE4A84" w:rsidRDefault="00E47984" w:rsidP="00FE4A84">
            <w:pPr>
              <w:pStyle w:val="Lgendestandard"/>
              <w:widowControl/>
              <w:rPr>
                <w:szCs w:val="24"/>
              </w:rPr>
            </w:pPr>
            <w:r w:rsidRPr="00FE4A84">
              <w:rPr>
                <w:b/>
              </w:rPr>
              <w:t>Palstoina esitettävät parlamentin tarkistukset</w:t>
            </w:r>
          </w:p>
          <w:p w:rsidR="001257CF" w:rsidRPr="00FE4A84" w:rsidRDefault="001257CF" w:rsidP="00FE4A84">
            <w:pPr>
              <w:pStyle w:val="Lgendestandard"/>
              <w:widowControl/>
              <w:rPr>
                <w:szCs w:val="24"/>
              </w:rPr>
            </w:pPr>
          </w:p>
          <w:p w:rsidR="001257CF" w:rsidRPr="00FE4A84" w:rsidRDefault="00E47984" w:rsidP="00FE4A84">
            <w:pPr>
              <w:pStyle w:val="Lgendestandard"/>
              <w:widowControl/>
              <w:rPr>
                <w:szCs w:val="24"/>
              </w:rPr>
            </w:pPr>
            <w:r w:rsidRPr="00FE4A84">
              <w:t xml:space="preserve">Poistettava teksti merkitään vasempaan palstaan </w:t>
            </w:r>
            <w:r w:rsidRPr="00FE4A84">
              <w:rPr>
                <w:b/>
                <w:i/>
              </w:rPr>
              <w:t>lihavoidulla kursiivilla</w:t>
            </w:r>
            <w:r w:rsidRPr="00FE4A84">
              <w:t xml:space="preserve">. Tekstiä korvattaessa muutosmerkinnät tehdään molempiin palstoihin </w:t>
            </w:r>
            <w:r w:rsidRPr="00FE4A84">
              <w:rPr>
                <w:b/>
                <w:i/>
              </w:rPr>
              <w:t>lihavoidulla kursiivilla</w:t>
            </w:r>
            <w:r w:rsidRPr="00FE4A84">
              <w:t xml:space="preserve">. Uusi teksti merkitään oikeaan palstaan </w:t>
            </w:r>
            <w:r w:rsidRPr="00FE4A84">
              <w:rPr>
                <w:b/>
                <w:i/>
              </w:rPr>
              <w:t>lihavoidulla kursiivilla</w:t>
            </w:r>
            <w:r w:rsidRPr="00FE4A84">
              <w:t>.</w:t>
            </w:r>
          </w:p>
          <w:p w:rsidR="001257CF" w:rsidRPr="00FE4A84" w:rsidRDefault="001257CF" w:rsidP="00FE4A84">
            <w:pPr>
              <w:pStyle w:val="Lgendestandard"/>
              <w:widowControl/>
              <w:rPr>
                <w:szCs w:val="24"/>
              </w:rPr>
            </w:pPr>
          </w:p>
          <w:p w:rsidR="001257CF" w:rsidRPr="00FE4A84" w:rsidRDefault="00E47984" w:rsidP="00FE4A84">
            <w:pPr>
              <w:pStyle w:val="Lgendestandard"/>
              <w:widowControl/>
              <w:rPr>
                <w:szCs w:val="24"/>
              </w:rPr>
            </w:pPr>
            <w:r w:rsidRPr="00FE4A84">
              <w:t>Tarkistuksen tunnistetietojen ensimmäisellä ja toisella rivillä ilmoitetaan käsiteltävänä olevan säädösesityksen kohta, jota tarkistetaan. Jos tarkistus koskee olemassa olevaa säädöstä, jota säädösesityksellä muutetaan, tunnistet</w:t>
            </w:r>
            <w:r w:rsidRPr="00FE4A84">
              <w:t>ietojen kolmannella rivillä ilmoitetaan muutettavan säädöksen tyyppi ja numero ja neljännellä rivillä tarkistettavan tekstinkohdan paikannus.</w:t>
            </w:r>
          </w:p>
          <w:p w:rsidR="001257CF" w:rsidRPr="00FE4A84" w:rsidRDefault="001257CF" w:rsidP="00FE4A84">
            <w:pPr>
              <w:pStyle w:val="Lgendestandard"/>
              <w:widowControl/>
              <w:rPr>
                <w:szCs w:val="24"/>
              </w:rPr>
            </w:pPr>
          </w:p>
          <w:p w:rsidR="001257CF" w:rsidRPr="00FE4A84" w:rsidRDefault="00E47984" w:rsidP="00FE4A84">
            <w:pPr>
              <w:pStyle w:val="Lgendestandard"/>
              <w:widowControl/>
              <w:rPr>
                <w:b/>
                <w:szCs w:val="24"/>
              </w:rPr>
            </w:pPr>
            <w:r w:rsidRPr="00FE4A84">
              <w:rPr>
                <w:b/>
              </w:rPr>
              <w:t>Konsolidoituna tekstinä esitettävät parlamentin tarkistukset</w:t>
            </w:r>
          </w:p>
          <w:p w:rsidR="001257CF" w:rsidRPr="00FE4A84" w:rsidRDefault="001257CF" w:rsidP="00FE4A84">
            <w:pPr>
              <w:pStyle w:val="Lgendestandard"/>
              <w:widowControl/>
              <w:rPr>
                <w:szCs w:val="24"/>
              </w:rPr>
            </w:pPr>
          </w:p>
          <w:p w:rsidR="001257CF" w:rsidRPr="00FE4A84" w:rsidRDefault="00E47984" w:rsidP="00FE4A84">
            <w:pPr>
              <w:pStyle w:val="Lgendestandard"/>
              <w:widowControl/>
              <w:rPr>
                <w:szCs w:val="24"/>
              </w:rPr>
            </w:pPr>
            <w:r w:rsidRPr="00FE4A84">
              <w:t xml:space="preserve">Uusi teksti merkitään </w:t>
            </w:r>
            <w:r w:rsidRPr="00FE4A84">
              <w:rPr>
                <w:b/>
                <w:i/>
              </w:rPr>
              <w:t>lihavoidulla kursiivilla</w:t>
            </w:r>
            <w:r w:rsidRPr="00FE4A84">
              <w:t>. Poi</w:t>
            </w:r>
            <w:r w:rsidRPr="00FE4A84">
              <w:t xml:space="preserve">stettava teksti merkitään symbolilla ▌tai yliviivauksella. Tekstiä korvattaessa muutosmerkinnät tehdään siten, että uusi teksti </w:t>
            </w:r>
            <w:r w:rsidRPr="00FE4A84">
              <w:rPr>
                <w:b/>
                <w:i/>
              </w:rPr>
              <w:t>lihavoidaan ja kursivoidaan</w:t>
            </w:r>
            <w:r w:rsidRPr="00FE4A84">
              <w:t xml:space="preserve"> ja korvattava teksti poistetaan tai viivataan yli. </w:t>
            </w:r>
          </w:p>
          <w:p w:rsidR="001257CF" w:rsidRPr="00FE4A84" w:rsidRDefault="00E47984" w:rsidP="00FE4A84">
            <w:pPr>
              <w:pStyle w:val="Lgendestandard"/>
              <w:widowControl/>
            </w:pPr>
            <w:r w:rsidRPr="00FE4A84">
              <w:t>Parlamentin yksiköiden tekemiä lopullisen teksti</w:t>
            </w:r>
            <w:r w:rsidRPr="00FE4A84">
              <w:t>n teknisiä muutoksia ei merkitä.</w:t>
            </w:r>
          </w:p>
          <w:p w:rsidR="001257CF" w:rsidRPr="00FE4A84" w:rsidRDefault="001257CF" w:rsidP="00FE4A84">
            <w:pPr>
              <w:pStyle w:val="Lgendestandard"/>
              <w:widowControl/>
            </w:pPr>
          </w:p>
        </w:tc>
      </w:tr>
    </w:tbl>
    <w:p w:rsidR="001257CF" w:rsidRPr="00FE4A84" w:rsidRDefault="001257CF" w:rsidP="00FE4A84">
      <w:pPr>
        <w:widowControl/>
      </w:pPr>
    </w:p>
    <w:p w:rsidR="00793EA9" w:rsidRPr="00FE4A84" w:rsidRDefault="00793EA9" w:rsidP="00FE4A84">
      <w:pPr>
        <w:widowControl/>
        <w:tabs>
          <w:tab w:val="center" w:pos="4677"/>
        </w:tabs>
      </w:pPr>
    </w:p>
    <w:p w:rsidR="00793EA9" w:rsidRPr="00FE4A84" w:rsidRDefault="00E47984" w:rsidP="00FE4A84">
      <w:pPr>
        <w:pStyle w:val="TOCHeading"/>
        <w:widowControl/>
      </w:pPr>
      <w:r w:rsidRPr="00FE4A84">
        <w:br w:type="page"/>
        <w:t>SISÄLTÖ</w:t>
      </w:r>
    </w:p>
    <w:p w:rsidR="00793EA9" w:rsidRPr="00FE4A84" w:rsidRDefault="00E47984" w:rsidP="00FE4A84">
      <w:pPr>
        <w:pStyle w:val="TOCPage"/>
        <w:widowControl/>
      </w:pPr>
      <w:r w:rsidRPr="00FE4A84">
        <w:t>Sivu</w:t>
      </w:r>
    </w:p>
    <w:p w:rsidR="00E47984" w:rsidRDefault="00E4798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fi-FI"/>
        </w:rPr>
      </w:pPr>
      <w:r w:rsidRPr="00FE4A84">
        <w:rPr>
          <w:b/>
        </w:rPr>
        <w:fldChar w:fldCharType="begin"/>
      </w:r>
      <w:r w:rsidRPr="00FE4A84">
        <w:rPr>
          <w:b/>
        </w:rPr>
        <w:instrText xml:space="preserve"> TOC \t "PageHeading</w:instrText>
      </w:r>
      <w:r w:rsidR="006456F0" w:rsidRPr="00FE4A84">
        <w:rPr>
          <w:b/>
        </w:rPr>
        <w:instrText>;</w:instrText>
      </w:r>
      <w:r w:rsidRPr="00FE4A84">
        <w:rPr>
          <w:b/>
        </w:rPr>
        <w:instrText xml:space="preserve">1" </w:instrText>
      </w:r>
      <w:r w:rsidRPr="00FE4A84">
        <w:rPr>
          <w:b/>
        </w:rPr>
        <w:fldChar w:fldCharType="separate"/>
      </w:r>
      <w:r>
        <w:rPr>
          <w:noProof/>
        </w:rPr>
        <w:t>LUONNOS EUROOPAN PARLAMENTIN LAINSÄÄDÄNTÖPÄÄTÖSLAUSELMAKSI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_Toc115428789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7984" w:rsidRDefault="00E4798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fi-FI"/>
        </w:rPr>
      </w:pPr>
      <w:r>
        <w:rPr>
          <w:noProof/>
        </w:rPr>
        <w:t>PERUSTELUT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_Toc115428790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346B0" w:rsidRPr="00FE4A84" w:rsidRDefault="00E47984" w:rsidP="00FE4A84">
      <w:pPr>
        <w:widowControl/>
      </w:pPr>
      <w:r w:rsidRPr="00FE4A84">
        <w:rPr>
          <w:b/>
        </w:rPr>
        <w:fldChar w:fldCharType="end"/>
      </w:r>
    </w:p>
    <w:p w:rsidR="00793EA9" w:rsidRPr="00FE4A84" w:rsidRDefault="00E47984" w:rsidP="00FE4A84">
      <w:pPr>
        <w:pStyle w:val="PageHeading"/>
        <w:widowControl/>
      </w:pPr>
      <w:r w:rsidRPr="00FE4A84">
        <w:br w:type="page"/>
      </w:r>
      <w:r w:rsidRPr="00FE4A84">
        <w:br w:type="page"/>
      </w:r>
      <w:bookmarkStart w:id="0" w:name="_Toc115428789"/>
      <w:r w:rsidRPr="00FE4A84">
        <w:t>LUONNOS EUROOPAN PARLAMENTIN LAINSÄÄDÄNTÖPÄÄTÖSLAUSELMAKSI</w:t>
      </w:r>
      <w:bookmarkEnd w:id="0"/>
    </w:p>
    <w:p w:rsidR="00793EA9" w:rsidRPr="00FE4A84" w:rsidRDefault="00E47984" w:rsidP="00FE4A84">
      <w:pPr>
        <w:pStyle w:val="NormalBold"/>
        <w:widowControl/>
      </w:pPr>
      <w:r w:rsidRPr="00FE4A84">
        <w:t>ehdotuksesta Euroopan parlamentin ja neuvoston asetukseksi luettelon vahvistamisesta kolmansista</w:t>
      </w:r>
      <w:r w:rsidRPr="00FE4A84">
        <w:t xml:space="preserve"> maista, joiden kansalaisilla on oltava viisumi ulkorajoja ylittäessään, ja niistä kolmansista maista, joiden kansalaisia tämä vaatimus ei koske, annetun asetuksen (EU) 2018/1806 muuttamisesta (Kuwait, Qatar)</w:t>
      </w:r>
    </w:p>
    <w:p w:rsidR="00793EA9" w:rsidRPr="00FE4A84" w:rsidRDefault="00E47984" w:rsidP="00FE4A84">
      <w:pPr>
        <w:pStyle w:val="NormalBold12a"/>
        <w:widowControl/>
      </w:pPr>
      <w:r w:rsidRPr="00FE4A84">
        <w:t>(</w:t>
      </w:r>
      <w:proofErr w:type="gramStart"/>
      <w:r w:rsidRPr="00FE4A84">
        <w:t>COM(</w:t>
      </w:r>
      <w:proofErr w:type="gramEnd"/>
      <w:r w:rsidRPr="00FE4A84">
        <w:t>2022)0189 – C9</w:t>
      </w:r>
      <w:r w:rsidRPr="00FE4A84">
        <w:noBreakHyphen/>
        <w:t>0160/2022 – 2022/0135(COD))</w:t>
      </w:r>
    </w:p>
    <w:p w:rsidR="00793EA9" w:rsidRPr="00FE4A84" w:rsidRDefault="00E47984" w:rsidP="00FE4A84">
      <w:pPr>
        <w:pStyle w:val="NormalBold"/>
        <w:widowControl/>
      </w:pPr>
      <w:r w:rsidRPr="00FE4A84">
        <w:t>(Tavallinen lainsäätämisjärjestys: ensimmäinen käsittely)</w:t>
      </w:r>
    </w:p>
    <w:p w:rsidR="00793EA9" w:rsidRPr="00FE4A84" w:rsidRDefault="00E47984" w:rsidP="00FE4A84">
      <w:pPr>
        <w:pStyle w:val="EPComma"/>
        <w:widowControl/>
      </w:pPr>
      <w:r w:rsidRPr="00FE4A84">
        <w:rPr>
          <w:i/>
        </w:rPr>
        <w:t>Euroopan parlamentti</w:t>
      </w:r>
      <w:r w:rsidRPr="00FE4A84">
        <w:t>, joka</w:t>
      </w:r>
    </w:p>
    <w:p w:rsidR="00793EA9" w:rsidRPr="00FE4A84" w:rsidRDefault="00E47984" w:rsidP="00FE4A84">
      <w:pPr>
        <w:pStyle w:val="NormalHanging12a"/>
        <w:widowControl/>
      </w:pPr>
      <w:r w:rsidRPr="00FE4A84">
        <w:t>–</w:t>
      </w:r>
      <w:r w:rsidRPr="00FE4A84">
        <w:tab/>
        <w:t>ottaa huomioon komission ehdotuksen Euroopan parlamentille ja neuvostolle (</w:t>
      </w:r>
      <w:proofErr w:type="gramStart"/>
      <w:r w:rsidRPr="00FE4A84">
        <w:t>COM(</w:t>
      </w:r>
      <w:proofErr w:type="gramEnd"/>
      <w:r w:rsidRPr="00FE4A84">
        <w:t>2022)0189),</w:t>
      </w:r>
    </w:p>
    <w:p w:rsidR="00793EA9" w:rsidRPr="00FE4A84" w:rsidRDefault="00E47984" w:rsidP="00FE4A84">
      <w:pPr>
        <w:pStyle w:val="NormalHanging12a"/>
        <w:widowControl/>
      </w:pPr>
      <w:r w:rsidRPr="00FE4A84">
        <w:t>–</w:t>
      </w:r>
      <w:r w:rsidRPr="00FE4A84">
        <w:tab/>
        <w:t xml:space="preserve">ottaa huomioon Euroopan unionin toiminnasta tehdyn sopimuksen 294 artiklan </w:t>
      </w:r>
      <w:r w:rsidRPr="00FE4A84">
        <w:t>2 kohdan ja 77 artiklan 2 kohdan a alakohdan, joiden mukaisesti komissio on antanut ehdotuksen Euroopan parlamentille (C9</w:t>
      </w:r>
      <w:r w:rsidRPr="00FE4A84">
        <w:noBreakHyphen/>
        <w:t>0160/2022),</w:t>
      </w:r>
    </w:p>
    <w:p w:rsidR="00A26F46" w:rsidRPr="00FE4A84" w:rsidRDefault="00E47984" w:rsidP="00FE4A84">
      <w:pPr>
        <w:pStyle w:val="NormalHanging12a"/>
        <w:widowControl/>
      </w:pPr>
      <w:r w:rsidRPr="00FE4A84">
        <w:t>–</w:t>
      </w:r>
      <w:r w:rsidRPr="00FE4A84">
        <w:tab/>
        <w:t>ottaa huomioon Euroopan unionin toiminnasta tehdyn sopimuksen 294 artiklan 3 kohdan,</w:t>
      </w:r>
    </w:p>
    <w:p w:rsidR="00793EA9" w:rsidRPr="00FE4A84" w:rsidRDefault="00E47984" w:rsidP="00FE4A84">
      <w:pPr>
        <w:pStyle w:val="NormalHanging12a"/>
        <w:widowControl/>
      </w:pPr>
      <w:r w:rsidRPr="00FE4A84">
        <w:t>–</w:t>
      </w:r>
      <w:r w:rsidRPr="00FE4A84">
        <w:tab/>
        <w:t>ottaa huomioon työjärjestyksen 59</w:t>
      </w:r>
      <w:r w:rsidRPr="00FE4A84">
        <w:t xml:space="preserve"> artiklan,</w:t>
      </w:r>
    </w:p>
    <w:p w:rsidR="006A2F5D" w:rsidRPr="00FE4A84" w:rsidRDefault="00E47984" w:rsidP="00FE4A84">
      <w:pPr>
        <w:pStyle w:val="NormalHanging12a"/>
        <w:widowControl/>
      </w:pPr>
      <w:r w:rsidRPr="00FE4A84">
        <w:t>–</w:t>
      </w:r>
      <w:r w:rsidRPr="00FE4A84">
        <w:tab/>
        <w:t>ottaa huomioon kansalaisvapauksien sekä oikeus- ja sisäasioiden valiokunnan mietinnön (A9</w:t>
      </w:r>
      <w:r w:rsidRPr="00FE4A84">
        <w:noBreakHyphen/>
        <w:t>0000/2022),</w:t>
      </w:r>
    </w:p>
    <w:p w:rsidR="009F6C2F" w:rsidRPr="00FE4A84" w:rsidRDefault="00E47984" w:rsidP="00FE4A84">
      <w:pPr>
        <w:pStyle w:val="NormalHanging12a"/>
        <w:widowControl/>
      </w:pPr>
      <w:r w:rsidRPr="00FE4A84">
        <w:t>1.</w:t>
      </w:r>
      <w:r w:rsidRPr="00FE4A84">
        <w:tab/>
        <w:t>vahvistaa jäljempänä esitetyn ensimmäisen käsittelyn kannan;</w:t>
      </w:r>
    </w:p>
    <w:p w:rsidR="009F6C2F" w:rsidRPr="00FE4A84" w:rsidRDefault="00E47984" w:rsidP="00FE4A84">
      <w:pPr>
        <w:pStyle w:val="NormalHanging12a"/>
        <w:widowControl/>
      </w:pPr>
      <w:r w:rsidRPr="00FE4A84">
        <w:t>2.</w:t>
      </w:r>
      <w:r w:rsidRPr="00FE4A84">
        <w:tab/>
        <w:t>pyytää komissiota antamaan asian uudelleen Euroopan parlamentin käsiteltäv</w:t>
      </w:r>
      <w:r w:rsidRPr="00FE4A84">
        <w:t>äksi, jos se korvaa ehdotuksensa, muuttaa sitä huomattavasti tai aikoo muuttaa sitä huomattavasti;</w:t>
      </w:r>
    </w:p>
    <w:p w:rsidR="009F6C2F" w:rsidRPr="00FE4A84" w:rsidRDefault="00E47984" w:rsidP="00FE4A84">
      <w:pPr>
        <w:pStyle w:val="NormalHanging12a"/>
        <w:widowControl/>
      </w:pPr>
      <w:r w:rsidRPr="00FE4A84">
        <w:t>3.</w:t>
      </w:r>
      <w:r w:rsidRPr="00FE4A84">
        <w:tab/>
        <w:t>kehottaa puhemiestä välittämään parlamentin kannan neuvostolle ja komissiolle sekä kansallisille parlamenteille.</w:t>
      </w:r>
    </w:p>
    <w:p w:rsidR="00D30DE2" w:rsidRPr="00FE4A84" w:rsidRDefault="00D30DE2" w:rsidP="00FE4A84">
      <w:pPr>
        <w:widowControl/>
      </w:pPr>
    </w:p>
    <w:p w:rsidR="002669B6" w:rsidRPr="00FE4A84" w:rsidRDefault="00E47984" w:rsidP="00FE4A84">
      <w:pPr>
        <w:pStyle w:val="AmNumberTabs"/>
        <w:keepNext/>
        <w:widowControl/>
        <w:rPr>
          <w:lang w:val="de-DE"/>
        </w:rPr>
      </w:pPr>
      <w:r w:rsidRPr="00FE4A84">
        <w:rPr>
          <w:rStyle w:val="HideTWBExt"/>
          <w:b w:val="0"/>
          <w:noProof w:val="0"/>
          <w:lang w:val="de-DE"/>
        </w:rPr>
        <w:t>&lt;RepeatBlock-Amend&gt;</w:t>
      </w:r>
      <w:bookmarkStart w:id="1" w:name="restart"/>
      <w:r w:rsidRPr="00FE4A84">
        <w:rPr>
          <w:rStyle w:val="HideTWBExt"/>
          <w:b w:val="0"/>
          <w:noProof w:val="0"/>
          <w:lang w:val="de-DE"/>
        </w:rPr>
        <w:t>&lt;Amend&gt;</w:t>
      </w:r>
      <w:r w:rsidRPr="00FE4A84">
        <w:rPr>
          <w:lang w:val="de-DE"/>
        </w:rPr>
        <w:t>Tarkistus</w:t>
      </w:r>
      <w:r w:rsidRPr="00FE4A84">
        <w:rPr>
          <w:lang w:val="de-DE"/>
        </w:rPr>
        <w:tab/>
      </w:r>
      <w:r w:rsidRPr="00FE4A84">
        <w:rPr>
          <w:lang w:val="de-DE"/>
        </w:rPr>
        <w:tab/>
      </w:r>
      <w:r w:rsidRPr="00FE4A84">
        <w:rPr>
          <w:rStyle w:val="HideTWBExt"/>
          <w:b w:val="0"/>
          <w:noProof w:val="0"/>
          <w:lang w:val="de-DE"/>
        </w:rPr>
        <w:t>&lt;Nu</w:t>
      </w:r>
      <w:r w:rsidRPr="00FE4A84">
        <w:rPr>
          <w:rStyle w:val="HideTWBExt"/>
          <w:b w:val="0"/>
          <w:noProof w:val="0"/>
          <w:lang w:val="de-DE"/>
        </w:rPr>
        <w:t>mAm&gt;</w:t>
      </w:r>
      <w:r w:rsidRPr="00FE4A84">
        <w:rPr>
          <w:lang w:val="de-DE"/>
        </w:rPr>
        <w:t>1</w:t>
      </w:r>
      <w:r w:rsidRPr="00FE4A84">
        <w:rPr>
          <w:rStyle w:val="HideTWBExt"/>
          <w:b w:val="0"/>
          <w:noProof w:val="0"/>
          <w:lang w:val="de-DE"/>
        </w:rPr>
        <w:t>&lt;/NumAm&gt;</w:t>
      </w:r>
    </w:p>
    <w:bookmarkEnd w:id="1"/>
    <w:p w:rsidR="00797A79" w:rsidRPr="00FE4A84" w:rsidRDefault="00E47984" w:rsidP="00FE4A84">
      <w:pPr>
        <w:pStyle w:val="NormalBold12b"/>
        <w:keepNext/>
        <w:widowControl/>
      </w:pPr>
      <w:r w:rsidRPr="00FE4A84">
        <w:rPr>
          <w:rStyle w:val="HideTWBExt"/>
          <w:b w:val="0"/>
          <w:noProof w:val="0"/>
        </w:rPr>
        <w:t>&lt;DocAmend&gt;</w:t>
      </w:r>
      <w:r w:rsidRPr="00FE4A84">
        <w:t>Ehdotus asetukseksi</w:t>
      </w:r>
      <w:r w:rsidRPr="00FE4A84">
        <w:rPr>
          <w:rStyle w:val="HideTWBExt"/>
          <w:b w:val="0"/>
          <w:noProof w:val="0"/>
        </w:rPr>
        <w:t>&lt;/DocAmend&gt;</w:t>
      </w:r>
    </w:p>
    <w:p w:rsidR="00797A79" w:rsidRPr="00FE4A84" w:rsidRDefault="00E47984" w:rsidP="00FE4A84">
      <w:pPr>
        <w:pStyle w:val="NormalBold"/>
        <w:widowControl/>
      </w:pPr>
      <w:r w:rsidRPr="00FE4A84">
        <w:rPr>
          <w:rStyle w:val="HideTWBExt"/>
          <w:b w:val="0"/>
          <w:noProof w:val="0"/>
        </w:rPr>
        <w:t>&lt;Article&gt;</w:t>
      </w:r>
      <w:r w:rsidRPr="00FE4A84">
        <w:t>Johdanto-osan 3 kappale</w:t>
      </w:r>
      <w:r w:rsidRPr="00FE4A84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0108" w:rsidRPr="00FE4A84" w:rsidTr="002E3887">
        <w:trPr>
          <w:jc w:val="center"/>
        </w:trPr>
        <w:tc>
          <w:tcPr>
            <w:tcW w:w="9752" w:type="dxa"/>
            <w:gridSpan w:val="2"/>
          </w:tcPr>
          <w:p w:rsidR="00797A79" w:rsidRPr="00FE4A84" w:rsidRDefault="00797A79" w:rsidP="00FE4A84">
            <w:pPr>
              <w:keepNext/>
              <w:widowControl/>
            </w:pP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Komission teksti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Tarkistus</w:t>
            </w: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</w:pPr>
            <w:r w:rsidRPr="00FE4A84">
              <w:t>(3)</w:t>
            </w:r>
            <w:r w:rsidRPr="00FE4A84">
              <w:tab/>
            </w:r>
            <w:r w:rsidRPr="00FE4A84">
              <w:rPr>
                <w:b/>
                <w:i/>
              </w:rPr>
              <w:t>Kuwaitiin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 xml:space="preserve">Qatariin liittyvät </w:t>
            </w:r>
            <w:r w:rsidRPr="00FE4A84">
              <w:t>EU</w:t>
            </w:r>
            <w:r w:rsidRPr="00FE4A84">
              <w:rPr>
                <w:b/>
                <w:i/>
              </w:rPr>
              <w:t>:hun suuntautuvan laittoman muuttoliikkeen riskit ovat vähäisiä</w:t>
            </w:r>
            <w:r w:rsidRPr="00FE4A84">
              <w:t xml:space="preserve">, </w:t>
            </w:r>
            <w:r w:rsidRPr="00FE4A84">
              <w:rPr>
                <w:b/>
                <w:i/>
              </w:rPr>
              <w:t>ja nämä</w:t>
            </w:r>
            <w:r w:rsidRPr="00FE4A84">
              <w:t xml:space="preserve"> maat myöntävät kansainvälisen siviili-ilmailujärjestön standardien mukaisia biometrisiä passeja. </w:t>
            </w:r>
            <w:r w:rsidRPr="00FE4A84">
              <w:rPr>
                <w:b/>
                <w:i/>
              </w:rPr>
              <w:t>Turvallisuusyhteistyö näiden maiden kanssa on tiivistynyt viime vuosina.</w:t>
            </w:r>
            <w:r w:rsidRPr="00FE4A84">
              <w:rPr>
                <w:b/>
                <w:i/>
              </w:rPr>
              <w:t xml:space="preserve"> Taloudellisten etujen osalta Kuwait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Qatar ovat unionille tärkeitä taloudellisia ku</w:t>
            </w:r>
            <w:r w:rsidRPr="00FE4A84">
              <w:rPr>
                <w:b/>
                <w:i/>
              </w:rPr>
              <w:t>mppaneita erityisesti energia-alalla. Vaikka</w:t>
            </w:r>
            <w:r w:rsidRPr="00FE4A84">
              <w:t xml:space="preserve"> ihmisoikeuksien ja perusvapauksien toteutumiseen liittyy edelleen haasteita</w:t>
            </w:r>
            <w:r w:rsidRPr="00FE4A84">
              <w:rPr>
                <w:b/>
                <w:i/>
              </w:rPr>
              <w:t>, Kuwaitissa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Qatarissa on tapahtunut yhteiskunnallisia muutoksia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edistysaskelia, jotka liittyvät naisten oikeuksiin</w:t>
            </w:r>
            <w:r w:rsidRPr="00FE4A84">
              <w:t xml:space="preserve">, </w:t>
            </w:r>
            <w:r w:rsidRPr="00FE4A84">
              <w:rPr>
                <w:b/>
                <w:i/>
              </w:rPr>
              <w:t>työntekijöide</w:t>
            </w:r>
            <w:r w:rsidRPr="00FE4A84">
              <w:rPr>
                <w:b/>
                <w:i/>
              </w:rPr>
              <w:t>n oikeuksiin sekä uskonnonvapauteen ja uskontojen väliseen vuoropuheluun, ja maiden odotetaan jatkavan edistymistä ja uudistuksia</w:t>
            </w:r>
            <w:r w:rsidRPr="00FE4A84">
              <w:t>.</w:t>
            </w:r>
            <w:r w:rsidRPr="00FE4A84">
              <w:rPr>
                <w:b/>
                <w:i/>
              </w:rPr>
              <w:t xml:space="preserve"> EU:hun suuntautuvan viisumivapaan matkustamisen pitkän aikavälin hyödyt voivat vahvistaa myönteistä kehitystä näissä kysymyks</w:t>
            </w:r>
            <w:r w:rsidRPr="00FE4A84">
              <w:rPr>
                <w:b/>
                <w:i/>
              </w:rPr>
              <w:t>issä</w:t>
            </w:r>
            <w:r w:rsidRPr="00FE4A84">
              <w:t>.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  <w:rPr>
                <w:szCs w:val="24"/>
              </w:rPr>
            </w:pPr>
            <w:r w:rsidRPr="00FE4A84">
              <w:t>(3)</w:t>
            </w:r>
            <w:r w:rsidRPr="00FE4A84">
              <w:tab/>
            </w:r>
            <w:r w:rsidRPr="00FE4A84">
              <w:rPr>
                <w:b/>
                <w:i/>
              </w:rPr>
              <w:t>Komission arvioinnin perusteella Kuwait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Qatar täyttävät asetuksessa (</w:t>
            </w:r>
            <w:r w:rsidRPr="00FE4A84">
              <w:t>EU</w:t>
            </w:r>
            <w:r w:rsidRPr="00FE4A84">
              <w:rPr>
                <w:b/>
                <w:i/>
              </w:rPr>
              <w:t>) 2018/1806 vahvistetut perusteet, joten ne voidaan sisällyttää luetteloon maista</w:t>
            </w:r>
            <w:r w:rsidRPr="00FE4A84">
              <w:t xml:space="preserve">, </w:t>
            </w:r>
            <w:r w:rsidRPr="00FE4A84">
              <w:rPr>
                <w:b/>
                <w:i/>
              </w:rPr>
              <w:t>joiden kansalaisia viisumivaatimus ei koske. Lisäksi molemmat</w:t>
            </w:r>
            <w:r w:rsidRPr="00FE4A84">
              <w:t xml:space="preserve"> maat myöntävät kansainvälis</w:t>
            </w:r>
            <w:r w:rsidRPr="00FE4A84">
              <w:t xml:space="preserve">en siviili-ilmailujärjestön standardien mukaisia biometrisiä passeja. </w:t>
            </w:r>
            <w:r w:rsidRPr="00FE4A84">
              <w:rPr>
                <w:b/>
                <w:i/>
              </w:rPr>
              <w:t>Komission arvioinnissa (komission yksiköiden valmisteluasiakirja asetuksen (EU) 2018/1806 1 artiklassa lueteltujen perusteiden täyttymisestä Kuwaitissa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Qatarissa), EUH:n EU:n vuosiker</w:t>
            </w:r>
            <w:r w:rsidRPr="00FE4A84">
              <w:rPr>
                <w:b/>
                <w:i/>
              </w:rPr>
              <w:t>tomuksessa ihmisoikeuksista ja demokratiasta maailmassa 2021 (Maakohtaiset kertomukset) ja useiden kansalaisjärjestöjen raporteissa kuitenkin todetaan, että</w:t>
            </w:r>
            <w:r w:rsidRPr="00FE4A84">
              <w:t xml:space="preserve"> ihmisoikeuksien ja perusvapauksien toteutumiseen </w:t>
            </w:r>
            <w:r w:rsidRPr="00FE4A84">
              <w:rPr>
                <w:b/>
                <w:i/>
              </w:rPr>
              <w:t xml:space="preserve">Kuwaitissa ja Qatarissa </w:t>
            </w:r>
            <w:r w:rsidRPr="00FE4A84">
              <w:t xml:space="preserve">liittyy edelleen </w:t>
            </w:r>
            <w:r w:rsidRPr="00FE4A84">
              <w:rPr>
                <w:b/>
                <w:i/>
              </w:rPr>
              <w:t>vakavia h</w:t>
            </w:r>
            <w:r w:rsidRPr="00FE4A84">
              <w:rPr>
                <w:b/>
                <w:i/>
              </w:rPr>
              <w:t xml:space="preserve">uolia ja useita </w:t>
            </w:r>
            <w:r w:rsidRPr="00FE4A84">
              <w:t>haasteita</w:t>
            </w:r>
            <w:r w:rsidRPr="00FE4A84">
              <w:rPr>
                <w:b/>
                <w:i/>
              </w:rPr>
              <w:t xml:space="preserve"> viimeaikaisista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yhä jatkuvista yhteiskunnallisista muutoksista ja lainsäädännön muutoksista huolimatta. Viisumivapauden tehokkuuden</w:t>
            </w:r>
            <w:r w:rsidRPr="00FE4A84">
              <w:t xml:space="preserve"> ja </w:t>
            </w:r>
            <w:r w:rsidRPr="00FE4A84">
              <w:rPr>
                <w:b/>
                <w:i/>
              </w:rPr>
              <w:t>täyden vastavuoroisuuden takaamiseksi viisumivapaussopimuksella olisi varmistettava</w:t>
            </w:r>
            <w:r w:rsidRPr="00FE4A84">
              <w:t xml:space="preserve">, </w:t>
            </w:r>
            <w:r w:rsidRPr="00FE4A84">
              <w:rPr>
                <w:b/>
                <w:i/>
              </w:rPr>
              <w:t>että jä</w:t>
            </w:r>
            <w:r w:rsidRPr="00FE4A84">
              <w:rPr>
                <w:b/>
                <w:i/>
              </w:rPr>
              <w:t>senvaltioiden ulkorajat ylittävän viisumivapaan matkustamisen hyötyjen kaikki esteet poistetaan antamalla hyödynsaajien nauttia näistä hyödyistä ilman syrjintää</w:t>
            </w:r>
            <w:r w:rsidRPr="00FE4A84">
              <w:t xml:space="preserve">. </w:t>
            </w:r>
            <w:r w:rsidRPr="00FE4A84">
              <w:rPr>
                <w:b/>
                <w:i/>
              </w:rPr>
              <w:t>Erityisesti naisten, hlbtq+-yhteisöön kuuluvien ja kansalaisuudettomien henkilöiden on voitava</w:t>
            </w:r>
            <w:r w:rsidRPr="00FE4A84">
              <w:rPr>
                <w:b/>
                <w:i/>
              </w:rPr>
              <w:t xml:space="preserve"> matkustaa itsenäisesti</w:t>
            </w:r>
            <w:r w:rsidRPr="00FE4A84">
              <w:t xml:space="preserve">. </w:t>
            </w:r>
            <w:r w:rsidRPr="00FE4A84">
              <w:rPr>
                <w:b/>
                <w:i/>
              </w:rPr>
              <w:t>Nämä ehdot olisi otettava huomioon kahdenvälisissä viisumivapaussopimuksissa, jotka unioni tekee näiden maiden kanssa.</w:t>
            </w:r>
          </w:p>
        </w:tc>
      </w:tr>
    </w:tbl>
    <w:p w:rsidR="00797A79" w:rsidRPr="00FE4A84" w:rsidRDefault="00E47984" w:rsidP="00FE4A84">
      <w:pPr>
        <w:pStyle w:val="Olang"/>
        <w:rPr>
          <w:sz w:val="24"/>
          <w:szCs w:val="24"/>
          <w:lang w:val="en-GB"/>
        </w:rPr>
      </w:pPr>
      <w:proofErr w:type="gramStart"/>
      <w:r w:rsidRPr="00FE4A84">
        <w:rPr>
          <w:sz w:val="24"/>
          <w:szCs w:val="24"/>
          <w:lang w:val="en-GB"/>
        </w:rPr>
        <w:t>Or</w:t>
      </w:r>
      <w:proofErr w:type="gramEnd"/>
      <w:r w:rsidRPr="00FE4A84">
        <w:rPr>
          <w:sz w:val="24"/>
          <w:szCs w:val="24"/>
          <w:lang w:val="en-GB"/>
        </w:rPr>
        <w:t xml:space="preserve">. </w:t>
      </w:r>
      <w:r w:rsidRPr="00FE4A84">
        <w:rPr>
          <w:rStyle w:val="HideTWBExt"/>
          <w:noProof w:val="0"/>
          <w:lang w:val="en-GB"/>
        </w:rPr>
        <w:t>&lt;Original</w:t>
      </w:r>
      <w:proofErr w:type="gramStart"/>
      <w:r w:rsidRPr="00FE4A84">
        <w:rPr>
          <w:rStyle w:val="HideTWBExt"/>
          <w:noProof w:val="0"/>
          <w:lang w:val="en-GB"/>
        </w:rPr>
        <w:t>&gt;</w:t>
      </w:r>
      <w:r w:rsidRPr="00FE4A84">
        <w:rPr>
          <w:rStyle w:val="HideTWBInt"/>
          <w:sz w:val="24"/>
          <w:szCs w:val="24"/>
          <w:lang w:val="en-GB"/>
        </w:rPr>
        <w:t>{</w:t>
      </w:r>
      <w:proofErr w:type="gramEnd"/>
      <w:r w:rsidRPr="00FE4A84">
        <w:rPr>
          <w:rStyle w:val="HideTWBInt"/>
          <w:sz w:val="24"/>
          <w:szCs w:val="24"/>
          <w:lang w:val="en-GB"/>
        </w:rPr>
        <w:t>EN}</w:t>
      </w:r>
      <w:r w:rsidRPr="00FE4A84">
        <w:rPr>
          <w:sz w:val="24"/>
          <w:szCs w:val="24"/>
          <w:lang w:val="en-GB"/>
        </w:rPr>
        <w:t>en</w:t>
      </w:r>
      <w:r w:rsidRPr="00FE4A84">
        <w:rPr>
          <w:rStyle w:val="HideTWBExt"/>
          <w:noProof w:val="0"/>
          <w:lang w:val="en-GB"/>
        </w:rPr>
        <w:t>&lt;/Original&gt;</w:t>
      </w:r>
    </w:p>
    <w:p w:rsidR="00797A79" w:rsidRPr="00FE4A84" w:rsidRDefault="00E47984" w:rsidP="00FE4A84">
      <w:pPr>
        <w:widowControl/>
        <w:rPr>
          <w:lang w:val="en-GB"/>
        </w:rPr>
      </w:pPr>
      <w:r w:rsidRPr="00FE4A84">
        <w:rPr>
          <w:rStyle w:val="HideTWBExt"/>
          <w:noProof w:val="0"/>
          <w:lang w:val="en-GB"/>
        </w:rPr>
        <w:t>&lt;/Amend&gt;</w:t>
      </w:r>
    </w:p>
    <w:p w:rsidR="00797A79" w:rsidRPr="00FE4A84" w:rsidRDefault="00E47984" w:rsidP="00FE4A84">
      <w:pPr>
        <w:pStyle w:val="AMNumberTabs0"/>
        <w:keepNext/>
        <w:widowControl/>
      </w:pPr>
      <w:r w:rsidRPr="00FE4A84">
        <w:rPr>
          <w:rStyle w:val="HideTWBExt"/>
          <w:b w:val="0"/>
          <w:noProof w:val="0"/>
        </w:rPr>
        <w:t>&lt;Amend&gt;</w:t>
      </w:r>
      <w:r w:rsidRPr="00FE4A84">
        <w:t>Tarkistus</w:t>
      </w:r>
      <w:r w:rsidRPr="00FE4A84">
        <w:tab/>
      </w:r>
      <w:r w:rsidRPr="00FE4A84">
        <w:tab/>
      </w:r>
      <w:r w:rsidRPr="00FE4A84">
        <w:rPr>
          <w:rStyle w:val="HideTWBExt"/>
          <w:b w:val="0"/>
          <w:noProof w:val="0"/>
        </w:rPr>
        <w:t>&lt;NumAm&gt;</w:t>
      </w:r>
      <w:r w:rsidRPr="00FE4A84">
        <w:t>2</w:t>
      </w:r>
      <w:r w:rsidRPr="00FE4A84">
        <w:rPr>
          <w:rStyle w:val="HideTWBExt"/>
          <w:b w:val="0"/>
          <w:noProof w:val="0"/>
        </w:rPr>
        <w:t>&lt;/NumAm&gt;</w:t>
      </w:r>
    </w:p>
    <w:p w:rsidR="00797A79" w:rsidRPr="00FE4A84" w:rsidRDefault="00E47984" w:rsidP="00FE4A84">
      <w:pPr>
        <w:pStyle w:val="NormalBold12b"/>
        <w:keepNext/>
        <w:widowControl/>
      </w:pPr>
      <w:r w:rsidRPr="00FE4A84">
        <w:rPr>
          <w:rStyle w:val="HideTWBExt"/>
          <w:b w:val="0"/>
          <w:noProof w:val="0"/>
        </w:rPr>
        <w:t>&lt;DocAmend&gt;</w:t>
      </w:r>
      <w:r w:rsidRPr="00FE4A84">
        <w:t>Ehdotus asetukseksi</w:t>
      </w:r>
      <w:r w:rsidRPr="00FE4A84">
        <w:rPr>
          <w:rStyle w:val="HideTWBExt"/>
          <w:b w:val="0"/>
          <w:noProof w:val="0"/>
        </w:rPr>
        <w:t>&lt;/DocAmend&gt;</w:t>
      </w:r>
    </w:p>
    <w:p w:rsidR="00797A79" w:rsidRPr="00FE4A84" w:rsidRDefault="00E47984" w:rsidP="00FE4A84">
      <w:pPr>
        <w:pStyle w:val="NormalBold"/>
        <w:widowControl/>
      </w:pPr>
      <w:r w:rsidRPr="00FE4A84">
        <w:rPr>
          <w:rStyle w:val="HideTWBExt"/>
          <w:b w:val="0"/>
          <w:noProof w:val="0"/>
        </w:rPr>
        <w:t>&lt;Article&gt;</w:t>
      </w:r>
      <w:r w:rsidRPr="00FE4A84">
        <w:t>Johdanto-osan 3 a kappale (uusi)</w:t>
      </w:r>
      <w:r w:rsidRPr="00FE4A84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0108" w:rsidRPr="00FE4A84" w:rsidTr="002E3887">
        <w:trPr>
          <w:jc w:val="center"/>
        </w:trPr>
        <w:tc>
          <w:tcPr>
            <w:tcW w:w="9752" w:type="dxa"/>
            <w:gridSpan w:val="2"/>
          </w:tcPr>
          <w:p w:rsidR="00797A79" w:rsidRPr="00FE4A84" w:rsidRDefault="00797A79" w:rsidP="00FE4A84">
            <w:pPr>
              <w:keepNext/>
              <w:widowControl/>
            </w:pP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Komission teksti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Tarkistus</w:t>
            </w: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797A79" w:rsidP="00FE4A84">
            <w:pPr>
              <w:pStyle w:val="Normal6"/>
              <w:widowControl/>
            </w:pP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  <w:rPr>
                <w:szCs w:val="24"/>
              </w:rPr>
            </w:pPr>
            <w:r w:rsidRPr="00FE4A84">
              <w:rPr>
                <w:b/>
                <w:i/>
              </w:rPr>
              <w:t>(3 a)</w:t>
            </w:r>
            <w:r w:rsidRPr="00FE4A84">
              <w:rPr>
                <w:b/>
                <w:i/>
              </w:rPr>
              <w:tab/>
            </w:r>
            <w:r w:rsidRPr="00FE4A84">
              <w:rPr>
                <w:b/>
                <w:i/>
              </w:rPr>
              <w:t>Tämän lisäksi Kuwaitin ja Qatarin kanssa olisi käytävä kattavaa virallista ihmisoikeusvuoropuhelua, jolla pyritään selviin parannuksiin ja saavutuksiin esimerkiksi työntekijöiden perusoikeuksia, siirtotyöläisten oikeudet mukaan lukien, naisten oikeuksia, h</w:t>
            </w:r>
            <w:r w:rsidRPr="00FE4A84">
              <w:rPr>
                <w:b/>
                <w:i/>
              </w:rPr>
              <w:t>lbtq+-henkilöiden oikeuksia, uskonnonvapautta, kidutuksen kieltoa, sananvapautta, kokoontumisvapautta ja kuolemanrangaistuksen kieltoa koskevissa kysymyksissä. Unionin ja Kuwaitin sekä unionin ja Qatarin välisiin kahdenvälisiin viisumivapaussopimuksiin oli</w:t>
            </w:r>
            <w:r w:rsidRPr="00FE4A84">
              <w:rPr>
                <w:b/>
                <w:i/>
              </w:rPr>
              <w:t>si sisällytettävä tätä tavoitetta koskevia nimenomaisia ja konkreettisia sitoumuksia.</w:t>
            </w:r>
          </w:p>
        </w:tc>
      </w:tr>
    </w:tbl>
    <w:p w:rsidR="00797A79" w:rsidRPr="00FE4A84" w:rsidRDefault="00E47984" w:rsidP="00FE4A84">
      <w:pPr>
        <w:pStyle w:val="Olang"/>
        <w:rPr>
          <w:sz w:val="24"/>
          <w:szCs w:val="24"/>
          <w:lang w:val="en-GB"/>
        </w:rPr>
      </w:pPr>
      <w:proofErr w:type="gramStart"/>
      <w:r w:rsidRPr="00FE4A84">
        <w:rPr>
          <w:sz w:val="24"/>
          <w:szCs w:val="24"/>
          <w:lang w:val="en-GB"/>
        </w:rPr>
        <w:t>Or</w:t>
      </w:r>
      <w:proofErr w:type="gramEnd"/>
      <w:r w:rsidRPr="00FE4A84">
        <w:rPr>
          <w:sz w:val="24"/>
          <w:szCs w:val="24"/>
          <w:lang w:val="en-GB"/>
        </w:rPr>
        <w:t xml:space="preserve">. </w:t>
      </w:r>
      <w:r w:rsidRPr="00FE4A84">
        <w:rPr>
          <w:rStyle w:val="HideTWBExt"/>
          <w:noProof w:val="0"/>
          <w:lang w:val="en-GB"/>
        </w:rPr>
        <w:t>&lt;Original</w:t>
      </w:r>
      <w:proofErr w:type="gramStart"/>
      <w:r w:rsidRPr="00FE4A84">
        <w:rPr>
          <w:rStyle w:val="HideTWBExt"/>
          <w:noProof w:val="0"/>
          <w:lang w:val="en-GB"/>
        </w:rPr>
        <w:t>&gt;</w:t>
      </w:r>
      <w:r w:rsidRPr="00FE4A84">
        <w:rPr>
          <w:rStyle w:val="HideTWBInt"/>
          <w:sz w:val="24"/>
          <w:szCs w:val="24"/>
          <w:lang w:val="en-GB"/>
        </w:rPr>
        <w:t>{</w:t>
      </w:r>
      <w:proofErr w:type="gramEnd"/>
      <w:r w:rsidRPr="00FE4A84">
        <w:rPr>
          <w:rStyle w:val="HideTWBInt"/>
          <w:sz w:val="24"/>
          <w:szCs w:val="24"/>
          <w:lang w:val="en-GB"/>
        </w:rPr>
        <w:t>EN}</w:t>
      </w:r>
      <w:r w:rsidRPr="00FE4A84">
        <w:rPr>
          <w:sz w:val="24"/>
          <w:szCs w:val="24"/>
          <w:lang w:val="en-GB"/>
        </w:rPr>
        <w:t>en</w:t>
      </w:r>
      <w:r w:rsidRPr="00FE4A84">
        <w:rPr>
          <w:rStyle w:val="HideTWBExt"/>
          <w:noProof w:val="0"/>
          <w:lang w:val="en-GB"/>
        </w:rPr>
        <w:t>&lt;/Original&gt;</w:t>
      </w:r>
    </w:p>
    <w:p w:rsidR="00797A79" w:rsidRPr="00FE4A84" w:rsidRDefault="00E47984" w:rsidP="00FE4A84">
      <w:pPr>
        <w:widowControl/>
        <w:rPr>
          <w:lang w:val="en-GB"/>
        </w:rPr>
      </w:pPr>
      <w:r w:rsidRPr="00FE4A84">
        <w:rPr>
          <w:rStyle w:val="HideTWBExt"/>
          <w:noProof w:val="0"/>
          <w:lang w:val="en-GB"/>
        </w:rPr>
        <w:t>&lt;/Amend&gt;</w:t>
      </w:r>
    </w:p>
    <w:p w:rsidR="00797A79" w:rsidRPr="00FE4A84" w:rsidRDefault="00E47984" w:rsidP="00FE4A84">
      <w:pPr>
        <w:pStyle w:val="AMNumberTabs0"/>
        <w:keepNext/>
        <w:widowControl/>
      </w:pPr>
      <w:r w:rsidRPr="00FE4A84">
        <w:rPr>
          <w:rStyle w:val="HideTWBExt"/>
          <w:b w:val="0"/>
          <w:noProof w:val="0"/>
        </w:rPr>
        <w:t>&lt;Amend&gt;</w:t>
      </w:r>
      <w:r w:rsidRPr="00FE4A84">
        <w:t>Tarkistus</w:t>
      </w:r>
      <w:r w:rsidRPr="00FE4A84">
        <w:tab/>
      </w:r>
      <w:r w:rsidRPr="00FE4A84">
        <w:tab/>
      </w:r>
      <w:r w:rsidRPr="00FE4A84">
        <w:rPr>
          <w:rStyle w:val="HideTWBExt"/>
          <w:b w:val="0"/>
          <w:noProof w:val="0"/>
        </w:rPr>
        <w:t>&lt;NumAm&gt;</w:t>
      </w:r>
      <w:r w:rsidRPr="00FE4A84">
        <w:t>3</w:t>
      </w:r>
      <w:r w:rsidRPr="00FE4A84">
        <w:rPr>
          <w:rStyle w:val="HideTWBExt"/>
          <w:b w:val="0"/>
          <w:noProof w:val="0"/>
        </w:rPr>
        <w:t>&lt;/NumAm&gt;</w:t>
      </w:r>
    </w:p>
    <w:p w:rsidR="00797A79" w:rsidRPr="00FE4A84" w:rsidRDefault="00E47984" w:rsidP="00FE4A84">
      <w:pPr>
        <w:pStyle w:val="NormalBold12b"/>
        <w:keepNext/>
        <w:widowControl/>
      </w:pPr>
      <w:r w:rsidRPr="00FE4A84">
        <w:rPr>
          <w:rStyle w:val="HideTWBExt"/>
          <w:b w:val="0"/>
          <w:noProof w:val="0"/>
        </w:rPr>
        <w:t>&lt;DocAmend&gt;</w:t>
      </w:r>
      <w:r w:rsidRPr="00FE4A84">
        <w:t>Ehdotus asetukseksi</w:t>
      </w:r>
      <w:r w:rsidRPr="00FE4A84">
        <w:rPr>
          <w:rStyle w:val="HideTWBExt"/>
          <w:b w:val="0"/>
          <w:noProof w:val="0"/>
        </w:rPr>
        <w:t>&lt;/DocAmend&gt;</w:t>
      </w:r>
    </w:p>
    <w:p w:rsidR="00797A79" w:rsidRPr="00FE4A84" w:rsidRDefault="00E47984" w:rsidP="00FE4A84">
      <w:pPr>
        <w:pStyle w:val="NormalBold"/>
        <w:widowControl/>
      </w:pPr>
      <w:r w:rsidRPr="00FE4A84">
        <w:rPr>
          <w:rStyle w:val="HideTWBExt"/>
          <w:b w:val="0"/>
          <w:noProof w:val="0"/>
        </w:rPr>
        <w:t>&lt;Article&gt;</w:t>
      </w:r>
      <w:r w:rsidRPr="00FE4A84">
        <w:t>Johdanto-osan 4 kappale</w:t>
      </w:r>
      <w:r w:rsidRPr="00FE4A84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0108" w:rsidRPr="00FE4A84" w:rsidTr="002E3887">
        <w:trPr>
          <w:jc w:val="center"/>
        </w:trPr>
        <w:tc>
          <w:tcPr>
            <w:tcW w:w="9752" w:type="dxa"/>
            <w:gridSpan w:val="2"/>
          </w:tcPr>
          <w:p w:rsidR="00797A79" w:rsidRPr="00FE4A84" w:rsidRDefault="00797A79" w:rsidP="00FE4A84">
            <w:pPr>
              <w:keepNext/>
              <w:widowControl/>
            </w:pP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Komission teksti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Tarkistus</w:t>
            </w: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</w:pPr>
            <w:r w:rsidRPr="00FE4A84">
              <w:t>(4)</w:t>
            </w:r>
            <w:r w:rsidRPr="00FE4A84">
              <w:tab/>
            </w:r>
            <w:r w:rsidRPr="00FE4A84">
              <w:t>Näiden</w:t>
            </w:r>
            <w:r w:rsidRPr="00FE4A84">
              <w:t xml:space="preserve"> maiden kansalaiset olisi</w:t>
            </w:r>
            <w:r w:rsidRPr="00FE4A84">
              <w:rPr>
                <w:b/>
                <w:i/>
              </w:rPr>
              <w:t xml:space="preserve"> tämän vuoksi</w:t>
            </w:r>
            <w:r w:rsidRPr="00FE4A84">
              <w:t xml:space="preserve"> vapautettava viisumipakosta sellaisen oleskelun osalta, jonka kokonaiskesto on enintään 90 päivää minkä tahansa 180 päivän jakson aikana, ja viittaukset kyseisiin maihin olisi siirrettävä asetuksen (EU) 2018/1806 liitteeseen II.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  <w:rPr>
                <w:szCs w:val="24"/>
              </w:rPr>
            </w:pPr>
            <w:r w:rsidRPr="00FE4A84">
              <w:t>(4)</w:t>
            </w:r>
            <w:r w:rsidRPr="00FE4A84">
              <w:tab/>
            </w:r>
            <w:r w:rsidRPr="00FE4A84">
              <w:rPr>
                <w:b/>
                <w:i/>
              </w:rPr>
              <w:t>Koska EU:hun suuntautu</w:t>
            </w:r>
            <w:r w:rsidRPr="00FE4A84">
              <w:rPr>
                <w:b/>
                <w:i/>
              </w:rPr>
              <w:t xml:space="preserve">van viisumivapaan matkustamisen ja sen kanssa toteutettavien vastavuoroisten vaihtojen pitkän aikavälin hyödyt voivat vahvistaa myönteistä kehitystä myös ihmisoikeus- ja perusvapauskysymyksissä, </w:t>
            </w:r>
            <w:r w:rsidRPr="00FE4A84">
              <w:t>näiden</w:t>
            </w:r>
            <w:r w:rsidRPr="00FE4A84">
              <w:t xml:space="preserve"> maiden kansalaiset olisi vapautettava viisumipakosta s</w:t>
            </w:r>
            <w:r w:rsidRPr="00FE4A84">
              <w:t>ellaisen oleskelun osalta, jonka kokonaiskesto on enintään 90 päivää minkä tahansa 180 päivän jakson aikana, ja viittaukset kyseisiin maihin olisi siirrettävä asetuksen (EU) 2018/1806 liitteeseen II.</w:t>
            </w:r>
          </w:p>
        </w:tc>
      </w:tr>
    </w:tbl>
    <w:p w:rsidR="00797A79" w:rsidRPr="00FE4A84" w:rsidRDefault="00E47984" w:rsidP="00FE4A84">
      <w:pPr>
        <w:pStyle w:val="Olang"/>
        <w:rPr>
          <w:sz w:val="24"/>
          <w:szCs w:val="24"/>
          <w:lang w:val="en-GB"/>
        </w:rPr>
      </w:pPr>
      <w:proofErr w:type="gramStart"/>
      <w:r w:rsidRPr="00FE4A84">
        <w:rPr>
          <w:sz w:val="24"/>
          <w:szCs w:val="24"/>
          <w:lang w:val="en-GB"/>
        </w:rPr>
        <w:t>Or</w:t>
      </w:r>
      <w:proofErr w:type="gramEnd"/>
      <w:r w:rsidRPr="00FE4A84">
        <w:rPr>
          <w:sz w:val="24"/>
          <w:szCs w:val="24"/>
          <w:lang w:val="en-GB"/>
        </w:rPr>
        <w:t xml:space="preserve">. </w:t>
      </w:r>
      <w:r w:rsidRPr="00FE4A84">
        <w:rPr>
          <w:rStyle w:val="HideTWBExt"/>
          <w:noProof w:val="0"/>
          <w:lang w:val="en-GB"/>
        </w:rPr>
        <w:t>&lt;Original</w:t>
      </w:r>
      <w:proofErr w:type="gramStart"/>
      <w:r w:rsidRPr="00FE4A84">
        <w:rPr>
          <w:rStyle w:val="HideTWBExt"/>
          <w:noProof w:val="0"/>
          <w:lang w:val="en-GB"/>
        </w:rPr>
        <w:t>&gt;</w:t>
      </w:r>
      <w:r w:rsidRPr="00FE4A84">
        <w:rPr>
          <w:rStyle w:val="HideTWBInt"/>
          <w:sz w:val="24"/>
          <w:szCs w:val="24"/>
          <w:lang w:val="en-GB"/>
        </w:rPr>
        <w:t>{</w:t>
      </w:r>
      <w:proofErr w:type="gramEnd"/>
      <w:r w:rsidRPr="00FE4A84">
        <w:rPr>
          <w:rStyle w:val="HideTWBInt"/>
          <w:sz w:val="24"/>
          <w:szCs w:val="24"/>
          <w:lang w:val="en-GB"/>
        </w:rPr>
        <w:t>EN}</w:t>
      </w:r>
      <w:r w:rsidRPr="00FE4A84">
        <w:rPr>
          <w:sz w:val="24"/>
          <w:szCs w:val="24"/>
          <w:lang w:val="en-GB"/>
        </w:rPr>
        <w:t>en</w:t>
      </w:r>
      <w:r w:rsidRPr="00FE4A84">
        <w:rPr>
          <w:rStyle w:val="HideTWBExt"/>
          <w:noProof w:val="0"/>
          <w:lang w:val="en-GB"/>
        </w:rPr>
        <w:t>&lt;/Original&gt;</w:t>
      </w:r>
    </w:p>
    <w:p w:rsidR="00797A79" w:rsidRPr="00FE4A84" w:rsidRDefault="00E47984" w:rsidP="00FE4A84">
      <w:pPr>
        <w:widowControl/>
        <w:rPr>
          <w:lang w:val="en-GB"/>
        </w:rPr>
      </w:pPr>
      <w:r w:rsidRPr="00FE4A84">
        <w:rPr>
          <w:rStyle w:val="HideTWBExt"/>
          <w:noProof w:val="0"/>
          <w:lang w:val="en-GB"/>
        </w:rPr>
        <w:t>&lt;/Amend&gt;</w:t>
      </w:r>
    </w:p>
    <w:p w:rsidR="00797A79" w:rsidRPr="00FE4A84" w:rsidRDefault="00E47984" w:rsidP="00FE4A84">
      <w:pPr>
        <w:pStyle w:val="AMNumberTabs0"/>
        <w:keepNext/>
        <w:widowControl/>
      </w:pPr>
      <w:r w:rsidRPr="00FE4A84">
        <w:rPr>
          <w:rStyle w:val="HideTWBExt"/>
          <w:b w:val="0"/>
          <w:noProof w:val="0"/>
        </w:rPr>
        <w:t>&lt;Amend&gt;</w:t>
      </w:r>
      <w:r w:rsidRPr="00FE4A84">
        <w:t>Tarkistus</w:t>
      </w:r>
      <w:r w:rsidRPr="00FE4A84">
        <w:tab/>
      </w:r>
      <w:r w:rsidRPr="00FE4A84">
        <w:tab/>
      </w:r>
      <w:r w:rsidRPr="00FE4A84">
        <w:rPr>
          <w:rStyle w:val="HideTWBExt"/>
          <w:b w:val="0"/>
          <w:noProof w:val="0"/>
        </w:rPr>
        <w:t>&lt;NumAm&gt;</w:t>
      </w:r>
      <w:r w:rsidRPr="00FE4A84">
        <w:t>4</w:t>
      </w:r>
      <w:r w:rsidRPr="00FE4A84">
        <w:rPr>
          <w:rStyle w:val="HideTWBExt"/>
          <w:b w:val="0"/>
          <w:noProof w:val="0"/>
        </w:rPr>
        <w:t>&lt;/NumAm&gt;</w:t>
      </w:r>
    </w:p>
    <w:p w:rsidR="00797A79" w:rsidRPr="00FE4A84" w:rsidRDefault="00E47984" w:rsidP="00FE4A84">
      <w:pPr>
        <w:pStyle w:val="NormalBold12b"/>
        <w:keepNext/>
        <w:widowControl/>
      </w:pPr>
      <w:r w:rsidRPr="00FE4A84">
        <w:rPr>
          <w:rStyle w:val="HideTWBExt"/>
          <w:b w:val="0"/>
          <w:noProof w:val="0"/>
        </w:rPr>
        <w:t>&lt;DocAmend&gt;</w:t>
      </w:r>
      <w:r w:rsidRPr="00FE4A84">
        <w:t>Ehdotus asetukseksi</w:t>
      </w:r>
      <w:r w:rsidRPr="00FE4A84">
        <w:rPr>
          <w:rStyle w:val="HideTWBExt"/>
          <w:b w:val="0"/>
          <w:noProof w:val="0"/>
        </w:rPr>
        <w:t>&lt;/DocAmend&gt;</w:t>
      </w:r>
    </w:p>
    <w:p w:rsidR="00797A79" w:rsidRPr="00FE4A84" w:rsidRDefault="00E47984" w:rsidP="00FE4A84">
      <w:pPr>
        <w:pStyle w:val="NormalBold"/>
        <w:widowControl/>
      </w:pPr>
      <w:r w:rsidRPr="00FE4A84">
        <w:rPr>
          <w:rStyle w:val="HideTWBExt"/>
          <w:b w:val="0"/>
          <w:noProof w:val="0"/>
        </w:rPr>
        <w:t>&lt;Article&gt;</w:t>
      </w:r>
      <w:r w:rsidRPr="00FE4A84">
        <w:t>Johdanto-osan 4 a kappale (uusi)</w:t>
      </w:r>
      <w:r w:rsidRPr="00FE4A84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0108" w:rsidRPr="00FE4A84" w:rsidTr="002E3887">
        <w:trPr>
          <w:jc w:val="center"/>
        </w:trPr>
        <w:tc>
          <w:tcPr>
            <w:tcW w:w="9752" w:type="dxa"/>
            <w:gridSpan w:val="2"/>
          </w:tcPr>
          <w:p w:rsidR="00797A79" w:rsidRPr="00FE4A84" w:rsidRDefault="00797A79" w:rsidP="00FE4A84">
            <w:pPr>
              <w:keepNext/>
              <w:widowControl/>
            </w:pP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Komission teksti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Tarkistus</w:t>
            </w: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797A79" w:rsidP="00FE4A84">
            <w:pPr>
              <w:pStyle w:val="Normal6"/>
              <w:widowControl/>
            </w:pP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  <w:rPr>
                <w:szCs w:val="24"/>
              </w:rPr>
            </w:pPr>
            <w:r w:rsidRPr="00FE4A84">
              <w:rPr>
                <w:b/>
                <w:i/>
              </w:rPr>
              <w:t>(4 a)</w:t>
            </w:r>
            <w:r w:rsidRPr="00FE4A84">
              <w:rPr>
                <w:b/>
                <w:i/>
              </w:rPr>
              <w:tab/>
              <w:t>Jotta vastavuoroiseen viisumivapauteen liittyviä hyötyjä, saavutuksia ja mahdollisia parannuksia v</w:t>
            </w:r>
            <w:r w:rsidRPr="00FE4A84">
              <w:rPr>
                <w:b/>
                <w:i/>
              </w:rPr>
              <w:t>oidaan arvioida, unionin ja Kuwaitin sekä unionin ja Qatarin välisissä kahdenvälisissä viisumivapaussopimuksissa olisi määrättävä, että komissio arvioi sopimusten määräysten, mukaan lukien niiden ihmisoikeusulottuvuuden, täytäntöönpanoa säännöllisin väliaj</w:t>
            </w:r>
            <w:r w:rsidRPr="00FE4A84">
              <w:rPr>
                <w:b/>
                <w:i/>
              </w:rPr>
              <w:t>oin.</w:t>
            </w:r>
          </w:p>
        </w:tc>
      </w:tr>
    </w:tbl>
    <w:p w:rsidR="00797A79" w:rsidRPr="00FE4A84" w:rsidRDefault="00E47984" w:rsidP="00FE4A84">
      <w:pPr>
        <w:pStyle w:val="Olang"/>
        <w:rPr>
          <w:sz w:val="24"/>
          <w:szCs w:val="24"/>
          <w:lang w:val="en-GB"/>
        </w:rPr>
      </w:pPr>
      <w:proofErr w:type="gramStart"/>
      <w:r w:rsidRPr="00FE4A84">
        <w:rPr>
          <w:sz w:val="24"/>
          <w:szCs w:val="24"/>
          <w:lang w:val="en-GB"/>
        </w:rPr>
        <w:t>Or</w:t>
      </w:r>
      <w:proofErr w:type="gramEnd"/>
      <w:r w:rsidRPr="00FE4A84">
        <w:rPr>
          <w:sz w:val="24"/>
          <w:szCs w:val="24"/>
          <w:lang w:val="en-GB"/>
        </w:rPr>
        <w:t xml:space="preserve">. </w:t>
      </w:r>
      <w:r w:rsidRPr="00FE4A84">
        <w:rPr>
          <w:rStyle w:val="HideTWBExt"/>
          <w:noProof w:val="0"/>
          <w:lang w:val="en-GB"/>
        </w:rPr>
        <w:t>&lt;Original</w:t>
      </w:r>
      <w:proofErr w:type="gramStart"/>
      <w:r w:rsidRPr="00FE4A84">
        <w:rPr>
          <w:rStyle w:val="HideTWBExt"/>
          <w:noProof w:val="0"/>
          <w:lang w:val="en-GB"/>
        </w:rPr>
        <w:t>&gt;</w:t>
      </w:r>
      <w:r w:rsidRPr="00FE4A84">
        <w:rPr>
          <w:rStyle w:val="HideTWBInt"/>
          <w:sz w:val="24"/>
          <w:szCs w:val="24"/>
          <w:lang w:val="en-GB"/>
        </w:rPr>
        <w:t>{</w:t>
      </w:r>
      <w:proofErr w:type="gramEnd"/>
      <w:r w:rsidRPr="00FE4A84">
        <w:rPr>
          <w:rStyle w:val="HideTWBInt"/>
          <w:sz w:val="24"/>
          <w:szCs w:val="24"/>
          <w:lang w:val="en-GB"/>
        </w:rPr>
        <w:t>EN}</w:t>
      </w:r>
      <w:r w:rsidRPr="00FE4A84">
        <w:rPr>
          <w:sz w:val="24"/>
          <w:szCs w:val="24"/>
          <w:lang w:val="en-GB"/>
        </w:rPr>
        <w:t>en</w:t>
      </w:r>
      <w:r w:rsidRPr="00FE4A84">
        <w:rPr>
          <w:rStyle w:val="HideTWBExt"/>
          <w:noProof w:val="0"/>
          <w:lang w:val="en-GB"/>
        </w:rPr>
        <w:t>&lt;/Original&gt;</w:t>
      </w:r>
    </w:p>
    <w:p w:rsidR="00797A79" w:rsidRPr="00FE4A84" w:rsidRDefault="00E47984" w:rsidP="00FE4A84">
      <w:pPr>
        <w:widowControl/>
        <w:rPr>
          <w:lang w:val="en-GB"/>
        </w:rPr>
      </w:pPr>
      <w:r w:rsidRPr="00FE4A84">
        <w:rPr>
          <w:rStyle w:val="HideTWBExt"/>
          <w:noProof w:val="0"/>
          <w:lang w:val="en-GB"/>
        </w:rPr>
        <w:t>&lt;/Amend&gt;</w:t>
      </w:r>
    </w:p>
    <w:p w:rsidR="00797A79" w:rsidRPr="00FE4A84" w:rsidRDefault="00E47984" w:rsidP="00FE4A84">
      <w:pPr>
        <w:pStyle w:val="AMNumberTabs0"/>
        <w:keepNext/>
        <w:widowControl/>
      </w:pPr>
      <w:r w:rsidRPr="00FE4A84">
        <w:rPr>
          <w:rStyle w:val="HideTWBExt"/>
          <w:b w:val="0"/>
          <w:noProof w:val="0"/>
        </w:rPr>
        <w:t>&lt;Amend&gt;</w:t>
      </w:r>
      <w:r w:rsidRPr="00FE4A84">
        <w:t>Tarkistus</w:t>
      </w:r>
      <w:r w:rsidRPr="00FE4A84">
        <w:tab/>
      </w:r>
      <w:r w:rsidRPr="00FE4A84">
        <w:tab/>
      </w:r>
      <w:r w:rsidRPr="00FE4A84">
        <w:rPr>
          <w:rStyle w:val="HideTWBExt"/>
          <w:b w:val="0"/>
          <w:noProof w:val="0"/>
        </w:rPr>
        <w:t>&lt;NumAm&gt;</w:t>
      </w:r>
      <w:r w:rsidRPr="00FE4A84">
        <w:t>5</w:t>
      </w:r>
      <w:r w:rsidRPr="00FE4A84">
        <w:rPr>
          <w:rStyle w:val="HideTWBExt"/>
          <w:b w:val="0"/>
          <w:noProof w:val="0"/>
        </w:rPr>
        <w:t>&lt;/NumAm&gt;</w:t>
      </w:r>
    </w:p>
    <w:p w:rsidR="00797A79" w:rsidRPr="00FE4A84" w:rsidRDefault="00E47984" w:rsidP="00FE4A84">
      <w:pPr>
        <w:pStyle w:val="NormalBold12b"/>
        <w:keepNext/>
        <w:widowControl/>
      </w:pPr>
      <w:r w:rsidRPr="00FE4A84">
        <w:rPr>
          <w:rStyle w:val="HideTWBExt"/>
          <w:b w:val="0"/>
          <w:noProof w:val="0"/>
        </w:rPr>
        <w:t>&lt;DocAmend&gt;</w:t>
      </w:r>
      <w:r w:rsidRPr="00FE4A84">
        <w:t>Ehdotus asetukseksi</w:t>
      </w:r>
      <w:r w:rsidRPr="00FE4A84">
        <w:rPr>
          <w:rStyle w:val="HideTWBExt"/>
          <w:b w:val="0"/>
          <w:noProof w:val="0"/>
        </w:rPr>
        <w:t>&lt;/DocAmend&gt;</w:t>
      </w:r>
    </w:p>
    <w:p w:rsidR="00797A79" w:rsidRPr="00FE4A84" w:rsidRDefault="00E47984" w:rsidP="00FE4A84">
      <w:pPr>
        <w:pStyle w:val="NormalBold"/>
        <w:widowControl/>
      </w:pPr>
      <w:r w:rsidRPr="00FE4A84">
        <w:rPr>
          <w:rStyle w:val="HideTWBExt"/>
          <w:b w:val="0"/>
          <w:noProof w:val="0"/>
        </w:rPr>
        <w:t>&lt;Article&gt;</w:t>
      </w:r>
      <w:r w:rsidRPr="00FE4A84">
        <w:t>Johdanto-osan 6 kappale</w:t>
      </w:r>
      <w:r w:rsidRPr="00FE4A84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0108" w:rsidRPr="00FE4A84" w:rsidTr="002E3887">
        <w:trPr>
          <w:jc w:val="center"/>
        </w:trPr>
        <w:tc>
          <w:tcPr>
            <w:tcW w:w="9752" w:type="dxa"/>
            <w:gridSpan w:val="2"/>
          </w:tcPr>
          <w:p w:rsidR="00797A79" w:rsidRPr="00FE4A84" w:rsidRDefault="00797A79" w:rsidP="00FE4A84">
            <w:pPr>
              <w:keepNext/>
              <w:widowControl/>
            </w:pP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Komission teksti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Tarkistus</w:t>
            </w: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</w:pPr>
            <w:r w:rsidRPr="00FE4A84">
              <w:t>(6)</w:t>
            </w:r>
            <w:r w:rsidRPr="00FE4A84">
              <w:tab/>
            </w:r>
            <w:r w:rsidRPr="00FE4A84">
              <w:t>Kuwaitin ja Qatarin kansalaisia koskevaa viisumivapautta ei pitäisi soveltaa ennen kuin unionin sekä Kuwaitin ja Qatarin välillä on tehty kahdenväliset viisumivapaussopimukset, erityisesti jotta voidaan varmistaa täyden vastavuoroisuuden toteutuminen.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  <w:rPr>
                <w:szCs w:val="24"/>
              </w:rPr>
            </w:pPr>
            <w:r w:rsidRPr="00FE4A84">
              <w:t>(6)</w:t>
            </w:r>
            <w:r w:rsidRPr="00FE4A84">
              <w:tab/>
            </w:r>
            <w:r w:rsidRPr="00FE4A84">
              <w:t xml:space="preserve">Kuwaitin ja Qatarin kansalaisia koskevaa viisumivapautta ei pitäisi soveltaa ennen kuin unionin sekä Kuwaitin ja Qatarin välillä on tehty kahdenväliset viisumivapaussopimukset, erityisesti jotta voidaan varmistaa täyden vastavuoroisuuden toteutuminen. </w:t>
            </w:r>
            <w:r w:rsidRPr="00FE4A84">
              <w:rPr>
                <w:b/>
                <w:i/>
              </w:rPr>
              <w:t>Kahd</w:t>
            </w:r>
            <w:r w:rsidRPr="00FE4A84">
              <w:rPr>
                <w:b/>
                <w:i/>
              </w:rPr>
              <w:t>envälisten viisumivapaussopimusten tekeminen unionin ja Kuwaitin ja unionin ja Qatarin välillä ei saisi riippua muita politiikanaloja, kuten palautuksia tai takaisinottoa, koskevien kahdenvälisten sopimusten tekemisestä, eikä sitä saisi muuten yhdistää täl</w:t>
            </w:r>
            <w:r w:rsidRPr="00FE4A84">
              <w:rPr>
                <w:b/>
                <w:i/>
              </w:rPr>
              <w:t>laisten sopimusten tekemiseen.</w:t>
            </w:r>
          </w:p>
        </w:tc>
      </w:tr>
    </w:tbl>
    <w:p w:rsidR="00797A79" w:rsidRPr="00FE4A84" w:rsidRDefault="00E47984" w:rsidP="00FE4A84">
      <w:pPr>
        <w:pStyle w:val="Olang"/>
        <w:rPr>
          <w:sz w:val="24"/>
          <w:szCs w:val="24"/>
          <w:lang w:val="en-GB"/>
        </w:rPr>
      </w:pPr>
      <w:proofErr w:type="gramStart"/>
      <w:r w:rsidRPr="00FE4A84">
        <w:rPr>
          <w:sz w:val="24"/>
          <w:szCs w:val="24"/>
          <w:lang w:val="en-GB"/>
        </w:rPr>
        <w:t>Or</w:t>
      </w:r>
      <w:proofErr w:type="gramEnd"/>
      <w:r w:rsidRPr="00FE4A84">
        <w:rPr>
          <w:sz w:val="24"/>
          <w:szCs w:val="24"/>
          <w:lang w:val="en-GB"/>
        </w:rPr>
        <w:t xml:space="preserve">. </w:t>
      </w:r>
      <w:r w:rsidRPr="00FE4A84">
        <w:rPr>
          <w:rStyle w:val="HideTWBExt"/>
          <w:noProof w:val="0"/>
          <w:lang w:val="en-GB"/>
        </w:rPr>
        <w:t>&lt;Original</w:t>
      </w:r>
      <w:proofErr w:type="gramStart"/>
      <w:r w:rsidRPr="00FE4A84">
        <w:rPr>
          <w:rStyle w:val="HideTWBExt"/>
          <w:noProof w:val="0"/>
          <w:lang w:val="en-GB"/>
        </w:rPr>
        <w:t>&gt;</w:t>
      </w:r>
      <w:r w:rsidRPr="00FE4A84">
        <w:rPr>
          <w:rStyle w:val="HideTWBInt"/>
          <w:sz w:val="24"/>
          <w:szCs w:val="24"/>
          <w:lang w:val="en-GB"/>
        </w:rPr>
        <w:t>{</w:t>
      </w:r>
      <w:proofErr w:type="gramEnd"/>
      <w:r w:rsidRPr="00FE4A84">
        <w:rPr>
          <w:rStyle w:val="HideTWBInt"/>
          <w:sz w:val="24"/>
          <w:szCs w:val="24"/>
          <w:lang w:val="en-GB"/>
        </w:rPr>
        <w:t>EN}</w:t>
      </w:r>
      <w:r w:rsidRPr="00FE4A84">
        <w:rPr>
          <w:sz w:val="24"/>
          <w:szCs w:val="24"/>
          <w:lang w:val="en-GB"/>
        </w:rPr>
        <w:t>en</w:t>
      </w:r>
      <w:r w:rsidRPr="00FE4A84">
        <w:rPr>
          <w:rStyle w:val="HideTWBExt"/>
          <w:noProof w:val="0"/>
          <w:lang w:val="en-GB"/>
        </w:rPr>
        <w:t>&lt;/Original&gt;</w:t>
      </w:r>
    </w:p>
    <w:p w:rsidR="00797A79" w:rsidRPr="00FE4A84" w:rsidRDefault="00E47984" w:rsidP="00FE4A84">
      <w:pPr>
        <w:widowControl/>
        <w:rPr>
          <w:lang w:val="en-GB"/>
        </w:rPr>
      </w:pPr>
      <w:r w:rsidRPr="00FE4A84">
        <w:rPr>
          <w:rStyle w:val="HideTWBExt"/>
          <w:noProof w:val="0"/>
          <w:lang w:val="en-GB"/>
        </w:rPr>
        <w:t>&lt;/Amend&gt;</w:t>
      </w:r>
    </w:p>
    <w:p w:rsidR="00797A79" w:rsidRPr="00FE4A84" w:rsidRDefault="00E47984" w:rsidP="00FE4A84">
      <w:pPr>
        <w:pStyle w:val="AMNumberTabs0"/>
        <w:keepNext/>
        <w:widowControl/>
      </w:pPr>
      <w:r w:rsidRPr="00FE4A84">
        <w:rPr>
          <w:rStyle w:val="HideTWBExt"/>
          <w:b w:val="0"/>
          <w:noProof w:val="0"/>
        </w:rPr>
        <w:t>&lt;Amend&gt;</w:t>
      </w:r>
      <w:r w:rsidRPr="00FE4A84">
        <w:t>Tarkistus</w:t>
      </w:r>
      <w:r w:rsidRPr="00FE4A84">
        <w:tab/>
      </w:r>
      <w:r w:rsidRPr="00FE4A84">
        <w:tab/>
      </w:r>
      <w:r w:rsidRPr="00FE4A84">
        <w:rPr>
          <w:rStyle w:val="HideTWBExt"/>
          <w:b w:val="0"/>
          <w:noProof w:val="0"/>
        </w:rPr>
        <w:t>&lt;NumAm&gt;</w:t>
      </w:r>
      <w:r w:rsidRPr="00FE4A84">
        <w:t>6</w:t>
      </w:r>
      <w:r w:rsidRPr="00FE4A84">
        <w:rPr>
          <w:rStyle w:val="HideTWBExt"/>
          <w:b w:val="0"/>
          <w:noProof w:val="0"/>
        </w:rPr>
        <w:t>&lt;/NumAm&gt;</w:t>
      </w:r>
    </w:p>
    <w:p w:rsidR="00797A79" w:rsidRPr="00FE4A84" w:rsidRDefault="00E47984" w:rsidP="00FE4A84">
      <w:pPr>
        <w:pStyle w:val="NormalBold12b"/>
        <w:keepNext/>
        <w:widowControl/>
      </w:pPr>
      <w:r w:rsidRPr="00FE4A84">
        <w:rPr>
          <w:rStyle w:val="HideTWBExt"/>
          <w:b w:val="0"/>
          <w:noProof w:val="0"/>
        </w:rPr>
        <w:t>&lt;DocAmend&gt;</w:t>
      </w:r>
      <w:r w:rsidRPr="00FE4A84">
        <w:t>Ehdotus asetukseksi</w:t>
      </w:r>
      <w:r w:rsidRPr="00FE4A84">
        <w:rPr>
          <w:rStyle w:val="HideTWBExt"/>
          <w:b w:val="0"/>
          <w:noProof w:val="0"/>
        </w:rPr>
        <w:t>&lt;/DocAmend&gt;</w:t>
      </w:r>
    </w:p>
    <w:p w:rsidR="00797A79" w:rsidRPr="00FE4A84" w:rsidRDefault="00E47984" w:rsidP="00FE4A84">
      <w:pPr>
        <w:pStyle w:val="NormalBold"/>
        <w:widowControl/>
      </w:pPr>
      <w:r w:rsidRPr="00FE4A84">
        <w:rPr>
          <w:rStyle w:val="HideTWBExt"/>
          <w:b w:val="0"/>
          <w:noProof w:val="0"/>
        </w:rPr>
        <w:t>&lt;Article&gt;</w:t>
      </w:r>
      <w:r w:rsidRPr="00FE4A84">
        <w:t>Johdanto-osan 6 a kappale (uusi)</w:t>
      </w:r>
      <w:r w:rsidRPr="00FE4A84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0108" w:rsidRPr="00FE4A84" w:rsidTr="002E3887">
        <w:trPr>
          <w:jc w:val="center"/>
        </w:trPr>
        <w:tc>
          <w:tcPr>
            <w:tcW w:w="9752" w:type="dxa"/>
            <w:gridSpan w:val="2"/>
          </w:tcPr>
          <w:p w:rsidR="00797A79" w:rsidRPr="00FE4A84" w:rsidRDefault="00797A79" w:rsidP="00FE4A84">
            <w:pPr>
              <w:keepNext/>
              <w:widowControl/>
            </w:pP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Komission teksti</w:t>
            </w: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ColumnHeading"/>
              <w:keepNext/>
              <w:widowControl/>
            </w:pPr>
            <w:r w:rsidRPr="00FE4A84">
              <w:t>Tarkistus</w:t>
            </w:r>
          </w:p>
        </w:tc>
      </w:tr>
      <w:tr w:rsidR="00B30108" w:rsidRPr="00FE4A84" w:rsidTr="002E3887">
        <w:trPr>
          <w:jc w:val="center"/>
        </w:trPr>
        <w:tc>
          <w:tcPr>
            <w:tcW w:w="4876" w:type="dxa"/>
          </w:tcPr>
          <w:p w:rsidR="00797A79" w:rsidRPr="00FE4A84" w:rsidRDefault="00797A79" w:rsidP="00FE4A84">
            <w:pPr>
              <w:pStyle w:val="Normal6"/>
              <w:widowControl/>
            </w:pPr>
          </w:p>
        </w:tc>
        <w:tc>
          <w:tcPr>
            <w:tcW w:w="4876" w:type="dxa"/>
          </w:tcPr>
          <w:p w:rsidR="00797A79" w:rsidRPr="00FE4A84" w:rsidRDefault="00E47984" w:rsidP="00FE4A84">
            <w:pPr>
              <w:pStyle w:val="Normal6"/>
              <w:widowControl/>
              <w:rPr>
                <w:szCs w:val="24"/>
              </w:rPr>
            </w:pPr>
            <w:r w:rsidRPr="00FE4A84">
              <w:rPr>
                <w:b/>
                <w:i/>
              </w:rPr>
              <w:t>(6 a)</w:t>
            </w:r>
            <w:r w:rsidRPr="00FE4A84">
              <w:rPr>
                <w:b/>
                <w:i/>
              </w:rPr>
              <w:tab/>
            </w:r>
            <w:r w:rsidRPr="00FE4A84">
              <w:rPr>
                <w:b/>
                <w:i/>
              </w:rPr>
              <w:t>Komission olisi otettava mallia nykyisestä prosessista, joka kattaa Kuwaitin ja Qatarin kanssa tehtävät uudet asetuksen (EU) 2018/1806 mukaiset sopimukset, ja viipymättä arvioitava tilannetta muissa kolmansissa maissa, jotka mahdollisesti täyttävät viisumi</w:t>
            </w:r>
            <w:r w:rsidRPr="00FE4A84">
              <w:rPr>
                <w:b/>
                <w:i/>
              </w:rPr>
              <w:t>vapauden kelpoisuusehdot, erityisesti Omanissa ja Ecuadorissa, ottaen kunkin maan osalta huomioon alueellisen yhtenäisyyden.</w:t>
            </w:r>
          </w:p>
        </w:tc>
      </w:tr>
    </w:tbl>
    <w:p w:rsidR="00797A79" w:rsidRPr="00FE4A84" w:rsidRDefault="00E47984" w:rsidP="00FE4A84">
      <w:pPr>
        <w:pStyle w:val="Olang"/>
        <w:rPr>
          <w:sz w:val="24"/>
          <w:szCs w:val="24"/>
          <w:lang w:val="en-GB"/>
        </w:rPr>
      </w:pPr>
      <w:proofErr w:type="gramStart"/>
      <w:r w:rsidRPr="00FE4A84">
        <w:rPr>
          <w:sz w:val="24"/>
          <w:szCs w:val="24"/>
          <w:lang w:val="en-GB"/>
        </w:rPr>
        <w:t>Or</w:t>
      </w:r>
      <w:proofErr w:type="gramEnd"/>
      <w:r w:rsidRPr="00FE4A84">
        <w:rPr>
          <w:sz w:val="24"/>
          <w:szCs w:val="24"/>
          <w:lang w:val="en-GB"/>
        </w:rPr>
        <w:t xml:space="preserve">. </w:t>
      </w:r>
      <w:r w:rsidRPr="00FE4A84">
        <w:rPr>
          <w:rStyle w:val="HideTWBExt"/>
          <w:noProof w:val="0"/>
          <w:lang w:val="en-GB"/>
        </w:rPr>
        <w:t>&lt;Original</w:t>
      </w:r>
      <w:proofErr w:type="gramStart"/>
      <w:r w:rsidRPr="00FE4A84">
        <w:rPr>
          <w:rStyle w:val="HideTWBExt"/>
          <w:noProof w:val="0"/>
          <w:lang w:val="en-GB"/>
        </w:rPr>
        <w:t>&gt;</w:t>
      </w:r>
      <w:r w:rsidRPr="00FE4A84">
        <w:rPr>
          <w:rStyle w:val="HideTWBInt"/>
          <w:sz w:val="24"/>
          <w:szCs w:val="24"/>
          <w:lang w:val="en-GB"/>
        </w:rPr>
        <w:t>{</w:t>
      </w:r>
      <w:proofErr w:type="gramEnd"/>
      <w:r w:rsidRPr="00FE4A84">
        <w:rPr>
          <w:rStyle w:val="HideTWBInt"/>
          <w:sz w:val="24"/>
          <w:szCs w:val="24"/>
          <w:lang w:val="en-GB"/>
        </w:rPr>
        <w:t>EN}</w:t>
      </w:r>
      <w:r w:rsidRPr="00FE4A84">
        <w:rPr>
          <w:sz w:val="24"/>
          <w:szCs w:val="24"/>
          <w:lang w:val="en-GB"/>
        </w:rPr>
        <w:t>en</w:t>
      </w:r>
      <w:r w:rsidRPr="00FE4A84">
        <w:rPr>
          <w:rStyle w:val="HideTWBExt"/>
          <w:noProof w:val="0"/>
          <w:lang w:val="en-GB"/>
        </w:rPr>
        <w:t>&lt;/Original&gt;</w:t>
      </w:r>
    </w:p>
    <w:p w:rsidR="00797A79" w:rsidRPr="00FE4A84" w:rsidRDefault="00E47984" w:rsidP="00FE4A84">
      <w:pPr>
        <w:widowControl/>
        <w:rPr>
          <w:lang w:val="en-GB"/>
        </w:rPr>
      </w:pPr>
      <w:r w:rsidRPr="00FE4A84">
        <w:rPr>
          <w:rStyle w:val="HideTWBExt"/>
          <w:noProof w:val="0"/>
          <w:lang w:val="en-GB"/>
        </w:rPr>
        <w:t>&lt;/Amend&gt;&lt;/RepeatBlock-Amend&gt;</w:t>
      </w:r>
    </w:p>
    <w:p w:rsidR="00CA3F76" w:rsidRPr="00FE4A84" w:rsidRDefault="00CA3F76" w:rsidP="00FE4A84">
      <w:pPr>
        <w:widowControl/>
        <w:rPr>
          <w:lang w:val="en-GB"/>
        </w:rPr>
        <w:sectPr w:rsidR="00CA3F76" w:rsidRPr="00FE4A84" w:rsidSect="00171F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669B6" w:rsidRPr="00FE4A84" w:rsidRDefault="00E47984" w:rsidP="00FE4A84">
      <w:pPr>
        <w:pStyle w:val="PageHeading"/>
        <w:widowControl/>
      </w:pPr>
      <w:bookmarkStart w:id="2" w:name="_Toc115428790"/>
      <w:r w:rsidRPr="00FE4A84">
        <w:t>PERUSTELUT</w:t>
      </w:r>
      <w:bookmarkEnd w:id="2"/>
    </w:p>
    <w:p w:rsidR="009F13DC" w:rsidRPr="00FE4A84" w:rsidRDefault="00E47984" w:rsidP="00FE4A84">
      <w:pPr>
        <w:widowControl/>
        <w:spacing w:before="100" w:beforeAutospacing="1" w:after="240"/>
        <w:rPr>
          <w:rFonts w:eastAsia="Calibri"/>
        </w:rPr>
      </w:pPr>
      <w:r w:rsidRPr="00FE4A84">
        <w:t>Komission ehdotuksella pyritään muuttamaan asetusta (EU) 2018/1806 siten, että Kuwaitin ja Qatarin kansalaiset vapautetaan vaatimuksesta, jonka mukaan heillä on oltava viisumi jäsenvaltioiden ulkorajojen ylittämistä varten, kun on kyse enintään 90 päivän o</w:t>
      </w:r>
      <w:r w:rsidRPr="00FE4A84">
        <w:t>leskelusta minkä tahansa 180 päivän jakson aikana. Ehdotuksen oikeusperusta on Euroopan unionin toiminnasta tehdyn sopimuksen (SEUT) 77 artiklan 2 kohdan a alakohta. Ehdotetulla asetuksella kehitetään Schengenin säännöstöä.</w:t>
      </w:r>
    </w:p>
    <w:p w:rsidR="009F13DC" w:rsidRPr="00FE4A84" w:rsidRDefault="00E47984" w:rsidP="00FE4A84">
      <w:pPr>
        <w:widowControl/>
        <w:spacing w:before="100" w:beforeAutospacing="1" w:after="240"/>
        <w:rPr>
          <w:rFonts w:eastAsia="Calibri"/>
        </w:rPr>
      </w:pPr>
      <w:r w:rsidRPr="00FE4A84">
        <w:t>Kolmannet maat, joiden kansalais</w:t>
      </w:r>
      <w:r w:rsidRPr="00FE4A84">
        <w:t>ia viisumivaatimus ei koske, määritetään arvioimalla tapauskohtaisesti eri perusteita, joista säädetään asetuksen (EU) 2018/1806 1 artiklassa. Nämä perusteet liittyvät muun muassa ”laittomaan maahanmuuttoon, yleiseen järjestykseen ja turvallisuuteen, talou</w:t>
      </w:r>
      <w:r w:rsidRPr="00FE4A84">
        <w:t>dellisiin etuihin erityisesti matkailun ja ulkomaankaupan kannalta sekä unionin ulkosuhteisiin näiden kolmansien maiden kanssa erityisesti ihmisoikeuksiin ja perusvapauksiin liittyvien seikkojen sekä alueelliseen yhtenäisyyteen ja vastavuoroisuuteen liitty</w:t>
      </w:r>
      <w:r w:rsidRPr="00FE4A84">
        <w:t>vien seikkojen osalta”.</w:t>
      </w:r>
    </w:p>
    <w:p w:rsidR="009F13DC" w:rsidRPr="00FE4A84" w:rsidRDefault="00E47984" w:rsidP="00FE4A84">
      <w:pPr>
        <w:widowControl/>
        <w:spacing w:before="100" w:beforeAutospacing="1" w:after="240"/>
        <w:rPr>
          <w:rFonts w:eastAsia="Calibri"/>
        </w:rPr>
      </w:pPr>
      <w:r w:rsidRPr="00FE4A84">
        <w:t>Viisumivapauden saattamiseksi voimaan EU:n on tehtävä kummankin maan kanssa viisumivapaussopimus. Sopimukseen sisältyy takeita, jotka liittyvät niihin asetuksessa (EU) 2018/1806 säädettyihin viisumivapauden perusteisiin, joiden peru</w:t>
      </w:r>
      <w:r w:rsidRPr="00FE4A84">
        <w:t xml:space="preserve">steella viisumivapaus on myönnetty. Ehdotetun viisumivapauden soveltamisen jälkeen asetuksessa (EU) 2018/1806 säädettyjä vastavuoroisuus- ja keskeyttämismekanismeja voidaan soveltaa, jos viisumikohtelun täyttä vastavuoroisuutta ei ole varmistettu, tai jos </w:t>
      </w:r>
      <w:r w:rsidRPr="00FE4A84">
        <w:t>viisumivapausjärjestelmää käytetään väärin tai viisumivapaudesta seuraa väärinkäytöksiä.</w:t>
      </w:r>
    </w:p>
    <w:p w:rsidR="009F13DC" w:rsidRPr="00FE4A84" w:rsidRDefault="00E47984" w:rsidP="00FE4A84">
      <w:pPr>
        <w:widowControl/>
        <w:spacing w:before="100" w:beforeAutospacing="1" w:after="240"/>
        <w:rPr>
          <w:rFonts w:eastAsia="Calibri"/>
        </w:rPr>
      </w:pPr>
      <w:r w:rsidRPr="00FE4A84">
        <w:t>Viisumivapaasti matkustavat henkilöt tarkastetaan yhä EU:n ulkorajoilla sen varmistamiseksi, että he täyttävät maahanpääsyvaatimukset. Tähän tarkastukseen sisältyy Sch</w:t>
      </w:r>
      <w:r w:rsidRPr="00FE4A84">
        <w:t>engenin tietojärjestelmän ja jäsenvaltioiden kansallisten tietokantojen tarkistaminen. Lisäksi Schengen-alueella vierailevat viisumipakosta vapautetut matkustajat kuuluvat EU:n rajanylitystietojärjestelmän ja Euroopan matkustustieto- ja -lupajärjestelmän p</w:t>
      </w:r>
      <w:r w:rsidRPr="00FE4A84">
        <w:t>iiriin heti kun nämä järjestelmät ovat täysin toimintakykyisiä.</w:t>
      </w:r>
    </w:p>
    <w:p w:rsidR="009F13DC" w:rsidRPr="00FE4A84" w:rsidRDefault="00E47984" w:rsidP="00FE4A84">
      <w:pPr>
        <w:widowControl/>
        <w:spacing w:before="100" w:beforeAutospacing="1" w:after="240"/>
        <w:rPr>
          <w:rFonts w:eastAsia="Calibri"/>
        </w:rPr>
      </w:pPr>
      <w:r w:rsidRPr="00FE4A84">
        <w:t>Sekä Kuwait että Qatar ovat unionille tärkeitä taloudellisia kumppaneita erityisesti energia-alalla ja EU:n energiahuollon monipuolistamista koskevien tavoitteiden kannalta. Viime vuosina EU o</w:t>
      </w:r>
      <w:r w:rsidRPr="00FE4A84">
        <w:t xml:space="preserve">n myös tiivistänyt yhteistyötään Kuwaitin ja Qatarin kanssa useilla politiikan aloilla, esimerkiksi turvallisuuden alalla sekä kahdenvälisellä tasolla että Persianlahden arabimaiden yhteistyöneuvoston (GCC) kautta. Lisäksi sekä Kuwait että Qatar myöntävät </w:t>
      </w:r>
      <w:r w:rsidRPr="00FE4A84">
        <w:t>biometrisiä passeja.</w:t>
      </w:r>
    </w:p>
    <w:p w:rsidR="00CA3F76" w:rsidRPr="00FE4A84" w:rsidRDefault="00E47984" w:rsidP="00FE4A84">
      <w:pPr>
        <w:widowControl/>
        <w:spacing w:before="100" w:beforeAutospacing="1" w:after="240"/>
        <w:rPr>
          <w:rFonts w:eastAsia="Calibri"/>
        </w:rPr>
      </w:pPr>
      <w:r w:rsidRPr="00FE4A84">
        <w:t>Ihmisoikeuksien ja perusvapauksien toteutumiseen liittyy kuitenkin edelleen vakavia huolenaiheita ja puutteita. Viimeaikaisista lainsäädännön uudistuksista ja poliittisista aloitteista huolimatta useissa kysymyksissä sekä äskettäin hyv</w:t>
      </w:r>
      <w:r w:rsidRPr="00FE4A84">
        <w:t>äksytyn lainsäädännön noudattamisen valvonnassa on edelleen monia haasteita, kuten muun muassa komission omassa arvioinnissa, EUH:n EU:n vuosikertomuksessa ihmisoikeuksista 2021 sekä Amnesty Internationalin ja Human Rights Watchin vuosittaisissa kertomuksi</w:t>
      </w:r>
      <w:r w:rsidRPr="00FE4A84">
        <w:t>ssa todettiin. Pian järjestettävien FIFAn jalkapallon maailmanmestaruuskisojen vuoksi tässä yhteydessä on kiinnitetty erityistä huomiota siirtotyöläisten työoloihin. Tämän lisäksi on kuitenkin myös muita huolenaiheita, kuten naisten oikeudet, hlbtq+-henkil</w:t>
      </w:r>
      <w:r w:rsidRPr="00FE4A84">
        <w:t>öiden oikeudet, uskonnonvapaus, kidutuksen kielto, sananvapaus, kokoontumisvapaus ja kuolemanrangaistuksen kielto.</w:t>
      </w:r>
    </w:p>
    <w:p w:rsidR="009F13DC" w:rsidRPr="00FE4A84" w:rsidRDefault="00E47984" w:rsidP="00FE4A84">
      <w:pPr>
        <w:widowControl/>
        <w:spacing w:after="240"/>
      </w:pPr>
      <w:r w:rsidRPr="00FE4A84">
        <w:t>Viisumivapaus voi olla keskeisessä asemassa edistettäessä EU:n ja Persianlahden alueen välistä kumppanuutta ja vahvistettaessa poliittista vu</w:t>
      </w:r>
      <w:r w:rsidRPr="00FE4A84">
        <w:t>oropuhelua ja taloudellista, tutkimus-, koulutus-, kulttuuri- ja yhteiskunnallista vaihtoa. Virallisten ihmisoikeusvuoropuhelujen käymisen on oltava olennainen osa sitoumuksia, jotka annetaan unionin ja Qatarin sekä unionin ja Kuwaitin välillä tehtävien ka</w:t>
      </w:r>
      <w:r w:rsidRPr="00FE4A84">
        <w:t xml:space="preserve">hdenvälisten sopimusten nojalla, ja myös näiden vuoropuhelujen jatkuvasta arvioinnista on sovittava. Koska nämä kahdenväliset sopimukset ovat ensimmäiset asetuksessa (EU) 2018/1806 säädetyn järjestelmän nojalla hyväksyttävät sopimukset, esittelijä katsoo, </w:t>
      </w:r>
      <w:r w:rsidRPr="00FE4A84">
        <w:t>että tällaisten ehtojen lisääminen asettaa myönteisen esimerkin, jolla on suotuisia heijastusvaikutuksia myöhemmin tehtäviin vastaaviin sopimuksiin.</w:t>
      </w:r>
    </w:p>
    <w:p w:rsidR="009F13DC" w:rsidRPr="00FE4A84" w:rsidRDefault="00E47984" w:rsidP="00FE4A84">
      <w:pPr>
        <w:widowControl/>
        <w:spacing w:after="240"/>
      </w:pPr>
      <w:r w:rsidRPr="00FE4A84">
        <w:t>Viisumivapausjärjestelmän käyttöönotolla on suuri merkitys sekä Qatarin ja Kuwaitin että EU:n kansalaisille</w:t>
      </w:r>
      <w:r w:rsidRPr="00FE4A84">
        <w:t>. Sillä osaltaan syvennetään ihmisten välisiä yhteyksiä ja vaihtoa ja vahvistetaan sosiaalisia ja kulttuurisuhteita. Tämän osalta on olennaisen tärkeää varmistaa, että molempien osapuolten kaikki kansalaiset voivat nauttia viisumivapausjärjestelmän hyödyis</w:t>
      </w:r>
      <w:r w:rsidRPr="00FE4A84">
        <w:t>tä yhdenvertaisesti ja ilman syrjintää.</w:t>
      </w:r>
    </w:p>
    <w:p w:rsidR="009F13DC" w:rsidRPr="00FE4A84" w:rsidRDefault="00E47984" w:rsidP="00FE4A84">
      <w:pPr>
        <w:widowControl/>
        <w:spacing w:after="240"/>
      </w:pPr>
      <w:r w:rsidRPr="00FE4A84">
        <w:t>Viisumivapausjärjestelmän tosiasiallisten hyötyjen ja saavutusten sekä mahdollisten parannustarpeiden arvioimiseksi esittelijän mielestä on asianmukaista, että tätä järjestelmää arvioidaan säännöllisin väliajoin sisä</w:t>
      </w:r>
      <w:r w:rsidRPr="00FE4A84">
        <w:t>llyttämällä kaikkiin tuleviin kahdenvälisiin viisumivapaussopimuksiin nimenomainen määräys komission tekemästä arvioinnista ja raportoinnista.</w:t>
      </w:r>
    </w:p>
    <w:p w:rsidR="009F13DC" w:rsidRPr="00FE4A84" w:rsidRDefault="00E47984" w:rsidP="00FE4A84">
      <w:pPr>
        <w:widowControl/>
        <w:spacing w:after="240"/>
      </w:pPr>
      <w:r w:rsidRPr="00FE4A84">
        <w:t>Viisumivapausjärjestelmästä osapuolille mahdollisesti koituvien hyötyjen vuoksi EU:n olisi tehostettava toimiaan,</w:t>
      </w:r>
      <w:r w:rsidRPr="00FE4A84">
        <w:t xml:space="preserve"> jotka koskevat yhteistyötä muiden viisumivapaasta matkustamisesta EU:hun kiinnostuneiden kolmansien maiden kanssa. Qatarin ja Kuwaitin kansalaisten ehdotetun viisumivapauden olisi kannustettava komissiota käynnistämään konkreettinen vuoropuhelu muiden mai</w:t>
      </w:r>
      <w:r w:rsidRPr="00FE4A84">
        <w:t>den kanssa asetuksessa (EU) 2018/1806 vahvistettujen perusteiden ja menettelyn pohjalta ja tekemään hyvissä ajoin arvioinnit kelpoisuusehdot mahdollisesti täyttävistä ja kiinnostuneista maista.</w:t>
      </w:r>
    </w:p>
    <w:p w:rsidR="00CA3F76" w:rsidRPr="00FE4A84" w:rsidRDefault="00E47984" w:rsidP="00E47984">
      <w:pPr>
        <w:widowControl/>
        <w:spacing w:after="240"/>
      </w:pPr>
      <w:r w:rsidRPr="00FE4A84">
        <w:t>Esittelijä katsoo, että hyväksymällä tämän komission ehdotukse</w:t>
      </w:r>
      <w:r w:rsidRPr="00FE4A84">
        <w:t>n parlamentti vahvistaa sitoumuksensa ihmisten välisten suhteiden ja yhteiskunnallisen vaihdon vahvistamisesta Kuwaitin ja Qatarin kanssa. Ede</w:t>
      </w:r>
      <w:bookmarkStart w:id="3" w:name="_GoBack"/>
      <w:bookmarkEnd w:id="3"/>
      <w:r w:rsidRPr="00FE4A84">
        <w:t xml:space="preserve">llä mainituista syistä ja ottaen huomioon, miten suuri merkitys viisumipakon poistamisella on kaikkien osapuolten </w:t>
      </w:r>
      <w:r w:rsidRPr="00FE4A84">
        <w:t>kansalaisille, esittelijä suosittelee, että kansalaisvapauksien sekä oikeus- ja sisäasioiden valiokunnan jäsenet antavat tukensa tälle mietinnölle.</w:t>
      </w:r>
    </w:p>
    <w:p w:rsidR="00CA3F76" w:rsidRPr="00FE4A84" w:rsidRDefault="00CA3F76" w:rsidP="00FE4A84">
      <w:pPr>
        <w:widowControl/>
      </w:pPr>
    </w:p>
    <w:sectPr w:rsidR="00CA3F76" w:rsidRPr="00FE4A84" w:rsidSect="00CA3F7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171FA7" w:rsidRDefault="00E47984">
      <w:r w:rsidRPr="00171FA7">
        <w:separator/>
      </w:r>
    </w:p>
  </w:endnote>
  <w:endnote w:type="continuationSeparator" w:id="0">
    <w:p w:rsidR="00000000" w:rsidRPr="00171FA7" w:rsidRDefault="00E47984">
      <w:r w:rsidRPr="00171F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FA7" w:rsidRPr="00171FA7" w:rsidRDefault="00171FA7" w:rsidP="00171FA7">
    <w:pPr>
      <w:pStyle w:val="EPFooter"/>
    </w:pPr>
    <w:r w:rsidRPr="00171FA7">
      <w:t>PE</w:t>
    </w:r>
    <w:r w:rsidRPr="00171FA7">
      <w:rPr>
        <w:rStyle w:val="HideTWBExt"/>
        <w:noProof w:val="0"/>
      </w:rPr>
      <w:t>&lt;NoPE&gt;</w:t>
    </w:r>
    <w:r w:rsidRPr="00171FA7">
      <w:t>736.470</w:t>
    </w:r>
    <w:r w:rsidRPr="00171FA7">
      <w:rPr>
        <w:rStyle w:val="HideTWBExt"/>
        <w:noProof w:val="0"/>
      </w:rPr>
      <w:t>&lt;/NoPE&gt;&lt;Version&gt;</w:t>
    </w:r>
    <w:r w:rsidRPr="00171FA7">
      <w:t>v01-00</w:t>
    </w:r>
    <w:r w:rsidRPr="00171FA7">
      <w:rPr>
        <w:rStyle w:val="HideTWBExt"/>
        <w:noProof w:val="0"/>
      </w:rPr>
      <w:t>&lt;/Version&gt;</w:t>
    </w:r>
    <w:r w:rsidRPr="00171FA7">
      <w:tab/>
    </w:r>
    <w:r w:rsidRPr="00171FA7">
      <w:fldChar w:fldCharType="begin"/>
    </w:r>
    <w:r w:rsidRPr="00171FA7">
      <w:instrText xml:space="preserve"> PAGE  \* MERGEFORMAT </w:instrText>
    </w:r>
    <w:r w:rsidRPr="00171FA7">
      <w:fldChar w:fldCharType="separate"/>
    </w:r>
    <w:r w:rsidR="00E47984">
      <w:rPr>
        <w:noProof/>
      </w:rPr>
      <w:t>10</w:t>
    </w:r>
    <w:r w:rsidRPr="00171FA7">
      <w:fldChar w:fldCharType="end"/>
    </w:r>
    <w:r w:rsidRPr="00171FA7">
      <w:t>/</w:t>
    </w:r>
    <w:r w:rsidRPr="00171FA7">
      <w:fldChar w:fldCharType="begin"/>
    </w:r>
    <w:r w:rsidRPr="00171FA7">
      <w:instrText xml:space="preserve"> NUMPAGES  \* MERGEFORMAT </w:instrText>
    </w:r>
    <w:r w:rsidRPr="00171FA7">
      <w:fldChar w:fldCharType="separate"/>
    </w:r>
    <w:r w:rsidR="00E47984">
      <w:rPr>
        <w:noProof/>
      </w:rPr>
      <w:t>11</w:t>
    </w:r>
    <w:r w:rsidRPr="00171FA7">
      <w:fldChar w:fldCharType="end"/>
    </w:r>
    <w:r w:rsidRPr="00171FA7">
      <w:tab/>
    </w:r>
    <w:r w:rsidRPr="00171FA7">
      <w:rPr>
        <w:rStyle w:val="HideTWBExt"/>
        <w:noProof w:val="0"/>
      </w:rPr>
      <w:t>&lt;PathFdR&gt;</w:t>
    </w:r>
    <w:r w:rsidRPr="00171FA7">
      <w:t>PR\1263011FI.docx</w:t>
    </w:r>
    <w:r w:rsidRPr="00171FA7">
      <w:rPr>
        <w:rStyle w:val="HideTWBExt"/>
        <w:noProof w:val="0"/>
      </w:rPr>
      <w:t>&lt;/PathFdR&gt;</w:t>
    </w:r>
  </w:p>
  <w:p w:rsidR="00FB52FE" w:rsidRPr="00171FA7" w:rsidRDefault="00171FA7" w:rsidP="00171FA7">
    <w:pPr>
      <w:pStyle w:val="EPFooter2"/>
    </w:pPr>
    <w:r w:rsidRPr="00171FA7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FA7" w:rsidRPr="00171FA7" w:rsidRDefault="00171FA7" w:rsidP="00171FA7">
    <w:pPr>
      <w:pStyle w:val="EPFooter"/>
    </w:pPr>
    <w:r w:rsidRPr="00171FA7">
      <w:rPr>
        <w:rStyle w:val="HideTWBExt"/>
        <w:noProof w:val="0"/>
      </w:rPr>
      <w:t>&lt;PathFdR&gt;</w:t>
    </w:r>
    <w:r w:rsidRPr="00171FA7">
      <w:t>PR\1263011FI.docx</w:t>
    </w:r>
    <w:r w:rsidRPr="00171FA7">
      <w:rPr>
        <w:rStyle w:val="HideTWBExt"/>
        <w:noProof w:val="0"/>
      </w:rPr>
      <w:t>&lt;/PathFdR&gt;</w:t>
    </w:r>
    <w:r w:rsidRPr="00171FA7">
      <w:tab/>
    </w:r>
    <w:r w:rsidRPr="00171FA7">
      <w:fldChar w:fldCharType="begin"/>
    </w:r>
    <w:r w:rsidRPr="00171FA7">
      <w:instrText xml:space="preserve"> PAGE  \* MERGEFORMAT </w:instrText>
    </w:r>
    <w:r w:rsidRPr="00171FA7">
      <w:fldChar w:fldCharType="separate"/>
    </w:r>
    <w:r w:rsidR="00E47984">
      <w:rPr>
        <w:noProof/>
      </w:rPr>
      <w:t>11</w:t>
    </w:r>
    <w:r w:rsidRPr="00171FA7">
      <w:fldChar w:fldCharType="end"/>
    </w:r>
    <w:r w:rsidRPr="00171FA7">
      <w:t>/</w:t>
    </w:r>
    <w:r w:rsidRPr="00171FA7">
      <w:fldChar w:fldCharType="begin"/>
    </w:r>
    <w:r w:rsidRPr="00171FA7">
      <w:instrText xml:space="preserve"> NUMPAGES  \* MERGEFORMAT </w:instrText>
    </w:r>
    <w:r w:rsidRPr="00171FA7">
      <w:fldChar w:fldCharType="separate"/>
    </w:r>
    <w:r w:rsidR="00E47984">
      <w:rPr>
        <w:noProof/>
      </w:rPr>
      <w:t>11</w:t>
    </w:r>
    <w:r w:rsidRPr="00171FA7">
      <w:fldChar w:fldCharType="end"/>
    </w:r>
    <w:r w:rsidRPr="00171FA7">
      <w:tab/>
      <w:t>PE</w:t>
    </w:r>
    <w:r w:rsidRPr="00171FA7">
      <w:rPr>
        <w:rStyle w:val="HideTWBExt"/>
        <w:noProof w:val="0"/>
      </w:rPr>
      <w:t>&lt;NoPE&gt;</w:t>
    </w:r>
    <w:r w:rsidRPr="00171FA7">
      <w:t>736.470</w:t>
    </w:r>
    <w:r w:rsidRPr="00171FA7">
      <w:rPr>
        <w:rStyle w:val="HideTWBExt"/>
        <w:noProof w:val="0"/>
      </w:rPr>
      <w:t>&lt;/NoPE&gt;&lt;Version&gt;</w:t>
    </w:r>
    <w:r w:rsidRPr="00171FA7">
      <w:t>v01-00</w:t>
    </w:r>
    <w:r w:rsidRPr="00171FA7">
      <w:rPr>
        <w:rStyle w:val="HideTWBExt"/>
        <w:noProof w:val="0"/>
      </w:rPr>
      <w:t>&lt;/Version&gt;</w:t>
    </w:r>
  </w:p>
  <w:p w:rsidR="00FB52FE" w:rsidRPr="00171FA7" w:rsidRDefault="00171FA7" w:rsidP="00171FA7">
    <w:pPr>
      <w:pStyle w:val="EPFooter2"/>
    </w:pPr>
    <w:r w:rsidRPr="00171FA7">
      <w:tab/>
    </w:r>
    <w:r w:rsidRPr="00171FA7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FA7" w:rsidRPr="00171FA7" w:rsidRDefault="00171FA7" w:rsidP="00171FA7">
    <w:pPr>
      <w:pStyle w:val="EPFooter"/>
    </w:pPr>
    <w:r w:rsidRPr="00171FA7">
      <w:rPr>
        <w:rStyle w:val="HideTWBExt"/>
        <w:noProof w:val="0"/>
      </w:rPr>
      <w:t>&lt;PathFdR&gt;</w:t>
    </w:r>
    <w:r w:rsidRPr="00171FA7">
      <w:t>PR\1263011FI.docx</w:t>
    </w:r>
    <w:r w:rsidRPr="00171FA7">
      <w:rPr>
        <w:rStyle w:val="HideTWBExt"/>
        <w:noProof w:val="0"/>
      </w:rPr>
      <w:t>&lt;/PathFdR&gt;</w:t>
    </w:r>
    <w:r w:rsidRPr="00171FA7">
      <w:tab/>
    </w:r>
    <w:r w:rsidRPr="00171FA7">
      <w:tab/>
      <w:t>PE</w:t>
    </w:r>
    <w:r w:rsidRPr="00171FA7">
      <w:rPr>
        <w:rStyle w:val="HideTWBExt"/>
        <w:noProof w:val="0"/>
      </w:rPr>
      <w:t>&lt;NoPE&gt;</w:t>
    </w:r>
    <w:r w:rsidRPr="00171FA7">
      <w:t>736.470</w:t>
    </w:r>
    <w:r w:rsidRPr="00171FA7">
      <w:rPr>
        <w:rStyle w:val="HideTWBExt"/>
        <w:noProof w:val="0"/>
      </w:rPr>
      <w:t>&lt;/NoPE&gt;&lt;Version&gt;</w:t>
    </w:r>
    <w:r w:rsidRPr="00171FA7">
      <w:t>v01-00</w:t>
    </w:r>
    <w:r w:rsidRPr="00171FA7">
      <w:rPr>
        <w:rStyle w:val="HideTWBExt"/>
        <w:noProof w:val="0"/>
      </w:rPr>
      <w:t>&lt;/Version&gt;</w:t>
    </w:r>
  </w:p>
  <w:p w:rsidR="00FB52FE" w:rsidRPr="00171FA7" w:rsidRDefault="00171FA7" w:rsidP="00171FA7">
    <w:pPr>
      <w:pStyle w:val="EPFooter2"/>
    </w:pPr>
    <w:r w:rsidRPr="00171FA7">
      <w:t>FI</w:t>
    </w:r>
    <w:r w:rsidRPr="00171FA7">
      <w:tab/>
    </w:r>
    <w:r w:rsidRPr="00171FA7">
      <w:rPr>
        <w:b w:val="0"/>
        <w:i/>
        <w:color w:val="C0C0C0"/>
        <w:sz w:val="22"/>
      </w:rPr>
      <w:t>Moninaisuudessaan yhtenäinen</w:t>
    </w:r>
    <w:r w:rsidRPr="00171FA7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171FA7" w:rsidRDefault="00E47984">
      <w:r w:rsidRPr="00171FA7">
        <w:separator/>
      </w:r>
    </w:p>
  </w:footnote>
  <w:footnote w:type="continuationSeparator" w:id="0">
    <w:p w:rsidR="00000000" w:rsidRPr="00171FA7" w:rsidRDefault="00E47984">
      <w:r w:rsidRPr="00171F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A84" w:rsidRDefault="00FE4A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A84" w:rsidRDefault="00FE4A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A84" w:rsidRDefault="00FE4A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747959 HideTWBExt;}{\*\cs18 \additive \v\f1\fs20\cf15 _x000d__x000a_\spriority0 \styrsid7747959 HideTWBInt;}{\s19\ql \li0\ri0\sa120\nowidctlpar\wrapdefault\aspalpha\aspnum\faauto\adjustright\rin0\lin0\itap0 \rtlch\fcs1 \af0\afs20\alang1025 \ltrch\fcs0 \fs24\lang2057\langfe2057\cgrid\langnp2057\langfenp2057 _x000d__x000a_\sbasedon0 \snext19 \spriority0 \styrsid7747959 Normal6a;}{\s20\ql \li0\ri0\nowidctlpar\wrapdefault\aspalpha\aspnum\faauto\adjustright\rin0\lin0\itap0 \rtlch\fcs1 \af0\afs20\alang1025 \ltrch\fcs0 \b\fs24\lang2057\langfe2057\cgrid\langnp2057\langfenp2057 _x000d__x000a_\sbasedon0 \snext20 \spriority0 \styrsid7747959 NormalBold;}{\s21\ql \li0\ri0\sa240\nowidctlpar\wrapdefault\aspalpha\aspnum\faauto\adjustright\rin0\lin0\itap0 \rtlch\fcs1 \af0\afs20\alang1025 \ltrch\fcs0 _x000d__x000a_\i\fs24\lang2057\langfe2057\cgrid\langnp2057\langfenp2057 \sbasedon0 \snext21 \spriority0 \styrsid7747959 AmJustText;}{\s22\qc \li0\ri0\sb240\sa240\nowidctlpar\wrapdefault\aspalpha\aspnum\faauto\adjustright\rin0\lin0\itap0 \rtlch\fcs1 _x000d__x000a_\af0\afs20\alang1025 \ltrch\fcs0 \i\fs24\lang2057\langfe2057\cgrid\langnp2057\langfenp2057 \sbasedon0 \snext22 \spriority0 \styrsid774795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747959 AmJustTitle;}{\s24\qr \li0\ri0\sb240\sa240\nowidctlpar\wrapdefault\aspalpha\aspnum\faauto\adjustright\rin0\lin0\itap0 \rtlch\fcs1 \af0\afs20\alang1025 \ltrch\fcs0 _x000d__x000a_\fs24\lang2057\langfe2057\cgrid\langnp2057\langfenp2057 \sbasedon0 \snext24 \spriority0 \styrsid7747959 AmOrLang;}{\s25\qc \li0\ri0\sa240\nowidctlpar\wrapdefault\aspalpha\aspnum\faauto\adjustright\rin0\lin0\itap0 \rtlch\fcs1 \af0\afs20\alang1025 _x000d__x000a_\ltrch\fcs0 \i\fs24\lang2057\langfe2057\cgrid\langnp2057\langfenp2057 \sbasedon0 \snext25 \spriority0 \styrsid774795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747959 AmNumberTabs;}{\s27\ql \li0\ri0\sb240\nowidctlpar\wrapdefault\aspalpha\aspnum\faauto\adjustright\rin0\lin0\itap0 \rtlch\fcs1 _x000d__x000a_\af0\afs20\alang1025 \ltrch\fcs0 \b\fs24\lang2057\langfe2057\cgrid\langnp2057\langfenp2057 \sbasedon0 \snext27 \spriority0 \styrsid7747959 NormalBold12b;}}{\*\rsidtbl \rsid24658\rsid223860\rsid735077\rsid1718133\rsid2754035\rsid2892074\rsid3565327_x000d__x000a_\rsid4666813\rsid6641733\rsid7747959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OADER Maria}{\operator TOADER Maria}{\creatim\yr2022\mo9\dy13\hr10\min5}{\revtim\yr2022\mo9\dy13\hr10\min5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77479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75403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747959 \rtlch\fcs1 _x000d__x000a_\af0\afs20\alang1025 \ltrch\fcs0 \b\fs24\lang2057\langfe2057\cgrid\langnp2057\langfenp2057 {\rtlch\fcs1 \af0 \ltrch\fcs0 \cs17\b0\v\fs20\cf9\loch\af1\hich\af1\dbch\af31501\insrsid7747959\charrsid13639606 {\*\bkmkstart restart}_x000d__x000a_\hich\af1\dbch\af31501\loch\f1 &lt;Amend&gt;}{\rtlch\fcs1 \af0 \ltrch\fcs0 \insrsid7747959\charrsid13639606 Amendment\tab \tab }{\rtlch\fcs1 \af0 \ltrch\fcs0 \cs17\b0\v\fs20\cf9\loch\af1\hich\af1\dbch\af31501\insrsid7747959\charrsid13639606 _x000d__x000a_\hich\af1\dbch\af31501\loch\f1 &lt;NumAm&gt;}{\rtlch\fcs1 \af0 \ltrch\fcs0 \insrsid7747959\charrsid13639606 #}{\rtlch\fcs1 \af1 \ltrch\fcs0 \cs18\v\f1\fs20\cf15\insrsid7747959\charrsid13639606 ENMIENDA@NRAM@}{\rtlch\fcs1 \af0 \ltrch\fcs0 _x000d__x000a_\insrsid7747959\charrsid13639606 #}{\rtlch\fcs1 \af0 \ltrch\fcs0 \cs17\b0\v\fs20\cf9\loch\af1\hich\af1\dbch\af31501\insrsid7747959\charrsid13639606 \hich\af1\dbch\af31501\loch\f1 &lt;/NumAm&gt;}{\rtlch\fcs1 \af0 \ltrch\fcs0 \insrsid7747959\charrsid13639606 _x000d__x000a__x000d__x000a_\par }\pard\plain \ltrpar\s27\ql \li0\ri0\sb240\keepn\nowidctlpar\wrapdefault\aspalpha\aspnum\faauto\adjustright\rin0\lin0\itap0\pararsid7747959 \rtlch\fcs1 \af0\afs20\alang1025 \ltrch\fcs0 \b\fs24\lang2057\langfe2057\cgrid\langnp2057\langfenp2057 {_x000d__x000a_\rtlch\fcs1 \af0 \ltrch\fcs0 \cs17\b0\v\fs20\cf9\loch\af1\hich\af1\dbch\af31501\insrsid7747959\charrsid13639606 \hich\af1\dbch\af31501\loch\f1 &lt;DocAmend&gt;}{\rtlch\fcs1 \af0 \ltrch\fcs0 \insrsid7747959\charrsid13639606 Proposal for a #}{\rtlch\fcs1 \af1 _x000d__x000a_\ltrch\fcs0 \cs18\v\f1\fs20\cf15\insrsid7747959\charrsid13639606 MNU[DOC1][DOC2][DOC3]@DOCMSG@DOCMNU}{\rtlch\fcs1 \af0 \ltrch\fcs0 \insrsid7747959\charrsid13639606 ##}{\rtlch\fcs1 \af1 \ltrch\fcs0 \cs18\v\f1\fs20\cf15\insrsid7747959\charrsid13639606 _x000d__x000a_MNU[AMACTYES][NOTAPP]@CHOICE@AMACTMNU}{\rtlch\fcs1 \af0 \ltrch\fcs0 \insrsid7747959\charrsid13639606 #}{\rtlch\fcs1 \af0 \ltrch\fcs0 \cs17\b0\v\fs20\cf9\loch\af1\hich\af1\dbch\af31501\insrsid7747959\charrsid13639606 \hich\af1\dbch\af31501\loch\f1 _x000d__x000a_&lt;/DocAmend&gt;}{\rtlch\fcs1 \af0 \ltrch\fcs0 \insrsid7747959\charrsid13639606 _x000d__x000a_\par }\pard\plain \ltrpar\s20\ql \li0\ri0\keepn\nowidctlpar\wrapdefault\aspalpha\aspnum\faauto\adjustright\rin0\lin0\itap0\pararsid7747959 \rtlch\fcs1 \af0\afs20\alang1025 \ltrch\fcs0 \b\fs24\lang2057\langfe2057\cgrid\langnp2057\langfenp2057 {\rtlch\fcs1 \af0 _x000d__x000a_\ltrch\fcs0 \cs17\b0\v\fs20\cf9\loch\af1\hich\af1\dbch\af31501\insrsid7747959\charrsid13639606 \hich\af1\dbch\af31501\loch\f1 &lt;Article&gt;}{\rtlch\fcs1 \af0 \ltrch\fcs0 \insrsid7747959\charrsid13639606 #}{\rtlch\fcs1 \af1 \ltrch\fcs0 _x000d__x000a_\cs18\v\f1\fs20\cf15\insrsid7747959\charrsid13639606 MNU[AMACTPARTYES][AMACTPARTNO]@CHOICE@AMACTMNU}{\rtlch\fcs1 \af0 \ltrch\fcs0 \insrsid7747959\charrsid13639606 #}{\rtlch\fcs1 \af0 \ltrch\fcs0 _x000d__x000a_\cs17\b0\v\fs20\cf9\loch\af1\hich\af1\dbch\af31501\insrsid7747959\charrsid13639606 \hich\af1\dbch\af31501\loch\f1 &lt;/Article&gt;}{\rtlch\fcs1 \af0 \ltrch\fcs0 \insrsid7747959\charrsid13639606 _x000d__x000a_\par }\pard\plain \ltrpar\ql \li0\ri0\keepn\widctlpar\wrapdefault\aspalpha\aspnum\faauto\adjustright\rin0\lin0\itap0\pararsid7747959 \rtlch\fcs1 \af0\afs20\alang1025 \ltrch\fcs0 \fs24\lang2057\langfe2057\cgrid\langnp2057\langfenp2057 {\rtlch\fcs1 \af0 _x000d__x000a_\ltrch\fcs0 \cs17\v\fs20\cf9\loch\af1\hich\af1\dbch\af31501\insrsid7747959\charrsid13639606 \hich\af1\dbch\af31501\loch\f1 &lt;DocAmend2&gt;&lt;OptDel&gt;}{\rtlch\fcs1 \af0 \ltrch\fcs0 \insrsid7747959\charrsid13639606 #}{\rtlch\fcs1 \af1 \ltrch\fcs0 _x000d__x000a_\cs18\v\f1\fs20\cf15\insrsid7747959\charrsid13639606 MNU[OPTNRACTYES][NOTAPP]@CHOICE@AMACTMNU}{\rtlch\fcs1 \af0 \ltrch\fcs0 \insrsid7747959\charrsid13639606 #}{\rtlch\fcs1 \af0 \ltrch\fcs0 _x000d__x000a_\cs17\v\fs20\cf9\loch\af1\hich\af1\dbch\af31501\insrsid7747959\charrsid13639606 \hich\af1\dbch\af31501\loch\f1 &lt;/OptDel&gt;&lt;/DocAmend2&gt;}{\rtlch\fcs1 \af0 \ltrch\fcs0 \insrsid7747959\charrsid13639606 _x000d__x000a_\par }\pard \ltrpar\ql \li0\ri0\widctlpar\wrapdefault\aspalpha\aspnum\faauto\adjustright\rin0\lin0\itap0\pararsid7747959 {\rtlch\fcs1 \af0 \ltrch\fcs0 \cs17\v\fs20\cf9\loch\af1\hich\af1\dbch\af31501\insrsid7747959\charrsid13639606 _x000d__x000a_\hich\af1\dbch\af31501\loch\f1 &lt;Article2&gt;&lt;OptDel&gt;}{\rtlch\fcs1 \af0 \ltrch\fcs0 \insrsid7747959\charrsid13639606 #}{\rtlch\fcs1 \af1 \ltrch\fcs0 \cs18\v\f1\fs20\cf15\insrsid7747959\charrsid13639606 MNU[OPTACTPARTYES][NOTAPP]@CHOICE@AMACTMNU}{\rtlch\fcs1 _x000d__x000a_\af0 \ltrch\fcs0 \insrsid7747959\charrsid13639606 #}{\rtlch\fcs1 \af0 \ltrch\fcs0 \cs17\v\fs20\cf9\loch\af1\hich\af1\dbch\af31501\insrsid7747959\charrsid13639606 \hich\af1\dbch\af31501\loch\f1 &lt;/OptDel&gt;&lt;/Article2&gt;}{\rtlch\fcs1 \af0 \ltrch\fcs0 _x000d__x000a_\insrsid7747959\charrsid13639606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747959\charrsid13639606 \cell }\pard\plain \ltrpar\ql \li0\ri0\widctlpar\intbl\wrapdefault\aspalpha\aspnum\faauto\adjustright\rin0\lin0 \rtlch\fcs1 _x000d__x000a_\af0\afs20\alang1025 \ltrch\fcs0 \fs24\lang2057\langfe2057\cgrid\langnp2057\langfenp2057 {\rtlch\fcs1 \af0 \ltrch\fcs0 \insrsid7747959\charrsid13639606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747959\charrsid13639606 #}{\rtlch\fcs1 \af1 \ltrch\fcs0 \cs18\v\f1\fs20\cf15\insrsid7747959\charrsid13639606 MNU[OPTLEFTAMACT][LEFTPROP]@CHOICE@AMACTMNU}{\rtlch\fcs1 \af0 \ltrch\fcs0 \insrsid7747959\charrsid1363960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747959\charrsid13639606 \trowd \irow1\irowband1\ltrrow\ts11\trqc\trgaph340\trleft-340\trftsWidth3\trwWidth9752\trftsWidthB3\trpaddl340\trpaddr340\trpaddfl3\trpaddft3\trpaddfb3\trpaddfr3\tblrsid2517430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2517430 \rtlch\fcs1 \af0\afs20\alang1025 \ltrch\fcs0 \fs24\lang2057\langfe2057\cgrid\langnp2057\langfenp2057 {_x000d__x000a_\rtlch\fcs1 \af0 \ltrch\fcs0 \insrsid7747959\charrsid13639606 ##\cell ##}{\rtlch\fcs1 \af0\afs24 \ltrch\fcs0 \insrsid7747959\charrsid13639606 \cell }\pard\plain \ltrpar\ql \li0\ri0\widctlpar\intbl\wrapdefault\aspalpha\aspnum\faauto\adjustright\rin0\lin0 _x000d__x000a_\rtlch\fcs1 \af0\afs20\alang1025 \ltrch\fcs0 \fs24\lang2057\langfe2057\cgrid\langnp2057\langfenp2057 {\rtlch\fcs1 \af0 \ltrch\fcs0 \insrsid7747959\charrsid13639606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7747959 \rtlch\fcs1 \af0\afs20\alang1025 \ltrch\fcs0 \fs24\lang2057\langfe2057\cgrid\langnp2057\langfenp2057 {\rtlch\fcs1 \af0 \ltrch\fcs0 _x000d__x000a_\insrsid7747959\charrsid13639606 Or. }{\rtlch\fcs1 \af0 \ltrch\fcs0 \cs17\v\fs20\cf9\loch\af1\hich\af1\dbch\af31501\insrsid7747959\charrsid13639606 \hich\af1\dbch\af31501\loch\f1 &lt;Original&gt;}{\rtlch\fcs1 \af0 \ltrch\fcs0 \insrsid7747959\charrsid13639606 #}_x000d__x000a_{\rtlch\fcs1 \af1 \ltrch\fcs0 \cs18\v\f1\fs20\cf15\insrsid7747959\charrsid13639606 MNU[ORLANGONE][ORLANGMORE]@CHOICE@ORLANGMNU}{\rtlch\fcs1 \af0 \ltrch\fcs0 \insrsid7747959\charrsid13639606 #}{\rtlch\fcs1 \af0 \ltrch\fcs0 _x000d__x000a_\cs17\v\fs20\cf9\loch\af1\hich\af1\dbch\af31501\insrsid7747959\charrsid13639606 \hich\af1\dbch\af31501\loch\f1 &lt;/Original&gt;}{\rtlch\fcs1 \af0 \ltrch\fcs0 \insrsid7747959\charrsid13639606 _x000d__x000a_\par }\pard\plain \ltrpar\s22\qc \li0\ri0\sb240\sa240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OptDel&gt;}{\rtlch\fcs1 \af0 \ltrch\fcs0 \insrsid7747959\charrsid13639606 #}{\rtlch\fcs1 \af1 \ltrch\fcs0 _x000d__x000a_\cs18\v\f1\fs20\cf15\insrsid7747959\charrsid13639606 MNU[CROSSREFNO][CROSSREFYES]@CHOICE@}{\rtlch\fcs1 \af0 \ltrch\fcs0 \insrsid7747959\charrsid13639606 #}{\rtlch\fcs1 \af0 \ltrch\fcs0 _x000d__x000a_\cs17\i0\v\fs20\cf9\loch\af1\hich\af1\dbch\af31501\insrsid7747959\charrsid13639606 \hich\af1\dbch\af31501\loch\f1 &lt;/OptDel&gt;}{\rtlch\fcs1 \af0 \ltrch\fcs0 \insrsid7747959\charrsid13639606 _x000d__x000a_\par }\pard\plain \ltrpar\s23\qc \li0\ri0\sb240\sa240\keepn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TitreJust&gt;}{\rtlch\fcs1 \af0 \ltrch\fcs0 \insrsid7747959\charrsid13639606 Justification}{\rtlch\fcs1 \af0 _x000d__x000a_\ltrch\fcs0 \cs17\i0\v\fs20\cf9\loch\af1\hich\af1\dbch\af31501\insrsid7747959\charrsid13639606 \hich\af1\dbch\af31501\loch\f1 &lt;/TitreJust&gt;}{\rtlch\fcs1 \af0 \ltrch\fcs0 \insrsid7747959\charrsid13639606 _x000d__x000a_\par }\pard\plain \ltrpar\s21\ql \li0\ri0\sa240\nowidctlpar\wrapdefault\aspalpha\aspnum\faauto\adjustright\rin0\lin0\itap0\pararsid7747959 \rtlch\fcs1 \af0\afs20\alang1025 \ltrch\fcs0 \i\fs24\lang2057\langfe2057\cgrid\langnp2057\langfenp2057 {\rtlch\fcs1 \af0 _x000d__x000a_\ltrch\fcs0 \cs17\i0\v\fs20\cf9\loch\af1\hich\af1\dbch\af31501\insrsid7747959\charrsid13639606 \hich\af1\dbch\af31501\loch\f1 &lt;OptDelPrev&gt;}{\rtlch\fcs1 \af0 \ltrch\fcs0 \insrsid7747959\charrsid13639606 #}{\rtlch\fcs1 \af1 \ltrch\fcs0 _x000d__x000a_\cs18\v\f1\fs20\cf15\insrsid7747959\charrsid13639606 MNU[TEXTJUSTYES][TEXTJUSTNO]@CHOICE@}{\rtlch\fcs1 \af0 \ltrch\fcs0 \insrsid7747959\charrsid13639606 #}{\rtlch\fcs1 \af0 \ltrch\fcs0 _x000d__x000a_\cs17\i0\v\fs20\cf9\loch\af1\hich\af1\dbch\af31501\insrsid7747959\charrsid13639606 \hich\af1\dbch\af31501\loch\f1 &lt;/OptDelPrev&gt;}{\rtlch\fcs1 \af0 \ltrch\fcs0 \insrsid7747959\charrsid13639606 _x000d__x000a_\par }\pard\plain \ltrpar\ql \li0\ri0\widctlpar\wrapdefault\aspalpha\aspnum\faauto\adjustright\rin0\lin0\itap0\pararsid7747959 \rtlch\fcs1 \af0\afs20\alang1025 \ltrch\fcs0 \fs24\lang2057\langfe2057\cgrid\langnp2057\langfenp2057 {\rtlch\fcs1 \af0 \ltrch\fcs0 _x000d__x000a_\cs17\v\fs20\cf9\loch\af1\hich\af1\dbch\af31501\insrsid7747959\charrsid1363960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3"/>
    <w:docVar w:name="TXTAUTHOR" w:val="Erik Marquardt"/>
    <w:docVar w:name="TXTLANGUE" w:val="EN"/>
    <w:docVar w:name="TXTLANGUEMIN" w:val="en"/>
    <w:docVar w:name="TXTNRC" w:val="0160/2022"/>
    <w:docVar w:name="TXTNRCOD" w:val="2022/0135"/>
    <w:docVar w:name="TXTNRCOM" w:val="(2022)0189"/>
    <w:docVar w:name="TXTNRFIRSTAM" w:val="1"/>
    <w:docVar w:name="TXTNRLASTAM" w:val="1"/>
    <w:docVar w:name="TXTNRPE" w:val="736.470"/>
    <w:docVar w:name="TXTPEorAP" w:val="PE"/>
    <w:docVar w:name="TXTROUTE" w:val="PR\1263011EN.docx"/>
    <w:docVar w:name="TXTTITLE" w:val="amending Regulation (EU) 2018/1806, listing the third countries whose nationals must be in possession of visas when crossing the external borders and those whose nationals are exempt from that requirement (Kuwait, Qatar)"/>
    <w:docVar w:name="TXTVERSION" w:val="01-00"/>
  </w:docVars>
  <w:rsids>
    <w:rsidRoot w:val="00307279"/>
    <w:rsid w:val="00011AAB"/>
    <w:rsid w:val="00012351"/>
    <w:rsid w:val="000139E5"/>
    <w:rsid w:val="00084DD2"/>
    <w:rsid w:val="00084E89"/>
    <w:rsid w:val="000B7489"/>
    <w:rsid w:val="000F1096"/>
    <w:rsid w:val="00120948"/>
    <w:rsid w:val="0012324A"/>
    <w:rsid w:val="00123DD5"/>
    <w:rsid w:val="001257CF"/>
    <w:rsid w:val="001277AE"/>
    <w:rsid w:val="0013710F"/>
    <w:rsid w:val="00142215"/>
    <w:rsid w:val="00171FA7"/>
    <w:rsid w:val="001767E2"/>
    <w:rsid w:val="00187008"/>
    <w:rsid w:val="001B1316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767EC"/>
    <w:rsid w:val="00290BED"/>
    <w:rsid w:val="00293D90"/>
    <w:rsid w:val="002D13EE"/>
    <w:rsid w:val="002E33EE"/>
    <w:rsid w:val="002E3887"/>
    <w:rsid w:val="002F40BB"/>
    <w:rsid w:val="002F4B02"/>
    <w:rsid w:val="00307279"/>
    <w:rsid w:val="00312067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11957"/>
    <w:rsid w:val="00426E47"/>
    <w:rsid w:val="00455743"/>
    <w:rsid w:val="00461601"/>
    <w:rsid w:val="004B32B6"/>
    <w:rsid w:val="004B38C6"/>
    <w:rsid w:val="004C0915"/>
    <w:rsid w:val="004D424E"/>
    <w:rsid w:val="004D5661"/>
    <w:rsid w:val="004E42C8"/>
    <w:rsid w:val="004E5825"/>
    <w:rsid w:val="004E733D"/>
    <w:rsid w:val="004F3FA5"/>
    <w:rsid w:val="0051271F"/>
    <w:rsid w:val="00521F46"/>
    <w:rsid w:val="00531D7A"/>
    <w:rsid w:val="00551111"/>
    <w:rsid w:val="00551123"/>
    <w:rsid w:val="00552BBF"/>
    <w:rsid w:val="0057089C"/>
    <w:rsid w:val="00570A6A"/>
    <w:rsid w:val="00586E50"/>
    <w:rsid w:val="0059583D"/>
    <w:rsid w:val="005A42D9"/>
    <w:rsid w:val="005C2BEF"/>
    <w:rsid w:val="005D1A99"/>
    <w:rsid w:val="005D7609"/>
    <w:rsid w:val="005D7EE8"/>
    <w:rsid w:val="006305D6"/>
    <w:rsid w:val="00642325"/>
    <w:rsid w:val="006456F0"/>
    <w:rsid w:val="00646926"/>
    <w:rsid w:val="0069092A"/>
    <w:rsid w:val="006A04ED"/>
    <w:rsid w:val="006A2F5D"/>
    <w:rsid w:val="006F7907"/>
    <w:rsid w:val="00743189"/>
    <w:rsid w:val="00743D33"/>
    <w:rsid w:val="007932B3"/>
    <w:rsid w:val="00793EA9"/>
    <w:rsid w:val="00797A79"/>
    <w:rsid w:val="007D6F68"/>
    <w:rsid w:val="00823E6B"/>
    <w:rsid w:val="00826780"/>
    <w:rsid w:val="00837CCD"/>
    <w:rsid w:val="008633CC"/>
    <w:rsid w:val="00865190"/>
    <w:rsid w:val="008719B9"/>
    <w:rsid w:val="00885C34"/>
    <w:rsid w:val="00894923"/>
    <w:rsid w:val="00894ECE"/>
    <w:rsid w:val="00896BB4"/>
    <w:rsid w:val="008A323A"/>
    <w:rsid w:val="008A7FB8"/>
    <w:rsid w:val="008B4F2E"/>
    <w:rsid w:val="009022B8"/>
    <w:rsid w:val="00914537"/>
    <w:rsid w:val="00917CC4"/>
    <w:rsid w:val="00923B7C"/>
    <w:rsid w:val="009763DA"/>
    <w:rsid w:val="0099206A"/>
    <w:rsid w:val="009975B3"/>
    <w:rsid w:val="009A216D"/>
    <w:rsid w:val="009B4B93"/>
    <w:rsid w:val="009D3E42"/>
    <w:rsid w:val="009F13DC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30108"/>
    <w:rsid w:val="00B42702"/>
    <w:rsid w:val="00B54EAF"/>
    <w:rsid w:val="00B57B8B"/>
    <w:rsid w:val="00B63AB5"/>
    <w:rsid w:val="00B85407"/>
    <w:rsid w:val="00B95702"/>
    <w:rsid w:val="00BC6489"/>
    <w:rsid w:val="00BD480C"/>
    <w:rsid w:val="00C13A6F"/>
    <w:rsid w:val="00C20954"/>
    <w:rsid w:val="00C23324"/>
    <w:rsid w:val="00C42A41"/>
    <w:rsid w:val="00C47E74"/>
    <w:rsid w:val="00C57A72"/>
    <w:rsid w:val="00C73602"/>
    <w:rsid w:val="00C85D0F"/>
    <w:rsid w:val="00C945E5"/>
    <w:rsid w:val="00CA3F76"/>
    <w:rsid w:val="00CE332D"/>
    <w:rsid w:val="00CF60C8"/>
    <w:rsid w:val="00D30DE2"/>
    <w:rsid w:val="00D32924"/>
    <w:rsid w:val="00D503A3"/>
    <w:rsid w:val="00DA436D"/>
    <w:rsid w:val="00DA6ED0"/>
    <w:rsid w:val="00DC5011"/>
    <w:rsid w:val="00E12821"/>
    <w:rsid w:val="00E171B6"/>
    <w:rsid w:val="00E47984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062E"/>
    <w:rsid w:val="00FE3B3F"/>
    <w:rsid w:val="00FE4A84"/>
    <w:rsid w:val="00FE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F50E51-5574-4F15-B47F-373EC435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1257C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57C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57CF"/>
    <w:rPr>
      <w:sz w:val="18"/>
    </w:rPr>
  </w:style>
  <w:style w:type="paragraph" w:customStyle="1" w:styleId="Normal6">
    <w:name w:val="Normal6"/>
    <w:basedOn w:val="Normal"/>
    <w:link w:val="Normal6Char"/>
    <w:rsid w:val="00797A79"/>
    <w:pPr>
      <w:spacing w:after="120"/>
    </w:pPr>
  </w:style>
  <w:style w:type="character" w:customStyle="1" w:styleId="NormalBoldChar">
    <w:name w:val="NormalBold Char"/>
    <w:link w:val="NormalBold"/>
    <w:rsid w:val="00797A79"/>
    <w:rPr>
      <w:b/>
      <w:sz w:val="24"/>
    </w:rPr>
  </w:style>
  <w:style w:type="character" w:customStyle="1" w:styleId="Normal6Char">
    <w:name w:val="Normal6 Char"/>
    <w:link w:val="Normal6"/>
    <w:rsid w:val="00797A79"/>
    <w:rPr>
      <w:sz w:val="24"/>
      <w:lang w:val="fi-FI"/>
    </w:rPr>
  </w:style>
  <w:style w:type="paragraph" w:customStyle="1" w:styleId="ColumnHeading">
    <w:name w:val="ColumnHeading"/>
    <w:basedOn w:val="Normal"/>
    <w:rsid w:val="00797A7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97A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97A79"/>
    <w:pPr>
      <w:jc w:val="right"/>
    </w:pPr>
  </w:style>
  <w:style w:type="paragraph" w:styleId="Footer">
    <w:name w:val="footer"/>
    <w:basedOn w:val="Normal"/>
    <w:link w:val="FooterChar"/>
    <w:semiHidden/>
    <w:rsid w:val="004E58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E5825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1232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324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123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232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324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3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324A"/>
    <w:rPr>
      <w:b/>
      <w:bCs/>
    </w:rPr>
  </w:style>
  <w:style w:type="paragraph" w:customStyle="1" w:styleId="Text1">
    <w:name w:val="Text 1"/>
    <w:basedOn w:val="Normal"/>
    <w:rsid w:val="0012324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55E79-2794-418F-85C8-F027394D5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1717</Words>
  <Characters>14620</Characters>
  <Application>Microsoft Office Word</Application>
  <DocSecurity>0</DocSecurity>
  <Lines>395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TOADER Maria</dc:creator>
  <cp:lastModifiedBy>LAAKSO-JOKI Sari</cp:lastModifiedBy>
  <cp:revision>2</cp:revision>
  <cp:lastPrinted>2004-11-04T09:41:00Z</cp:lastPrinted>
  <dcterms:created xsi:type="dcterms:W3CDTF">2022-09-30T09:12:00Z</dcterms:created>
  <dcterms:modified xsi:type="dcterms:W3CDTF">2022-09-30T09:12:00Z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1263011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9.13.0 Build [20220701]</vt:lpwstr>
  </property>
  <property fmtid="{D5CDD505-2E9C-101B-9397-08002B2CF9AE}" pid="9" name="FooterPath">
    <vt:lpwstr>PR\1263011FI.docx</vt:lpwstr>
  </property>
  <property fmtid="{D5CDD505-2E9C-101B-9397-08002B2CF9AE}" pid="10" name="LastEdited with">
    <vt:lpwstr>9.13.0 Build [20220701]</vt:lpwstr>
  </property>
  <property fmtid="{D5CDD505-2E9C-101B-9397-08002B2CF9AE}" pid="11" name="PE number">
    <vt:lpwstr>736.470</vt:lpwstr>
  </property>
  <property fmtid="{D5CDD505-2E9C-101B-9397-08002B2CF9AE}" pid="12" name="SendToEpades">
    <vt:lpwstr>OK - 2022/09/16 13:13</vt:lpwstr>
  </property>
  <property fmtid="{D5CDD505-2E9C-101B-9397-08002B2CF9AE}" pid="13" name="SDLStudio">
    <vt:lpwstr/>
  </property>
</Properties>
</file>