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E4720B" w:rsidRPr="00C10C99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B13D6F" w:rsidRPr="00C10C99" w:rsidRDefault="00567212" w:rsidP="00C85D0F">
            <w:pPr>
              <w:pStyle w:val="EPName"/>
            </w:pPr>
            <w:r w:rsidRPr="00C10C99">
              <w:t>Parlamento europeo</w:t>
            </w:r>
          </w:p>
          <w:p w:rsidR="00B13D6F" w:rsidRPr="00C10C99" w:rsidRDefault="00567212" w:rsidP="004E5EA6">
            <w:pPr>
              <w:pStyle w:val="EPTerm"/>
            </w:pPr>
            <w:r w:rsidRPr="00C10C99">
              <w:t>2019-2024</w:t>
            </w:r>
          </w:p>
        </w:tc>
        <w:tc>
          <w:tcPr>
            <w:tcW w:w="2268" w:type="dxa"/>
            <w:shd w:val="clear" w:color="auto" w:fill="auto"/>
          </w:tcPr>
          <w:p w:rsidR="00B13D6F" w:rsidRPr="00C10C99" w:rsidRDefault="00567212" w:rsidP="00C85D0F">
            <w:pPr>
              <w:pStyle w:val="EPLogo"/>
            </w:pPr>
            <w:r w:rsidRPr="00C10C99"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3251330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1601" w:rsidRPr="00C10C99" w:rsidRDefault="00461601" w:rsidP="00461601">
      <w:pPr>
        <w:pStyle w:val="LineTop"/>
      </w:pPr>
    </w:p>
    <w:p w:rsidR="00461601" w:rsidRPr="00C10C99" w:rsidRDefault="00567212" w:rsidP="00461601">
      <w:pPr>
        <w:pStyle w:val="EPBody"/>
      </w:pPr>
      <w:r w:rsidRPr="00C10C99">
        <w:rPr>
          <w:rStyle w:val="HideTWBExt"/>
          <w:noProof w:val="0"/>
          <w:color w:val="auto"/>
        </w:rPr>
        <w:t>&lt;</w:t>
      </w:r>
      <w:r w:rsidRPr="00C10C99">
        <w:rPr>
          <w:rStyle w:val="HideTWBExt"/>
          <w:i w:val="0"/>
          <w:noProof w:val="0"/>
          <w:color w:val="auto"/>
        </w:rPr>
        <w:t>Commission</w:t>
      </w:r>
      <w:r w:rsidRPr="00C10C99">
        <w:rPr>
          <w:rStyle w:val="HideTWBExt"/>
          <w:noProof w:val="0"/>
          <w:color w:val="auto"/>
        </w:rPr>
        <w:t>&gt;</w:t>
      </w:r>
      <w:r w:rsidRPr="00C10C99">
        <w:rPr>
          <w:rStyle w:val="HideTWBInt"/>
          <w:color w:val="auto"/>
        </w:rPr>
        <w:t>{LIBE}</w:t>
      </w:r>
      <w:r w:rsidRPr="00C10C99">
        <w:t>Commissione per le libertà civili, la giustizia e gli affari interni</w:t>
      </w:r>
      <w:r w:rsidRPr="00C10C99">
        <w:rPr>
          <w:rStyle w:val="HideTWBExt"/>
          <w:noProof w:val="0"/>
          <w:color w:val="auto"/>
        </w:rPr>
        <w:t>&lt;/</w:t>
      </w:r>
      <w:r w:rsidRPr="00C10C99">
        <w:rPr>
          <w:rStyle w:val="HideTWBExt"/>
          <w:i w:val="0"/>
          <w:noProof w:val="0"/>
          <w:color w:val="auto"/>
        </w:rPr>
        <w:t>Commission</w:t>
      </w:r>
      <w:r w:rsidRPr="00C10C99">
        <w:rPr>
          <w:rStyle w:val="HideTWBExt"/>
          <w:noProof w:val="0"/>
          <w:color w:val="auto"/>
        </w:rPr>
        <w:t>&gt;</w:t>
      </w:r>
    </w:p>
    <w:p w:rsidR="00461601" w:rsidRPr="00C10C99" w:rsidRDefault="00461601" w:rsidP="00461601">
      <w:pPr>
        <w:pStyle w:val="LineBottom"/>
      </w:pPr>
    </w:p>
    <w:p w:rsidR="00793EA9" w:rsidRPr="00C10C99" w:rsidRDefault="00567212">
      <w:pPr>
        <w:pStyle w:val="CoverReference"/>
      </w:pPr>
      <w:r w:rsidRPr="00C10C99">
        <w:rPr>
          <w:rStyle w:val="HideTWBExt"/>
          <w:b w:val="0"/>
          <w:noProof w:val="0"/>
          <w:color w:val="auto"/>
        </w:rPr>
        <w:t>&lt;RefProc&gt;</w:t>
      </w:r>
      <w:r w:rsidRPr="00C10C99">
        <w:t>2022/0135</w:t>
      </w:r>
      <w:r w:rsidRPr="00C10C99">
        <w:rPr>
          <w:rStyle w:val="HideTWBExt"/>
          <w:b w:val="0"/>
          <w:noProof w:val="0"/>
          <w:color w:val="auto"/>
        </w:rPr>
        <w:t>&lt;/RefProc&gt;&lt;RefTypeProc&gt;</w:t>
      </w:r>
      <w:r w:rsidRPr="00C10C99">
        <w:t>(COD)</w:t>
      </w:r>
      <w:r w:rsidRPr="00C10C99">
        <w:rPr>
          <w:rStyle w:val="HideTWBExt"/>
          <w:b w:val="0"/>
          <w:noProof w:val="0"/>
          <w:color w:val="auto"/>
        </w:rPr>
        <w:t>&lt;/RefTypeProc&gt;</w:t>
      </w:r>
    </w:p>
    <w:p w:rsidR="00793EA9" w:rsidRPr="00C10C99" w:rsidRDefault="00567212">
      <w:pPr>
        <w:pStyle w:val="CoverDate"/>
      </w:pPr>
      <w:r w:rsidRPr="00C10C99">
        <w:rPr>
          <w:rStyle w:val="HideTWBExt"/>
          <w:noProof w:val="0"/>
          <w:color w:val="auto"/>
        </w:rPr>
        <w:t>&lt;Date&gt;</w:t>
      </w:r>
      <w:r w:rsidRPr="00C10C99">
        <w:rPr>
          <w:rStyle w:val="HideTWBInt"/>
          <w:color w:val="auto"/>
        </w:rPr>
        <w:t>{16/09/2022}</w:t>
      </w:r>
      <w:r w:rsidRPr="00C10C99">
        <w:t>16.9.2022</w:t>
      </w:r>
      <w:r w:rsidRPr="00C10C99">
        <w:rPr>
          <w:rStyle w:val="HideTWBExt"/>
          <w:noProof w:val="0"/>
          <w:color w:val="auto"/>
        </w:rPr>
        <w:t>&lt;/Date&gt;</w:t>
      </w:r>
    </w:p>
    <w:p w:rsidR="00793EA9" w:rsidRPr="00C10C99" w:rsidRDefault="00567212">
      <w:pPr>
        <w:pStyle w:val="CoverDocType"/>
      </w:pPr>
      <w:r w:rsidRPr="00C10C99">
        <w:rPr>
          <w:rStyle w:val="HideTWBExt"/>
          <w:b w:val="0"/>
          <w:noProof w:val="0"/>
          <w:color w:val="auto"/>
        </w:rPr>
        <w:t>&lt;RefProcLect&gt;</w:t>
      </w:r>
      <w:r w:rsidRPr="00C10C99">
        <w:t>***I</w:t>
      </w:r>
      <w:r w:rsidRPr="00C10C99">
        <w:rPr>
          <w:rStyle w:val="HideTWBExt"/>
          <w:b w:val="0"/>
          <w:noProof w:val="0"/>
          <w:color w:val="auto"/>
        </w:rPr>
        <w:t>&lt;/RefProcLect&gt;</w:t>
      </w:r>
    </w:p>
    <w:p w:rsidR="00793EA9" w:rsidRPr="00C10C99" w:rsidRDefault="00567212">
      <w:pPr>
        <w:pStyle w:val="CoverDocType24a"/>
      </w:pPr>
      <w:r w:rsidRPr="00C10C99">
        <w:rPr>
          <w:rStyle w:val="HideTWBExt"/>
          <w:b w:val="0"/>
          <w:noProof w:val="0"/>
          <w:color w:val="auto"/>
        </w:rPr>
        <w:t>&lt;TitreType&gt;</w:t>
      </w:r>
      <w:r w:rsidRPr="00C10C99">
        <w:t>PROGETTO DI RELAZIONE</w:t>
      </w:r>
      <w:r w:rsidRPr="00C10C99">
        <w:rPr>
          <w:rStyle w:val="HideTWBExt"/>
          <w:b w:val="0"/>
          <w:noProof w:val="0"/>
          <w:color w:val="auto"/>
        </w:rPr>
        <w:t>&lt;/TitreType&gt;</w:t>
      </w:r>
    </w:p>
    <w:p w:rsidR="00793EA9" w:rsidRPr="00C10C99" w:rsidRDefault="00567212">
      <w:pPr>
        <w:pStyle w:val="CoverNormal"/>
      </w:pPr>
      <w:r w:rsidRPr="00C10C99">
        <w:rPr>
          <w:rStyle w:val="HideTWBExt"/>
          <w:noProof w:val="0"/>
          <w:color w:val="auto"/>
        </w:rPr>
        <w:t>&lt;Titre&gt;</w:t>
      </w:r>
      <w:r w:rsidRPr="00C10C99">
        <w:t>sulla proposta di regolamento del Parlamento europeo e del Consiglio che modifica il regolamento (UE) 2018/1806 che adotta l'elenco dei paesi terzi i cui cittadini devono essere in possesso</w:t>
      </w:r>
      <w:r w:rsidRPr="00C10C99">
        <w:t xml:space="preserve"> del visto all'atto dell'attraversamento delle frontiere esterne e l'elenco dei paesi terzi i cui cittadini sono esenti da tale obbligo (Kuwait, Qatar)</w:t>
      </w:r>
      <w:r w:rsidRPr="00C10C99">
        <w:rPr>
          <w:rStyle w:val="HideTWBExt"/>
          <w:noProof w:val="0"/>
          <w:color w:val="auto"/>
        </w:rPr>
        <w:t>&lt;/Titre&gt;</w:t>
      </w:r>
    </w:p>
    <w:p w:rsidR="00793EA9" w:rsidRPr="00C10C99" w:rsidRDefault="00567212">
      <w:pPr>
        <w:pStyle w:val="CoverNormal24a"/>
      </w:pPr>
      <w:r w:rsidRPr="00C10C99">
        <w:rPr>
          <w:rStyle w:val="HideTWBExt"/>
          <w:noProof w:val="0"/>
          <w:color w:val="auto"/>
        </w:rPr>
        <w:t>&lt;DocRef&gt;</w:t>
      </w:r>
      <w:r w:rsidRPr="00C10C99">
        <w:t>(COM(2022)0189 – C9</w:t>
      </w:r>
      <w:r w:rsidRPr="00C10C99">
        <w:noBreakHyphen/>
        <w:t>0160/2022 – 2022/0135(COD))</w:t>
      </w:r>
      <w:r w:rsidRPr="00C10C99">
        <w:rPr>
          <w:rStyle w:val="HideTWBExt"/>
          <w:noProof w:val="0"/>
          <w:color w:val="auto"/>
        </w:rPr>
        <w:t>&lt;/DocRef&gt;</w:t>
      </w:r>
    </w:p>
    <w:p w:rsidR="00793EA9" w:rsidRPr="00C10C99" w:rsidRDefault="00567212">
      <w:pPr>
        <w:pStyle w:val="CoverNormal24a"/>
      </w:pPr>
      <w:r w:rsidRPr="00C10C99">
        <w:rPr>
          <w:rStyle w:val="HideTWBExt"/>
          <w:noProof w:val="0"/>
          <w:color w:val="auto"/>
        </w:rPr>
        <w:t>&lt;Commission&gt;</w:t>
      </w:r>
      <w:r w:rsidRPr="00C10C99">
        <w:rPr>
          <w:rStyle w:val="HideTWBInt"/>
          <w:color w:val="auto"/>
        </w:rPr>
        <w:t>{LIBE}</w:t>
      </w:r>
      <w:r w:rsidRPr="00C10C99">
        <w:t>Commissione p</w:t>
      </w:r>
      <w:r w:rsidRPr="00C10C99">
        <w:t>er le libertà civili, la giustizia e gli affari interni</w:t>
      </w:r>
      <w:r w:rsidRPr="00C10C99">
        <w:rPr>
          <w:rStyle w:val="HideTWBExt"/>
          <w:noProof w:val="0"/>
          <w:color w:val="auto"/>
        </w:rPr>
        <w:t>&lt;/Commission&gt;</w:t>
      </w:r>
    </w:p>
    <w:p w:rsidR="00793EA9" w:rsidRPr="00C10C99" w:rsidRDefault="00567212">
      <w:pPr>
        <w:pStyle w:val="CoverNormal24a"/>
      </w:pPr>
      <w:r w:rsidRPr="00C10C99">
        <w:t xml:space="preserve">Relatore: </w:t>
      </w:r>
      <w:r w:rsidRPr="00C10C99">
        <w:rPr>
          <w:rStyle w:val="HideTWBExt"/>
          <w:noProof w:val="0"/>
          <w:color w:val="auto"/>
        </w:rPr>
        <w:t>&lt;Depute&gt;</w:t>
      </w:r>
      <w:r w:rsidRPr="00C10C99">
        <w:t>Erik Marquardt</w:t>
      </w:r>
      <w:r w:rsidRPr="00C10C99">
        <w:rPr>
          <w:rStyle w:val="HideTWBExt"/>
          <w:noProof w:val="0"/>
          <w:color w:val="auto"/>
        </w:rPr>
        <w:t>&lt;/Depute&gt;</w:t>
      </w:r>
    </w:p>
    <w:p w:rsidR="001C5B44" w:rsidRPr="00C10C99" w:rsidRDefault="001C5B44" w:rsidP="001C5B44">
      <w:pPr>
        <w:pStyle w:val="CoverNormal"/>
      </w:pPr>
    </w:p>
    <w:p w:rsidR="004E5EA6" w:rsidRPr="00C10C99" w:rsidRDefault="00567212" w:rsidP="00894923">
      <w:r w:rsidRPr="00C10C99">
        <w:br w:type="page"/>
      </w:r>
      <w:r w:rsidR="00EA2524" w:rsidRPr="00C10C99">
        <w:lastRenderedPageBreak/>
        <w:fldChar w:fldCharType="begin"/>
      </w:r>
      <w:r w:rsidRPr="00C10C99">
        <w:instrText xml:space="preserve"> TITLE  \* MERGEFORMAT </w:instrText>
      </w:r>
      <w:r w:rsidR="00EA2524" w:rsidRPr="00C10C99">
        <w:fldChar w:fldCharType="separate"/>
      </w:r>
      <w:r>
        <w:t>PR_COD_1amCom</w:t>
      </w:r>
      <w:r w:rsidR="00EA2524" w:rsidRPr="00C10C99">
        <w:fldChar w:fldCharType="end"/>
      </w:r>
    </w:p>
    <w:p w:rsidR="004E5EA6" w:rsidRPr="00C10C99" w:rsidRDefault="004E5EA6" w:rsidP="00894923"/>
    <w:p w:rsidR="004E5EA6" w:rsidRPr="00C10C99" w:rsidRDefault="004E5EA6" w:rsidP="00894923"/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8E1A20" w:rsidRPr="00C10C99">
        <w:tc>
          <w:tcPr>
            <w:tcW w:w="5811" w:type="dxa"/>
          </w:tcPr>
          <w:p w:rsidR="004E5EA6" w:rsidRPr="00C10C99" w:rsidRDefault="00567212" w:rsidP="00894923">
            <w:pPr>
              <w:pStyle w:val="Lgendetitre"/>
            </w:pPr>
            <w:r w:rsidRPr="00C10C99">
              <w:t>Significato dei simboli utilizzati</w:t>
            </w:r>
          </w:p>
        </w:tc>
      </w:tr>
      <w:tr w:rsidR="00E4720B" w:rsidRPr="00C10C99" w:rsidTr="00C50C36">
        <w:trPr>
          <w:cantSplit/>
          <w:trHeight w:val="1944"/>
        </w:trPr>
        <w:tc>
          <w:tcPr>
            <w:tcW w:w="5811" w:type="dxa"/>
            <w:tcBorders>
              <w:bottom w:val="single" w:sz="4" w:space="0" w:color="auto"/>
            </w:tcBorders>
          </w:tcPr>
          <w:p w:rsidR="004E5EA6" w:rsidRPr="00C10C99" w:rsidRDefault="00567212" w:rsidP="00275D31">
            <w:pPr>
              <w:pStyle w:val="Lgendesigne"/>
            </w:pPr>
            <w:r w:rsidRPr="00C10C99">
              <w:tab/>
              <w:t>*</w:t>
            </w:r>
            <w:r w:rsidRPr="00C10C99">
              <w:tab/>
              <w:t>Procedura di consultazione</w:t>
            </w:r>
          </w:p>
          <w:p w:rsidR="004E5EA6" w:rsidRPr="00C10C99" w:rsidRDefault="00567212" w:rsidP="00275D31">
            <w:pPr>
              <w:pStyle w:val="Lgendesigne"/>
            </w:pPr>
            <w:r w:rsidRPr="00C10C99">
              <w:tab/>
              <w:t>***</w:t>
            </w:r>
            <w:r w:rsidRPr="00C10C99">
              <w:tab/>
              <w:t>Procedura di approvazione</w:t>
            </w:r>
          </w:p>
          <w:p w:rsidR="004E5EA6" w:rsidRPr="00C10C99" w:rsidRDefault="00567212" w:rsidP="00275D31">
            <w:pPr>
              <w:pStyle w:val="Lgendesigne"/>
            </w:pPr>
            <w:r w:rsidRPr="00C10C99">
              <w:tab/>
            </w:r>
            <w:r w:rsidRPr="00C10C99">
              <w:t>***I</w:t>
            </w:r>
            <w:r w:rsidRPr="00C10C99">
              <w:tab/>
              <w:t>Procedura legislativa ordinaria (prima lettura)</w:t>
            </w:r>
          </w:p>
          <w:p w:rsidR="004E5EA6" w:rsidRPr="00C10C99" w:rsidRDefault="00567212" w:rsidP="00275D31">
            <w:pPr>
              <w:pStyle w:val="Lgendesigne"/>
            </w:pPr>
            <w:r w:rsidRPr="00C10C99">
              <w:tab/>
              <w:t>***II</w:t>
            </w:r>
            <w:r w:rsidRPr="00C10C99">
              <w:tab/>
              <w:t>Procedura legislativa ordinaria (seconda lettura)</w:t>
            </w:r>
          </w:p>
          <w:p w:rsidR="004E5EA6" w:rsidRPr="00C10C99" w:rsidRDefault="00567212" w:rsidP="00275D31">
            <w:pPr>
              <w:pStyle w:val="Lgendesigne"/>
            </w:pPr>
            <w:r w:rsidRPr="00C10C99">
              <w:tab/>
              <w:t>***III</w:t>
            </w:r>
            <w:r w:rsidRPr="00C10C99">
              <w:tab/>
              <w:t>Procedura legislativa ordinaria (terza lettura)</w:t>
            </w:r>
          </w:p>
          <w:p w:rsidR="004E5EA6" w:rsidRPr="00C10C99" w:rsidRDefault="004E5EA6" w:rsidP="00275D31">
            <w:pPr>
              <w:pStyle w:val="Lgendestandard"/>
            </w:pPr>
          </w:p>
          <w:p w:rsidR="004E5EA6" w:rsidRPr="00C10C99" w:rsidRDefault="00567212" w:rsidP="00275D31">
            <w:pPr>
              <w:pStyle w:val="Lgendestandard"/>
            </w:pPr>
            <w:r w:rsidRPr="00C10C99">
              <w:t>(La procedura indicata dipende dalla base giuridica proposta nel progetto di atto.)</w:t>
            </w:r>
          </w:p>
          <w:p w:rsidR="004E5EA6" w:rsidRPr="00C10C99" w:rsidRDefault="004E5EA6" w:rsidP="00894923"/>
        </w:tc>
      </w:tr>
    </w:tbl>
    <w:p w:rsidR="004E5EA6" w:rsidRPr="00C10C99" w:rsidRDefault="004E5EA6" w:rsidP="00894923"/>
    <w:p w:rsidR="004E5EA6" w:rsidRPr="00C10C99" w:rsidRDefault="004E5EA6" w:rsidP="00894923"/>
    <w:p w:rsidR="004E5EA6" w:rsidRPr="00C10C99" w:rsidRDefault="004E5EA6" w:rsidP="00894923"/>
    <w:p w:rsidR="004E5EA6" w:rsidRPr="00C10C99" w:rsidRDefault="004E5EA6" w:rsidP="00894923"/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11"/>
      </w:tblGrid>
      <w:tr w:rsidR="008E1A20" w:rsidRPr="00C10C99">
        <w:tc>
          <w:tcPr>
            <w:tcW w:w="5811" w:type="dxa"/>
          </w:tcPr>
          <w:p w:rsidR="004E5EA6" w:rsidRPr="00C10C99" w:rsidRDefault="00567212" w:rsidP="00894923">
            <w:pPr>
              <w:pStyle w:val="Lgendetitre"/>
            </w:pPr>
            <w:r w:rsidRPr="00C10C99">
              <w:t>Emendamenti a un progetto di atto</w:t>
            </w:r>
          </w:p>
        </w:tc>
      </w:tr>
      <w:tr w:rsidR="00E4720B" w:rsidRPr="00C10C99" w:rsidTr="005E290D">
        <w:trPr>
          <w:trHeight w:val="4923"/>
        </w:trPr>
        <w:tc>
          <w:tcPr>
            <w:tcW w:w="5811" w:type="dxa"/>
          </w:tcPr>
          <w:p w:rsidR="004E5EA6" w:rsidRPr="00C10C99" w:rsidRDefault="00567212" w:rsidP="0073251B">
            <w:pPr>
              <w:pStyle w:val="Lgendestandard"/>
              <w:rPr>
                <w:b/>
              </w:rPr>
            </w:pPr>
            <w:r w:rsidRPr="00C10C99">
              <w:rPr>
                <w:b/>
              </w:rPr>
              <w:t>Emendamenti del Parlamento presentati su due colonne</w:t>
            </w:r>
          </w:p>
          <w:p w:rsidR="004E5EA6" w:rsidRPr="00C10C99" w:rsidRDefault="004E5EA6" w:rsidP="0073251B">
            <w:pPr>
              <w:pStyle w:val="Lgendestandard"/>
            </w:pPr>
          </w:p>
          <w:p w:rsidR="004E5EA6" w:rsidRPr="00C10C99" w:rsidRDefault="00567212" w:rsidP="0073251B">
            <w:pPr>
              <w:pStyle w:val="Lgendestandard"/>
            </w:pPr>
            <w:r w:rsidRPr="00C10C99">
              <w:t xml:space="preserve">Le soppressioni sono evidenziate in </w:t>
            </w:r>
            <w:r w:rsidRPr="00C10C99">
              <w:rPr>
                <w:b/>
                <w:i/>
              </w:rPr>
              <w:t xml:space="preserve">corsivo grassetto </w:t>
            </w:r>
            <w:r w:rsidRPr="00C10C99">
              <w:t xml:space="preserve">nella colonna di sinistra. Le sostituzioni sono evidenziate in </w:t>
            </w:r>
            <w:r w:rsidRPr="00C10C99">
              <w:rPr>
                <w:b/>
                <w:i/>
              </w:rPr>
              <w:t xml:space="preserve">corsivo grassetto </w:t>
            </w:r>
            <w:r w:rsidRPr="00C10C99">
              <w:t xml:space="preserve">nelle due colonne. </w:t>
            </w:r>
            <w:r w:rsidRPr="00C10C99">
              <w:t xml:space="preserve">Il testo nuovo è evidenziato in </w:t>
            </w:r>
            <w:r w:rsidRPr="00C10C99">
              <w:rPr>
                <w:b/>
                <w:i/>
              </w:rPr>
              <w:t xml:space="preserve">corsivo grassetto </w:t>
            </w:r>
            <w:r w:rsidRPr="00C10C99">
              <w:t>nella colonna di destra.</w:t>
            </w:r>
          </w:p>
          <w:p w:rsidR="004E5EA6" w:rsidRPr="00C10C99" w:rsidRDefault="004E5EA6" w:rsidP="0073251B">
            <w:pPr>
              <w:pStyle w:val="Lgendestandard"/>
            </w:pPr>
          </w:p>
          <w:p w:rsidR="004E5EA6" w:rsidRPr="00C10C99" w:rsidRDefault="00567212" w:rsidP="0073251B">
            <w:pPr>
              <w:pStyle w:val="Lgendestandard"/>
            </w:pPr>
            <w:r w:rsidRPr="00C10C99">
              <w:t>La prima e la seconda riga del blocco d'informazione di ogni emendamento identificano la parte di testo interessata del progetto di atto in esame. Se un emendamento verte su un att</w:t>
            </w:r>
            <w:r w:rsidRPr="00C10C99">
              <w:t xml:space="preserve">o esistente che il progetto di atto intende modificare, il blocco d'informazione comprende anche una terza e una quarta riga che identificano rispettivamente l'atto esistente e la disposizione interessata di quest'ultimo. </w:t>
            </w:r>
          </w:p>
          <w:p w:rsidR="004E5EA6" w:rsidRPr="00C10C99" w:rsidRDefault="004E5EA6" w:rsidP="0073251B">
            <w:pPr>
              <w:pStyle w:val="Lgendestandard"/>
            </w:pPr>
          </w:p>
          <w:p w:rsidR="004E5EA6" w:rsidRPr="00C10C99" w:rsidRDefault="00567212" w:rsidP="0073251B">
            <w:pPr>
              <w:pStyle w:val="Lgendestandard"/>
              <w:rPr>
                <w:b/>
              </w:rPr>
            </w:pPr>
            <w:r w:rsidRPr="00C10C99">
              <w:rPr>
                <w:b/>
              </w:rPr>
              <w:t>Emendamenti del Parlamento prese</w:t>
            </w:r>
            <w:r w:rsidRPr="00C10C99">
              <w:rPr>
                <w:b/>
              </w:rPr>
              <w:t>ntati in forma di testo consolidato</w:t>
            </w:r>
          </w:p>
          <w:p w:rsidR="004E5EA6" w:rsidRPr="00C10C99" w:rsidRDefault="004E5EA6" w:rsidP="0073251B">
            <w:pPr>
              <w:pStyle w:val="Lgendestandard"/>
              <w:rPr>
                <w:b/>
              </w:rPr>
            </w:pPr>
          </w:p>
          <w:p w:rsidR="004E5EA6" w:rsidRPr="00C10C99" w:rsidRDefault="00567212" w:rsidP="0073251B">
            <w:pPr>
              <w:pStyle w:val="Lgendestandard"/>
              <w:rPr>
                <w:szCs w:val="18"/>
              </w:rPr>
            </w:pPr>
            <w:r w:rsidRPr="00C10C99">
              <w:t xml:space="preserve">Le parti di testo nuove sono evidenziate in </w:t>
            </w:r>
            <w:r w:rsidRPr="00C10C99">
              <w:rPr>
                <w:b/>
                <w:i/>
              </w:rPr>
              <w:t>corsivo grassetto</w:t>
            </w:r>
            <w:r w:rsidRPr="00C10C99">
              <w:t xml:space="preserve">. Le parti di testo soppresse sono indicate con il simbolo ▌ o sono barrate. Le sostituzioni sono segnalate evidenziando in </w:t>
            </w:r>
            <w:r w:rsidRPr="00C10C99">
              <w:rPr>
                <w:b/>
                <w:i/>
              </w:rPr>
              <w:t xml:space="preserve">corsivo grassetto </w:t>
            </w:r>
            <w:r w:rsidRPr="00C10C99">
              <w:t>il testo nuovo e</w:t>
            </w:r>
            <w:r w:rsidRPr="00C10C99">
              <w:t>d eliminando o barrando il testo sostituito.</w:t>
            </w:r>
          </w:p>
          <w:p w:rsidR="004E5EA6" w:rsidRPr="00C10C99" w:rsidRDefault="00567212" w:rsidP="0073251B">
            <w:pPr>
              <w:pStyle w:val="Lgendestandard"/>
            </w:pPr>
            <w:r w:rsidRPr="00C10C99">
              <w:t>A titolo di eccezione, le modifiche di carattere strettamente tecnico apportate dai servizi in vista dell'elaborazione del testo finale non sono evidenziate.</w:t>
            </w:r>
          </w:p>
          <w:p w:rsidR="004E5EA6" w:rsidRPr="00C10C99" w:rsidRDefault="004E5EA6" w:rsidP="0069092A">
            <w:pPr>
              <w:pStyle w:val="Lgendestandard"/>
            </w:pPr>
          </w:p>
        </w:tc>
      </w:tr>
    </w:tbl>
    <w:p w:rsidR="004E5EA6" w:rsidRPr="00C10C99" w:rsidRDefault="004E5EA6" w:rsidP="00894923"/>
    <w:p w:rsidR="00793EA9" w:rsidRPr="00C10C99" w:rsidRDefault="00793EA9" w:rsidP="00012351">
      <w:pPr>
        <w:widowControl/>
        <w:tabs>
          <w:tab w:val="center" w:pos="4677"/>
        </w:tabs>
      </w:pPr>
    </w:p>
    <w:p w:rsidR="00793EA9" w:rsidRPr="00C10C99" w:rsidRDefault="00567212">
      <w:pPr>
        <w:pStyle w:val="TOCHeading"/>
      </w:pPr>
      <w:r w:rsidRPr="00C10C99">
        <w:br w:type="page"/>
      </w:r>
      <w:r w:rsidRPr="00C10C99">
        <w:lastRenderedPageBreak/>
        <w:t>INDICE</w:t>
      </w:r>
    </w:p>
    <w:p w:rsidR="00793EA9" w:rsidRPr="00C10C99" w:rsidRDefault="00567212">
      <w:pPr>
        <w:pStyle w:val="TOCPage"/>
      </w:pPr>
      <w:r w:rsidRPr="00C10C99">
        <w:t>Pagina</w:t>
      </w:r>
    </w:p>
    <w:p w:rsidR="00567212" w:rsidRDefault="00567212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C10C99">
        <w:rPr>
          <w:b/>
        </w:rPr>
        <w:fldChar w:fldCharType="begin"/>
      </w:r>
      <w:r w:rsidRPr="00C10C99">
        <w:rPr>
          <w:b/>
        </w:rPr>
        <w:instrText xml:space="preserve"> TOC \t "PageHeading</w:instrText>
      </w:r>
      <w:r w:rsidR="004E5EA6" w:rsidRPr="00C10C99">
        <w:rPr>
          <w:b/>
        </w:rPr>
        <w:instrText>;</w:instrText>
      </w:r>
      <w:r w:rsidRPr="00C10C99">
        <w:rPr>
          <w:b/>
        </w:rPr>
        <w:instrText xml:space="preserve">1" </w:instrText>
      </w:r>
      <w:r w:rsidRPr="00C10C99">
        <w:rPr>
          <w:b/>
        </w:rPr>
        <w:fldChar w:fldCharType="separate"/>
      </w:r>
      <w:r>
        <w:rPr>
          <w:noProof/>
        </w:rPr>
        <w:t>PROGETTO DI RISOLUZIONE LEGISLATIVA DEL PARLAMENTO EUROPEO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_Toc115258623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567212" w:rsidRDefault="00567212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>
        <w:rPr>
          <w:noProof/>
        </w:rPr>
        <w:t>MOTIVAZIONE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_Toc115258624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2346B0" w:rsidRPr="00C10C99" w:rsidRDefault="00567212" w:rsidP="00C23324">
      <w:r w:rsidRPr="00C10C99">
        <w:rPr>
          <w:b/>
        </w:rPr>
        <w:fldChar w:fldCharType="end"/>
      </w:r>
    </w:p>
    <w:p w:rsidR="00793EA9" w:rsidRPr="00C10C99" w:rsidRDefault="00567212">
      <w:pPr>
        <w:pStyle w:val="PageHeading"/>
      </w:pPr>
      <w:r w:rsidRPr="00C10C99">
        <w:br w:type="page"/>
      </w:r>
      <w:r w:rsidRPr="00C10C99">
        <w:lastRenderedPageBreak/>
        <w:br w:type="page"/>
      </w:r>
      <w:bookmarkStart w:id="0" w:name="_Toc115258623"/>
      <w:r w:rsidRPr="00C10C99">
        <w:lastRenderedPageBreak/>
        <w:t>PROGETTO DI RISOLUZIONE LEGISLATIVA DEL PARLAMENTO EUROPEO</w:t>
      </w:r>
      <w:bookmarkEnd w:id="0"/>
    </w:p>
    <w:p w:rsidR="00793EA9" w:rsidRPr="00C10C99" w:rsidRDefault="00567212">
      <w:pPr>
        <w:pStyle w:val="NormalBold"/>
      </w:pPr>
      <w:r w:rsidRPr="00C10C99">
        <w:t xml:space="preserve">sulla proposta di regolamento del Parlamento europeo e del Consiglio che modifica il regolamento (UE) 2018/1806 che adotta l'elenco dei paesi terzi i cui cittadini devono essere in possesso del visto all'atto dell'attraversamento delle frontiere esterne e </w:t>
      </w:r>
      <w:r w:rsidRPr="00C10C99">
        <w:t>l'elenco dei paesi terzi i cui cittadini sono esenti da tale obbligo (Kuwait, Qatar)</w:t>
      </w:r>
    </w:p>
    <w:p w:rsidR="00793EA9" w:rsidRPr="00C10C99" w:rsidRDefault="00567212">
      <w:pPr>
        <w:pStyle w:val="NormalBold12a"/>
      </w:pPr>
      <w:r w:rsidRPr="00C10C99">
        <w:t>(COM(2022)0189 – C9</w:t>
      </w:r>
      <w:r w:rsidRPr="00C10C99">
        <w:noBreakHyphen/>
        <w:t>0160/2022 – 2022/0135(COD))</w:t>
      </w:r>
    </w:p>
    <w:p w:rsidR="00793EA9" w:rsidRPr="00C10C99" w:rsidRDefault="00567212" w:rsidP="00A910C9">
      <w:pPr>
        <w:pStyle w:val="NormalBold"/>
      </w:pPr>
      <w:r w:rsidRPr="00C10C99">
        <w:t>(Procedura legislativa ordinaria: prima lettura)</w:t>
      </w:r>
    </w:p>
    <w:p w:rsidR="004E5EA6" w:rsidRPr="00C10C99" w:rsidRDefault="00567212" w:rsidP="004E5EA6">
      <w:pPr>
        <w:pStyle w:val="EPComma"/>
      </w:pPr>
      <w:r w:rsidRPr="00C10C99">
        <w:rPr>
          <w:i/>
        </w:rPr>
        <w:t>Il Parlamento europeo</w:t>
      </w:r>
      <w:r w:rsidRPr="00C10C99">
        <w:t>,</w:t>
      </w:r>
    </w:p>
    <w:p w:rsidR="004E5EA6" w:rsidRPr="00C10C99" w:rsidRDefault="00567212" w:rsidP="004E5EA6">
      <w:pPr>
        <w:pStyle w:val="NormalHanging12a"/>
      </w:pPr>
      <w:r w:rsidRPr="00C10C99">
        <w:t>–</w:t>
      </w:r>
      <w:r w:rsidRPr="00C10C99">
        <w:tab/>
        <w:t>vista la proposta della Commissione al Parlamento</w:t>
      </w:r>
      <w:r w:rsidRPr="00C10C99">
        <w:t xml:space="preserve"> europeo e al Consiglio (COM(2022)0189),</w:t>
      </w:r>
    </w:p>
    <w:p w:rsidR="004E5EA6" w:rsidRPr="00C10C99" w:rsidRDefault="00567212" w:rsidP="004E5EA6">
      <w:pPr>
        <w:pStyle w:val="NormalHanging12a"/>
      </w:pPr>
      <w:r w:rsidRPr="00C10C99">
        <w:t>–</w:t>
      </w:r>
      <w:r w:rsidRPr="00C10C99">
        <w:tab/>
        <w:t>visti l'articolo 294, paragrafo 2, e l'articolo 77, paragrafo 2, lettera a), del trattato sul funzionamento dell'Unione europea, a norma dei quali la proposta gli è stata presentata dalla Commissione (C9</w:t>
      </w:r>
      <w:r w:rsidRPr="00C10C99">
        <w:noBreakHyphen/>
        <w:t>-0160/202</w:t>
      </w:r>
      <w:r w:rsidRPr="00C10C99">
        <w:t>2),</w:t>
      </w:r>
    </w:p>
    <w:p w:rsidR="004E5EA6" w:rsidRPr="00C10C99" w:rsidRDefault="00567212" w:rsidP="004E5EA6">
      <w:pPr>
        <w:pStyle w:val="NormalHanging12a"/>
      </w:pPr>
      <w:r w:rsidRPr="00C10C99">
        <w:t>–</w:t>
      </w:r>
      <w:r w:rsidRPr="00C10C99">
        <w:tab/>
        <w:t>visto l'articolo 294, paragrafo 3, del trattato sul funzionamento dell'Unione europea,</w:t>
      </w:r>
    </w:p>
    <w:p w:rsidR="004E5EA6" w:rsidRPr="00C10C99" w:rsidRDefault="00567212" w:rsidP="004E5EA6">
      <w:pPr>
        <w:pStyle w:val="NormalHanging12a"/>
      </w:pPr>
      <w:r w:rsidRPr="00C10C99">
        <w:t>–</w:t>
      </w:r>
      <w:r w:rsidRPr="00C10C99">
        <w:tab/>
        <w:t>visto l'articolo 59 del suo regolamento,</w:t>
      </w:r>
    </w:p>
    <w:p w:rsidR="004E5EA6" w:rsidRPr="00C10C99" w:rsidRDefault="00567212" w:rsidP="004E5EA6">
      <w:pPr>
        <w:pStyle w:val="NormalHanging12a"/>
      </w:pPr>
      <w:r w:rsidRPr="00C10C99">
        <w:t>–</w:t>
      </w:r>
      <w:r w:rsidRPr="00C10C99">
        <w:tab/>
        <w:t>vista la relazione della commissione per le libertà civili, la giustizia e gli affari interni (A9</w:t>
      </w:r>
      <w:r w:rsidRPr="00C10C99">
        <w:noBreakHyphen/>
        <w:t>0000/2022),</w:t>
      </w:r>
    </w:p>
    <w:p w:rsidR="004E5EA6" w:rsidRPr="00C10C99" w:rsidRDefault="00567212" w:rsidP="004E5EA6">
      <w:pPr>
        <w:pStyle w:val="NormalHanging12a"/>
      </w:pPr>
      <w:r w:rsidRPr="00C10C99">
        <w:t>1.</w:t>
      </w:r>
      <w:r w:rsidRPr="00C10C99">
        <w:tab/>
        <w:t>adott</w:t>
      </w:r>
      <w:r w:rsidRPr="00C10C99">
        <w:t>a la posizione in prima lettura figurante in appresso;</w:t>
      </w:r>
    </w:p>
    <w:p w:rsidR="004E5EA6" w:rsidRPr="00C10C99" w:rsidRDefault="00567212" w:rsidP="004E5EA6">
      <w:pPr>
        <w:pStyle w:val="NormalHanging12a"/>
      </w:pPr>
      <w:r w:rsidRPr="00C10C99">
        <w:t>2.</w:t>
      </w:r>
      <w:r w:rsidRPr="00C10C99">
        <w:tab/>
        <w:t>chiede alla Commissione di presentargli nuovamente la proposta qualora la sostituisca, la modifichi sostanzialmente o intenda modificarla sostanzialmente;</w:t>
      </w:r>
    </w:p>
    <w:p w:rsidR="004E5EA6" w:rsidRPr="00C10C99" w:rsidRDefault="00567212" w:rsidP="004E5EA6">
      <w:pPr>
        <w:pStyle w:val="NormalHanging12a"/>
      </w:pPr>
      <w:r w:rsidRPr="00C10C99">
        <w:t>3.</w:t>
      </w:r>
      <w:r w:rsidRPr="00C10C99">
        <w:tab/>
        <w:t>incarica la sua Presidente di trasmetter</w:t>
      </w:r>
      <w:r w:rsidRPr="00C10C99">
        <w:t>e la posizione del Parlamento al Consiglio e alla Commissione nonché ai parlamenti nazionali.</w:t>
      </w:r>
    </w:p>
    <w:p w:rsidR="004E5EA6" w:rsidRPr="00C10C99" w:rsidRDefault="004E5EA6" w:rsidP="004E5EA6"/>
    <w:p w:rsidR="004E5EA6" w:rsidRPr="00C10C99" w:rsidRDefault="00567212" w:rsidP="004E5EA6">
      <w:pPr>
        <w:pStyle w:val="AmNumberTabs"/>
        <w:keepNext/>
      </w:pPr>
      <w:r w:rsidRPr="00C10C99">
        <w:rPr>
          <w:rStyle w:val="HideTWBExt"/>
          <w:b w:val="0"/>
          <w:noProof w:val="0"/>
          <w:color w:val="auto"/>
        </w:rPr>
        <w:t>&lt;RepeatBlock-Amend&gt;</w:t>
      </w:r>
      <w:bookmarkStart w:id="1" w:name="restart"/>
      <w:r w:rsidRPr="00C10C99">
        <w:rPr>
          <w:rStyle w:val="HideTWBExt"/>
          <w:b w:val="0"/>
          <w:noProof w:val="0"/>
          <w:color w:val="auto"/>
        </w:rPr>
        <w:t>&lt;Amend&gt;</w:t>
      </w:r>
      <w:r w:rsidRPr="00C10C99">
        <w:t>Emendamento</w:t>
      </w:r>
      <w:r w:rsidRPr="00C10C99">
        <w:tab/>
      </w:r>
      <w:r w:rsidRPr="00C10C99">
        <w:tab/>
      </w:r>
      <w:r w:rsidRPr="00C10C99">
        <w:rPr>
          <w:rStyle w:val="HideTWBExt"/>
          <w:b w:val="0"/>
          <w:noProof w:val="0"/>
          <w:color w:val="auto"/>
        </w:rPr>
        <w:t>&lt;NumAm&gt;</w:t>
      </w:r>
      <w:r w:rsidRPr="00C10C99">
        <w:t>1</w:t>
      </w:r>
      <w:r w:rsidRPr="00C10C99">
        <w:rPr>
          <w:rStyle w:val="HideTWBExt"/>
          <w:b w:val="0"/>
          <w:noProof w:val="0"/>
          <w:color w:val="auto"/>
        </w:rPr>
        <w:t>&lt;/NumAm&gt;</w:t>
      </w:r>
    </w:p>
    <w:bookmarkEnd w:id="1"/>
    <w:p w:rsidR="004E5EA6" w:rsidRPr="00C10C99" w:rsidRDefault="00567212" w:rsidP="004E5EA6">
      <w:pPr>
        <w:pStyle w:val="NormalBold12b"/>
        <w:keepNext/>
      </w:pPr>
      <w:r w:rsidRPr="00C10C99">
        <w:rPr>
          <w:rStyle w:val="HideTWBExt"/>
          <w:b w:val="0"/>
          <w:noProof w:val="0"/>
          <w:color w:val="auto"/>
        </w:rPr>
        <w:t>&lt;DocAmend&gt;</w:t>
      </w:r>
      <w:r w:rsidRPr="00C10C99">
        <w:t>Proposta di regolamento</w:t>
      </w:r>
      <w:r w:rsidRPr="00C10C99">
        <w:rPr>
          <w:rStyle w:val="HideTWBExt"/>
          <w:b w:val="0"/>
          <w:noProof w:val="0"/>
          <w:color w:val="auto"/>
        </w:rPr>
        <w:t>&lt;/DocAmend&gt;</w:t>
      </w:r>
    </w:p>
    <w:p w:rsidR="004E5EA6" w:rsidRPr="00C10C99" w:rsidRDefault="00567212" w:rsidP="004E5EA6">
      <w:pPr>
        <w:pStyle w:val="NormalBold"/>
      </w:pPr>
      <w:r w:rsidRPr="00C10C99">
        <w:rPr>
          <w:rStyle w:val="HideTWBExt"/>
          <w:b w:val="0"/>
          <w:noProof w:val="0"/>
          <w:color w:val="auto"/>
        </w:rPr>
        <w:t>&lt;Article&gt;</w:t>
      </w:r>
      <w:r w:rsidRPr="00C10C99">
        <w:t>Considerando 3</w:t>
      </w:r>
      <w:r w:rsidRPr="00C10C99">
        <w:rPr>
          <w:rStyle w:val="HideTWBExt"/>
          <w:b w:val="0"/>
          <w:noProof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E1A20" w:rsidRPr="00C10C99" w:rsidTr="00FE6B20">
        <w:trPr>
          <w:jc w:val="center"/>
        </w:trPr>
        <w:tc>
          <w:tcPr>
            <w:tcW w:w="9752" w:type="dxa"/>
            <w:gridSpan w:val="2"/>
          </w:tcPr>
          <w:p w:rsidR="004E5EA6" w:rsidRPr="00C10C99" w:rsidRDefault="004E5EA6" w:rsidP="00FE6B20">
            <w:pPr>
              <w:keepNext/>
            </w:pPr>
          </w:p>
        </w:tc>
      </w:tr>
      <w:tr w:rsidR="008E1A20" w:rsidRPr="00C10C99" w:rsidTr="00FE6B20">
        <w:trPr>
          <w:jc w:val="center"/>
        </w:trPr>
        <w:tc>
          <w:tcPr>
            <w:tcW w:w="4876" w:type="dxa"/>
          </w:tcPr>
          <w:p w:rsidR="004E5EA6" w:rsidRPr="00C10C99" w:rsidRDefault="00567212" w:rsidP="00FE6B20">
            <w:pPr>
              <w:pStyle w:val="ColumnHeading"/>
              <w:keepNext/>
            </w:pPr>
            <w:r w:rsidRPr="00C10C99">
              <w:t>Testo della Commissione</w:t>
            </w:r>
          </w:p>
        </w:tc>
        <w:tc>
          <w:tcPr>
            <w:tcW w:w="4876" w:type="dxa"/>
          </w:tcPr>
          <w:p w:rsidR="004E5EA6" w:rsidRPr="00C10C99" w:rsidRDefault="00567212" w:rsidP="00FE6B20">
            <w:pPr>
              <w:pStyle w:val="ColumnHeading"/>
              <w:keepNext/>
            </w:pPr>
            <w:r w:rsidRPr="00C10C99">
              <w:t>Emendamento</w:t>
            </w:r>
          </w:p>
        </w:tc>
      </w:tr>
      <w:tr w:rsidR="008E1A20" w:rsidRPr="00C10C99" w:rsidTr="00FE6B20">
        <w:trPr>
          <w:jc w:val="center"/>
        </w:trPr>
        <w:tc>
          <w:tcPr>
            <w:tcW w:w="4876" w:type="dxa"/>
          </w:tcPr>
          <w:p w:rsidR="004E5EA6" w:rsidRPr="00C10C99" w:rsidRDefault="00567212" w:rsidP="00FE6B20">
            <w:pPr>
              <w:pStyle w:val="Normal6"/>
            </w:pPr>
            <w:r w:rsidRPr="00C10C99">
              <w:t>(3)</w:t>
            </w:r>
            <w:r w:rsidRPr="00C10C99">
              <w:tab/>
              <w:t xml:space="preserve">Il Kuwait e il Qatar </w:t>
            </w:r>
            <w:r w:rsidRPr="00C10C99">
              <w:rPr>
                <w:b/>
                <w:bCs/>
                <w:i/>
                <w:iCs/>
              </w:rPr>
              <w:t>presentano un basso rischio di migrazione irregolare verso l'Unione e</w:t>
            </w:r>
            <w:r w:rsidRPr="00C10C99">
              <w:t xml:space="preserve"> rilasciano passaporti biometrici conformi alle norme dell'Organizzazione per l'aviazione civile internazionale. </w:t>
            </w:r>
            <w:r w:rsidRPr="00C10C99">
              <w:rPr>
                <w:b/>
                <w:i/>
              </w:rPr>
              <w:t xml:space="preserve">Negli ultimi anni la </w:t>
            </w:r>
            <w:r w:rsidRPr="00C10C99">
              <w:rPr>
                <w:b/>
                <w:i/>
              </w:rPr>
              <w:lastRenderedPageBreak/>
              <w:t>cooperazione in</w:t>
            </w:r>
            <w:r w:rsidRPr="00C10C99">
              <w:rPr>
                <w:b/>
                <w:i/>
              </w:rPr>
              <w:t xml:space="preserve"> materia di sicurezza con tali paesi si è intensificata. </w:t>
            </w:r>
            <w:r w:rsidRPr="00C10C99">
              <w:rPr>
                <w:b/>
                <w:bCs/>
                <w:i/>
                <w:iCs/>
              </w:rPr>
              <w:t>Per quanto riguarda gli interessi economici, il Kuwait e il Qatar sono partner economici importanti per l'Unione, in particolare nel settore dell'energia.</w:t>
            </w:r>
            <w:r w:rsidRPr="00C10C99">
              <w:rPr>
                <w:b/>
                <w:i/>
              </w:rPr>
              <w:t xml:space="preserve"> </w:t>
            </w:r>
            <w:r w:rsidRPr="00C10C99">
              <w:rPr>
                <w:b/>
                <w:bCs/>
                <w:i/>
                <w:iCs/>
              </w:rPr>
              <w:t>Sebbene permangano</w:t>
            </w:r>
            <w:r w:rsidRPr="00C10C99">
              <w:t xml:space="preserve"> sfide nel settore dei dir</w:t>
            </w:r>
            <w:r w:rsidRPr="00C10C99">
              <w:t>itti umani e delle libertà fondamentali</w:t>
            </w:r>
            <w:r w:rsidRPr="00C10C99">
              <w:rPr>
                <w:b/>
                <w:bCs/>
                <w:i/>
                <w:iCs/>
              </w:rPr>
              <w:t xml:space="preserve">, il </w:t>
            </w:r>
            <w:r w:rsidRPr="00C10C99">
              <w:t>Kuwait e</w:t>
            </w:r>
            <w:r w:rsidRPr="00C10C99">
              <w:rPr>
                <w:b/>
                <w:bCs/>
                <w:i/>
                <w:iCs/>
              </w:rPr>
              <w:t xml:space="preserve"> il </w:t>
            </w:r>
            <w:r w:rsidRPr="00C10C99">
              <w:t xml:space="preserve">Qatar </w:t>
            </w:r>
            <w:r w:rsidRPr="00C10C99">
              <w:rPr>
                <w:b/>
                <w:bCs/>
                <w:i/>
                <w:iCs/>
              </w:rPr>
              <w:t>hanno subito</w:t>
            </w:r>
            <w:r w:rsidRPr="00C10C99">
              <w:t xml:space="preserve"> trasformazioni </w:t>
            </w:r>
            <w:r w:rsidRPr="00C10C99">
              <w:rPr>
                <w:b/>
                <w:bCs/>
                <w:i/>
                <w:iCs/>
              </w:rPr>
              <w:t>e miglioramenti</w:t>
            </w:r>
            <w:r w:rsidRPr="00C10C99">
              <w:t xml:space="preserve"> sociali </w:t>
            </w:r>
            <w:r w:rsidRPr="00C10C99">
              <w:rPr>
                <w:b/>
                <w:bCs/>
                <w:i/>
                <w:iCs/>
              </w:rPr>
              <w:t>nell'ambito dei diritti delle donne e dei lavoratori, della libertà di religione e del dialogo interreligioso, e si prevede che continuino a c</w:t>
            </w:r>
            <w:r w:rsidRPr="00C10C99">
              <w:rPr>
                <w:b/>
                <w:bCs/>
                <w:i/>
                <w:iCs/>
              </w:rPr>
              <w:t>ompiere progressi e riforme</w:t>
            </w:r>
            <w:r w:rsidRPr="00C10C99">
              <w:t>.</w:t>
            </w:r>
            <w:r w:rsidRPr="00C10C99">
              <w:rPr>
                <w:b/>
                <w:i/>
              </w:rPr>
              <w:t xml:space="preserve"> </w:t>
            </w:r>
            <w:r w:rsidRPr="00C10C99">
              <w:rPr>
                <w:b/>
                <w:bCs/>
                <w:i/>
                <w:iCs/>
              </w:rPr>
              <w:t>I </w:t>
            </w:r>
            <w:r w:rsidRPr="00C10C99">
              <w:t>vantaggi</w:t>
            </w:r>
            <w:r w:rsidRPr="00C10C99">
              <w:rPr>
                <w:b/>
                <w:bCs/>
                <w:i/>
                <w:iCs/>
              </w:rPr>
              <w:t xml:space="preserve"> a lungo termine </w:t>
            </w:r>
            <w:r w:rsidRPr="00C10C99">
              <w:t>dell'esenzione dall'obbligo del visto</w:t>
            </w:r>
            <w:r w:rsidRPr="00C10C99">
              <w:rPr>
                <w:b/>
                <w:bCs/>
                <w:i/>
                <w:iCs/>
              </w:rPr>
              <w:t xml:space="preserve"> per l'UE possono rafforzare le tendenze positive nei settori citati</w:t>
            </w:r>
            <w:r w:rsidRPr="00C10C99">
              <w:t>.</w:t>
            </w:r>
          </w:p>
        </w:tc>
        <w:tc>
          <w:tcPr>
            <w:tcW w:w="4876" w:type="dxa"/>
          </w:tcPr>
          <w:p w:rsidR="004E5EA6" w:rsidRPr="00C10C99" w:rsidRDefault="00567212" w:rsidP="00E25EA9">
            <w:pPr>
              <w:pStyle w:val="Normal6"/>
              <w:rPr>
                <w:szCs w:val="24"/>
              </w:rPr>
            </w:pPr>
            <w:r w:rsidRPr="00C10C99">
              <w:lastRenderedPageBreak/>
              <w:t>(3)</w:t>
            </w:r>
            <w:r w:rsidRPr="00C10C99">
              <w:tab/>
            </w:r>
            <w:r w:rsidRPr="00C10C99">
              <w:rPr>
                <w:b/>
                <w:bCs/>
                <w:i/>
                <w:iCs/>
              </w:rPr>
              <w:t>Sulla base della valutazione della Commissione,</w:t>
            </w:r>
            <w:r w:rsidRPr="00C10C99">
              <w:t xml:space="preserve"> il Kuwait e il Qatar </w:t>
            </w:r>
            <w:r w:rsidRPr="00C10C99">
              <w:rPr>
                <w:b/>
                <w:bCs/>
                <w:i/>
                <w:iCs/>
              </w:rPr>
              <w:t>soddisfano i criteri di cui al regolamento (UE) 2018/1806, che consentono la loro inclusione nell'elenco dei paesi i cui cittadini sono esenti dall'obbligo del visto.</w:t>
            </w:r>
            <w:r w:rsidRPr="00C10C99">
              <w:rPr>
                <w:b/>
                <w:i/>
              </w:rPr>
              <w:t xml:space="preserve"> </w:t>
            </w:r>
            <w:r w:rsidRPr="00C10C99">
              <w:rPr>
                <w:b/>
                <w:bCs/>
                <w:i/>
                <w:iCs/>
              </w:rPr>
              <w:lastRenderedPageBreak/>
              <w:t>Entrambi i paesi, inoltre,</w:t>
            </w:r>
            <w:r w:rsidRPr="00C10C99">
              <w:t xml:space="preserve"> rilasciano passaporti biometrici conformi alle norme dell'Orga</w:t>
            </w:r>
            <w:r w:rsidRPr="00C10C99">
              <w:t xml:space="preserve">nizzazione per l'aviazione civile internazionale. </w:t>
            </w:r>
            <w:r w:rsidRPr="00C10C99">
              <w:rPr>
                <w:b/>
                <w:bCs/>
                <w:i/>
                <w:iCs/>
              </w:rPr>
              <w:t>Tuttavia, come indicato nella valutazione della Commissione (documento di lavoro dei servizi della Commissione sul soddisfacimento da parte del Kuwait e del Qatar dei criteri di cui all'articolo 1 del regol</w:t>
            </w:r>
            <w:r w:rsidRPr="00C10C99">
              <w:rPr>
                <w:b/>
                <w:bCs/>
                <w:i/>
                <w:iCs/>
              </w:rPr>
              <w:t>amento (UE) 2018/1806), nella relazione annuale 2021 dell'UE sui diritti umani e la democrazia nel mondo elaborata dal SEAE (relazioni per paese) e nelle relazioni di varie ONG, permangono gravi preoccupazioni e numerose</w:t>
            </w:r>
            <w:r w:rsidRPr="00C10C99">
              <w:t xml:space="preserve"> sfide nel settore dei diritti umani</w:t>
            </w:r>
            <w:r w:rsidRPr="00C10C99">
              <w:t xml:space="preserve"> e delle libertà fondamentali </w:t>
            </w:r>
            <w:r w:rsidRPr="00C10C99">
              <w:rPr>
                <w:b/>
                <w:bCs/>
                <w:i/>
                <w:iCs/>
              </w:rPr>
              <w:t>nel</w:t>
            </w:r>
            <w:r w:rsidRPr="00C10C99">
              <w:t xml:space="preserve"> Kuwait e </w:t>
            </w:r>
            <w:r w:rsidRPr="00C10C99">
              <w:rPr>
                <w:b/>
                <w:bCs/>
                <w:i/>
                <w:iCs/>
              </w:rPr>
              <w:t>nel</w:t>
            </w:r>
            <w:r w:rsidRPr="00C10C99">
              <w:t xml:space="preserve"> Qatar</w:t>
            </w:r>
            <w:r w:rsidRPr="00C10C99">
              <w:rPr>
                <w:b/>
                <w:bCs/>
                <w:i/>
                <w:iCs/>
              </w:rPr>
              <w:t>,</w:t>
            </w:r>
            <w:r w:rsidRPr="00C10C99">
              <w:t xml:space="preserve"> </w:t>
            </w:r>
            <w:r w:rsidRPr="00C10C99">
              <w:rPr>
                <w:b/>
                <w:bCs/>
                <w:i/>
                <w:iCs/>
              </w:rPr>
              <w:t>nonostante le</w:t>
            </w:r>
            <w:r w:rsidRPr="00C10C99">
              <w:t xml:space="preserve"> trasformazioni sociali </w:t>
            </w:r>
            <w:r w:rsidRPr="00C10C99">
              <w:rPr>
                <w:b/>
                <w:bCs/>
                <w:i/>
                <w:iCs/>
              </w:rPr>
              <w:t xml:space="preserve">e </w:t>
            </w:r>
            <w:r w:rsidR="00E25EA9">
              <w:rPr>
                <w:b/>
                <w:bCs/>
                <w:i/>
                <w:iCs/>
              </w:rPr>
              <w:t>le riforme legislative</w:t>
            </w:r>
            <w:r w:rsidRPr="00C10C99">
              <w:rPr>
                <w:b/>
                <w:bCs/>
                <w:i/>
                <w:iCs/>
              </w:rPr>
              <w:t xml:space="preserve"> recenti e in atto</w:t>
            </w:r>
            <w:r w:rsidRPr="00C10C99">
              <w:t>.</w:t>
            </w:r>
            <w:r w:rsidRPr="00C10C99">
              <w:rPr>
                <w:b/>
                <w:i/>
              </w:rPr>
              <w:t xml:space="preserve"> </w:t>
            </w:r>
            <w:r w:rsidRPr="00C10C99">
              <w:rPr>
                <w:b/>
                <w:bCs/>
                <w:i/>
                <w:iCs/>
              </w:rPr>
              <w:t>Al fine di garantire l'efficacia dell'esenzione dall'obbligo del visto e la sua piena reciprocità, l'accordo di esenzi</w:t>
            </w:r>
            <w:r w:rsidRPr="00C10C99">
              <w:rPr>
                <w:b/>
                <w:bCs/>
                <w:i/>
                <w:iCs/>
              </w:rPr>
              <w:t>one dal visto dovrebbe garantire l'eliminazione di qualsiasi ostacolo che impedisca di beneficiare dei</w:t>
            </w:r>
            <w:r w:rsidRPr="00C10C99">
              <w:t xml:space="preserve"> vantaggi dell'esenzione dall'obbligo del visto </w:t>
            </w:r>
            <w:r w:rsidRPr="00C10C99">
              <w:rPr>
                <w:b/>
                <w:bCs/>
                <w:i/>
                <w:iCs/>
              </w:rPr>
              <w:t>all'atto dell'attraversamento delle frontiere esterne degli Stati membri, consentendo ai beneficiari l'acc</w:t>
            </w:r>
            <w:r w:rsidRPr="00C10C99">
              <w:rPr>
                <w:b/>
                <w:bCs/>
                <w:i/>
                <w:iCs/>
              </w:rPr>
              <w:t>esso su base non discriminatoria, in particolare un accesso indipendente ai viaggi per le donne, i membri della comunità LGBTQ+ e gli apolidi</w:t>
            </w:r>
            <w:r w:rsidRPr="00C10C99">
              <w:t xml:space="preserve">. </w:t>
            </w:r>
            <w:r w:rsidRPr="00C10C99">
              <w:rPr>
                <w:b/>
                <w:i/>
              </w:rPr>
              <w:t>Di tali condizioni dovrebbero tenere conto gli accordi bilaterali di esenzione dall'obbligo del visto di prossima</w:t>
            </w:r>
            <w:r w:rsidRPr="00C10C99">
              <w:rPr>
                <w:b/>
                <w:i/>
              </w:rPr>
              <w:t xml:space="preserve"> conclusione tra l'Unione e tali paesi.</w:t>
            </w:r>
          </w:p>
        </w:tc>
      </w:tr>
    </w:tbl>
    <w:p w:rsidR="004E5EA6" w:rsidRPr="00C10C99" w:rsidRDefault="00567212" w:rsidP="004E5EA6">
      <w:pPr>
        <w:pStyle w:val="Olang"/>
        <w:rPr>
          <w:sz w:val="24"/>
          <w:szCs w:val="24"/>
        </w:rPr>
      </w:pPr>
      <w:r w:rsidRPr="00C10C99">
        <w:rPr>
          <w:sz w:val="24"/>
          <w:szCs w:val="24"/>
        </w:rPr>
        <w:lastRenderedPageBreak/>
        <w:t xml:space="preserve">Or. </w:t>
      </w:r>
      <w:r w:rsidRPr="00C10C99">
        <w:rPr>
          <w:rStyle w:val="HideTWBExt"/>
          <w:noProof w:val="0"/>
          <w:color w:val="auto"/>
        </w:rPr>
        <w:t>&lt;Original&gt;</w:t>
      </w:r>
      <w:r w:rsidRPr="00C10C99">
        <w:rPr>
          <w:rStyle w:val="HideTWBInt"/>
          <w:color w:val="auto"/>
          <w:sz w:val="24"/>
          <w:szCs w:val="24"/>
        </w:rPr>
        <w:t>{EN}</w:t>
      </w:r>
      <w:r w:rsidRPr="00C10C99">
        <w:rPr>
          <w:sz w:val="24"/>
          <w:szCs w:val="24"/>
        </w:rPr>
        <w:t>en</w:t>
      </w:r>
      <w:r w:rsidRPr="00C10C99">
        <w:rPr>
          <w:rStyle w:val="HideTWBExt"/>
          <w:noProof w:val="0"/>
          <w:color w:val="auto"/>
        </w:rPr>
        <w:t>&lt;/Original&gt;</w:t>
      </w:r>
    </w:p>
    <w:p w:rsidR="004E5EA6" w:rsidRPr="00C10C99" w:rsidRDefault="00567212" w:rsidP="004E5EA6">
      <w:r w:rsidRPr="00C10C99">
        <w:rPr>
          <w:rStyle w:val="HideTWBExt"/>
          <w:noProof w:val="0"/>
          <w:color w:val="auto"/>
        </w:rPr>
        <w:t>&lt;/Amend&gt;</w:t>
      </w:r>
    </w:p>
    <w:p w:rsidR="004E5EA6" w:rsidRPr="00C10C99" w:rsidRDefault="00567212" w:rsidP="004E5EA6">
      <w:pPr>
        <w:pStyle w:val="AMNumberTabs0"/>
        <w:keepNext/>
      </w:pPr>
      <w:r w:rsidRPr="00C10C99">
        <w:rPr>
          <w:rStyle w:val="HideTWBExt"/>
          <w:b w:val="0"/>
          <w:noProof w:val="0"/>
          <w:color w:val="auto"/>
        </w:rPr>
        <w:t>&lt;Amend&gt;</w:t>
      </w:r>
      <w:r w:rsidRPr="00C10C99">
        <w:t>Emendamento</w:t>
      </w:r>
      <w:r w:rsidRPr="00C10C99">
        <w:tab/>
      </w:r>
      <w:r w:rsidRPr="00C10C99">
        <w:tab/>
      </w:r>
      <w:r w:rsidRPr="00C10C99">
        <w:rPr>
          <w:rStyle w:val="HideTWBExt"/>
          <w:b w:val="0"/>
          <w:noProof w:val="0"/>
          <w:color w:val="auto"/>
        </w:rPr>
        <w:t>&lt;NumAm&gt;</w:t>
      </w:r>
      <w:r w:rsidRPr="00C10C99">
        <w:t>2</w:t>
      </w:r>
      <w:r w:rsidRPr="00C10C99">
        <w:rPr>
          <w:rStyle w:val="HideTWBExt"/>
          <w:b w:val="0"/>
          <w:noProof w:val="0"/>
          <w:color w:val="auto"/>
        </w:rPr>
        <w:t>&lt;/NumAm&gt;</w:t>
      </w:r>
    </w:p>
    <w:p w:rsidR="004E5EA6" w:rsidRPr="00C10C99" w:rsidRDefault="00567212" w:rsidP="004E5EA6">
      <w:pPr>
        <w:pStyle w:val="NormalBold12b"/>
        <w:keepNext/>
      </w:pPr>
      <w:r w:rsidRPr="00C10C99">
        <w:rPr>
          <w:rStyle w:val="HideTWBExt"/>
          <w:b w:val="0"/>
          <w:noProof w:val="0"/>
          <w:color w:val="auto"/>
        </w:rPr>
        <w:t>&lt;DocAmend&gt;</w:t>
      </w:r>
      <w:r w:rsidRPr="00C10C99">
        <w:t>Proposta di regolamento</w:t>
      </w:r>
      <w:r w:rsidRPr="00C10C99">
        <w:rPr>
          <w:rStyle w:val="HideTWBExt"/>
          <w:b w:val="0"/>
          <w:noProof w:val="0"/>
          <w:color w:val="auto"/>
        </w:rPr>
        <w:t>&lt;/DocAmend&gt;</w:t>
      </w:r>
    </w:p>
    <w:p w:rsidR="004E5EA6" w:rsidRPr="00C10C99" w:rsidRDefault="00567212" w:rsidP="004E5EA6">
      <w:pPr>
        <w:pStyle w:val="NormalBold"/>
      </w:pPr>
      <w:r w:rsidRPr="00C10C99">
        <w:rPr>
          <w:rStyle w:val="HideTWBExt"/>
          <w:b w:val="0"/>
          <w:noProof w:val="0"/>
          <w:color w:val="auto"/>
        </w:rPr>
        <w:t>&lt;Article&gt;</w:t>
      </w:r>
      <w:r w:rsidRPr="00C10C99">
        <w:t>Considerando 3 bis (nuovo)</w:t>
      </w:r>
      <w:r w:rsidRPr="00C10C99">
        <w:rPr>
          <w:rStyle w:val="HideTWBExt"/>
          <w:b w:val="0"/>
          <w:noProof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E1A20" w:rsidRPr="00C10C99" w:rsidTr="00FE6B20">
        <w:trPr>
          <w:jc w:val="center"/>
        </w:trPr>
        <w:tc>
          <w:tcPr>
            <w:tcW w:w="9752" w:type="dxa"/>
            <w:gridSpan w:val="2"/>
          </w:tcPr>
          <w:p w:rsidR="004E5EA6" w:rsidRPr="00C10C99" w:rsidRDefault="004E5EA6" w:rsidP="00FE6B20">
            <w:pPr>
              <w:keepNext/>
            </w:pPr>
          </w:p>
        </w:tc>
      </w:tr>
      <w:tr w:rsidR="008E1A20" w:rsidRPr="00C10C99" w:rsidTr="00FE6B20">
        <w:trPr>
          <w:jc w:val="center"/>
        </w:trPr>
        <w:tc>
          <w:tcPr>
            <w:tcW w:w="4876" w:type="dxa"/>
          </w:tcPr>
          <w:p w:rsidR="004E5EA6" w:rsidRPr="00C10C99" w:rsidRDefault="00567212" w:rsidP="00FE6B20">
            <w:pPr>
              <w:pStyle w:val="ColumnHeading"/>
              <w:keepNext/>
            </w:pPr>
            <w:r w:rsidRPr="00C10C99">
              <w:t>Testo della Commissione</w:t>
            </w:r>
          </w:p>
        </w:tc>
        <w:tc>
          <w:tcPr>
            <w:tcW w:w="4876" w:type="dxa"/>
          </w:tcPr>
          <w:p w:rsidR="004E5EA6" w:rsidRPr="00C10C99" w:rsidRDefault="00567212" w:rsidP="00FE6B20">
            <w:pPr>
              <w:pStyle w:val="ColumnHeading"/>
              <w:keepNext/>
            </w:pPr>
            <w:r w:rsidRPr="00C10C99">
              <w:t>Emendamento</w:t>
            </w:r>
          </w:p>
        </w:tc>
      </w:tr>
      <w:tr w:rsidR="008E1A20" w:rsidRPr="00C10C99" w:rsidTr="00FE6B20">
        <w:trPr>
          <w:jc w:val="center"/>
        </w:trPr>
        <w:tc>
          <w:tcPr>
            <w:tcW w:w="4876" w:type="dxa"/>
          </w:tcPr>
          <w:p w:rsidR="004E5EA6" w:rsidRPr="00C10C99" w:rsidRDefault="004E5EA6" w:rsidP="00FE6B20">
            <w:pPr>
              <w:pStyle w:val="Normal6"/>
            </w:pPr>
          </w:p>
        </w:tc>
        <w:tc>
          <w:tcPr>
            <w:tcW w:w="4876" w:type="dxa"/>
          </w:tcPr>
          <w:p w:rsidR="004E5EA6" w:rsidRPr="00C10C99" w:rsidRDefault="00567212" w:rsidP="00FE6B20">
            <w:pPr>
              <w:pStyle w:val="Normal6"/>
              <w:rPr>
                <w:szCs w:val="24"/>
              </w:rPr>
            </w:pPr>
            <w:r w:rsidRPr="00C10C99">
              <w:rPr>
                <w:b/>
                <w:i/>
              </w:rPr>
              <w:t>(3 bis)</w:t>
            </w:r>
            <w:r w:rsidRPr="00C10C99">
              <w:rPr>
                <w:b/>
                <w:i/>
              </w:rPr>
              <w:tab/>
              <w:t xml:space="preserve">È inoltre opportuno portare avanti un dialogo ufficiale a pieno titolo in materia di diritti umani con il Kuwait e il </w:t>
            </w:r>
            <w:r w:rsidRPr="00C10C99">
              <w:rPr>
                <w:b/>
                <w:i/>
              </w:rPr>
              <w:lastRenderedPageBreak/>
              <w:t>Qatar, che porti a miglioramenti e risultati tangibili per quanto riguarda, fra l'altro, i diritti del lavoro e dei lavoratori, co</w:t>
            </w:r>
            <w:r w:rsidRPr="00C10C99">
              <w:rPr>
                <w:b/>
                <w:i/>
              </w:rPr>
              <w:t>mpresi i diritti dei lavoratori migranti, i diritti delle donne, i diritti delle persone LGBTQ+, la libertà di religione, la proibizione della tortura, la libertà di parola, il diritto di riunione e il divieto della pena di morte. Gli accordi bilaterali di</w:t>
            </w:r>
            <w:r w:rsidRPr="00C10C99">
              <w:rPr>
                <w:b/>
                <w:i/>
              </w:rPr>
              <w:t xml:space="preserve"> esenzione dall'obbligo del visto tra l'Unione e, rispettivamente, il Kuwait e il Qatar dovrebbero includere impegni espliciti e concreti a tal fine.</w:t>
            </w:r>
          </w:p>
        </w:tc>
      </w:tr>
    </w:tbl>
    <w:p w:rsidR="004E5EA6" w:rsidRPr="00C10C99" w:rsidRDefault="00567212" w:rsidP="004E5EA6">
      <w:pPr>
        <w:pStyle w:val="Olang"/>
        <w:rPr>
          <w:sz w:val="24"/>
          <w:szCs w:val="24"/>
        </w:rPr>
      </w:pPr>
      <w:r w:rsidRPr="00C10C99">
        <w:rPr>
          <w:sz w:val="24"/>
          <w:szCs w:val="24"/>
        </w:rPr>
        <w:lastRenderedPageBreak/>
        <w:t xml:space="preserve">Or. </w:t>
      </w:r>
      <w:r w:rsidRPr="00C10C99">
        <w:rPr>
          <w:rStyle w:val="HideTWBExt"/>
          <w:noProof w:val="0"/>
          <w:color w:val="auto"/>
        </w:rPr>
        <w:t>&lt;Original&gt;</w:t>
      </w:r>
      <w:r w:rsidRPr="00C10C99">
        <w:rPr>
          <w:rStyle w:val="HideTWBInt"/>
          <w:color w:val="auto"/>
          <w:sz w:val="24"/>
          <w:szCs w:val="24"/>
        </w:rPr>
        <w:t>{EN}</w:t>
      </w:r>
      <w:r w:rsidRPr="00C10C99">
        <w:rPr>
          <w:sz w:val="24"/>
          <w:szCs w:val="24"/>
        </w:rPr>
        <w:t>en</w:t>
      </w:r>
      <w:r w:rsidRPr="00C10C99">
        <w:rPr>
          <w:rStyle w:val="HideTWBExt"/>
          <w:noProof w:val="0"/>
          <w:color w:val="auto"/>
        </w:rPr>
        <w:t>&lt;/Original&gt;</w:t>
      </w:r>
    </w:p>
    <w:p w:rsidR="004E5EA6" w:rsidRPr="00C10C99" w:rsidRDefault="00567212" w:rsidP="004E5EA6">
      <w:r w:rsidRPr="00C10C99">
        <w:rPr>
          <w:rStyle w:val="HideTWBExt"/>
          <w:noProof w:val="0"/>
          <w:color w:val="auto"/>
        </w:rPr>
        <w:t>&lt;/Amend&gt;</w:t>
      </w:r>
    </w:p>
    <w:p w:rsidR="004E5EA6" w:rsidRPr="00C10C99" w:rsidRDefault="00567212" w:rsidP="004E5EA6">
      <w:pPr>
        <w:pStyle w:val="AMNumberTabs0"/>
        <w:keepNext/>
      </w:pPr>
      <w:r w:rsidRPr="00C10C99">
        <w:rPr>
          <w:rStyle w:val="HideTWBExt"/>
          <w:b w:val="0"/>
          <w:noProof w:val="0"/>
          <w:color w:val="auto"/>
        </w:rPr>
        <w:t>&lt;Amend&gt;</w:t>
      </w:r>
      <w:r w:rsidRPr="00C10C99">
        <w:t>Emendamento</w:t>
      </w:r>
      <w:r w:rsidRPr="00C10C99">
        <w:tab/>
      </w:r>
      <w:r w:rsidRPr="00C10C99">
        <w:tab/>
      </w:r>
      <w:r w:rsidRPr="00C10C99">
        <w:rPr>
          <w:rStyle w:val="HideTWBExt"/>
          <w:b w:val="0"/>
          <w:noProof w:val="0"/>
          <w:color w:val="auto"/>
        </w:rPr>
        <w:t>&lt;NumAm&gt;</w:t>
      </w:r>
      <w:r w:rsidRPr="00C10C99">
        <w:t>3</w:t>
      </w:r>
      <w:r w:rsidRPr="00C10C99">
        <w:rPr>
          <w:rStyle w:val="HideTWBExt"/>
          <w:b w:val="0"/>
          <w:noProof w:val="0"/>
          <w:color w:val="auto"/>
        </w:rPr>
        <w:t>&lt;/NumAm&gt;</w:t>
      </w:r>
    </w:p>
    <w:p w:rsidR="004E5EA6" w:rsidRPr="00C10C99" w:rsidRDefault="00567212" w:rsidP="004E5EA6">
      <w:pPr>
        <w:pStyle w:val="NormalBold12b"/>
        <w:keepNext/>
      </w:pPr>
      <w:r w:rsidRPr="00C10C99">
        <w:rPr>
          <w:rStyle w:val="HideTWBExt"/>
          <w:b w:val="0"/>
          <w:noProof w:val="0"/>
          <w:color w:val="auto"/>
        </w:rPr>
        <w:t>&lt;DocAmend&gt;</w:t>
      </w:r>
      <w:r w:rsidRPr="00C10C99">
        <w:t>Proposta di regol</w:t>
      </w:r>
      <w:r w:rsidRPr="00C10C99">
        <w:t>amento</w:t>
      </w:r>
      <w:r w:rsidRPr="00C10C99">
        <w:rPr>
          <w:rStyle w:val="HideTWBExt"/>
          <w:b w:val="0"/>
          <w:noProof w:val="0"/>
          <w:color w:val="auto"/>
        </w:rPr>
        <w:t>&lt;/DocAmend&gt;</w:t>
      </w:r>
    </w:p>
    <w:p w:rsidR="004E5EA6" w:rsidRPr="00C10C99" w:rsidRDefault="00567212" w:rsidP="004E5EA6">
      <w:pPr>
        <w:pStyle w:val="NormalBold"/>
      </w:pPr>
      <w:r w:rsidRPr="00C10C99">
        <w:rPr>
          <w:rStyle w:val="HideTWBExt"/>
          <w:b w:val="0"/>
          <w:noProof w:val="0"/>
          <w:color w:val="auto"/>
        </w:rPr>
        <w:t>&lt;Article&gt;</w:t>
      </w:r>
      <w:r w:rsidRPr="00C10C99">
        <w:t>Considerando 4</w:t>
      </w:r>
      <w:r w:rsidRPr="00C10C99">
        <w:rPr>
          <w:rStyle w:val="HideTWBExt"/>
          <w:b w:val="0"/>
          <w:noProof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E1A20" w:rsidRPr="00C10C99" w:rsidTr="00FE6B20">
        <w:trPr>
          <w:jc w:val="center"/>
        </w:trPr>
        <w:tc>
          <w:tcPr>
            <w:tcW w:w="9752" w:type="dxa"/>
            <w:gridSpan w:val="2"/>
          </w:tcPr>
          <w:p w:rsidR="004E5EA6" w:rsidRPr="00C10C99" w:rsidRDefault="004E5EA6" w:rsidP="00FE6B20">
            <w:pPr>
              <w:keepNext/>
            </w:pPr>
          </w:p>
        </w:tc>
      </w:tr>
      <w:tr w:rsidR="008E1A20" w:rsidRPr="00C10C99" w:rsidTr="00FE6B20">
        <w:trPr>
          <w:jc w:val="center"/>
        </w:trPr>
        <w:tc>
          <w:tcPr>
            <w:tcW w:w="4876" w:type="dxa"/>
          </w:tcPr>
          <w:p w:rsidR="004E5EA6" w:rsidRPr="00C10C99" w:rsidRDefault="00567212" w:rsidP="00FE6B20">
            <w:pPr>
              <w:pStyle w:val="ColumnHeading"/>
              <w:keepNext/>
            </w:pPr>
            <w:r w:rsidRPr="00C10C99">
              <w:t>Testo della Commissione</w:t>
            </w:r>
          </w:p>
        </w:tc>
        <w:tc>
          <w:tcPr>
            <w:tcW w:w="4876" w:type="dxa"/>
          </w:tcPr>
          <w:p w:rsidR="004E5EA6" w:rsidRPr="00C10C99" w:rsidRDefault="00567212" w:rsidP="00FE6B20">
            <w:pPr>
              <w:pStyle w:val="ColumnHeading"/>
              <w:keepNext/>
            </w:pPr>
            <w:r w:rsidRPr="00C10C99">
              <w:t>Emendamento</w:t>
            </w:r>
          </w:p>
        </w:tc>
      </w:tr>
      <w:tr w:rsidR="008E1A20" w:rsidRPr="00C10C99" w:rsidTr="00FE6B20">
        <w:trPr>
          <w:jc w:val="center"/>
        </w:trPr>
        <w:tc>
          <w:tcPr>
            <w:tcW w:w="4876" w:type="dxa"/>
          </w:tcPr>
          <w:p w:rsidR="004E5EA6" w:rsidRPr="00C10C99" w:rsidRDefault="00567212" w:rsidP="00FE6B20">
            <w:pPr>
              <w:pStyle w:val="Normal6"/>
            </w:pPr>
            <w:r w:rsidRPr="00C10C99">
              <w:t>(4)</w:t>
            </w:r>
            <w:r w:rsidRPr="00C10C99">
              <w:tab/>
            </w:r>
            <w:r w:rsidRPr="00C10C99">
              <w:rPr>
                <w:b/>
                <w:bCs/>
                <w:i/>
                <w:iCs/>
              </w:rPr>
              <w:t>Di conseguenza</w:t>
            </w:r>
            <w:r w:rsidRPr="00C10C99">
              <w:t>, è opportuno esonerare i cittadini di tali paesi dall'obbligo del visto per soggiorni la cui durata globale non sia superiore a 90 giorni su un periodo di 180 giorni e spostare le menzioni di tali paesi nell'allegato II del regolamento (UE) 2018/1806.</w:t>
            </w:r>
          </w:p>
        </w:tc>
        <w:tc>
          <w:tcPr>
            <w:tcW w:w="4876" w:type="dxa"/>
          </w:tcPr>
          <w:p w:rsidR="004E5EA6" w:rsidRPr="00C10C99" w:rsidRDefault="00567212" w:rsidP="00FE6B20">
            <w:pPr>
              <w:pStyle w:val="Normal6"/>
              <w:rPr>
                <w:szCs w:val="24"/>
              </w:rPr>
            </w:pPr>
            <w:r w:rsidRPr="00C10C99">
              <w:t>(4)</w:t>
            </w:r>
            <w:r w:rsidRPr="00C10C99">
              <w:tab/>
            </w:r>
            <w:r w:rsidRPr="00C10C99">
              <w:rPr>
                <w:b/>
                <w:bCs/>
                <w:i/>
                <w:iCs/>
              </w:rPr>
              <w:t>In considerazione del fatto che i vantaggi a lungo termine dell'esenzione dall'obbligo del visto e lo scambio reciproco con l'Unione possono rafforzare le tendenze positive anche nel settore dei diritti umani e delle libertà fondamentali</w:t>
            </w:r>
            <w:r w:rsidRPr="00C10C99">
              <w:t>, è opportuno esonerare i cittadini di tali paesi dall'obbligo del visto per soggiorni la cui durata globale non sia superiore a 90 giorni su un periodo di 180 giorni e spostare le menzioni di tali paesi nell'allegato II del regolamento (UE) 2018/1806.</w:t>
            </w:r>
          </w:p>
        </w:tc>
      </w:tr>
    </w:tbl>
    <w:p w:rsidR="004E5EA6" w:rsidRPr="00C10C99" w:rsidRDefault="00567212" w:rsidP="004E5EA6">
      <w:pPr>
        <w:pStyle w:val="Olang"/>
        <w:rPr>
          <w:sz w:val="24"/>
          <w:szCs w:val="24"/>
        </w:rPr>
      </w:pPr>
      <w:r w:rsidRPr="00C10C99">
        <w:rPr>
          <w:sz w:val="24"/>
          <w:szCs w:val="24"/>
        </w:rPr>
        <w:t>Or</w:t>
      </w:r>
      <w:r w:rsidRPr="00C10C99">
        <w:rPr>
          <w:sz w:val="24"/>
          <w:szCs w:val="24"/>
        </w:rPr>
        <w:t xml:space="preserve">. </w:t>
      </w:r>
      <w:r w:rsidRPr="00C10C99">
        <w:rPr>
          <w:rStyle w:val="HideTWBExt"/>
          <w:noProof w:val="0"/>
          <w:color w:val="auto"/>
        </w:rPr>
        <w:t>&lt;Original&gt;</w:t>
      </w:r>
      <w:r w:rsidRPr="00C10C99">
        <w:rPr>
          <w:rStyle w:val="HideTWBInt"/>
          <w:color w:val="auto"/>
          <w:sz w:val="24"/>
          <w:szCs w:val="24"/>
        </w:rPr>
        <w:t>{EN}</w:t>
      </w:r>
      <w:r w:rsidRPr="00C10C99">
        <w:rPr>
          <w:sz w:val="24"/>
          <w:szCs w:val="24"/>
        </w:rPr>
        <w:t>en</w:t>
      </w:r>
      <w:r w:rsidRPr="00C10C99">
        <w:rPr>
          <w:rStyle w:val="HideTWBExt"/>
          <w:noProof w:val="0"/>
          <w:color w:val="auto"/>
        </w:rPr>
        <w:t>&lt;/Original&gt;</w:t>
      </w:r>
    </w:p>
    <w:p w:rsidR="004E5EA6" w:rsidRPr="00C10C99" w:rsidRDefault="00567212" w:rsidP="004E5EA6">
      <w:r w:rsidRPr="00C10C99">
        <w:rPr>
          <w:rStyle w:val="HideTWBExt"/>
          <w:noProof w:val="0"/>
          <w:color w:val="auto"/>
        </w:rPr>
        <w:t>&lt;/Amend&gt;</w:t>
      </w:r>
    </w:p>
    <w:p w:rsidR="004E5EA6" w:rsidRPr="00C10C99" w:rsidRDefault="00567212" w:rsidP="004E5EA6">
      <w:pPr>
        <w:pStyle w:val="AMNumberTabs0"/>
        <w:keepNext/>
      </w:pPr>
      <w:r w:rsidRPr="00C10C99">
        <w:rPr>
          <w:rStyle w:val="HideTWBExt"/>
          <w:b w:val="0"/>
          <w:noProof w:val="0"/>
          <w:color w:val="auto"/>
        </w:rPr>
        <w:t>&lt;Amend&gt;</w:t>
      </w:r>
      <w:r w:rsidRPr="00C10C99">
        <w:t>Emendamento</w:t>
      </w:r>
      <w:r w:rsidRPr="00C10C99">
        <w:tab/>
      </w:r>
      <w:r w:rsidRPr="00C10C99">
        <w:tab/>
      </w:r>
      <w:r w:rsidRPr="00C10C99">
        <w:rPr>
          <w:rStyle w:val="HideTWBExt"/>
          <w:b w:val="0"/>
          <w:noProof w:val="0"/>
          <w:color w:val="auto"/>
        </w:rPr>
        <w:t>&lt;NumAm&gt;</w:t>
      </w:r>
      <w:r w:rsidRPr="00C10C99">
        <w:t>4</w:t>
      </w:r>
      <w:r w:rsidRPr="00C10C99">
        <w:rPr>
          <w:rStyle w:val="HideTWBExt"/>
          <w:b w:val="0"/>
          <w:noProof w:val="0"/>
          <w:color w:val="auto"/>
        </w:rPr>
        <w:t>&lt;/NumAm&gt;</w:t>
      </w:r>
    </w:p>
    <w:p w:rsidR="004E5EA6" w:rsidRPr="00C10C99" w:rsidRDefault="00567212" w:rsidP="004E5EA6">
      <w:pPr>
        <w:pStyle w:val="NormalBold12b"/>
        <w:keepNext/>
      </w:pPr>
      <w:r w:rsidRPr="00C10C99">
        <w:rPr>
          <w:rStyle w:val="HideTWBExt"/>
          <w:b w:val="0"/>
          <w:noProof w:val="0"/>
          <w:color w:val="auto"/>
        </w:rPr>
        <w:t>&lt;DocAmend&gt;</w:t>
      </w:r>
      <w:r w:rsidRPr="00C10C99">
        <w:t>Proposta di regolamento</w:t>
      </w:r>
      <w:r w:rsidRPr="00C10C99">
        <w:rPr>
          <w:rStyle w:val="HideTWBExt"/>
          <w:b w:val="0"/>
          <w:noProof w:val="0"/>
          <w:color w:val="auto"/>
        </w:rPr>
        <w:t>&lt;/DocAmend&gt;</w:t>
      </w:r>
    </w:p>
    <w:p w:rsidR="004E5EA6" w:rsidRPr="00C10C99" w:rsidRDefault="00567212" w:rsidP="004E5EA6">
      <w:pPr>
        <w:pStyle w:val="NormalBold"/>
      </w:pPr>
      <w:r w:rsidRPr="00C10C99">
        <w:rPr>
          <w:rStyle w:val="HideTWBExt"/>
          <w:b w:val="0"/>
          <w:noProof w:val="0"/>
          <w:color w:val="auto"/>
        </w:rPr>
        <w:t>&lt;Article&gt;</w:t>
      </w:r>
      <w:r w:rsidRPr="00C10C99">
        <w:t>Considerando 4 bis (nuovo)</w:t>
      </w:r>
      <w:r w:rsidRPr="00C10C99">
        <w:rPr>
          <w:rStyle w:val="HideTWBExt"/>
          <w:b w:val="0"/>
          <w:noProof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E1A20" w:rsidRPr="00C10C99" w:rsidTr="00FE6B20">
        <w:trPr>
          <w:jc w:val="center"/>
        </w:trPr>
        <w:tc>
          <w:tcPr>
            <w:tcW w:w="9752" w:type="dxa"/>
            <w:gridSpan w:val="2"/>
          </w:tcPr>
          <w:p w:rsidR="004E5EA6" w:rsidRPr="00C10C99" w:rsidRDefault="004E5EA6" w:rsidP="00FE6B20">
            <w:pPr>
              <w:keepNext/>
            </w:pPr>
          </w:p>
        </w:tc>
      </w:tr>
      <w:tr w:rsidR="008E1A20" w:rsidRPr="00C10C99" w:rsidTr="00FE6B20">
        <w:trPr>
          <w:jc w:val="center"/>
        </w:trPr>
        <w:tc>
          <w:tcPr>
            <w:tcW w:w="4876" w:type="dxa"/>
          </w:tcPr>
          <w:p w:rsidR="004E5EA6" w:rsidRPr="00C10C99" w:rsidRDefault="00567212" w:rsidP="00FE6B20">
            <w:pPr>
              <w:pStyle w:val="ColumnHeading"/>
              <w:keepNext/>
            </w:pPr>
            <w:r w:rsidRPr="00C10C99">
              <w:t>Testo della Commissione</w:t>
            </w:r>
          </w:p>
        </w:tc>
        <w:tc>
          <w:tcPr>
            <w:tcW w:w="4876" w:type="dxa"/>
          </w:tcPr>
          <w:p w:rsidR="004E5EA6" w:rsidRPr="00C10C99" w:rsidRDefault="00567212" w:rsidP="00FE6B20">
            <w:pPr>
              <w:pStyle w:val="ColumnHeading"/>
              <w:keepNext/>
            </w:pPr>
            <w:r w:rsidRPr="00C10C99">
              <w:t>Emendamento</w:t>
            </w:r>
          </w:p>
        </w:tc>
      </w:tr>
      <w:tr w:rsidR="008E1A20" w:rsidRPr="00C10C99" w:rsidTr="00FE6B20">
        <w:trPr>
          <w:jc w:val="center"/>
        </w:trPr>
        <w:tc>
          <w:tcPr>
            <w:tcW w:w="4876" w:type="dxa"/>
          </w:tcPr>
          <w:p w:rsidR="004E5EA6" w:rsidRPr="00C10C99" w:rsidRDefault="004E5EA6" w:rsidP="00FE6B20">
            <w:pPr>
              <w:pStyle w:val="Normal6"/>
            </w:pPr>
          </w:p>
        </w:tc>
        <w:tc>
          <w:tcPr>
            <w:tcW w:w="4876" w:type="dxa"/>
          </w:tcPr>
          <w:p w:rsidR="004E5EA6" w:rsidRPr="00C10C99" w:rsidRDefault="00567212" w:rsidP="00FE6B20">
            <w:pPr>
              <w:pStyle w:val="Normal6"/>
              <w:rPr>
                <w:szCs w:val="24"/>
              </w:rPr>
            </w:pPr>
            <w:r w:rsidRPr="00C10C99">
              <w:rPr>
                <w:b/>
                <w:i/>
              </w:rPr>
              <w:t>(4 bis)</w:t>
            </w:r>
            <w:r w:rsidRPr="00C10C99">
              <w:rPr>
                <w:b/>
                <w:i/>
              </w:rPr>
              <w:tab/>
            </w:r>
            <w:r w:rsidRPr="00C10C99">
              <w:rPr>
                <w:b/>
                <w:i/>
              </w:rPr>
              <w:t xml:space="preserve">Al fine di valutare i vantaggi, i risultati e i potenziali miglioramenti connessi all'esenzione reciproca </w:t>
            </w:r>
            <w:r w:rsidRPr="00C10C99">
              <w:rPr>
                <w:b/>
                <w:i/>
              </w:rPr>
              <w:lastRenderedPageBreak/>
              <w:t>dall'obbligo del visto, gli accordi bilaterali di esenzione dall'obbligo del visto tra l'Unione e, rispettivamente, il Kuwait e il Qatar dovrebbero pr</w:t>
            </w:r>
            <w:r w:rsidRPr="00C10C99">
              <w:rPr>
                <w:b/>
                <w:i/>
              </w:rPr>
              <w:t>evedere una valutazione periodica, da parte della Commissione, dell'attuazione delle disposizioni in essi contenute, che comprenda la dimensione dei diritti umani.</w:t>
            </w:r>
          </w:p>
        </w:tc>
      </w:tr>
    </w:tbl>
    <w:p w:rsidR="004E5EA6" w:rsidRPr="00C10C99" w:rsidRDefault="00567212" w:rsidP="004E5EA6">
      <w:pPr>
        <w:pStyle w:val="Olang"/>
        <w:rPr>
          <w:sz w:val="24"/>
          <w:szCs w:val="24"/>
        </w:rPr>
      </w:pPr>
      <w:r w:rsidRPr="00C10C99">
        <w:rPr>
          <w:sz w:val="24"/>
          <w:szCs w:val="24"/>
        </w:rPr>
        <w:lastRenderedPageBreak/>
        <w:t xml:space="preserve">Or. </w:t>
      </w:r>
      <w:r w:rsidRPr="00C10C99">
        <w:rPr>
          <w:rStyle w:val="HideTWBExt"/>
          <w:noProof w:val="0"/>
          <w:color w:val="auto"/>
        </w:rPr>
        <w:t>&lt;Original&gt;</w:t>
      </w:r>
      <w:r w:rsidRPr="00C10C99">
        <w:rPr>
          <w:rStyle w:val="HideTWBInt"/>
          <w:color w:val="auto"/>
          <w:sz w:val="24"/>
          <w:szCs w:val="24"/>
        </w:rPr>
        <w:t>{EN}</w:t>
      </w:r>
      <w:r w:rsidRPr="00C10C99">
        <w:rPr>
          <w:sz w:val="24"/>
          <w:szCs w:val="24"/>
        </w:rPr>
        <w:t>en</w:t>
      </w:r>
      <w:r w:rsidRPr="00C10C99">
        <w:rPr>
          <w:rStyle w:val="HideTWBExt"/>
          <w:noProof w:val="0"/>
          <w:color w:val="auto"/>
        </w:rPr>
        <w:t>&lt;/Original&gt;</w:t>
      </w:r>
    </w:p>
    <w:p w:rsidR="004E5EA6" w:rsidRPr="00C10C99" w:rsidRDefault="00567212" w:rsidP="004E5EA6">
      <w:r w:rsidRPr="00C10C99">
        <w:rPr>
          <w:rStyle w:val="HideTWBExt"/>
          <w:noProof w:val="0"/>
          <w:color w:val="auto"/>
        </w:rPr>
        <w:t>&lt;/Amend&gt;</w:t>
      </w:r>
    </w:p>
    <w:p w:rsidR="004E5EA6" w:rsidRPr="00C10C99" w:rsidRDefault="00567212" w:rsidP="004E5EA6">
      <w:pPr>
        <w:pStyle w:val="AMNumberTabs0"/>
        <w:keepNext/>
      </w:pPr>
      <w:r w:rsidRPr="00C10C99">
        <w:rPr>
          <w:rStyle w:val="HideTWBExt"/>
          <w:b w:val="0"/>
          <w:noProof w:val="0"/>
          <w:color w:val="auto"/>
        </w:rPr>
        <w:t>&lt;Amend&gt;</w:t>
      </w:r>
      <w:r w:rsidRPr="00C10C99">
        <w:t>Emendamento</w:t>
      </w:r>
      <w:r w:rsidRPr="00C10C99">
        <w:tab/>
      </w:r>
      <w:r w:rsidRPr="00C10C99">
        <w:tab/>
      </w:r>
      <w:r w:rsidRPr="00C10C99">
        <w:rPr>
          <w:rStyle w:val="HideTWBExt"/>
          <w:b w:val="0"/>
          <w:noProof w:val="0"/>
          <w:color w:val="auto"/>
        </w:rPr>
        <w:t>&lt;NumAm&gt;</w:t>
      </w:r>
      <w:r w:rsidRPr="00C10C99">
        <w:t>5</w:t>
      </w:r>
      <w:r w:rsidRPr="00C10C99">
        <w:rPr>
          <w:rStyle w:val="HideTWBExt"/>
          <w:b w:val="0"/>
          <w:noProof w:val="0"/>
          <w:color w:val="auto"/>
        </w:rPr>
        <w:t>&lt;/NumAm&gt;</w:t>
      </w:r>
    </w:p>
    <w:p w:rsidR="004E5EA6" w:rsidRPr="00C10C99" w:rsidRDefault="00567212" w:rsidP="004E5EA6">
      <w:pPr>
        <w:pStyle w:val="NormalBold12b"/>
        <w:keepNext/>
      </w:pPr>
      <w:r w:rsidRPr="00C10C99">
        <w:rPr>
          <w:rStyle w:val="HideTWBExt"/>
          <w:b w:val="0"/>
          <w:noProof w:val="0"/>
          <w:color w:val="auto"/>
        </w:rPr>
        <w:t>&lt;DocAmend&gt;</w:t>
      </w:r>
      <w:r w:rsidRPr="00C10C99">
        <w:t>Proposta di regolamento</w:t>
      </w:r>
      <w:r w:rsidRPr="00C10C99">
        <w:rPr>
          <w:rStyle w:val="HideTWBExt"/>
          <w:b w:val="0"/>
          <w:noProof w:val="0"/>
          <w:color w:val="auto"/>
        </w:rPr>
        <w:t>&lt;/DocAmend&gt;</w:t>
      </w:r>
    </w:p>
    <w:p w:rsidR="004E5EA6" w:rsidRPr="00C10C99" w:rsidRDefault="00567212" w:rsidP="004E5EA6">
      <w:pPr>
        <w:pStyle w:val="NormalBold"/>
      </w:pPr>
      <w:r w:rsidRPr="00C10C99">
        <w:rPr>
          <w:rStyle w:val="HideTWBExt"/>
          <w:b w:val="0"/>
          <w:noProof w:val="0"/>
          <w:color w:val="auto"/>
        </w:rPr>
        <w:t>&lt;Article&gt;</w:t>
      </w:r>
      <w:r w:rsidRPr="00C10C99">
        <w:t>Considerando 6</w:t>
      </w:r>
      <w:r w:rsidRPr="00C10C99">
        <w:rPr>
          <w:rStyle w:val="HideTWBExt"/>
          <w:b w:val="0"/>
          <w:noProof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E1A20" w:rsidRPr="00C10C99" w:rsidTr="00FE6B20">
        <w:trPr>
          <w:jc w:val="center"/>
        </w:trPr>
        <w:tc>
          <w:tcPr>
            <w:tcW w:w="9752" w:type="dxa"/>
            <w:gridSpan w:val="2"/>
          </w:tcPr>
          <w:p w:rsidR="004E5EA6" w:rsidRPr="00C10C99" w:rsidRDefault="004E5EA6" w:rsidP="00FE6B20">
            <w:pPr>
              <w:keepNext/>
            </w:pPr>
          </w:p>
        </w:tc>
      </w:tr>
      <w:tr w:rsidR="008E1A20" w:rsidRPr="00C10C99" w:rsidTr="00FE6B20">
        <w:trPr>
          <w:jc w:val="center"/>
        </w:trPr>
        <w:tc>
          <w:tcPr>
            <w:tcW w:w="4876" w:type="dxa"/>
          </w:tcPr>
          <w:p w:rsidR="004E5EA6" w:rsidRPr="00C10C99" w:rsidRDefault="00567212" w:rsidP="00FE6B20">
            <w:pPr>
              <w:pStyle w:val="ColumnHeading"/>
              <w:keepNext/>
            </w:pPr>
            <w:r w:rsidRPr="00C10C99">
              <w:t>Testo della Commissione</w:t>
            </w:r>
          </w:p>
        </w:tc>
        <w:tc>
          <w:tcPr>
            <w:tcW w:w="4876" w:type="dxa"/>
          </w:tcPr>
          <w:p w:rsidR="004E5EA6" w:rsidRPr="00C10C99" w:rsidRDefault="00567212" w:rsidP="00FE6B20">
            <w:pPr>
              <w:pStyle w:val="ColumnHeading"/>
              <w:keepNext/>
            </w:pPr>
            <w:r w:rsidRPr="00C10C99">
              <w:t>Emendamento</w:t>
            </w:r>
          </w:p>
        </w:tc>
      </w:tr>
      <w:tr w:rsidR="008E1A20" w:rsidRPr="00C10C99" w:rsidTr="00FE6B20">
        <w:trPr>
          <w:jc w:val="center"/>
        </w:trPr>
        <w:tc>
          <w:tcPr>
            <w:tcW w:w="4876" w:type="dxa"/>
          </w:tcPr>
          <w:p w:rsidR="004E5EA6" w:rsidRPr="00C10C99" w:rsidRDefault="00567212" w:rsidP="00FE6B20">
            <w:pPr>
              <w:pStyle w:val="Normal6"/>
            </w:pPr>
            <w:r w:rsidRPr="00C10C99">
              <w:t>(6)</w:t>
            </w:r>
            <w:r w:rsidRPr="00C10C99">
              <w:tab/>
            </w:r>
            <w:r w:rsidRPr="00C10C99">
              <w:t>L'esenzione dall'obbligo del visto per i cittadini del Kuwait e del Qatar non dovrebbe applicarsi prima della conclusione di accordi bilaterali di esenzione dall'obbligo del visto tra l'Unione e, rispettivamente, il Kuwait e il Qatar, in particolare al fin</w:t>
            </w:r>
            <w:r w:rsidRPr="00C10C99">
              <w:t>e di garantire la piena reciprocità.</w:t>
            </w:r>
          </w:p>
        </w:tc>
        <w:tc>
          <w:tcPr>
            <w:tcW w:w="4876" w:type="dxa"/>
          </w:tcPr>
          <w:p w:rsidR="004E5EA6" w:rsidRPr="00C10C99" w:rsidRDefault="00567212" w:rsidP="00FE6B20">
            <w:pPr>
              <w:pStyle w:val="Normal6"/>
              <w:rPr>
                <w:szCs w:val="24"/>
              </w:rPr>
            </w:pPr>
            <w:r w:rsidRPr="00C10C99">
              <w:t>(6)</w:t>
            </w:r>
            <w:r w:rsidRPr="00C10C99">
              <w:tab/>
              <w:t>L'esenzione dall'obbligo del visto per i cittadini del Kuwait e del Qatar non dovrebbe applicarsi prima della conclusione di accordi bilaterali di esenzione dall'obbligo del visto tra l'Unione e, rispettivamente, il</w:t>
            </w:r>
            <w:r w:rsidRPr="00C10C99">
              <w:t xml:space="preserve"> Kuwait e il Qatar, in particolare al fine di garantire la piena reciprocità. </w:t>
            </w:r>
            <w:r w:rsidRPr="00C10C99">
              <w:rPr>
                <w:b/>
                <w:i/>
              </w:rPr>
              <w:t>La conclusione di accordi bilaterali di esenzione dall'obbligo del visto tra l'Unione e, rispettivamente, il Kuwait e il Qatar non dovrebbe dipendere dalla conclusione di accordi</w:t>
            </w:r>
            <w:r w:rsidRPr="00C10C99">
              <w:rPr>
                <w:b/>
                <w:i/>
              </w:rPr>
              <w:t xml:space="preserve"> bilaterali relativi ad altri settori</w:t>
            </w:r>
            <w:r w:rsidR="00E1780E">
              <w:rPr>
                <w:b/>
                <w:i/>
              </w:rPr>
              <w:t xml:space="preserve"> politici</w:t>
            </w:r>
            <w:r w:rsidRPr="00C10C99">
              <w:rPr>
                <w:b/>
                <w:i/>
              </w:rPr>
              <w:t>, quali il rimpatrio o la riammissione, né essere altrimenti interconnessa con essa.</w:t>
            </w:r>
          </w:p>
        </w:tc>
      </w:tr>
    </w:tbl>
    <w:p w:rsidR="004E5EA6" w:rsidRPr="00C10C99" w:rsidRDefault="00567212" w:rsidP="004E5EA6">
      <w:pPr>
        <w:pStyle w:val="Olang"/>
        <w:rPr>
          <w:sz w:val="24"/>
          <w:szCs w:val="24"/>
        </w:rPr>
      </w:pPr>
      <w:r w:rsidRPr="00C10C99">
        <w:rPr>
          <w:sz w:val="24"/>
          <w:szCs w:val="24"/>
        </w:rPr>
        <w:t xml:space="preserve">Or. </w:t>
      </w:r>
      <w:r w:rsidRPr="00C10C99">
        <w:rPr>
          <w:rStyle w:val="HideTWBExt"/>
          <w:noProof w:val="0"/>
          <w:color w:val="auto"/>
        </w:rPr>
        <w:t>&lt;Original&gt;</w:t>
      </w:r>
      <w:r w:rsidRPr="00C10C99">
        <w:rPr>
          <w:rStyle w:val="HideTWBInt"/>
          <w:color w:val="auto"/>
          <w:sz w:val="24"/>
          <w:szCs w:val="24"/>
        </w:rPr>
        <w:t>{EN}</w:t>
      </w:r>
      <w:r w:rsidRPr="00C10C99">
        <w:rPr>
          <w:sz w:val="24"/>
          <w:szCs w:val="24"/>
        </w:rPr>
        <w:t>en</w:t>
      </w:r>
      <w:r w:rsidRPr="00C10C99">
        <w:rPr>
          <w:rStyle w:val="HideTWBExt"/>
          <w:noProof w:val="0"/>
          <w:color w:val="auto"/>
        </w:rPr>
        <w:t>&lt;/Original&gt;</w:t>
      </w:r>
    </w:p>
    <w:p w:rsidR="004E5EA6" w:rsidRPr="00C10C99" w:rsidRDefault="00567212" w:rsidP="004E5EA6">
      <w:r w:rsidRPr="00C10C99">
        <w:rPr>
          <w:rStyle w:val="HideTWBExt"/>
          <w:noProof w:val="0"/>
          <w:color w:val="auto"/>
        </w:rPr>
        <w:t>&lt;/Amend&gt;</w:t>
      </w:r>
    </w:p>
    <w:p w:rsidR="004E5EA6" w:rsidRPr="00C10C99" w:rsidRDefault="00567212" w:rsidP="004E5EA6">
      <w:pPr>
        <w:pStyle w:val="AMNumberTabs0"/>
        <w:keepNext/>
      </w:pPr>
      <w:r w:rsidRPr="00C10C99">
        <w:rPr>
          <w:rStyle w:val="HideTWBExt"/>
          <w:b w:val="0"/>
          <w:noProof w:val="0"/>
          <w:color w:val="auto"/>
        </w:rPr>
        <w:t>&lt;Amend&gt;</w:t>
      </w:r>
      <w:r w:rsidRPr="00C10C99">
        <w:t>Emendamento</w:t>
      </w:r>
      <w:r w:rsidRPr="00C10C99">
        <w:tab/>
      </w:r>
      <w:r w:rsidRPr="00C10C99">
        <w:tab/>
      </w:r>
      <w:r w:rsidRPr="00C10C99">
        <w:rPr>
          <w:rStyle w:val="HideTWBExt"/>
          <w:b w:val="0"/>
          <w:noProof w:val="0"/>
          <w:color w:val="auto"/>
        </w:rPr>
        <w:t>&lt;NumAm&gt;</w:t>
      </w:r>
      <w:r w:rsidRPr="00C10C99">
        <w:t>6</w:t>
      </w:r>
      <w:r w:rsidRPr="00C10C99">
        <w:rPr>
          <w:rStyle w:val="HideTWBExt"/>
          <w:b w:val="0"/>
          <w:noProof w:val="0"/>
          <w:color w:val="auto"/>
        </w:rPr>
        <w:t>&lt;/NumAm&gt;</w:t>
      </w:r>
    </w:p>
    <w:p w:rsidR="004E5EA6" w:rsidRPr="00C10C99" w:rsidRDefault="00567212" w:rsidP="004E5EA6">
      <w:pPr>
        <w:pStyle w:val="NormalBold12b"/>
        <w:keepNext/>
      </w:pPr>
      <w:r w:rsidRPr="00C10C99">
        <w:rPr>
          <w:rStyle w:val="HideTWBExt"/>
          <w:b w:val="0"/>
          <w:noProof w:val="0"/>
          <w:color w:val="auto"/>
        </w:rPr>
        <w:t>&lt;DocAmend&gt;</w:t>
      </w:r>
      <w:r w:rsidRPr="00C10C99">
        <w:t>Proposta di regolamento</w:t>
      </w:r>
      <w:r w:rsidRPr="00C10C99">
        <w:rPr>
          <w:rStyle w:val="HideTWBExt"/>
          <w:b w:val="0"/>
          <w:noProof w:val="0"/>
          <w:color w:val="auto"/>
        </w:rPr>
        <w:t>&lt;/DocAmend&gt;</w:t>
      </w:r>
    </w:p>
    <w:p w:rsidR="004E5EA6" w:rsidRPr="00C10C99" w:rsidRDefault="00567212" w:rsidP="004E5EA6">
      <w:pPr>
        <w:pStyle w:val="NormalBold"/>
      </w:pPr>
      <w:r w:rsidRPr="00C10C99">
        <w:rPr>
          <w:rStyle w:val="HideTWBExt"/>
          <w:b w:val="0"/>
          <w:noProof w:val="0"/>
          <w:color w:val="auto"/>
        </w:rPr>
        <w:t>&lt;Article&gt;</w:t>
      </w:r>
      <w:r w:rsidRPr="00C10C99">
        <w:t>Considerando 6 bis (nuovo)</w:t>
      </w:r>
      <w:r w:rsidRPr="00C10C99">
        <w:rPr>
          <w:rStyle w:val="HideTWBExt"/>
          <w:b w:val="0"/>
          <w:noProof w:val="0"/>
          <w:color w:val="auto"/>
        </w:rPr>
        <w:t>&lt;/Article&gt;</w:t>
      </w:r>
    </w:p>
    <w:tbl>
      <w:tblPr>
        <w:tblW w:w="0" w:type="auto"/>
        <w:jc w:val="center"/>
        <w:tblLayout w:type="fixed"/>
        <w:tblCellMar>
          <w:left w:w="340" w:type="dxa"/>
          <w:right w:w="340" w:type="dxa"/>
        </w:tblCellMar>
        <w:tblLook w:val="0000" w:firstRow="0" w:lastRow="0" w:firstColumn="0" w:lastColumn="0" w:noHBand="0" w:noVBand="0"/>
      </w:tblPr>
      <w:tblGrid>
        <w:gridCol w:w="4876"/>
        <w:gridCol w:w="4876"/>
      </w:tblGrid>
      <w:tr w:rsidR="008E1A20" w:rsidRPr="00C10C99" w:rsidTr="00FE6B20">
        <w:trPr>
          <w:jc w:val="center"/>
        </w:trPr>
        <w:tc>
          <w:tcPr>
            <w:tcW w:w="9752" w:type="dxa"/>
            <w:gridSpan w:val="2"/>
          </w:tcPr>
          <w:p w:rsidR="004E5EA6" w:rsidRPr="00C10C99" w:rsidRDefault="004E5EA6" w:rsidP="00FE6B20">
            <w:pPr>
              <w:keepNext/>
            </w:pPr>
          </w:p>
        </w:tc>
      </w:tr>
      <w:tr w:rsidR="008E1A20" w:rsidRPr="00C10C99" w:rsidTr="00FE6B20">
        <w:trPr>
          <w:jc w:val="center"/>
        </w:trPr>
        <w:tc>
          <w:tcPr>
            <w:tcW w:w="4876" w:type="dxa"/>
          </w:tcPr>
          <w:p w:rsidR="004E5EA6" w:rsidRPr="00C10C99" w:rsidRDefault="00567212" w:rsidP="00FE6B20">
            <w:pPr>
              <w:pStyle w:val="ColumnHeading"/>
              <w:keepNext/>
            </w:pPr>
            <w:r w:rsidRPr="00C10C99">
              <w:t>Testo della Commissione</w:t>
            </w:r>
          </w:p>
        </w:tc>
        <w:tc>
          <w:tcPr>
            <w:tcW w:w="4876" w:type="dxa"/>
          </w:tcPr>
          <w:p w:rsidR="004E5EA6" w:rsidRPr="00C10C99" w:rsidRDefault="00567212" w:rsidP="00FE6B20">
            <w:pPr>
              <w:pStyle w:val="ColumnHeading"/>
              <w:keepNext/>
            </w:pPr>
            <w:r w:rsidRPr="00C10C99">
              <w:t>Emendamento</w:t>
            </w:r>
          </w:p>
        </w:tc>
      </w:tr>
      <w:tr w:rsidR="008E1A20" w:rsidRPr="00C10C99" w:rsidTr="00FE6B20">
        <w:trPr>
          <w:jc w:val="center"/>
        </w:trPr>
        <w:tc>
          <w:tcPr>
            <w:tcW w:w="4876" w:type="dxa"/>
          </w:tcPr>
          <w:p w:rsidR="004E5EA6" w:rsidRPr="00C10C99" w:rsidRDefault="004E5EA6" w:rsidP="00FE6B20">
            <w:pPr>
              <w:pStyle w:val="Normal6"/>
            </w:pPr>
          </w:p>
        </w:tc>
        <w:tc>
          <w:tcPr>
            <w:tcW w:w="4876" w:type="dxa"/>
          </w:tcPr>
          <w:p w:rsidR="004E5EA6" w:rsidRPr="00C10C99" w:rsidRDefault="00567212" w:rsidP="00FE6B20">
            <w:pPr>
              <w:pStyle w:val="Normal6"/>
              <w:rPr>
                <w:szCs w:val="24"/>
              </w:rPr>
            </w:pPr>
            <w:r w:rsidRPr="00C10C99">
              <w:rPr>
                <w:b/>
                <w:i/>
              </w:rPr>
              <w:t>(6 bis)</w:t>
            </w:r>
            <w:r w:rsidRPr="00C10C99">
              <w:rPr>
                <w:b/>
                <w:i/>
              </w:rPr>
              <w:tab/>
              <w:t>Seguendo il modello dell'attuale processo che riguarda il Kuwait e il Qatar come</w:t>
            </w:r>
            <w:r w:rsidR="00E1780E">
              <w:rPr>
                <w:b/>
                <w:i/>
              </w:rPr>
              <w:t xml:space="preserve"> parti di</w:t>
            </w:r>
            <w:r w:rsidRPr="00C10C99">
              <w:rPr>
                <w:b/>
                <w:i/>
              </w:rPr>
              <w:t xml:space="preserve"> accordi di nuova generazione a norma del regolamento (UE) 2018/1806, la Commissione </w:t>
            </w:r>
            <w:r w:rsidRPr="00C10C99">
              <w:rPr>
                <w:b/>
                <w:i/>
              </w:rPr>
              <w:lastRenderedPageBreak/>
              <w:t>dovreb</w:t>
            </w:r>
            <w:r w:rsidRPr="00C10C99">
              <w:rPr>
                <w:b/>
                <w:i/>
              </w:rPr>
              <w:t>be valutare tempestivamente la situazione di altri paesi terzi potenzialmente ammissibili all'esenzione dall'obbligo del visto, in particolare l'Oman e l'Ecuador, tenendo conto della rispettiva coerenza regionale.</w:t>
            </w:r>
          </w:p>
        </w:tc>
      </w:tr>
    </w:tbl>
    <w:p w:rsidR="004E5EA6" w:rsidRPr="00C10C99" w:rsidRDefault="00567212" w:rsidP="004E5EA6">
      <w:pPr>
        <w:pStyle w:val="Olang"/>
        <w:rPr>
          <w:sz w:val="24"/>
          <w:szCs w:val="24"/>
        </w:rPr>
      </w:pPr>
      <w:r w:rsidRPr="00C10C99">
        <w:rPr>
          <w:sz w:val="24"/>
          <w:szCs w:val="24"/>
        </w:rPr>
        <w:lastRenderedPageBreak/>
        <w:t xml:space="preserve">Or. </w:t>
      </w:r>
      <w:r w:rsidRPr="00C10C99">
        <w:rPr>
          <w:rStyle w:val="HideTWBExt"/>
          <w:noProof w:val="0"/>
          <w:color w:val="auto"/>
        </w:rPr>
        <w:t>&lt;Original&gt;</w:t>
      </w:r>
      <w:r w:rsidRPr="00C10C99">
        <w:rPr>
          <w:rStyle w:val="HideTWBInt"/>
          <w:color w:val="auto"/>
          <w:sz w:val="24"/>
          <w:szCs w:val="24"/>
        </w:rPr>
        <w:t>{EN}</w:t>
      </w:r>
      <w:r w:rsidRPr="00C10C99">
        <w:rPr>
          <w:sz w:val="24"/>
          <w:szCs w:val="24"/>
        </w:rPr>
        <w:t>en</w:t>
      </w:r>
      <w:r w:rsidRPr="00C10C99">
        <w:rPr>
          <w:rStyle w:val="HideTWBExt"/>
          <w:noProof w:val="0"/>
          <w:color w:val="auto"/>
        </w:rPr>
        <w:t>&lt;/Original&gt;</w:t>
      </w:r>
    </w:p>
    <w:p w:rsidR="004E5EA6" w:rsidRPr="00C10C99" w:rsidRDefault="00567212" w:rsidP="004E5EA6">
      <w:r w:rsidRPr="00C10C99">
        <w:rPr>
          <w:rStyle w:val="HideTWBExt"/>
          <w:noProof w:val="0"/>
          <w:color w:val="auto"/>
        </w:rPr>
        <w:t>&lt;/Amend&gt;&lt;/RepeatBlock-Amend&gt;</w:t>
      </w:r>
    </w:p>
    <w:p w:rsidR="004E5EA6" w:rsidRPr="00C10C99" w:rsidRDefault="004E5EA6" w:rsidP="004E5EA6">
      <w:pPr>
        <w:sectPr w:rsidR="004E5EA6" w:rsidRPr="00C10C99" w:rsidSect="00C10C9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:rsidR="004E5EA6" w:rsidRPr="00C10C99" w:rsidRDefault="00567212" w:rsidP="004E5EA6">
      <w:pPr>
        <w:pStyle w:val="PageHeading"/>
      </w:pPr>
      <w:bookmarkStart w:id="2" w:name="_Toc114644601"/>
      <w:bookmarkStart w:id="3" w:name="_Toc115258624"/>
      <w:r w:rsidRPr="00C10C99">
        <w:lastRenderedPageBreak/>
        <w:t>MOTIVAZIONE</w:t>
      </w:r>
      <w:bookmarkEnd w:id="2"/>
      <w:bookmarkEnd w:id="3"/>
    </w:p>
    <w:p w:rsidR="004E5EA6" w:rsidRPr="00C10C99" w:rsidRDefault="00567212" w:rsidP="004E5EA6">
      <w:pPr>
        <w:spacing w:before="100" w:beforeAutospacing="1" w:after="240"/>
        <w:jc w:val="both"/>
        <w:rPr>
          <w:rFonts w:eastAsia="Calibri"/>
        </w:rPr>
      </w:pPr>
      <w:r w:rsidRPr="00C10C99">
        <w:t>La proposta della Commissione europea è volta a modificare il regolamento (UE) 2018/1806 inserendo il Kuwait e il Qatar tra i paesi terzi i cui cittadini sono esenti dall'obbligo del visto all'atto dell'att</w:t>
      </w:r>
      <w:r w:rsidRPr="00C10C99">
        <w:t>raversamento delle frontiere esterne degli Stati membri per soggiorni la cui durata globale non sia superiore a 90 giorni su un periodo di 180 giorni. La base giuridica della proposta è l'articolo 77, paragrafo 2, lettera a), del trattato sul funzionamento</w:t>
      </w:r>
      <w:r w:rsidRPr="00C10C99">
        <w:t xml:space="preserve"> dell'Unione europea (TFUE). Il regolamento proposto costituirà uno sviluppo dell'</w:t>
      </w:r>
      <w:r w:rsidRPr="00C10C99">
        <w:rPr>
          <w:i/>
          <w:iCs/>
        </w:rPr>
        <w:t>acquis</w:t>
      </w:r>
      <w:r w:rsidRPr="00C10C99">
        <w:t xml:space="preserve"> di Schengen.</w:t>
      </w:r>
    </w:p>
    <w:p w:rsidR="004E5EA6" w:rsidRPr="00C10C99" w:rsidRDefault="00567212" w:rsidP="004E5EA6">
      <w:pPr>
        <w:spacing w:before="100" w:beforeAutospacing="1" w:after="240"/>
        <w:jc w:val="both"/>
        <w:rPr>
          <w:rFonts w:eastAsia="Calibri"/>
        </w:rPr>
      </w:pPr>
      <w:r w:rsidRPr="00C10C99">
        <w:t>I paesi terzi i cui cittadini sono esenti dall'obbligo del visto vanno stabiliti procedendo a una valutazione caso per caso di vari criteri, previsti all'</w:t>
      </w:r>
      <w:r w:rsidRPr="00C10C99">
        <w:t>articolo 1 del regolamento (UE) 2018/1806. Tali criteri attengono, in particolare, "all'immigrazione clandestina, all'ordine pubblico e alla sicurezza, ai vantaggi economici, segnatamente in termini di turismo e commercio estero, e alle relazioni esterne d</w:t>
      </w:r>
      <w:r w:rsidRPr="00C10C99">
        <w:t>ell'Unione con i paesi terzi in questione, includendo anche considerazioni relative ai diritti umani e alle libertà fondamentali nonché tenendo conto delle implicazioni di coerenza regionale e reciprocità".</w:t>
      </w:r>
    </w:p>
    <w:p w:rsidR="004E5EA6" w:rsidRPr="00C10C99" w:rsidRDefault="00567212" w:rsidP="004E5EA6">
      <w:pPr>
        <w:spacing w:before="100" w:beforeAutospacing="1" w:after="240"/>
        <w:jc w:val="both"/>
        <w:rPr>
          <w:rFonts w:eastAsia="Calibri"/>
        </w:rPr>
      </w:pPr>
      <w:r w:rsidRPr="00C10C99">
        <w:t>Per rendere effettiva l'esenzione dall'obbligo de</w:t>
      </w:r>
      <w:r w:rsidRPr="00C10C99">
        <w:t xml:space="preserve">l visto occorrerà che ciascuno dei due paesi concluda con l'UE un accordo di esenzione dal visto che preveda garanzie in relazione ai criteri di cui al regolamento (UE) 2018/1806. In seguito all'applicazione dell'esenzione dall'obbligo del visto proposta, </w:t>
      </w:r>
      <w:r w:rsidRPr="00C10C99">
        <w:t>nel caso in cui non sia garantita la piena reciprocità in materia di visti, qualora il regime di esenzione dall'obbligo del visto sia oggetto di abusi o in caso di abusi derivanti dall'esenzione dall'obbligo del visto, possono essere applicati i meccanismi</w:t>
      </w:r>
      <w:r w:rsidRPr="00C10C99">
        <w:t xml:space="preserve"> di reciprocità e sospensione di cui al regolamento (UE) 2018/1806.</w:t>
      </w:r>
    </w:p>
    <w:p w:rsidR="004E5EA6" w:rsidRPr="00C10C99" w:rsidRDefault="00567212" w:rsidP="004E5EA6">
      <w:pPr>
        <w:spacing w:before="100" w:beforeAutospacing="1" w:after="240"/>
        <w:jc w:val="both"/>
        <w:rPr>
          <w:rFonts w:eastAsia="Calibri"/>
        </w:rPr>
      </w:pPr>
      <w:r w:rsidRPr="00C10C99">
        <w:t>Per i viaggiatori esenti dall'obbligo del visto continueranno a essere effettuati controlli alle frontiere esterne dell'UE al fine di verificare se essi soddisfano i requisiti di ingresso, anche consultando il sistema d'informazione Schengen e le banche da</w:t>
      </w:r>
      <w:r w:rsidRPr="00C10C99">
        <w:t>ti nazionali degli Stati membri. Inoltre, i viaggiatori esenti dall'obbligo del visto che entrano nello spazio Schengen saranno soggetti al sistema di ingressi/uscite dell'UE (EES) e al sistema europeo di informazione e autorizzazione ai viaggi (ETIAS), no</w:t>
      </w:r>
      <w:r w:rsidRPr="00C10C99">
        <w:t>n appena tali sistemi saranno pienamente operativi.</w:t>
      </w:r>
    </w:p>
    <w:p w:rsidR="004E5EA6" w:rsidRPr="00C10C99" w:rsidRDefault="00567212" w:rsidP="004E5EA6">
      <w:pPr>
        <w:spacing w:before="100" w:beforeAutospacing="1" w:after="240"/>
        <w:jc w:val="both"/>
        <w:rPr>
          <w:rFonts w:eastAsia="Calibri"/>
        </w:rPr>
      </w:pPr>
      <w:r w:rsidRPr="00C10C99">
        <w:t>Sia il Kuwait che il Qatar sono partner economici importanti per l'Unione, in particolare nel settore dell'energia e nel contesto degli obiettivi dell'UE per la diversificazione del proprio approvvigionamento energetico. Negli ultimi anni la cooperazione t</w:t>
      </w:r>
      <w:r w:rsidRPr="00C10C99">
        <w:t>ra l'Unione e il Kuwait e il Qatar si è inoltre intensificata in diversi settori politici, ad esempio nel settore della sicurezza, sia a livello bilaterale che attraverso il Consiglio di cooperazione del Golfo (CCG). Entrambi i paesi, inoltre, rilasciano p</w:t>
      </w:r>
      <w:r w:rsidRPr="00C10C99">
        <w:t>assaporti biometrici.</w:t>
      </w:r>
    </w:p>
    <w:p w:rsidR="004E5EA6" w:rsidRPr="00C10C99" w:rsidRDefault="00567212" w:rsidP="004E5EA6">
      <w:pPr>
        <w:spacing w:before="100" w:beforeAutospacing="1" w:after="240"/>
        <w:jc w:val="both"/>
        <w:rPr>
          <w:rFonts w:eastAsia="Calibri"/>
        </w:rPr>
      </w:pPr>
      <w:r w:rsidRPr="00C10C99">
        <w:t xml:space="preserve">Permangono, tuttavia, gravi preoccupazioni e carenze nel settore dei diritti umani e delle libertà fondamentali. </w:t>
      </w:r>
      <w:r w:rsidR="001E5E56" w:rsidRPr="001E5E56">
        <w:t>Nonostante le riforme legislative e le iniziative politiche recentemente poste in atto, permangono numerose sfide in diversi settori e nell'applicazione della legislazione di recente adozione, come sottolineato, tra l'altro, nella valutazione della Commissione, nella relazione annuale 2021 dell'UE sui diritti umani presentata dal SEAE e nelle relazioni annuali di Amnesty International e Human Rights Watch</w:t>
      </w:r>
      <w:bookmarkStart w:id="4" w:name="_GoBack"/>
      <w:bookmarkEnd w:id="4"/>
      <w:r w:rsidRPr="00C10C99">
        <w:t>. In tale contesto, un'attenzione particolare è stata dedicata alle condizioni di lavoro dei lavoratori migranti in vista dell'imminente Coppa del mondo FIFA. Vi sono comunque anche altri settori che destano preoccupazione, come ad esempi</w:t>
      </w:r>
      <w:r w:rsidRPr="00C10C99">
        <w:t xml:space="preserve">o i diritti delle donne, i diritti delle persone LGBTQ+, la libertà di religione, </w:t>
      </w:r>
      <w:r w:rsidR="00E1780E">
        <w:t xml:space="preserve">la </w:t>
      </w:r>
      <w:r w:rsidR="00E1780E">
        <w:lastRenderedPageBreak/>
        <w:t>proibizione della</w:t>
      </w:r>
      <w:r w:rsidRPr="00C10C99">
        <w:t xml:space="preserve"> tortura, la libertà di parola, il diritto di riunione e il divieto della pena di morte.</w:t>
      </w:r>
    </w:p>
    <w:p w:rsidR="004E5EA6" w:rsidRPr="00C10C99" w:rsidRDefault="00567212" w:rsidP="004E5EA6">
      <w:pPr>
        <w:spacing w:after="240"/>
        <w:jc w:val="both"/>
      </w:pPr>
      <w:r w:rsidRPr="00C10C99">
        <w:t>Lo status di esenzione dall'obbligo del visto può svolgere un ruolo fond</w:t>
      </w:r>
      <w:r w:rsidRPr="00C10C99">
        <w:t>amentale nel promuovere il partenariato fra le due regioni e nel rafforzare il dialogo politico nonché gli scambi sul piano economico, della ricerca, dell'istruzione, della cultura e della società. Portare avanti dialoghi ufficiali in materia di diritti um</w:t>
      </w:r>
      <w:r w:rsidRPr="00C10C99">
        <w:t>ani rientra a pieno titolo fra gli impegni assunti nel quadro degli accordi bilaterali che saranno conclusi tra l'Unione e, rispettivamente, il Qatar e il Kuwait ed è altresì prevista una valutazione continua di tali dialoghi. Considerando che tali accordi</w:t>
      </w:r>
      <w:r w:rsidRPr="00C10C99">
        <w:t xml:space="preserve"> bilaterali saranno i primi a essere adottati nell'ambito del nuovo regime previsto dal regolamento (UE) 2018/1806, il relatore ritiene che l'introduzione di tali clausole rappresenterà un modello positivo, con benefici effetti a cascata per i futuri accor</w:t>
      </w:r>
      <w:r w:rsidRPr="00C10C99">
        <w:t>di di questo tipo.</w:t>
      </w:r>
    </w:p>
    <w:p w:rsidR="004E5EA6" w:rsidRPr="00C10C99" w:rsidRDefault="00567212" w:rsidP="004E5EA6">
      <w:pPr>
        <w:spacing w:after="240"/>
        <w:jc w:val="both"/>
      </w:pPr>
      <w:r w:rsidRPr="00C10C99">
        <w:t>L'introduzione del regime di esenzione dall'obbligo del visto riveste un'importanza notevole per i cittadini del Qatar e del Kuwait, come pure per i cittadini dell'Unione, e contribuirà ad approfondire i contatti e gli scambi interperson</w:t>
      </w:r>
      <w:r w:rsidRPr="00C10C99">
        <w:t>ali e a rafforzare le relazioni sociali e culturali. A tal riguardo, sarà fondamentale garantire a tutti i cittadini di entrambe le parti un accesso equo e non discriminatorio ai vantaggi derivanti dall'esenzione dall'obbligo del visto.</w:t>
      </w:r>
    </w:p>
    <w:p w:rsidR="004E5EA6" w:rsidRPr="00C10C99" w:rsidRDefault="00567212" w:rsidP="004E5EA6">
      <w:pPr>
        <w:spacing w:after="240"/>
        <w:jc w:val="both"/>
      </w:pPr>
      <w:r w:rsidRPr="00C10C99">
        <w:t>Al fine di valutare</w:t>
      </w:r>
      <w:r w:rsidRPr="00C10C99">
        <w:t xml:space="preserve"> i vantaggi e i risultati effettivi derivanti dal regime di esenzione dall'obbligo del visto e l'eventuale necessità di miglioramenti, il relatore ritiene opportuno prevedere una valutazione periodica di tale regime, inserendo in tutti i futuri accordi bil</w:t>
      </w:r>
      <w:r w:rsidRPr="00C10C99">
        <w:t>aterali in materia di esenzione dal visto una disposizione esplicita concernente la valutazione e la presentazione di relazioni da parte della Commissione.</w:t>
      </w:r>
    </w:p>
    <w:p w:rsidR="004E5EA6" w:rsidRPr="00C10C99" w:rsidRDefault="00567212" w:rsidP="004E5EA6">
      <w:pPr>
        <w:spacing w:after="240"/>
        <w:jc w:val="both"/>
      </w:pPr>
      <w:r w:rsidRPr="00C10C99">
        <w:t xml:space="preserve">In considerazione dei vantaggi che il regime di esenzione dall'obbligo del visto potrebbe apportare </w:t>
      </w:r>
      <w:r w:rsidRPr="00C10C99">
        <w:t>alle parti interessate, l'Unione dovrebbe intensificare gli sforzi per dialogare con altri paesi terzi interessati all'esenzione dall'obbligo del visto per i viaggi nell'UE. Le esenzioni dall'obbligo del visto proposte per i cittadini del Qatar e del Kuwai</w:t>
      </w:r>
      <w:r w:rsidRPr="00C10C99">
        <w:t>t dovrebbero dare alla Commissione l'impulso ad avviare un dialogo concreto con altri paesi sulla base dei criteri e della procedura di cui al regolamento (UE) 2018/1806, nonché a valutare tempestivamente i paesi potenzialmente ammissibili e interessati.</w:t>
      </w:r>
    </w:p>
    <w:p w:rsidR="004E5EA6" w:rsidRPr="00C10C99" w:rsidRDefault="00567212" w:rsidP="004E5EA6">
      <w:pPr>
        <w:spacing w:after="240"/>
        <w:jc w:val="both"/>
      </w:pPr>
      <w:r w:rsidRPr="00C10C99">
        <w:t>I</w:t>
      </w:r>
      <w:r w:rsidRPr="00C10C99">
        <w:t>nfine, il relatore ritiene che, con l'adozione della presente proposta della Commissione europea, il Parlamento europeo confermi il suo impegno a rafforzare le relazioni interpersonali e gli scambi sociali con il Kuwait e il Qatar. Pertanto, e tenuto conto</w:t>
      </w:r>
      <w:r w:rsidRPr="00C10C99">
        <w:t xml:space="preserve"> dell'importanza del regime di liberalizzazione dei visti per i cittadini di tutte le parti interessate, il relatore raccomanda ai membri della commissione per le libertà civili, la giustizia e gli affari interni di sostenere la presente relazione.</w:t>
      </w:r>
    </w:p>
    <w:p w:rsidR="004E5EA6" w:rsidRPr="00C10C99" w:rsidRDefault="004E5EA6" w:rsidP="004E5EA6"/>
    <w:p w:rsidR="002669B6" w:rsidRPr="00C10C99" w:rsidRDefault="002669B6" w:rsidP="004E5EA6">
      <w:pPr>
        <w:pStyle w:val="EPComma"/>
      </w:pPr>
    </w:p>
    <w:sectPr w:rsidR="002669B6" w:rsidRPr="00C10C99" w:rsidSect="004E5EA6">
      <w:footerReference w:type="first" r:id="rId15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Pr="00C10C99" w:rsidRDefault="00567212">
      <w:r w:rsidRPr="00C10C99">
        <w:separator/>
      </w:r>
    </w:p>
  </w:endnote>
  <w:endnote w:type="continuationSeparator" w:id="0">
    <w:p w:rsidR="00000000" w:rsidRPr="00C10C99" w:rsidRDefault="00567212">
      <w:r w:rsidRPr="00C10C9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00"/>
    <w:family w:val="swiss"/>
    <w:pitch w:val="variable"/>
    <w:sig w:usb0="0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C99" w:rsidRPr="00C10C99" w:rsidRDefault="00C10C99" w:rsidP="00C10C99">
    <w:pPr>
      <w:pStyle w:val="EPFooter"/>
    </w:pPr>
    <w:r w:rsidRPr="00C10C99">
      <w:t>PE</w:t>
    </w:r>
    <w:r w:rsidRPr="00C10C99">
      <w:rPr>
        <w:rStyle w:val="HideTWBExt"/>
        <w:noProof w:val="0"/>
      </w:rPr>
      <w:t>&lt;NoPE&gt;</w:t>
    </w:r>
    <w:r w:rsidRPr="00C10C99">
      <w:t>736.470</w:t>
    </w:r>
    <w:r w:rsidRPr="00C10C99">
      <w:rPr>
        <w:rStyle w:val="HideTWBExt"/>
        <w:noProof w:val="0"/>
      </w:rPr>
      <w:t>&lt;/NoPE&gt;&lt;Version&gt;</w:t>
    </w:r>
    <w:r w:rsidRPr="00C10C99">
      <w:t>v01-00</w:t>
    </w:r>
    <w:r w:rsidRPr="00C10C99">
      <w:rPr>
        <w:rStyle w:val="HideTWBExt"/>
        <w:noProof w:val="0"/>
      </w:rPr>
      <w:t>&lt;/Version&gt;</w:t>
    </w:r>
    <w:r w:rsidRPr="00C10C99">
      <w:tab/>
    </w:r>
    <w:r w:rsidRPr="00C10C99">
      <w:fldChar w:fldCharType="begin"/>
    </w:r>
    <w:r w:rsidRPr="00C10C99">
      <w:instrText xml:space="preserve"> PAGE  \* MERGEFORMAT </w:instrText>
    </w:r>
    <w:r w:rsidRPr="00C10C99">
      <w:fldChar w:fldCharType="separate"/>
    </w:r>
    <w:r w:rsidR="00567212">
      <w:rPr>
        <w:noProof/>
      </w:rPr>
      <w:t>10</w:t>
    </w:r>
    <w:r w:rsidRPr="00C10C99">
      <w:fldChar w:fldCharType="end"/>
    </w:r>
    <w:r w:rsidRPr="00C10C99">
      <w:t>/</w:t>
    </w:r>
    <w:fldSimple w:instr=" NUMPAGES  \* MERGEFORMAT ">
      <w:r w:rsidR="00567212">
        <w:rPr>
          <w:noProof/>
        </w:rPr>
        <w:t>11</w:t>
      </w:r>
    </w:fldSimple>
    <w:r w:rsidRPr="00C10C99">
      <w:tab/>
    </w:r>
    <w:r w:rsidRPr="00C10C99">
      <w:rPr>
        <w:rStyle w:val="HideTWBExt"/>
        <w:noProof w:val="0"/>
      </w:rPr>
      <w:t>&lt;PathFdR&gt;</w:t>
    </w:r>
    <w:r w:rsidRPr="00C10C99">
      <w:t>PR\1263011IT.docx</w:t>
    </w:r>
    <w:r w:rsidRPr="00C10C99">
      <w:rPr>
        <w:rStyle w:val="HideTWBExt"/>
        <w:noProof w:val="0"/>
      </w:rPr>
      <w:t>&lt;/PathFdR&gt;</w:t>
    </w:r>
  </w:p>
  <w:p w:rsidR="004E5EA6" w:rsidRPr="00C10C99" w:rsidRDefault="00C10C99" w:rsidP="00C10C99">
    <w:pPr>
      <w:pStyle w:val="EPFooter2"/>
    </w:pPr>
    <w:r w:rsidRPr="00C10C99">
      <w:t>IT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C99" w:rsidRPr="00C10C99" w:rsidRDefault="00C10C99" w:rsidP="00C10C99">
    <w:pPr>
      <w:pStyle w:val="EPFooter"/>
    </w:pPr>
    <w:r w:rsidRPr="00C10C99">
      <w:rPr>
        <w:rStyle w:val="HideTWBExt"/>
        <w:noProof w:val="0"/>
      </w:rPr>
      <w:t>&lt;PathFdR&gt;</w:t>
    </w:r>
    <w:r w:rsidRPr="00C10C99">
      <w:t>PR\1263011IT.docx</w:t>
    </w:r>
    <w:r w:rsidRPr="00C10C99">
      <w:rPr>
        <w:rStyle w:val="HideTWBExt"/>
        <w:noProof w:val="0"/>
      </w:rPr>
      <w:t>&lt;/PathFdR&gt;</w:t>
    </w:r>
    <w:r w:rsidRPr="00C10C99">
      <w:tab/>
    </w:r>
    <w:r w:rsidRPr="00C10C99">
      <w:fldChar w:fldCharType="begin"/>
    </w:r>
    <w:r w:rsidRPr="00C10C99">
      <w:instrText xml:space="preserve"> PAGE  \* MERGEFORMAT </w:instrText>
    </w:r>
    <w:r w:rsidRPr="00C10C99">
      <w:fldChar w:fldCharType="separate"/>
    </w:r>
    <w:r w:rsidR="00567212">
      <w:rPr>
        <w:noProof/>
      </w:rPr>
      <w:t>11</w:t>
    </w:r>
    <w:r w:rsidRPr="00C10C99">
      <w:fldChar w:fldCharType="end"/>
    </w:r>
    <w:r w:rsidRPr="00C10C99">
      <w:t>/</w:t>
    </w:r>
    <w:fldSimple w:instr=" NUMPAGES  \* MERGEFORMAT ">
      <w:r w:rsidR="00567212">
        <w:rPr>
          <w:noProof/>
        </w:rPr>
        <w:t>11</w:t>
      </w:r>
    </w:fldSimple>
    <w:r w:rsidRPr="00C10C99">
      <w:tab/>
      <w:t>PE</w:t>
    </w:r>
    <w:r w:rsidRPr="00C10C99">
      <w:rPr>
        <w:rStyle w:val="HideTWBExt"/>
        <w:noProof w:val="0"/>
      </w:rPr>
      <w:t>&lt;NoPE&gt;</w:t>
    </w:r>
    <w:r w:rsidRPr="00C10C99">
      <w:t>736.470</w:t>
    </w:r>
    <w:r w:rsidRPr="00C10C99">
      <w:rPr>
        <w:rStyle w:val="HideTWBExt"/>
        <w:noProof w:val="0"/>
      </w:rPr>
      <w:t>&lt;/NoPE&gt;&lt;Version&gt;</w:t>
    </w:r>
    <w:r w:rsidRPr="00C10C99">
      <w:t>v01-00</w:t>
    </w:r>
    <w:r w:rsidRPr="00C10C99">
      <w:rPr>
        <w:rStyle w:val="HideTWBExt"/>
        <w:noProof w:val="0"/>
      </w:rPr>
      <w:t>&lt;/Version&gt;</w:t>
    </w:r>
  </w:p>
  <w:p w:rsidR="004E5EA6" w:rsidRPr="00C10C99" w:rsidRDefault="00C10C99" w:rsidP="00C10C99">
    <w:pPr>
      <w:pStyle w:val="EPFooter2"/>
    </w:pPr>
    <w:r w:rsidRPr="00C10C99">
      <w:tab/>
    </w:r>
    <w:r w:rsidRPr="00C10C99">
      <w:tab/>
      <w:t>IT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0C99" w:rsidRPr="00C10C99" w:rsidRDefault="00C10C99" w:rsidP="00C10C99">
    <w:pPr>
      <w:pStyle w:val="EPFooter"/>
    </w:pPr>
    <w:r w:rsidRPr="00C10C99">
      <w:rPr>
        <w:rStyle w:val="HideTWBExt"/>
        <w:noProof w:val="0"/>
      </w:rPr>
      <w:t>&lt;PathFdR&gt;</w:t>
    </w:r>
    <w:r w:rsidRPr="00C10C99">
      <w:t>PR\1263011IT.docx</w:t>
    </w:r>
    <w:r w:rsidRPr="00C10C99">
      <w:rPr>
        <w:rStyle w:val="HideTWBExt"/>
        <w:noProof w:val="0"/>
      </w:rPr>
      <w:t>&lt;/PathFdR&gt;</w:t>
    </w:r>
    <w:r w:rsidRPr="00C10C99">
      <w:tab/>
    </w:r>
    <w:r w:rsidRPr="00C10C99">
      <w:tab/>
      <w:t>PE</w:t>
    </w:r>
    <w:r w:rsidRPr="00C10C99">
      <w:rPr>
        <w:rStyle w:val="HideTWBExt"/>
        <w:noProof w:val="0"/>
      </w:rPr>
      <w:t>&lt;NoPE&gt;</w:t>
    </w:r>
    <w:r w:rsidRPr="00C10C99">
      <w:t>736.470</w:t>
    </w:r>
    <w:r w:rsidRPr="00C10C99">
      <w:rPr>
        <w:rStyle w:val="HideTWBExt"/>
        <w:noProof w:val="0"/>
      </w:rPr>
      <w:t>&lt;/NoPE&gt;&lt;Version&gt;</w:t>
    </w:r>
    <w:r w:rsidRPr="00C10C99">
      <w:t>v01-00</w:t>
    </w:r>
    <w:r w:rsidRPr="00C10C99">
      <w:rPr>
        <w:rStyle w:val="HideTWBExt"/>
        <w:noProof w:val="0"/>
      </w:rPr>
      <w:t>&lt;/Version&gt;</w:t>
    </w:r>
  </w:p>
  <w:p w:rsidR="004E5EA6" w:rsidRPr="00C10C99" w:rsidRDefault="00C10C99" w:rsidP="00C10C99">
    <w:pPr>
      <w:pStyle w:val="EPFooter2"/>
    </w:pPr>
    <w:r w:rsidRPr="00C10C99">
      <w:t>IT</w:t>
    </w:r>
    <w:r w:rsidRPr="00C10C99">
      <w:tab/>
    </w:r>
    <w:r w:rsidRPr="00C10C99">
      <w:rPr>
        <w:b w:val="0"/>
        <w:i/>
        <w:color w:val="C0C0C0"/>
        <w:sz w:val="22"/>
      </w:rPr>
      <w:t>Unita nella diversità</w:t>
    </w:r>
    <w:r w:rsidRPr="00C10C99">
      <w:tab/>
      <w:t>IT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2FE" w:rsidRPr="00C10C99" w:rsidRDefault="00567212" w:rsidP="00F07062">
    <w:pPr>
      <w:pStyle w:val="EPFooter"/>
    </w:pPr>
    <w:r w:rsidRPr="00C10C99">
      <w:rPr>
        <w:rStyle w:val="HideTWBExt"/>
        <w:noProof w:val="0"/>
      </w:rPr>
      <w:t>&lt;Path</w:t>
    </w:r>
    <w:r w:rsidRPr="00C10C99">
      <w:rPr>
        <w:rStyle w:val="HideTWBExt"/>
        <w:noProof w:val="0"/>
      </w:rPr>
      <w:t>FdR&gt;</w:t>
    </w:r>
    <w:r w:rsidR="00254065" w:rsidRPr="00C10C99">
      <w:rPr>
        <w:color w:val="auto"/>
      </w:rPr>
      <w:t>PR\1263011IT.docx</w:t>
    </w:r>
    <w:r w:rsidRPr="00C10C99">
      <w:rPr>
        <w:rStyle w:val="HideTWBExt"/>
        <w:noProof w:val="0"/>
      </w:rPr>
      <w:t>&lt;/PathFdR&gt;</w:t>
    </w:r>
    <w:r w:rsidRPr="00C10C99">
      <w:tab/>
    </w:r>
    <w:r w:rsidRPr="00C10C99">
      <w:tab/>
      <w:t>PE</w:t>
    </w:r>
    <w:r w:rsidRPr="00C10C99">
      <w:rPr>
        <w:rStyle w:val="HideTWBExt"/>
        <w:noProof w:val="0"/>
      </w:rPr>
      <w:t>&lt;NoPE&gt;</w:t>
    </w:r>
    <w:r w:rsidR="004E5EA6" w:rsidRPr="00C10C99">
      <w:rPr>
        <w:color w:val="auto"/>
      </w:rPr>
      <w:t>736.470</w:t>
    </w:r>
    <w:r w:rsidRPr="00C10C99">
      <w:rPr>
        <w:rStyle w:val="HideTWBExt"/>
        <w:noProof w:val="0"/>
      </w:rPr>
      <w:t>&lt;/NoPE&gt;&lt;Version&gt;</w:t>
    </w:r>
    <w:r w:rsidR="00A26880" w:rsidRPr="00C10C99">
      <w:t>v</w:t>
    </w:r>
    <w:r w:rsidR="004E5EA6" w:rsidRPr="00C10C99">
      <w:rPr>
        <w:color w:val="auto"/>
      </w:rPr>
      <w:t>01-00</w:t>
    </w:r>
    <w:r w:rsidRPr="00C10C99">
      <w:rPr>
        <w:rStyle w:val="HideTWBExt"/>
        <w:noProof w:val="0"/>
      </w:rPr>
      <w:t>&lt;/Version&gt;</w:t>
    </w:r>
  </w:p>
  <w:p w:rsidR="00FB52FE" w:rsidRPr="00C10C99" w:rsidRDefault="00567212" w:rsidP="00461601">
    <w:pPr>
      <w:pStyle w:val="EPFooter2"/>
      <w:tabs>
        <w:tab w:val="clear" w:pos="4535"/>
        <w:tab w:val="center" w:pos="4536"/>
      </w:tabs>
    </w:pPr>
    <w:r w:rsidRPr="00C10C99">
      <w:fldChar w:fldCharType="begin"/>
    </w:r>
    <w:r w:rsidRPr="00C10C99">
      <w:instrText xml:space="preserve"> DOCPROPERTY "&lt;Extension&gt;" </w:instrText>
    </w:r>
    <w:r w:rsidRPr="00C10C99">
      <w:fldChar w:fldCharType="separate"/>
    </w:r>
    <w:r>
      <w:t>IT</w:t>
    </w:r>
    <w:r w:rsidRPr="00C10C99">
      <w:fldChar w:fldCharType="end"/>
    </w:r>
    <w:r w:rsidRPr="00C10C99">
      <w:tab/>
    </w:r>
    <w:r w:rsidR="004E5EA6" w:rsidRPr="00C10C99">
      <w:rPr>
        <w:b w:val="0"/>
        <w:i/>
        <w:color w:val="C0C0C0"/>
        <w:sz w:val="22"/>
        <w:szCs w:val="22"/>
      </w:rPr>
      <w:t>Unita nella diversità</w:t>
    </w:r>
    <w:r w:rsidRPr="00C10C99">
      <w:tab/>
    </w:r>
    <w:r w:rsidRPr="00C10C99">
      <w:fldChar w:fldCharType="begin"/>
    </w:r>
    <w:r w:rsidRPr="00C10C99">
      <w:instrText xml:space="preserve"> DOCPROPERTY "&lt;Extension&gt;" </w:instrText>
    </w:r>
    <w:r w:rsidRPr="00C10C99">
      <w:fldChar w:fldCharType="separate"/>
    </w:r>
    <w:r>
      <w:t>IT</w:t>
    </w:r>
    <w:r w:rsidRPr="00C10C99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Pr="00C10C99" w:rsidRDefault="00567212">
      <w:r w:rsidRPr="00C10C99">
        <w:separator/>
      </w:r>
    </w:p>
  </w:footnote>
  <w:footnote w:type="continuationSeparator" w:id="0">
    <w:p w:rsidR="00000000" w:rsidRPr="00C10C99" w:rsidRDefault="00567212">
      <w:r w:rsidRPr="00C10C9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E93" w:rsidRDefault="00B04E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E93" w:rsidRDefault="00B04E9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4E93" w:rsidRDefault="00B04E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HORMFMNU" w:val=" 1"/>
    <w:docVar w:name="COMKEY" w:val="LIBE"/>
    <w:docVar w:name="DOCMNU" w:val=" 1"/>
    <w:docVar w:name="LastEditedSection" w:val=" 1"/>
    <w:docVar w:name="RepeatBlock-AmendIT" w:val="{\rtf1\adeflang1025\ansi\ansicpg1252\uc1\adeff0\deff0\stshfdbch0\stshfloch0\stshfhich0\stshfbi0\deflang2057\deflangfe2057\themelang2057\themelangfe0\themelangcs1108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swiss\fcharset0\fprq2 DokChampa{\*\falt Leelawadee UI}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swiss\fcharset0\fprq2 DokChampa{\*\falt Leelawadee UI};}{\f305\fbidi \froman\fcharset238\fprq2 Times New Roman CE;}{\f306\fbidi \froman\fcharset204\fprq2 Times New Roman Cyr;}_x000d__x000a_{\f308\fbidi \froman\fcharset161\fprq2 Times New Roman Greek;}{\f309\fbidi \froman\fcharset162\fprq2 Times New Roman Tur;}{\f310\fbidi \froman\fcharset177\fprq2 Times New Roman (Hebrew);}{\f311\fbidi \froman\fcharset178\fprq2 Times New Roman (Arabic);}_x000d__x000a_{\f312\fbidi \froman\fcharset186\fprq2 Times New Roman Baltic;}{\f313\fbidi \froman\fcharset163\fprq2 Times New Roman (Vietnamese);}{\f315\fbidi \fswiss\fcharset238\fprq2 Arial CE;}{\f316\fbidi \fswiss\fcharset204\fprq2 Arial Cyr;}_x000d__x000a_{\f318\fbidi \fswiss\fcharset161\fprq2 Arial Greek;}{\f319\fbidi \fswiss\fcharset162\fprq2 Arial Tur;}{\f320\fbidi \fswiss\fcharset177\fprq2 Arial (Hebrew);}{\f321\fbidi \fswiss\fcharset178\fprq2 Arial (Arabic);}_x000d__x000a_{\f322\fbidi \fswiss\fcharset186\fprq2 Arial Baltic;}{\f323\fbidi \fswiss\fcharset163\fprq2 Arial (Vietnamese);}{\f645\fbidi \froman\fcharset238\fprq2 Cambria Math CE;}{\f646\fbidi \froman\fcharset204\fprq2 Cambria Math Cyr;}_x000d__x000a_{\f648\fbidi \froman\fcharset161\fprq2 Cambria Math Greek;}{\f649\fbidi \froman\fcharset162\fprq2 Cambria Math Tur;}{\f652\fbidi \froman\fcharset186\fprq2 Cambria Math Baltic;}{\f653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47\fbidi \fswiss\fcharset222\fprq2 DokChampa (Thai){\*\falt Leelawadee UI};}{\flominor\f31548\fbidi \froman\fcharset238\fprq2 Times New Roman CE;}{\flominor\f31549\fbidi \froman\fcharset204\fprq2 Times New Roman Cyr;}_x000d__x000a_{\flominor\f31551\fbidi \froman\fcharset161\fprq2 Times New Roman Greek;}{\flominor\f31552\fbidi \froman\fcharset162\fprq2 Times New Roman Tur;}{\flominor\f31553\fbidi \froman\fcharset177\fprq2 Times New Roman (Hebrew);}_x000d__x000a_{\flominor\f31554\fbidi \froman\fcharset178\fprq2 Times New Roman (Arabic);}{\flominor\f31555\fbidi \froman\fcharset186\fprq2 Times New Roman Baltic;}{\flominor\f31556\fbidi \froman\fcharset163\fprq2 Times New Roman (Vietnamese);}_x000d__x000a_{\fdbminor\f31558\fbidi \froman\fcharset238\fprq2 Times New Roman CE;}{\fdbminor\f31559\fbidi \froman\fcharset204\fprq2 Times New Roman Cyr;}{\fdbminor\f31561\fbidi \froman\fcharset161\fprq2 Times New Roman Greek;}_x000d__x000a_{\fdbminor\f31562\fbidi \froman\fcharset162\fprq2 Times New Roman Tur;}{\fdbminor\f31563\fbidi \froman\fcharset177\fprq2 Times New Roman (Hebrew);}{\fdbminor\f31564\fbidi \froman\fcharset178\fprq2 Times New Roman (Arabic);}_x000d__x000a_{\fdbminor\f31565\fbidi \froman\fcharset186\fprq2 Times New Roman Baltic;}{\fdbminor\f31566\fbidi \froman\fcharset163\fprq2 Times New Roman (Vietnamese);}{\fhiminor\f31568\fbidi \fswiss\fcharset238\fprq2 Calibri CE;}_x000d__x000a_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87\fbidi \fswiss\fcharset222\fprq2 DokChampa (Thai){\*\falt Leelawadee UI};}}{\colortbl;\red0\green0\blue0;\red0\green0\blue255;\red0\green255\blue255;_x000d__x000a_\red0\green255\blue0;\red255\green0\blue255;\red255\green0\blue0;\red255\green255\blue0;\red255\green255\blue255;\red0\green0\blue128;\red0\green128\blue128;\red0\green128\blue0;\red128\green0\blue128;\red128\green0\blue0;\red128\green128\blue0;_x000d__x000a_\red128\green128\blue128;\red192\green192\blue192;\caccentone\ctint255\cshade191\red46\green116\blue181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\styrsid7823322 Normal;}{_x000d__x000a_\s1\ql \li0\ri0\sb240\keep\keepn\widctlpar\wrapdefault\aspalpha\aspnum\faauto\outlinelevel0\adjustright\rin0\lin0\itap0 \rtlch\fcs1 \af31503\afs32\alang1025 \ltrch\fcs0 _x000d__x000a_\fs32\cf17\lang2057\langfe2057\loch\f31502\hich\af31502\dbch\af31501\cgrid\langnp2057\langfenp2057 \sbasedon0 \snext0 \slink15 \ssemihidden \sqformat \spriority0 \styrsid223860 heading 1;}{\*\cs10 \additive \ssemihidden \sunhideused \spriority1 _x000d__x000a_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unhideused Normal Table;}{\*\cs15 \additive _x000d__x000a_\rtlch\fcs1 \af31503\afs32 \ltrch\fcs0 \fs32\cf17\loch\f31502\hich\af31502\dbch\af31501 \sbasedon10 \slink1 \slocked \ssemihidden \spriority0 \styrsid11549030 Heading 1 Char;}{_x000d__x000a_\s16\ql \li0\ri0\sa240\widctlpar\wrapdefault\aspalpha\aspnum\faauto\adjustright\rin0\lin0\itap0 \rtlch\fcs1 \af0\afs20\alang1025 \ltrch\fcs0 \fs24\lang2057\langfe2057\cgrid\langnp2057\langfenp2057 _x000d__x000a_\sbasedon0 \snext0 \ssemihidden \sunhideused \sqformat \spriority39 \styrsid223860 TOC Heading;}{\*\cs17 \additive \v\f1\fs20\cf9\lang1024\langfe1024\noproof \spriority0 \styrsid5795702 HideTWBExt;}{\*\cs18 \additive \v\f1\fs20\cf15 _x000d__x000a_\spriority0 \styrsid5795702 HideTWBInt;}{\s19\ql \li0\ri0\sa120\nowidctlpar\wrapdefault\aspalpha\aspnum\faauto\adjustright\rin0\lin0\itap0 \rtlch\fcs1 \af0\afs20\alang1025 \ltrch\fcs0 \fs24\lang1040\langfe2057\cgrid\langnp1040\langfenp2057 _x000d__x000a_\sbasedon0 \snext19 \spriority0 \styrsid5795702 Normal6a;}{\s20\ql \li0\ri0\nowidctlpar\wrapdefault\aspalpha\aspnum\faauto\adjustright\rin0\lin0\itap0 \rtlch\fcs1 \af0\afs20\alang1025 \ltrch\fcs0 \b\fs24\lang1040\langfe2057\cgrid\langnp1040\langfenp2057 _x000d__x000a_\sbasedon0 \snext20 \spriority0 \styrsid5795702 NormalBold;}{\s21\ql \li0\ri0\sa240\nowidctlpar\wrapdefault\aspalpha\aspnum\faauto\adjustright\rin0\lin0\itap0 \rtlch\fcs1 \af0\afs20\alang1025 \ltrch\fcs0 _x000d__x000a_\i\fs24\lang1040\langfe2057\cgrid\langnp1040\langfenp2057 \sbasedon0 \snext21 \spriority0 \styrsid5795702 AmJustText;}{\s22\qc \li0\ri0\sb240\sa240\nowidctlpar\wrapdefault\aspalpha\aspnum\faauto\adjustright\rin0\lin0\itap0 \rtlch\fcs1 _x000d__x000a_\af0\afs20\alang1025 \ltrch\fcs0 \i\fs24\lang1040\langfe2057\cgrid\langnp1040\langfenp2057 \sbasedon0 \snext22 \spriority0 \styrsid5795702 AmCrossRef;}{_x000d__x000a_\s23\qc \li0\ri0\sb240\sa240\keepn\nowidctlpar\wrapdefault\aspalpha\aspnum\faauto\adjustright\rin0\lin0\itap0 \rtlch\fcs1 \af0\afs20\alang1025 \ltrch\fcs0 \i\fs24\lang1040\langfe2057\cgrid\langnp1040\langfenp2057 _x000d__x000a_\sbasedon0 \snext21 \spriority0 \styrsid5795702 AmJustTitle;}{\s24\qr \li0\ri0\sb240\sa240\nowidctlpar\wrapdefault\aspalpha\aspnum\faauto\adjustright\rin0\lin0\itap0 \rtlch\fcs1 \af0\afs20\alang1025 \ltrch\fcs0 _x000d__x000a_\fs24\lang1040\langfe2057\cgrid\langnp1040\langfenp2057 \sbasedon0 \snext24 \spriority0 \styrsid5795702 AmOrLang;}{\s25\qc \li0\ri0\sa240\nowidctlpar\wrapdefault\aspalpha\aspnum\faauto\adjustright\rin0\lin0\itap0 \rtlch\fcs1 \af0\afs20\alang1025 _x000d__x000a_\ltrch\fcs0 \i\fs24\lang1040\langfe2057\cgrid\langnp1040\langfenp2057 \sbasedon0 \snext25 \spriority0 \styrsid5795702 AmColumnHeading;}{\s26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1040\langfe2057\cgrid\langnp1040\langfenp2057 \sbasedon0 \snext26 \spriority0 \styrsid5795702 AmNumberTabs;}{\s27\ql \li0\ri0\sb240\nowidctlpar\wrapdefault\aspalpha\aspnum\faauto\adjustright\rin0\lin0\itap0 \rtlch\fcs1 _x000d__x000a_\af0\afs20\alang1025 \ltrch\fcs0 \b\fs24\lang1040\langfe2057\cgrid\langnp1040\langfenp2057 \sbasedon0 \snext27 \spriority0 \styrsid5795702 NormalBold12b;}}{\*\rsidtbl \rsid24658\rsid223860\rsid735077\rsid1718133\rsid2892074\rsid3565327\rsid4666813_x000d__x000a_\rsid5795702\rsid6641733\rsid7823322\rsid9636012\rsid10377208\rsid11215221\rsid11549030\rsid12154954\rsid12609618\rsid14382809\rsid14424199\rsid15204470\rsid15285974\rsid15950462\rsid16324206\rsid16662270}{\mmathPr\mmathFont34\mbrkBin0\mbrkBinSub0_x000d__x000a_\msmallFrac0\mdispDef1\mlMargin0\mrMargin0\mdefJc1\mwrapIndent1440\mintLim0\mnaryLim1}{\info{\author LATERZA Angela}{\operator LATERZA Angela}{\creatim\yr2022\mo9\dy21\hr14\min44}{\revtim\yr2022\mo9\dy21\hr14\min44}{\version1}{\edmins0}{\nofpages1}_x000d__x000a_{\nofwords105}{\nofchars604}{\nofcharsws708}{\vern107}}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splytwnine\ftnlytwnine\htmautsp\nolnhtadjtbl\useltbaln\alntblind\lytcalctblwd\lyttblrtgr\lnbrkrule\nobrkwrptbl\snaptogridincell\allowfieldendsel\wrppunct_x000d__x000a_\asianbrkrule\nojkernpunct\rsidroot5795702\newtblstyruls\nogrowautofit\usenormstyforlist\noindnmbrts\felnbrelev\nocxsptable\indrlsweleven\noafcnsttbl\afelev\utinl\hwelev\spltpgpar\notcvasp\notbrkcnstfrctbl\notvatxbx\krnprsnet\cachedcolbal _x000d__x000a_\nouicompat \fet0{\*\wgrffmtfilter 013f}\nofeaturethrottle1\ilfomacatclnup0{\*\template C:\\Users\\alaterza\\AppData\\Local\\Temp\\Blank1.dotx}{\*\ftnsep \ltrpar \pard\plain \ltrpar_x000d__x000a_\ql \li0\ri0\widctlpar\wrapdefault\aspalpha\aspnum\faauto\adjustright\rin0\lin0\itap0 \rtlch\fcs1 \af0\afs20\alang1025 \ltrch\fcs0 \fs24\lang2057\langfe2057\cgrid\langnp2057\langfenp2057 {\rtlch\fcs1 \af0 \ltrch\fcs0 \insrsid12609618 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2609618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2609618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2609618 \chftnsepc _x000d__x000a_\par }}\ltrpar \sectd \ltrsect\psz9\linex0\headery1134\footery567\endnhere\titlepg\sectlinegrid326\sectdefaultcl\sectrsid10377208\sftnbj\sftnrestart {\headerl \ltrpar \pard\plain \ltrpar_x000d__x000a_\ql \li0\ri0\widctlpar\wrapdefault\aspalpha\aspnum\faauto\adjustright\rin0\lin0\itap0 \rtlch\fcs1 \af0\afs20\alang1025 \ltrch\fcs0 \fs24\lang2057\langfe2057\cgrid\langnp2057\langfenp2057 {\rtlch\fcs1 \af0 \ltrch\fcs0 \insrsid1718133 _x000d__x000a_\par }}{\head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l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r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head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footerf \ltrpar \pard\plain \ltrpar\ql \li0\ri0\widctlpar\wrapdefault\aspalpha\aspnum\faauto\adjustright\rin0\lin0\itap0 \rtlch\fcs1 \af0\afs20\alang1025 \ltrch\fcs0 \fs24\lang2057\langfe2057\cgrid\langnp2057\langfenp2057 {\rtlch\fcs1 \af0 _x000d__x000a_\ltrch\fcs0 \insrsid1718133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6\ql \li0\ri0\sb240\keepn\nowidctlpar_x000d__x000a_\tx879\tx936\tx1021\tx1077\tx1134\tx1191\tx1247\tx1304\tx1361\tx1418\tx1474\tx1531\tx1588\tx1644\tx1701\tx1758\tx1814\tx1871\tx2070\tx2126\tx3374\tx3430\wrapdefault\aspalpha\aspnum\faauto\adjustright\rin0\lin0\itap0\pararsid5795702 \rtlch\fcs1 _x000d__x000a_\af0\afs20\alang1025 \ltrch\fcs0 \b\fs24\lang1040\langfe2057\cgrid\langnp1040\langfenp2057 {\rtlch\fcs1 \af0 \ltrch\fcs0 \cs17\b0\v\fs20\cf9\loch\af1\hich\af1\dbch\af31501\insrsid5795702\charrsid10643584 {\*\bkmkstart restart}_x000d__x000a_\hich\af1\dbch\af31501\loch\f1 &lt;Amend&gt;}{\rtlch\fcs1 \af0 \ltrch\fcs0 \insrsid5795702\charrsid10643584 Emendamento\tab \tab }{\rtlch\fcs1 \af0 \ltrch\fcs0 \cs17\b0\v\fs20\cf9\loch\af1\hich\af1\dbch\af31501\insrsid5795702\charrsid10643584 _x000d__x000a_\hich\af1\dbch\af31501\loch\f1 &lt;NumAm&gt;}{\rtlch\fcs1 \af0 \ltrch\fcs0 \insrsid5795702\charrsid10643584 #}{\rtlch\fcs1 \af1 \ltrch\fcs0 \cs18\v\f1\fs20\cf15\insrsid5795702\charrsid10643584 ENMIENDA@NRAM@}{\rtlch\fcs1 \af0 \ltrch\fcs0 _x000d__x000a_\insrsid5795702\charrsid10643584 #}{\rtlch\fcs1 \af0 \ltrch\fcs0 \cs17\b0\v\fs20\cf9\loch\af1\hich\af1\dbch\af31501\insrsid5795702\charrsid10643584 \hich\af1\dbch\af31501\loch\f1 &lt;/NumAm&gt;}{\rtlch\fcs1 \af0 \ltrch\fcs0 \insrsid5795702\charrsid10643584 _x000d__x000a__x000d__x000a_\par }\pard\plain \ltrpar\s27\ql \li0\ri0\sb240\keepn\nowidctlpar\wrapdefault\aspalpha\aspnum\faauto\adjustright\rin0\lin0\itap0\pararsid5795702 \rtlch\fcs1 \af0\afs20\alang1025 \ltrch\fcs0 \b\fs24\lang1040\langfe2057\cgrid\langnp1040\langfenp2057 {_x000d__x000a_\rtlch\fcs1 \af0 \ltrch\fcs0 \cs17\b0\v\fs20\cf9\loch\af1\hich\af1\dbch\af31501\insrsid5795702\charrsid10643584 \hich\af1\dbch\af31501\loch\f1 &lt;DocAmend&gt;}{\rtlch\fcs1 \af0 \ltrch\fcs0 \insrsid5795702\charrsid10643584 Proposta di #}{\rtlch\fcs1 \af1 _x000d__x000a_\ltrch\fcs0 \cs18\v\f1\fs20\cf15\insrsid5795702\charrsid10643584 MNU[DOC1][DOC2][DOC3]@DOCMSG@DOCMNU}{\rtlch\fcs1 \af0 \ltrch\fcs0 \insrsid5795702\charrsid10643584 ##}{\rtlch\fcs1 \af1 \ltrch\fcs0 \cs18\v\f1\fs20\cf15\insrsid5795702\charrsid10643584 _x000d__x000a_MNU[AMACTYES][NOTAPP]@CHOICE@AMACTMNU}{\rtlch\fcs1 \af0 \ltrch\fcs0 \insrsid5795702\charrsid10643584 #}{\rtlch\fcs1 \af0 \ltrch\fcs0 \cs17\b0\v\fs20\cf9\loch\af1\hich\af1\dbch\af31501\insrsid5795702\charrsid10643584 \hich\af1\dbch\af31501\loch\f1 _x000d__x000a_&lt;/DocAmend&gt;}{\rtlch\fcs1 \af0 \ltrch\fcs0 \insrsid5795702\charrsid10643584 _x000d__x000a_\par }\pard\plain \ltrpar\s20\ql \li0\ri0\keepn\nowidctlpar\wrapdefault\aspalpha\aspnum\faauto\adjustright\rin0\lin0\itap0\pararsid5795702 \rtlch\fcs1 \af0\afs20\alang1025 \ltrch\fcs0 \b\fs24\lang1040\langfe2057\cgrid\langnp1040\langfenp2057 {\rtlch\fcs1 \af0 _x000d__x000a_\ltrch\fcs0 \cs17\b0\v\fs20\cf9\loch\af1\hich\af1\dbch\af31501\insrsid5795702\charrsid10643584 \hich\af1\dbch\af31501\loch\f1 &lt;Article&gt;}{\rtlch\fcs1 \af0 \ltrch\fcs0 \insrsid5795702\charrsid10643584 #}{\rtlch\fcs1 \af1 \ltrch\fcs0 _x000d__x000a_\cs18\v\f1\fs20\cf15\insrsid5795702\charrsid10643584 MNU[AMACTPARTYES][AMACTPARTNO]@CHOICE@AMACTMNU}{\rtlch\fcs1 \af0 \ltrch\fcs0 \insrsid5795702\charrsid10643584 #}{\rtlch\fcs1 \af0 \ltrch\fcs0 _x000d__x000a_\cs17\b0\v\fs20\cf9\loch\af1\hich\af1\dbch\af31501\insrsid5795702\charrsid10643584 \hich\af1\dbch\af31501\loch\f1 &lt;/Article&gt;}{\rtlch\fcs1 \af0 \ltrch\fcs0 \insrsid5795702\charrsid10643584 _x000d__x000a_\par }\pard\plain \ltrpar\ql \li0\ri0\keepn\widctlpar\wrapdefault\aspalpha\aspnum\faauto\adjustright\rin0\lin0\itap0\pararsid5795702 \rtlch\fcs1 \af0\afs20\alang1025 \ltrch\fcs0 \fs24\lang2057\langfe2057\cgrid\langnp2057\langfenp2057 {\rtlch\fcs1 \af0 _x000d__x000a_\ltrch\fcs0 \cs17\v\fs20\cf9\lang1040\langfe2057\loch\af1\hich\af1\dbch\af31501\langnp1040\insrsid5795702\charrsid10643584 \hich\af1\dbch\af31501\loch\f1 &lt;DocAmend2&gt;&lt;OptDel&gt;}{\rtlch\fcs1 \af0 \ltrch\fcs0 _x000d__x000a_\lang1040\langfe2057\langnp1040\insrsid5795702\charrsid10643584 #}{\rtlch\fcs1 \af1 \ltrch\fcs0 \cs18\v\f1\fs20\cf15\lang1040\langfe2057\langnp1040\insrsid5795702\charrsid10643584 MNU[OPTNRACTYES][NOTAPP]@CHOICE@AMACTMNU}{\rtlch\fcs1 \af0 \ltrch\fcs0 _x000d__x000a_\lang1040\langfe2057\langnp1040\insrsid5795702\charrsid10643584 #}{\rtlch\fcs1 \af0 \ltrch\fcs0 \cs17\v\fs20\cf9\lang1040\langfe2057\loch\af1\hich\af1\dbch\af31501\langnp1040\insrsid5795702\charrsid10643584 \hich\af1\dbch\af31501\loch\f1 _x000d__x000a_&lt;/OptDel&gt;&lt;/DocAmend2&gt;}{\rtlch\fcs1 \af0 \ltrch\fcs0 \lang1040\langfe2057\langnp1040\insrsid5795702\charrsid10643584 _x000d__x000a_\par }\pard \ltrpar\ql \li0\ri0\widctlpar\wrapdefault\aspalpha\aspnum\faauto\adjustright\rin0\lin0\itap0\pararsid5795702 {\rtlch\fcs1 \af0 \ltrch\fcs0 _x000d__x000a_\cs17\v\fs20\cf9\lang1040\langfe2057\loch\af1\hich\af1\dbch\af31501\langnp1040\insrsid5795702\charrsid10643584 \hich\af1\dbch\af31501\loch\f1 &lt;Article2&gt;&lt;OptDel&gt;}{\rtlch\fcs1 \af0 \ltrch\fcs0 \lang1040\langfe2057\langnp1040\insrsid5795702\charrsid10643584 _x000d__x000a_#}{\rtlch\fcs1 \af1 \ltrch\fcs0 \cs18\v\f1\fs20\cf15\lang1040\langfe2057\langnp1040\insrsid5795702\charrsid10643584 MNU[OPTACTPARTYES][NOTAPP]@CHOICE@AMACTMNU}{\rtlch\fcs1 \af0 \ltrch\fcs0 \lang1040\langfe2057\langnp1040\insrsid5795702\charrsid10643584 #}_x000d__x000a_{\rtlch\fcs1 \af0 \ltrch\fcs0 \cs17\v\fs20\cf9\lang1040\langfe2057\loch\af1\hich\af1\dbch\af31501\langnp1040\insrsid5795702\charrsid10643584 \hich\af1\dbch\af31501\loch\f1 &lt;/OptDel&gt;&lt;/Article2&gt;}{\rtlch\fcs1 \af0 \ltrch\fcs0 _x000d__x000a_\lang1040\langfe2057\langnp1040\insrsid5795702\charrsid10643584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lang1040\langfe2057\langnp1040\insrsid5795702\charrsid10643584 \cell }\pard\plain \ltrpar_x000d__x000a_\ql \li0\ri0\widctlpar\intbl\wrapdefault\aspalpha\aspnum\faauto\adjustright\rin0\lin0 \rtlch\fcs1 \af0\afs20\alang1025 \ltrch\fcs0 \fs24\lang2057\langfe2057\cgrid\langnp2057\langfenp2057 {\rtlch\fcs1 \af0 \ltrch\fcs0 _x000d__x000a_\lang1040\langfe2057\langnp1040\insrsid5795702\charrsid10643584 \trowd \irow0\irowband0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5\qc \li0\ri0\sa240\keepn\nowidctlpar\intbl\wrapdefault\aspalpha\aspnum\faauto\adjustright\rin0\lin0\pararsid14315216 \rtlch\fcs1 \af0\afs20\alang1025 \ltrch\fcs0 \i\fs24\lang1040\langfe2057\cgrid\langnp1040\langfenp2057 {\rtlch\fcs1 \af0 \ltrch\fcs0 _x000d__x000a_\insrsid5795702\charrsid10643584 #}{\rtlch\fcs1 \af1 \ltrch\fcs0 \cs18\v\f1\fs20\cf15\insrsid5795702\charrsid10643584 MNU[OPTLEFTAMACT][LEFTPROP]@CHOICE@AMACTMNU}{\rtlch\fcs1 \af0 \ltrch\fcs0 \insrsid5795702\charrsid10643584 #\cell Emendamento\cell _x000d__x000a_}\pard\plain \ltrpar\ql \li0\ri0\widctlpar\intbl\wrapdefault\aspalpha\aspnum\faauto\adjustright\rin0\lin0 \rtlch\fcs1 \af0\afs20\alang1025 \ltrch\fcs0 \fs24\lang2057\langfe2057\cgrid\langnp2057\langfenp2057 {\rtlch\fcs1 \af0 \ltrch\fcs0 _x000d__x000a_\lang1040\langfe2057\langnp1040\insrsid5795702\charrsid10643584 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9\ql \li0\ri0\sa120\nowidctlpar\intbl\wrapdefault\aspalpha\aspnum\faauto\adjustright\rin0\lin0\pararsid2517430 \rtlch\fcs1 \af0\afs20\alang1025 \ltrch\fcs0 \fs24\lang1040\langfe2057\cgrid\langnp1040\langfenp2057 {\rtlch\fcs1 \af0 \ltrch\fcs0 _x000d__x000a_\insrsid5795702\charrsid10643584 #}{\rtlch\fcs1 \af1 \ltrch\fcs0 \cs18\v\f1\fs20\cf15\insrsid5795702\charrsid10643584 TESTO}{\rtlch\fcs1 \af0 \ltrch\fcs0 \insrsid5795702\charrsid10643584 #\cell #}{\rtlch\fcs1 \af1 \ltrch\fcs0 _x000d__x000a_\cs18\v\f1\fs20\cf15\insrsid5795702\charrsid10643584 TESTO}{\rtlch\fcs1 \af0 \ltrch\fcs0 \insrsid5795702\charrsid10643584 #}{\rtlch\fcs1 \af0\afs24 \ltrch\fcs0 \insrsid5795702\charrsid10643584 \cell }\pard\plain \ltrpar_x000d__x000a_\ql \li0\ri0\widctlpar\intbl\wrapdefault\aspalpha\aspnum\faauto\adjustright\rin0\lin0 \rtlch\fcs1 \af0\afs20\alang1025 \ltrch\fcs0 \fs24\lang2057\langfe2057\cgrid\langnp2057\langfenp2057 {\rtlch\fcs1 \af0 \ltrch\fcs0 _x000d__x000a_\lang1040\langfe2057\langnp1040\insrsid5795702\charrsid10643584 \trowd \irow2\irowband2\lastrow 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4\qr \li0\ri0\sb240\sa240\nowidctlpar\wrapdefault\aspalpha\aspnum\faauto\adjustright\rin0\lin0\itap0\pararsid5795702 \rtlch\fcs1 \af0\afs20\alang1025 \ltrch\fcs0 \fs24\lang1040\langfe2057\cgrid\langnp1040\langfenp2057 {\rtlch\fcs1 \af0 \ltrch\fcs0 _x000d__x000a_\insrsid5795702\charrsid10643584 Or. }{\rtlch\fcs1 \af0 \ltrch\fcs0 \cs17\v\fs20\cf9\loch\af1\hich\af1\dbch\af31501\insrsid5795702\charrsid10643584 \hich\af1\dbch\af31501\loch\f1 &lt;Original&gt;}{\rtlch\fcs1 \af0 \ltrch\fcs0 \insrsid5795702\charrsid10643584 #}_x000d__x000a_{\rtlch\fcs1 \af1 \ltrch\fcs0 \cs18\v\f1\fs20\cf15\insrsid5795702\charrsid10643584 MNU[ORLANGONE][ORLANGMORE]@CHOICE@ORLANGMNU}{\rtlch\fcs1 \af0 \ltrch\fcs0 \insrsid5795702\charrsid10643584 #}{\rtlch\fcs1 \af0 \ltrch\fcs0 _x000d__x000a_\cs17\v\fs20\cf9\loch\af1\hich\af1\dbch\af31501\insrsid5795702\charrsid10643584 \hich\af1\dbch\af31501\loch\f1 &lt;/Original&gt;}{\rtlch\fcs1 \af0 \ltrch\fcs0 \insrsid5795702\charrsid10643584 _x000d__x000a_\par }\pard\plain \ltrpar\s22\qc \li0\ri0\sb240\sa240\nowidctlpar\wrapdefault\aspalpha\aspnum\faauto\adjustright\rin0\lin0\itap0\pararsid5795702 \rtlch\fcs1 \af0\afs20\alang1025 \ltrch\fcs0 \i\fs24\lang1040\langfe2057\cgrid\langnp1040\langfenp2057 {_x000d__x000a_\rtlch\fcs1 \af0 \ltrch\fcs0 \cs17\i0\v\fs20\cf9\loch\af1\hich\af1\dbch\af31501\insrsid5795702\charrsid10643584 \hich\af1\dbch\af31501\loch\f1 &lt;OptDel&gt;}{\rtlch\fcs1 \af0 \ltrch\fcs0 \insrsid5795702\charrsid10643584 #}{\rtlch\fcs1 \af1 \ltrch\fcs0 _x000d__x000a_\cs18\v\f1\fs20\cf15\insrsid5795702\charrsid10643584 MNU[CROSSREFNO][CROSSREFYES]@CHOICE@}{\rtlch\fcs1 \af0 \ltrch\fcs0 \insrsid5795702\charrsid10643584 #}{\rtlch\fcs1 \af0 \ltrch\fcs0 _x000d__x000a_\cs17\i0\v\fs20\cf9\loch\af1\hich\af1\dbch\af31501\insrsid5795702\charrsid10643584 \hich\af1\dbch\af31501\loch\f1 &lt;/OptDel&gt;}{\rtlch\fcs1 \af0 \ltrch\fcs0 \insrsid5795702\charrsid10643584 _x000d__x000a_\par }\pard\plain \ltrpar\s23\qc \li0\ri0\sb240\sa240\keepn\nowidctlpar\wrapdefault\aspalpha\aspnum\faauto\adjustright\rin0\lin0\itap0\pararsid5795702 \rtlch\fcs1 \af0\afs20\alang1025 \ltrch\fcs0 \i\fs24\lang1040\langfe2057\cgrid\langnp1040\langfenp2057 {_x000d__x000a_\rtlch\fcs1 \af0 \ltrch\fcs0 \cs17\i0\v\fs20\cf9\loch\af1\hich\af1\dbch\af31501\insrsid5795702\charrsid10643584 \hich\af1\dbch\af31501\loch\f1 &lt;TitreJust&gt;}{\rtlch\fcs1 \af0 \ltrch\fcs0 \insrsid5795702\charrsid10643584 Motivazione}{\rtlch\fcs1 \af0 _x000d__x000a_\ltrch\fcs0 \cs17\i0\v\fs20\cf9\loch\af1\hich\af1\dbch\af31501\insrsid5795702\charrsid10643584 \hich\af1\dbch\af31501\loch\f1 &lt;/TitreJust&gt;}{\rtlch\fcs1 \af0 \ltrch\fcs0 \insrsid5795702\charrsid10643584 _x000d__x000a_\par }\pard\plain \ltrpar\s21\ql \li0\ri0\sa240\nowidctlpar\wrapdefault\aspalpha\aspnum\faauto\adjustright\rin0\lin0\itap0\pararsid5795702 \rtlch\fcs1 \af0\afs20\alang1025 \ltrch\fcs0 \i\fs24\lang1040\langfe2057\cgrid\langnp1040\langfenp2057 {\rtlch\fcs1 \af0 _x000d__x000a_\ltrch\fcs0 \cs17\i0\v\fs20\cf9\loch\af1\hich\af1\dbch\af31501\insrsid5795702\charrsid10643584 \hich\af1\dbch\af31501\loch\f1 &lt;OptDelPrev&gt;}{\rtlch\fcs1 \af0 \ltrch\fcs0 \insrsid5795702\charrsid10643584 #}{\rtlch\fcs1 \af1 \ltrch\fcs0 _x000d__x000a_\cs18\v\f1\fs20\cf15\insrsid5795702\charrsid10643584 MNU[TEXTJUSTYES][TEXTJUSTNO]@CHOICE@}{\rtlch\fcs1 \af0 \ltrch\fcs0 \insrsid5795702\charrsid10643584 #}{\rtlch\fcs1 \af0 \ltrch\fcs0 _x000d__x000a_\cs17\i0\v\fs20\cf9\loch\af1\hich\af1\dbch\af31501\insrsid5795702\charrsid10643584 \hich\af1\dbch\af31501\loch\f1 &lt;/OptDelPrev&gt;}{\rtlch\fcs1 \af0 \ltrch\fcs0 \insrsid5795702\charrsid10643584 _x000d__x000a_\par }\pard\plain \ltrpar\ql \li0\ri0\widctlpar\wrapdefault\aspalpha\aspnum\faauto\adjustright\rin0\lin0\itap0\pararsid5795702 \rtlch\fcs1 \af0\afs20\alang1025 \ltrch\fcs0 \fs24\lang2057\langfe2057\cgrid\langnp2057\langfenp2057 {\rtlch\fcs1 \af0 \ltrch\fcs0 _x000d__x000a_\cs17\v\fs20\cf9\lang1040\langfe2057\loch\af1\hich\af1\dbch\af31501\langnp1040\insrsid5795702\charrsid10643584 \hich\af1\dbch\af31501\loch\f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unhideused1 \lsdlocked0 Normal Table;\lsdsemihidden1 \lsdunhideused1 \lsdlocked0 Table Simple 1;_x000d__x000a_\lsdsemihidden1 \lsdunhideused1 \lsdlocked0 Table Simple 2;\lsdsemihidden1 \lsdunhideused1 \lsdlocked0 Table Simple 3;\lsdsemihidden1 \lsdunhideused1 \lsdlocked0 Table Classic 1;\lsdsemihidden1 \lsdunhideused1 \lsdlocked0 Table Classic 2;_x000d__x000a_\lsdsemihidden1 \lsdunhideused1 \lsdlocked0 Table Classic 3;\lsdsemihidden1 \lsdunhideused1 \lsdlocked0 Table Classic 4;\lsdsemihidden1 \lsdunhideused1 \lsdlocked0 Table Colorful 1;\lsdsemihidden1 \lsdunhideused1 \lsdlocked0 Table Colorful 2;_x000d__x000a_\lsdsemihidden1 \lsdunhideused1 \lsdlocked0 Table Colorful 3;\lsdsemihidden1 \lsdunhideused1 \lsdlocked0 Table Columns 1;\lsdsemihidden1 \lsdunhideused1 \lsdlocked0 Table Columns 2;\lsdsemihidden1 \lsdunhideused1 \lsdlocked0 Table Columns 3;_x000d__x000a_\lsdsemihidden1 \lsdunhideused1 \lsdlocked0 Table Columns 4;\lsdsemihidden1 \lsdunhideused1 \lsdlocked0 Table Columns 5;\lsdsemihidden1 \lsdunhideused1 \lsdlocked0 Table Grid 1;\lsdsemihidden1 \lsdunhideused1 \lsdlocked0 Table Grid 2;_x000d__x000a_\lsdsemihidden1 \lsdunhideused1 \lsdlocked0 Table Grid 3;\lsdsemihidden1 \lsdunhideused1 \lsdlocked0 Table Grid 4;\lsdsemihidden1 \lsdunhideused1 \lsdlocked0 Table Grid 5;\lsdsemihidden1 \lsdunhideused1 \lsdlocked0 Table Grid 6;_x000d__x000a_\lsdsemihidden1 \lsdunhideused1 \lsdlocked0 Table Grid 7;\lsdsemihidden1 \lsdunhideused1 \lsdlocked0 Table Grid 8;\lsdsemihidden1 \lsdunhideused1 \lsdlocked0 Table List 1;\lsdsemihidden1 \lsdunhideused1 \lsdlocked0 Table List 2;_x000d__x000a_\lsdsemihidden1 \lsdunhideused1 \lsdlocked0 Table List 3;\lsdsemihidden1 \lsdunhideused1 \lsdlocked0 Table List 4;\lsdsemihidden1 \lsdunhideused1 \lsdlocked0 Table List 5;\lsdsemihidden1 \lsdunhideused1 \lsdlocked0 Table List 6;_x000d__x000a_\lsdsemihidden1 \lsdunhideused1 \lsdlocked0 Table List 7;\lsdsemihidden1 \lsdunhideused1 \lsdlocked0 Table List 8;\lsdsemihidden1 \lsdunhideused1 \lsdlocked0 Table 3D effects 1;\lsdsemihidden1 \lsdunhideused1 \lsdlocked0 Table 3D effects 2;_x000d__x000a_\lsdsemihidden1 \lsdunhideused1 \lsdlocked0 Table 3D effects 3;\lsdsemihidden1 \lsdunhideused1 \lsdlocked0 Table Contemporary;\lsdsemihidden1 \lsdunhideused1 \lsdlocked0 Table Elegant;\lsdsemihidden1 \lsdunhideused1 \lsdlocked0 Table Professional;_x000d__x000a_\lsdsemihidden1 \lsdunhideused1 \lsdlocked0 Table Subtle 1;\lsdsemihidden1 \lsdunhideused1 \lsdlocked0 Table Subtle 2;\lsdsemihidden1 \lsdunhideused1 \lsdlocked0 Table Web 1;\lsdsemihidden1 \lsdunhideused1 \lsdlocked0 Table Web 2;_x000d__x000a_\lsdsemihidden1 \lsdunhideused1 \lsdlocked0 Table Web 3;\lsdsemihidden1 \lsdunhideused1 \lsdlocked0 Table Theme;\lsdsemihidden1 \lsdpriority99 \lsdlocked0 Placeholder Text;\lsdqformat1 \lsdpriority1 \lsdlocked0 No Spacing;_x000d__x000a_\lsdpriority60 \lsdlocked0 Light Shading;\lsdpriority61 \lsdlocked0 Light List;\lsdpriority62 \lsdlocked0 Light Grid;\lsdpriority63 \lsdlocked0 Medium Shading 1;\lsdpriority64 \lsdlocked0 Medium Shading 2;\lsdpriority65 \lsdlocked0 Medium List 1;_x000d__x000a_\lsdpriority66 \lsdlocked0 Medium List 2;\lsdpriority67 \lsdlocked0 Medium Grid 1;\lsdpriority68 \lsdlocked0 Medium Grid 2;\lsdpriority69 \lsdlocked0 Medium Grid 3;\lsdpriority70 \lsdlocked0 Dark List;\lsdpriority71 \lsdlocked0 Colorful Shading;_x000d__x000a_\lsdpriority72 \lsdlocked0 Colorful List;\lsdpriority73 \lsdlocked0 Colorful Grid;\lsdpriority60 \lsdlocked0 Light Shading Accent 1;\lsdpriority61 \lsdlocked0 Light List Accent 1;\lsdpriority62 \lsdlocked0 Light Grid Accent 1;_x000d__x000a_\lsdpriority63 \lsdlocked0 Medium Shading 1 Accent 1;\lsdpriority64 \lsdlocked0 Medium Shading 2 Accent 1;\lsdpriority65 \lsdlocked0 Medium List 1 Accent 1;\lsdsemihidden1 \lsdpriority99 \lsdlocked0 Revision;_x000d__x000a_\lsdqformat1 \lsdpriority34 \lsdlocked0 List Paragraph;\lsdqformat1 \lsdpriority29 \lsdlocked0 Quote;\lsdqformat1 \lsdpriority30 \lsdlocked0 Intense Quote;\lsdpriority66 \lsdlocked0 Medium List 2 Accent 1;\lsdpriority67 \lsdlocked0 Medium Grid 1 Accent 1;_x000d__x000a_\lsdpriority68 \lsdlocked0 Medium Grid 2 Accent 1;\lsdpriority69 \lsdlocked0 Medium Grid 3 Accent 1;\lsdpriority70 \lsdlocked0 Dark List Accent 1;\lsdpriority71 \lsdlocked0 Colorful Shading Accent 1;\lsdpriority72 \lsdlocked0 Colorful List Accent 1;_x000d__x000a_\lsdpriority73 \lsdlocked0 Colorful Grid Accent 1;\lsdpriority60 \lsdlocked0 Light Shading Accent 2;\lsdpriority61 \lsdlocked0 Light List Accent 2;\lsdpriority62 \lsdlocked0 Light Grid Accent 2;\lsdpriority63 \lsdlocked0 Medium Shading 1 Accent 2;_x000d__x000a_\lsdpriority64 \lsdlocked0 Medium Shading 2 Accent 2;\lsdpriority65 \lsdlocked0 Medium List 1 Accent 2;\lsdpriority66 \lsdlocked0 Medium List 2 Accent 2;\lsdpriority67 \lsdlocked0 Medium Grid 1 Accent 2;\lsdpriority68 \lsdlocked0 Medium Grid 2 Accent 2;_x000d__x000a_\lsdpriority69 \lsdlocked0 Medium Grid 3 Accent 2;\lsdpriority70 \lsdlocked0 Dark List Accent 2;\lsdpriority71 \lsdlocked0 Colorful Shading Accent 2;\lsdpriority72 \lsdlocked0 Colorful List Accent 2;\lsdpriority73 \lsdlocked0 Colorful Grid Accent 2;_x000d__x000a_\lsdpriority60 \lsdlocked0 Light Shading Accent 3;\lsdpriority61 \lsdlocked0 Light List Accent 3;\lsdpriority62 \lsdlocked0 Light Grid Accent 3;\lsdpriority63 \lsdlocked0 Medium Shading 1 Accent 3;\lsdpriority64 \lsdlocked0 Medium Shading 2 Accent 3;_x000d__x000a_\lsdpriority65 \lsdlocked0 Medium List 1 Accent 3;\lsdpriority66 \lsdlocked0 Medium List 2 Accent 3;\lsdpriority67 \lsdlocked0 Medium Grid 1 Accent 3;\lsdpriority68 \lsdlocked0 Medium Grid 2 Accent 3;\lsdpriority69 \lsdlocked0 Medium Grid 3 Accent 3;_x000d__x000a_\lsdpriority70 \lsdlocked0 Dark List Accent 3;\lsdpriority71 \lsdlocked0 Colorful Shading Accent 3;\lsdpriority72 \lsdlocked0 Colorful List Accent 3;\lsdpriority73 \lsdlocked0 Colorful Grid Accent 3;\lsdpriority60 \lsdlocked0 Light Shading Accent 4;_x000d__x000a_\lsdpriority61 \lsdlocked0 Light List Accent 4;\lsdpriority62 \lsdlocked0 Light Grid Accent 4;\lsdpriority63 \lsdlocked0 Medium Shading 1 Accent 4;\lsdpriority64 \lsdlocked0 Medium Shading 2 Accent 4;\lsdpriority65 \lsdlocked0 Medium List 1 Accent 4;_x000d__x000a_\lsdpriority66 \lsdlocked0 Medium List 2 Accent 4;\lsdpriority67 \lsdlocked0 Medium Grid 1 Accent 4;\lsdpriority68 \lsdlocked0 Medium Grid 2 Accent 4;\lsdpriority69 \lsdlocked0 Medium Grid 3 Accent 4;\lsdpriority70 \lsdlocked0 Dark List Accent 4;_x000d__x000a_\lsdpriority71 \lsdlocked0 Colorful Shading Accent 4;\lsdpriority72 \lsdlocked0 Colorful List Accent 4;\lsdpriority73 \lsdlocked0 Colorful Grid Accent 4;\lsdpriority60 \lsdlocked0 Light Shading Accent 5;\lsdpriority61 \lsdlocked0 Light List Accent 5;_x000d__x000a_\lsdpriority62 \lsdlocked0 Light Grid Accent 5;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b_x000d__x000a_f5dab7cdd8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1615661 HideTWBExt;}{\s16\ql \li0\ri0\sa120\nowidctlpar\wrapdefault\aspalpha\aspnum\faauto\adjustright\rin0\lin0\itap0 \rtlch\fcs1 \af0\afs20\alang1025 \ltrch\fcs0 _x000d__x000a_\fs24\lang2057\langfe2057\cgrid\langnp2057\langfenp2057 \sbasedon0 \snext16 \spriority0 \styrsid11615661 Normal6a;}{\s17\ql \li0\ri0\nowidctlpar\wrapdefault\aspalpha\aspnum\faauto\adjustright\rin0\lin0\itap0 \rtlch\fcs1 \af0\afs20\alang1025 \ltrch\fcs0 _x000d__x000a_\b\fs24\lang2057\langfe2057\cgrid\langnp2057\langfenp2057 \sbasedon0 \snext17 \spriority0 \styrsid11615661 NormalBold;}{\s18\ql \li0\ri0\sa240\nowidctlpar\wrapdefault\aspalpha\aspnum\faauto\adjustright\rin0\lin0\itap0 \rtlch\fcs1 \af0\afs20\alang1025 _x000d__x000a_\ltrch\fcs0 \i\fs24\lang2057\langfe2057\cgrid\langnp2057\langfenp2057 \sbasedon0 \snext18 \spriority0 \styrsid11615661 AmJustText;}{\s19\qc \li0\ri0\sb240\sa240\nowidctlpar\wrapdefault\aspalpha\aspnum\faauto\adjustright\rin0\lin0\itap0 \rtlch\fcs1 _x000d__x000a_\af0\afs20\alang1025 \ltrch\fcs0 \i\fs24\lang2057\langfe2057\cgrid\langnp2057\langfenp2057 \sbasedon0 \snext19 \spriority0 \styrsid11615661 AmCrossRef;}{_x000d__x000a_\s20\qc \li0\ri0\sb240\sa240\keepn\nowidctlpar\wrapdefault\aspalpha\aspnum\faauto\adjustright\rin0\lin0\itap0 \rtlch\fcs1 \af0\afs20\alang1025 \ltrch\fcs0 \i\fs24\lang2057\langfe2057\cgrid\langnp2057\langfenp2057 _x000d__x000a_\sbasedon0 \snext18 \spriority0 \styrsid11615661 AmJustTitle;}{\s21\qr \li0\ri0\sb240\sa240\nowidctlpar\wrapdefault\aspalpha\aspnum\faauto\adjustright\rin0\lin0\itap0 \rtlch\fcs1 \af0\afs20\alang1025 \ltrch\fcs0 _x000d__x000a_\fs24\lang2057\langfe2057\cgrid\langnp2057\langfenp2057 \sbasedon0 \snext21 \spriority0 \styrsid11615661 AmOrLang;}{\s22\qc \li0\ri0\sa240\nowidctlpar\wrapdefault\aspalpha\aspnum\faauto\adjustright\rin0\lin0\itap0 \rtlch\fcs1 \af0\afs20\alang1025 _x000d__x000a_\ltrch\fcs0 \i\fs24\lang2057\langfe2057\cgrid\langnp2057\langfenp2057 \sbasedon0 \snext22 \spriority0 \styrsid11615661 AmColumnHeading;}{\s23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3 \spriority0 \styrsid11615661 AmNumberTabs;}{\s24\ql \li0\ri0\sb240\nowidctlpar\wrapdefault\aspalpha\aspnum\faauto\adjustright\rin0\lin0\itap0 \rtlch\fcs1 _x000d__x000a_\af0\afs20\alang1025 \ltrch\fcs0 \b\fs24\lang2057\langfe2057\cgrid\langnp2057\langfenp2057 \sbasedon0 \snext24 \spriority0 \styrsid11615661 NormalBold12b;}}{\*\rsidtbl \rsid24658\rsid358857\rsid735077\rsid787282\rsid2101837\rsid2892074\rsid3622648_x000d__x000a_\rsid4666813\rsid5708216\rsid6641733\rsid7553164\rsid8465581\rsid8681905\rsid8724649\rsid9636012\rsid9862312\rsid11215221\rsid11370291\rsid11434737\rsid11607138\rsid11615661\rsid11824949\rsid12154954\rsid14424199\rsid15204470\rsid15285974\rsid15535219_x000d__x000a_\rsid15950462\rsid16324206\rsid16662270}{\mmathPr\mmathFont34\mbrkBin0\mbrkBinSub0\msmallFrac0\mdispDef1\mlMargin0\mrMargin0\mdefJc1\mwrapIndent1440\mintLim0\mnaryLim1}{\info{\author FELIX Karina}{\operator FELIX Karina}_x000d__x000a_{\creatim\yr2019\mo7\dy3\hr20\min19}{\revtim\yr2019\mo7\dy3\hr20\min19}{\version1}{\edmins0}{\nofpages1}{\nofwords32}{\nofchars369}{\*\company European Parliament}{\nofcharsws373}{\vern97}}{\*\xmlnstbl {\xmlns1 http://schemas.microsoft.com/office/word/200_x000d__x000a_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161566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10183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101837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23\ql \li0\ri0\sb240\keepn\nowidctlpar\tx879\tx936\tx1021\tx1077\tx1134\tx1191\tx1247\tx1304\tx1361\tx1418\tx1474\tx1531\tx1588\tx1644\tx1701\tx1758\tx1814\tx1871\tx2070\tx2126\tx3374\tx3430\wrapdefault\aspalpha\aspnum\faauto\adjustright\rin0_x000d__x000a_\lin0\itap0\pararsid11615661 \rtlch\fcs1 \af0\afs20\alang1025 \ltrch\fcs0 \b\fs24\lang2057\langfe2057\cgrid\langnp2057\langfenp2057 {\rtlch\fcs1 \af0 \ltrch\fcs0 \cs15\b0\v\f1\fs20\cf9\lang1030\langfe2057\langnp1030\insrsid11615661\charrsid5141309 _x000d__x000a_{\*\bkmkstart restart}&lt;Amend&gt;}{\rtlch\fcs1 \af0 \ltrch\fcs0 \lang1030\langfe2057\langnp1030\insrsid11615661\charrsid5141309 [ZAMENDMENT]\tab \tab }{\rtlch\fcs1 \af0 \ltrch\fcs0 _x000d__x000a_\cs15\b0\v\f1\fs20\cf9\lang1030\langfe2057\langnp1030\insrsid11615661\charrsid5141309 &lt;NumAm&gt;}{\rtlch\fcs1 \af0 \ltrch\fcs0 \lang1030\langfe2057\langnp1030\insrsid11615661\charrsid5141309 [ZNRAM]}{\rtlch\fcs1 \af0 \ltrch\fcs0 _x000d__x000a_\cs15\b0\v\f1\fs20\cf9\lang1030\langfe2057\langnp1030\insrsid11615661\charrsid5141309 &lt;/NumAm&gt;}{\rtlch\fcs1 \af0 \ltrch\fcs0 \lang1030\langfe2057\langnp1030\insrsid11615661\charrsid5141309 _x000d__x000a_\par }\pard\plain \ltrpar\s24\ql \li0\ri0\sb240\keepn\nowidctlpar\wrapdefault\aspalpha\aspnum\faauto\adjustright\rin0\lin0\itap0\pararsid11615661 \rtlch\fcs1 \af0\afs20\alang1025 \ltrch\fcs0 \b\fs24\lang2057\langfe2057\cgrid\langnp2057\langfenp2057 {_x000d__x000a_\rtlch\fcs1 \af0 \ltrch\fcs0 \cs15\b0\v\f1\fs20\cf9\lang1030\langfe2057\langnp1030\insrsid11615661\charrsid5141309 &lt;DocAmend&gt;}{\rtlch\fcs1 \af0 \ltrch\fcs0 \lang1030\langfe2057\langnp1030\insrsid11615661\charrsid5141309 [ZPROPOSAL][ZAMACT]}{\rtlch\fcs1 _x000d__x000a_\af0 \ltrch\fcs0 \cs15\b0\v\f1\fs20\cf9\lang1030\langfe2057\langnp1030\insrsid11615661\charrsid5141309 &lt;/DocAmend&gt;}{\rtlch\fcs1 \af0 \ltrch\fcs0 \lang1030\langfe2057\langnp1030\insrsid11615661\charrsid5141309 _x000d__x000a_\par }\pard\plain \ltrpar\s17\ql \li0\ri0\keepn\nowidctlpar\wrapdefault\aspalpha\aspnum\faauto\adjustright\rin0\lin0\itap0\pararsid11615661 \rtlch\fcs1 \af0\afs20\alang1025 \ltrch\fcs0 \b\fs24\lang2057\langfe2057\cgrid\langnp2057\langfenp2057 {\rtlch\fcs1 _x000d__x000a_\af0 \ltrch\fcs0 \cs15\b0\v\f1\fs20\cf9\lang1030\langfe2057\langnp1030\insrsid11615661\charrsid5141309 &lt;Article&gt;}{\rtlch\fcs1 \af0 \ltrch\fcs0 \lang1030\langfe2057\langnp1030\insrsid11615661\charrsid5141309 [ZAMPART]}{\rtlch\fcs1 \af0 \ltrch\fcs0 _x000d__x000a_\cs15\b0\v\f1\fs20\cf9\lang1030\langfe2057\langnp1030\insrsid11615661\charrsid5141309 &lt;/Article&gt;}{\rtlch\fcs1 \af0 \ltrch\fcs0 \lang1030\langfe2057\langnp1030\insrsid11615661\charrsid5141309 _x000d__x000a_\par }\pard\plain \ltrpar\ql \li0\ri0\keepn\widctlpar\wrapdefault\aspalpha\aspnum\faauto\adjustright\rin0\lin0\itap0\pararsid11615661 \rtlch\fcs1 \af0\afs20\alang1025 \ltrch\fcs0 \fs24\lang2057\langfe2057\cgrid\langnp2057\langfenp2057 {\rtlch\fcs1 \af0 _x000d__x000a_\ltrch\fcs0 \cs15\v\f1\fs20\cf9\lang1043\langfe2057\langnp1043\insrsid11615661\charrsid5141309 &lt;DocAmend2&gt;&lt;OptDel&gt;}{\rtlch\fcs1 \af0 \ltrch\fcs0 \lang1043\langfe2057\langnp1043\insrsid11615661\charrsid5141309 [ZNRACT]}{\rtlch\fcs1 \af0 \ltrch\fcs0 _x000d__x000a_\cs15\v\f1\fs20\cf9\lang1043\langfe2057\langnp1043\insrsid11615661\charrsid5141309 &lt;/OptDel&gt;&lt;/DocAmend2&gt;}{\rtlch\fcs1 \af0 \ltrch\fcs0 \lang1043\langfe2057\langnp1043\insrsid11615661\charrsid5141309 _x000d__x000a_\par }\pard \ltrpar\ql \li0\ri0\widctlpar\wrapdefault\aspalpha\aspnum\faauto\adjustright\rin0\lin0\itap0\pararsid11615661 {\rtlch\fcs1 \af0 \ltrch\fcs0 \cs15\v\f1\fs20\cf9\lang1036\langfe2057\langnp1036\insrsid11615661\charrsid5141309 &lt;Article2&gt;&lt;OptDel&gt;}{_x000d__x000a_\rtlch\fcs1 \af0 \ltrch\fcs0 \lang1036\langfe2057\langnp1036\insrsid11615661\charrsid5141309 [ZACTPART]}{\rtlch\fcs1 \af0 \ltrch\fcs0 \cs15\v\f1\fs20\cf9\lang1036\langfe2057\langnp1036\insrsid11615661\charrsid5141309 &lt;/OptDel&gt;&lt;/Article2&gt;}{\rtlch\fcs1 _x000d__x000a_\af0 \ltrch\fcs0 \lang1036\langfe2057\langnp1036\insrsid11615661\charrsid5141309 _x000d__x000a_\par \ltrrow}\trowd \irow0\irowband0\ltrrow\ts11\trqc\trgaph340\trleft-340\trftsWidth3\trwWidth9752\trftsWidthB3\trpaddl340\trpaddr340\trpaddfl3\trpaddft3\trpaddfb3\trpaddfr3\tblrsid2517430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4315216 \rtlch\fcs1 \af0\afs20\alang1025 _x000d__x000a_\ltrch\fcs0 \fs24\lang2057\langfe2057\cgrid\langnp2057\langfenp2057 {\rtlch\fcs1 \af0 \ltrch\fcs0 \lang1036\langfe2057\langnp1036\insrsid11615661\charrsid5141309 \cell }\pard\plain \ltrpar_x000d__x000a_\ql \li0\ri0\widctlpar\intbl\wrapdefault\aspalpha\aspnum\faauto\adjustright\rin0\lin0 \rtlch\fcs1 \af0\afs20\alang1025 \ltrch\fcs0 \fs24\lang2057\langfe2057\cgrid\langnp2057\langfenp2057 {\rtlch\fcs1 \af0 \ltrch\fcs0 \insrsid11615661\charrsid6040559 _x000d__x000a_\trowd \irow0\irowband0\ltrrow\ts11\trqc\trgaph340\trleft-340\trftsWidth3\trwWidth9752\trftsWidthB3\trpaddl340\trpaddr340\trpaddfl3\trpaddft3\trpaddfb3\trpaddfr3\tblrsid2517430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2\qc \li0\ri0\sa240\keepn\nowidctlpar\intbl\wrapdefault\aspalpha\aspnum\faauto\adjustright\rin0\lin0\pararsid14315216 \rtlch\fcs1 \af0\afs20\alang1025 \ltrch\fcs0 \i\fs24\lang2057\langfe2057\cgrid\langnp2057\langfenp2057 {\rtlch\fcs1 \af0 \ltrch\fcs0 _x000d__x000a_\insrsid11615661\charrsid4593153 [ZLEFT]\cell [ZRIGHT]\cell }\pard\plain \ltrpar\ql \li0\ri0\widctlpar\intbl\wrapdefault\aspalpha\aspnum\faauto\adjustright\rin0\lin0 \rtlch\fcs1 \af0\afs20\alang1025 \ltrch\fcs0 _x000d__x000a_\fs24\lang2057\langfe2057\cgrid\langnp2057\langfenp2057 {\rtlch\fcs1 \af0 \ltrch\fcs0 \insrsid11615661\charrsid4593153 \trowd \irow1\irowband1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\ltrrow}\pard\plain \ltrpar_x000d__x000a_\s16\ql \li0\ri0\sa120\nowidctlpar\intbl\wrapdefault\aspalpha\aspnum\faauto\adjustright\rin0\lin0\pararsid2517430 \rtlch\fcs1 \af0\afs20\alang1025 \ltrch\fcs0 \fs24\lang2057\langfe2057\cgrid\langnp2057\langfenp2057 {\rtlch\fcs1 \af0 \ltrch\fcs0 _x000d__x000a_\insrsid11615661\charrsid4593153 [ZTEXTL]\cell [ZTEXTR]}{\rtlch\fcs1 \af0\afs24 \ltrch\fcs0 \insrsid11615661\charrsid4593153 \cell }\pard\plain \ltrpar\ql \li0\ri0\widctlpar\intbl\wrapdefault\aspalpha\aspnum\faauto\adjustright\rin0\lin0 \rtlch\fcs1 _x000d__x000a_\af0\afs20\alang1025 \ltrch\fcs0 \fs24\lang2057\langfe2057\cgrid\langnp2057\langfenp2057 {\rtlch\fcs1 \af0 \ltrch\fcs0 \insrsid11615661\charrsid4593153 \trowd \irow2\irowband2\lastrow \ltrrow_x000d__x000a_\ts11\trqc\trgaph340\trleft-340\trftsWidth3\trwWidth9752\trftsWidthB3\trpaddl340\trpaddr340\trpaddfl3\trpaddft3\trpaddfb3\trpaddfr3\tblrsid2517430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row }\pard\plain \ltrpar_x000d__x000a_\s21\qr \li0\ri0\sb240\sa240\nowidctlpar\wrapdefault\aspalpha\aspnum\faauto\adjustright\rin0\lin0\itap0\pararsid11615661 \rtlch\fcs1 \af0\afs20\alang1025 \ltrch\fcs0 \fs24\lang2057\langfe2057\cgrid\langnp2057\langfenp2057 {\rtlch\fcs1 \af0 \ltrch\fcs0 _x000d__x000a_\insrsid11615661\charrsid4593153 Or. }{\rtlch\fcs1 \af0 \ltrch\fcs0 \cs15\v\f1\fs20\cf9\insrsid11615661\charrsid4593153 &lt;Original&gt;}{\rtlch\fcs1 \af0 \ltrch\fcs0 \insrsid11615661\charrsid4593153 [ZORLANG]}{\rtlch\fcs1 \af0 \ltrch\fcs0 _x000d__x000a_\cs15\v\f1\fs20\cf9\insrsid11615661\charrsid4593153 &lt;/Original&gt;}{\rtlch\fcs1 \af0 \ltrch\fcs0 \insrsid11615661\charrsid4593153 _x000d__x000a_\par }\pard\plain \ltrpar\s19\qc \li0\ri0\sb240\sa240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OptDel&gt;}{\rtlch\fcs1 \af0 \ltrch\fcs0 \insrsid11615661\charrsid4593153 [ZCROSSREF]}{\rtlch\fcs1 \af0 \ltrch\fcs0 \cs15\i0\v\f1\fs20\cf9\insrsid11615661\charrsid4593153 _x000d__x000a_&lt;/OptDel&gt;}{\rtlch\fcs1 \af0 \ltrch\fcs0 \insrsid11615661\charrsid4593153 _x000d__x000a_\par }\pard\plain \ltrpar\s20\qc \li0\ri0\sb240\sa240\keepn\nowidctlpar\wrapdefault\aspalpha\aspnum\faauto\adjustright\rin0\lin0\itap0\pararsid11615661 \rtlch\fcs1 \af0\afs20\alang1025 \ltrch\fcs0 \i\fs24\lang2057\langfe2057\cgrid\langnp2057\langfenp2057 {_x000d__x000a_\rtlch\fcs1 \af0 \ltrch\fcs0 \cs15\i0\v\f1\fs20\cf9\insrsid11615661\charrsid4593153 &lt;TitreJust&gt;}{\rtlch\fcs1 \af0 \ltrch\fcs0 \insrsid11615661\charrsid4593153 [ZJUSTIFICATION]}{\rtlch\fcs1 \af0 \ltrch\fcs0 _x000d__x000a_\cs15\i0\v\f1\fs20\cf9\insrsid11615661\charrsid4593153 &lt;/TitreJust&gt;}{\rtlch\fcs1 \af0 \ltrch\fcs0 \insrsid11615661\charrsid4593153 _x000d__x000a_\par }\pard\plain \ltrpar\s18\ql \li0\ri0\sa240\nowidctlpar\wrapdefault\aspalpha\aspnum\faauto\adjustright\rin0\lin0\itap0\pararsid11615661 \rtlch\fcs1 \af0\afs20\alang1025 \ltrch\fcs0 \i\fs24\lang2057\langfe2057\cgrid\langnp2057\langfenp2057 {\rtlch\fcs1 _x000d__x000a_\af0 \ltrch\fcs0 \cs15\i0\v\f1\fs20\cf9\insrsid11615661\charrsid4593153 &lt;OptDelPrev&gt;}{\rtlch\fcs1 \af0 \ltrch\fcs0 \insrsid11615661\charrsid4593153 [ZTEXTJUST]}{\rtlch\fcs1 \af0 \ltrch\fcs0 \cs15\i0\v\f1\fs20\cf9\insrsid11615661\charrsid4593153 _x000d__x000a_&lt;/OptDelPrev&gt;}{\rtlch\fcs1 \af0 \ltrch\fcs0 \insrsid11615661\charrsid4593153 _x000d__x000a_\par }\pard\plain \ltrpar\ql \li0\ri0\widctlpar\wrapdefault\aspalpha\aspnum\faauto\adjustright\rin0\lin0\itap0\pararsid11615661 \rtlch\fcs1 \af0\afs20\alang1025 \ltrch\fcs0 \fs24\lang2057\langfe2057\cgrid\langnp2057\langfenp2057 {\rtlch\fcs1 \af0 \ltrch\fcs0 _x000d__x000a_\cs15\v\f1\fs20\cf9\insrsid11615661\charrsid4593153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e070_x000d__x000a_25cecb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SubDir" w:val="1263"/>
    <w:docVar w:name="TXTAUTHOR" w:val="Erik Marquardt"/>
    <w:docVar w:name="TXTLANGUE" w:val="IT"/>
    <w:docVar w:name="TXTLANGUEMIN" w:val="it"/>
    <w:docVar w:name="TXTNRC" w:val="0160/2022"/>
    <w:docVar w:name="TXTNRCOD" w:val="2022/0135"/>
    <w:docVar w:name="TXTNRCOM" w:val="(2022)0189"/>
    <w:docVar w:name="TXTNRPE" w:val="736.470"/>
    <w:docVar w:name="TXTPEorAP" w:val="PE"/>
    <w:docVar w:name="TXTROUTE" w:val="PR\1263011IT.docx"/>
    <w:docVar w:name="TXTTITLE" w:val="che modifica il regolamento (UE) 2018/1806 che adotta l'elenco dei paesi terzi i cui cittadini devono essere in possesso del visto all'atto dell'attraversamento delle frontiere esterne e l'elenco dei paesi terzi i cui cittadini sono esenti da tale obbligo"/>
    <w:docVar w:name="TXTVERSION" w:val="01-00"/>
  </w:docVars>
  <w:rsids>
    <w:rsidRoot w:val="00A26880"/>
    <w:rsid w:val="00011AAB"/>
    <w:rsid w:val="00012351"/>
    <w:rsid w:val="000139E5"/>
    <w:rsid w:val="00084DD2"/>
    <w:rsid w:val="00084E89"/>
    <w:rsid w:val="000B7489"/>
    <w:rsid w:val="000F1096"/>
    <w:rsid w:val="00120948"/>
    <w:rsid w:val="00123DD5"/>
    <w:rsid w:val="001277AE"/>
    <w:rsid w:val="00142215"/>
    <w:rsid w:val="001767E2"/>
    <w:rsid w:val="00187008"/>
    <w:rsid w:val="001B3829"/>
    <w:rsid w:val="001C5592"/>
    <w:rsid w:val="001C5B44"/>
    <w:rsid w:val="001C6FFC"/>
    <w:rsid w:val="001E5E56"/>
    <w:rsid w:val="001F7C7C"/>
    <w:rsid w:val="00212B84"/>
    <w:rsid w:val="002346B0"/>
    <w:rsid w:val="00254065"/>
    <w:rsid w:val="002667C3"/>
    <w:rsid w:val="002669B6"/>
    <w:rsid w:val="00275D31"/>
    <w:rsid w:val="00290BED"/>
    <w:rsid w:val="002D13EE"/>
    <w:rsid w:val="002E33EE"/>
    <w:rsid w:val="002F40BB"/>
    <w:rsid w:val="002F4B02"/>
    <w:rsid w:val="00323EF8"/>
    <w:rsid w:val="003316DD"/>
    <w:rsid w:val="00366A46"/>
    <w:rsid w:val="00370AC3"/>
    <w:rsid w:val="003824EE"/>
    <w:rsid w:val="003B4689"/>
    <w:rsid w:val="003C2068"/>
    <w:rsid w:val="003C37CF"/>
    <w:rsid w:val="004100B1"/>
    <w:rsid w:val="00426E47"/>
    <w:rsid w:val="00455743"/>
    <w:rsid w:val="00461601"/>
    <w:rsid w:val="004C0915"/>
    <w:rsid w:val="004D424E"/>
    <w:rsid w:val="004E42C8"/>
    <w:rsid w:val="004E5EA6"/>
    <w:rsid w:val="004E733D"/>
    <w:rsid w:val="004F3FA5"/>
    <w:rsid w:val="0051271F"/>
    <w:rsid w:val="00521F46"/>
    <w:rsid w:val="00551111"/>
    <w:rsid w:val="00551123"/>
    <w:rsid w:val="00567212"/>
    <w:rsid w:val="00570A6A"/>
    <w:rsid w:val="00586E50"/>
    <w:rsid w:val="0059583D"/>
    <w:rsid w:val="005A42D9"/>
    <w:rsid w:val="005C2BEF"/>
    <w:rsid w:val="005D1A99"/>
    <w:rsid w:val="005D7609"/>
    <w:rsid w:val="005D7EE8"/>
    <w:rsid w:val="00642325"/>
    <w:rsid w:val="0069092A"/>
    <w:rsid w:val="006A2F5D"/>
    <w:rsid w:val="006F7907"/>
    <w:rsid w:val="0073251B"/>
    <w:rsid w:val="00743189"/>
    <w:rsid w:val="00743D33"/>
    <w:rsid w:val="007932B3"/>
    <w:rsid w:val="00793EA9"/>
    <w:rsid w:val="007D6F68"/>
    <w:rsid w:val="00823E6B"/>
    <w:rsid w:val="00826780"/>
    <w:rsid w:val="00837CCD"/>
    <w:rsid w:val="008633CC"/>
    <w:rsid w:val="00865190"/>
    <w:rsid w:val="008719B9"/>
    <w:rsid w:val="00894923"/>
    <w:rsid w:val="00894ECE"/>
    <w:rsid w:val="00896BB4"/>
    <w:rsid w:val="008A7FB8"/>
    <w:rsid w:val="008E1A20"/>
    <w:rsid w:val="009022B8"/>
    <w:rsid w:val="00914537"/>
    <w:rsid w:val="00917CC4"/>
    <w:rsid w:val="009763DA"/>
    <w:rsid w:val="009975B3"/>
    <w:rsid w:val="009A216D"/>
    <w:rsid w:val="009B4B93"/>
    <w:rsid w:val="009F24BE"/>
    <w:rsid w:val="009F6C2F"/>
    <w:rsid w:val="009F767A"/>
    <w:rsid w:val="00A22533"/>
    <w:rsid w:val="00A26880"/>
    <w:rsid w:val="00A26F46"/>
    <w:rsid w:val="00A34FD3"/>
    <w:rsid w:val="00A36929"/>
    <w:rsid w:val="00A50548"/>
    <w:rsid w:val="00A60EE7"/>
    <w:rsid w:val="00A910C9"/>
    <w:rsid w:val="00AA35B0"/>
    <w:rsid w:val="00AD18C8"/>
    <w:rsid w:val="00AD7FA6"/>
    <w:rsid w:val="00AE4643"/>
    <w:rsid w:val="00AF0416"/>
    <w:rsid w:val="00B04E93"/>
    <w:rsid w:val="00B10CB4"/>
    <w:rsid w:val="00B13D6F"/>
    <w:rsid w:val="00B23B72"/>
    <w:rsid w:val="00B42702"/>
    <w:rsid w:val="00B57B8B"/>
    <w:rsid w:val="00B85407"/>
    <w:rsid w:val="00B95702"/>
    <w:rsid w:val="00BC6489"/>
    <w:rsid w:val="00BD480C"/>
    <w:rsid w:val="00C10C99"/>
    <w:rsid w:val="00C20954"/>
    <w:rsid w:val="00C23324"/>
    <w:rsid w:val="00C42A41"/>
    <w:rsid w:val="00C47E74"/>
    <w:rsid w:val="00C57A72"/>
    <w:rsid w:val="00C73602"/>
    <w:rsid w:val="00C85D0F"/>
    <w:rsid w:val="00CF60C8"/>
    <w:rsid w:val="00D30DE2"/>
    <w:rsid w:val="00D32924"/>
    <w:rsid w:val="00D503A3"/>
    <w:rsid w:val="00DA6ED0"/>
    <w:rsid w:val="00DC5011"/>
    <w:rsid w:val="00E171B6"/>
    <w:rsid w:val="00E1780E"/>
    <w:rsid w:val="00E25EA9"/>
    <w:rsid w:val="00E4720B"/>
    <w:rsid w:val="00E72695"/>
    <w:rsid w:val="00EA2524"/>
    <w:rsid w:val="00EB1753"/>
    <w:rsid w:val="00EB6CFF"/>
    <w:rsid w:val="00EE3996"/>
    <w:rsid w:val="00F07062"/>
    <w:rsid w:val="00F23CFC"/>
    <w:rsid w:val="00F433E2"/>
    <w:rsid w:val="00F904AE"/>
    <w:rsid w:val="00F934F8"/>
    <w:rsid w:val="00FB52FE"/>
    <w:rsid w:val="00FC0A34"/>
    <w:rsid w:val="00FD1DEF"/>
    <w:rsid w:val="00FE3B3F"/>
    <w:rsid w:val="00FE6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3C104C"/>
  <w15:chartTrackingRefBased/>
  <w15:docId w15:val="{9DE58C61-0FB4-429F-B68A-18299E69B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3FA5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C23324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Normal6a">
    <w:name w:val="Normal6a"/>
    <w:basedOn w:val="Normal"/>
    <w:pPr>
      <w:spacing w:after="120"/>
    </w:p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link w:val="NormalBoldChar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AmJustText">
    <w:name w:val="AmJustText"/>
    <w:basedOn w:val="Normal"/>
    <w:pPr>
      <w:spacing w:after="240"/>
    </w:pPr>
    <w:rPr>
      <w:i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F7907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F07062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AmCrossRef">
    <w:name w:val="AmCrossRef"/>
    <w:basedOn w:val="Normal"/>
    <w:rsid w:val="00DA6ED0"/>
    <w:pPr>
      <w:spacing w:before="240" w:after="240"/>
      <w:jc w:val="center"/>
    </w:pPr>
    <w:rPr>
      <w:i/>
    </w:rPr>
  </w:style>
  <w:style w:type="paragraph" w:customStyle="1" w:styleId="AmJustTitle">
    <w:name w:val="AmJustTitle"/>
    <w:basedOn w:val="Normal"/>
    <w:next w:val="AmJustText"/>
    <w:pPr>
      <w:keepNext/>
      <w:spacing w:before="240" w:after="240"/>
      <w:jc w:val="center"/>
    </w:pPr>
    <w:rPr>
      <w:i/>
    </w:rPr>
  </w:style>
  <w:style w:type="paragraph" w:customStyle="1" w:styleId="CoverReference">
    <w:name w:val="CoverReference"/>
    <w:basedOn w:val="Normal"/>
    <w:rsid w:val="004E733D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F07062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F23CFC"/>
    <w:pPr>
      <w:tabs>
        <w:tab w:val="center" w:pos="4513"/>
        <w:tab w:val="right" w:pos="9026"/>
      </w:tabs>
    </w:pPr>
  </w:style>
  <w:style w:type="paragraph" w:customStyle="1" w:styleId="AmOrLang">
    <w:name w:val="AmOrLang"/>
    <w:basedOn w:val="Normal"/>
    <w:rsid w:val="002669B6"/>
    <w:pPr>
      <w:spacing w:before="240" w:after="240"/>
      <w:jc w:val="right"/>
    </w:pPr>
  </w:style>
  <w:style w:type="paragraph" w:customStyle="1" w:styleId="AmColumnHeading">
    <w:name w:val="AmColumnHeading"/>
    <w:basedOn w:val="Normal"/>
    <w:rsid w:val="002669B6"/>
    <w:pPr>
      <w:spacing w:after="240"/>
      <w:jc w:val="center"/>
    </w:pPr>
    <w:rPr>
      <w:i/>
    </w:rPr>
  </w:style>
  <w:style w:type="table" w:styleId="TableGrid">
    <w:name w:val="Table Grid"/>
    <w:basedOn w:val="TableNormal"/>
    <w:rsid w:val="00461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mNumberTabs">
    <w:name w:val="AmNumberTabs"/>
    <w:basedOn w:val="Normal"/>
    <w:rsid w:val="004C0915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NormalBold12b">
    <w:name w:val="NormalBold12b"/>
    <w:basedOn w:val="Normal"/>
    <w:rsid w:val="004C0915"/>
    <w:pPr>
      <w:spacing w:before="240"/>
    </w:pPr>
    <w:rPr>
      <w:b/>
    </w:rPr>
  </w:style>
  <w:style w:type="paragraph" w:customStyle="1" w:styleId="EPBody">
    <w:name w:val="EPBody"/>
    <w:basedOn w:val="Normal"/>
    <w:rsid w:val="00461601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461601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461601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F7907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F7907"/>
    <w:pPr>
      <w:jc w:val="right"/>
    </w:pPr>
  </w:style>
  <w:style w:type="paragraph" w:customStyle="1" w:styleId="EPFooter">
    <w:name w:val="EPFooter"/>
    <w:basedOn w:val="Normal"/>
    <w:rsid w:val="00F07062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styleId="PageNumber">
    <w:name w:val="page number"/>
    <w:basedOn w:val="DefaultParagraphFont"/>
    <w:semiHidden/>
    <w:rsid w:val="00914537"/>
  </w:style>
  <w:style w:type="character" w:customStyle="1" w:styleId="HeaderChar">
    <w:name w:val="Header Char"/>
    <w:basedOn w:val="DefaultParagraphFont"/>
    <w:link w:val="Header"/>
    <w:semiHidden/>
    <w:rsid w:val="00F23CFC"/>
    <w:rPr>
      <w:sz w:val="24"/>
    </w:rPr>
  </w:style>
  <w:style w:type="paragraph" w:customStyle="1" w:styleId="EPComma">
    <w:name w:val="EPComma"/>
    <w:basedOn w:val="Normal"/>
    <w:rsid w:val="00A910C9"/>
    <w:pPr>
      <w:spacing w:before="480" w:after="240"/>
    </w:pPr>
  </w:style>
  <w:style w:type="paragraph" w:customStyle="1" w:styleId="Lgendesigne">
    <w:name w:val="Légende signe"/>
    <w:basedOn w:val="Normal"/>
    <w:rsid w:val="004E5EA6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4E5EA6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4E5EA6"/>
    <w:rPr>
      <w:sz w:val="18"/>
    </w:rPr>
  </w:style>
  <w:style w:type="paragraph" w:customStyle="1" w:styleId="Normal6">
    <w:name w:val="Normal6"/>
    <w:basedOn w:val="Normal"/>
    <w:link w:val="Normal6Char"/>
    <w:rsid w:val="004E5EA6"/>
    <w:pPr>
      <w:spacing w:after="120"/>
    </w:pPr>
  </w:style>
  <w:style w:type="character" w:customStyle="1" w:styleId="NormalBoldChar">
    <w:name w:val="NormalBold Char"/>
    <w:link w:val="NormalBold"/>
    <w:rsid w:val="004E5EA6"/>
    <w:rPr>
      <w:b/>
      <w:sz w:val="24"/>
      <w:lang w:val="it-IT"/>
    </w:rPr>
  </w:style>
  <w:style w:type="character" w:customStyle="1" w:styleId="Normal6Char">
    <w:name w:val="Normal6 Char"/>
    <w:link w:val="Normal6"/>
    <w:rsid w:val="004E5EA6"/>
    <w:rPr>
      <w:sz w:val="24"/>
      <w:lang w:val="it-IT"/>
    </w:rPr>
  </w:style>
  <w:style w:type="paragraph" w:customStyle="1" w:styleId="ColumnHeading">
    <w:name w:val="ColumnHeading"/>
    <w:basedOn w:val="Normal"/>
    <w:rsid w:val="004E5EA6"/>
    <w:pPr>
      <w:spacing w:after="240"/>
      <w:jc w:val="center"/>
    </w:pPr>
    <w:rPr>
      <w:i/>
    </w:rPr>
  </w:style>
  <w:style w:type="paragraph" w:customStyle="1" w:styleId="AMNumberTabs0">
    <w:name w:val="AMNumberTabs"/>
    <w:basedOn w:val="Normal"/>
    <w:rsid w:val="004E5EA6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Olang">
    <w:name w:val="Olang"/>
    <w:rsid w:val="004E5EA6"/>
    <w:pPr>
      <w:jc w:val="right"/>
    </w:pPr>
  </w:style>
  <w:style w:type="paragraph" w:styleId="Footer">
    <w:name w:val="footer"/>
    <w:basedOn w:val="Normal"/>
    <w:link w:val="FooterChar"/>
    <w:semiHidden/>
    <w:rsid w:val="004E5E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4E5EA6"/>
    <w:rPr>
      <w:sz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8FA21-2CD0-482C-B60B-ECB3DB4BC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2578</Words>
  <Characters>15262</Characters>
  <Application>Microsoft Office Word</Application>
  <DocSecurity>0</DocSecurity>
  <Lines>401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PR_COD_1amCom</vt:lpstr>
    </vt:vector>
  </TitlesOfParts>
  <Company/>
  <LinksUpToDate>false</LinksUpToDate>
  <CharactersWithSpaces>17717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PR_COD_1amCom</dc:title>
  <dc:creator>LATERZA Angela</dc:creator>
  <cp:lastModifiedBy>MARGUTTI Gabriella</cp:lastModifiedBy>
  <cp:revision>2</cp:revision>
  <cp:lastPrinted>2004-11-04T09:41:00Z</cp:lastPrinted>
  <dcterms:created xsi:type="dcterms:W3CDTF">2022-09-28T09:56:00Z</dcterms:created>
  <dcterms:modified xsi:type="dcterms:W3CDTF">2022-09-28T09:56:00Z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IT</vt:lpwstr>
  </property>
  <property fmtid="{D5CDD505-2E9C-101B-9397-08002B2CF9AE}" pid="3" name="&lt;FdR&gt;">
    <vt:lpwstr>1263011</vt:lpwstr>
  </property>
  <property fmtid="{D5CDD505-2E9C-101B-9397-08002B2CF9AE}" pid="4" name="&lt;Model&gt;">
    <vt:lpwstr>PR_COD_1amCom</vt:lpwstr>
  </property>
  <property fmtid="{D5CDD505-2E9C-101B-9397-08002B2CF9AE}" pid="5" name="&lt;ModelCod&gt;">
    <vt:lpwstr>\\eiciLUXpr1\pdocep$\DocEP\DOCS\General\PR\PR_Leg\COD\COD_1st\PR_COD_1amCom.dotx(17/04/2020 19:27:09)</vt:lpwstr>
  </property>
  <property fmtid="{D5CDD505-2E9C-101B-9397-08002B2CF9AE}" pid="6" name="&lt;ModelTra&gt;">
    <vt:lpwstr>\\eiciLUXpr1\pdocep$\DocEP\TRANSFIL\IT\PR_COD_1amCom.IT(29/06/2022 10:24:01)</vt:lpwstr>
  </property>
  <property fmtid="{D5CDD505-2E9C-101B-9397-08002B2CF9AE}" pid="7" name="&lt;Type&gt;">
    <vt:lpwstr>PR</vt:lpwstr>
  </property>
  <property fmtid="{D5CDD505-2E9C-101B-9397-08002B2CF9AE}" pid="8" name="Bookout">
    <vt:lpwstr>OK - 2022/09/28 11:56</vt:lpwstr>
  </property>
  <property fmtid="{D5CDD505-2E9C-101B-9397-08002B2CF9AE}" pid="9" name="Created with">
    <vt:lpwstr>9.11.0 Build [20211103]</vt:lpwstr>
  </property>
  <property fmtid="{D5CDD505-2E9C-101B-9397-08002B2CF9AE}" pid="10" name="FooterPath">
    <vt:lpwstr>PR\1263011IT.docx</vt:lpwstr>
  </property>
  <property fmtid="{D5CDD505-2E9C-101B-9397-08002B2CF9AE}" pid="11" name="LastEdited with">
    <vt:lpwstr>9.11.0 Build [20211103]</vt:lpwstr>
  </property>
  <property fmtid="{D5CDD505-2E9C-101B-9397-08002B2CF9AE}" pid="12" name="PE number">
    <vt:lpwstr>736.470</vt:lpwstr>
  </property>
</Properties>
</file>