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A24E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611C4F" w:rsidRDefault="0087628B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13D6F" w:rsidRPr="00611C4F" w:rsidRDefault="0087628B" w:rsidP="00611C4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611C4F" w:rsidRDefault="0087628B" w:rsidP="00C85D0F">
            <w:pPr>
              <w:pStyle w:val="EPLogo"/>
            </w:pPr>
            <w:r w:rsidRPr="00611C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321132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611C4F" w:rsidRDefault="00461601" w:rsidP="00461601">
      <w:pPr>
        <w:pStyle w:val="LineTop"/>
      </w:pPr>
    </w:p>
    <w:p w:rsidR="00461601" w:rsidRPr="00611C4F" w:rsidRDefault="0087628B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611C4F" w:rsidRDefault="00461601" w:rsidP="00461601">
      <w:pPr>
        <w:pStyle w:val="LineBottom"/>
      </w:pPr>
    </w:p>
    <w:p w:rsidR="00793EA9" w:rsidRPr="00611C4F" w:rsidRDefault="0087628B">
      <w:pPr>
        <w:pStyle w:val="CoverReference"/>
      </w:pPr>
      <w:r>
        <w:rPr>
          <w:rStyle w:val="HideTWBExt"/>
          <w:b w:val="0"/>
        </w:rPr>
        <w:t>&lt;RefProc&gt;</w:t>
      </w:r>
      <w:r>
        <w:t>2022/0135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611C4F" w:rsidRDefault="0087628B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{16/09/2022}</w:t>
      </w:r>
      <w:r>
        <w:t>16.9.2022</w:t>
      </w:r>
      <w:r>
        <w:rPr>
          <w:rStyle w:val="HideTWBExt"/>
        </w:rPr>
        <w:t>&lt;/Date&gt;</w:t>
      </w:r>
    </w:p>
    <w:p w:rsidR="00793EA9" w:rsidRPr="00611C4F" w:rsidRDefault="0087628B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611C4F" w:rsidRDefault="0087628B">
      <w:pPr>
        <w:pStyle w:val="CoverDocType24a"/>
      </w:pPr>
      <w:r>
        <w:rPr>
          <w:rStyle w:val="HideTWBExt"/>
          <w:b w:val="0"/>
        </w:rPr>
        <w:t>&lt;TitreType&gt;</w:t>
      </w:r>
      <w:r>
        <w:t>ABBOZZ TA' RAPPORT</w:t>
      </w:r>
      <w:r>
        <w:rPr>
          <w:rStyle w:val="HideTWBExt"/>
          <w:b w:val="0"/>
        </w:rPr>
        <w:t>&lt;/TitreType&gt;</w:t>
      </w:r>
    </w:p>
    <w:p w:rsidR="00611C4F" w:rsidRPr="00611C4F" w:rsidRDefault="0087628B" w:rsidP="00611C4F">
      <w:pPr>
        <w:pStyle w:val="CoverNormal"/>
      </w:pPr>
      <w:r>
        <w:rPr>
          <w:rStyle w:val="HideTWBExt"/>
        </w:rPr>
        <w:t>&lt;Titre&gt;</w:t>
      </w:r>
      <w:r>
        <w:t xml:space="preserve"> dwar il-proposta għal regolament tal-Parlament Ewropew u tal-Kunsill li jemenda r-Regolament (UE) 2018/1806, li jelenka l-pajjiżi terzi li ċ-ċittadini tagħhom għandu jkollhom viża fil-pussess tagħhom meta j</w:t>
      </w:r>
      <w:r>
        <w:t>aqsmu l-fruntieri esterni u dawk li ċ-ċittadini tagħhom huma eżenti minn dik il-ħtieġa (Il-Kuwajt, il-Qatar)</w:t>
      </w:r>
      <w:r>
        <w:rPr>
          <w:rStyle w:val="HideTWBExt"/>
        </w:rPr>
        <w:t>&lt;/Titre&gt;</w:t>
      </w:r>
    </w:p>
    <w:p w:rsidR="00793EA9" w:rsidRPr="00611C4F" w:rsidRDefault="0087628B" w:rsidP="00611C4F">
      <w:pPr>
        <w:pStyle w:val="CoverNormal"/>
        <w:rPr>
          <w:rStyle w:val="HideTWBExt"/>
          <w:noProof w:val="0"/>
        </w:rPr>
      </w:pPr>
      <w:r>
        <w:rPr>
          <w:rStyle w:val="HideTWBExt"/>
        </w:rPr>
        <w:t>&lt;DocRef&gt;</w:t>
      </w:r>
      <w:r>
        <w:t>(COM(2022)0189 – C9</w:t>
      </w:r>
      <w:r>
        <w:noBreakHyphen/>
        <w:t>0160/2022 – 2022/0135(COD))</w:t>
      </w:r>
      <w:r>
        <w:rPr>
          <w:rStyle w:val="HideTWBExt"/>
        </w:rPr>
        <w:t>&lt;/DocRef&gt;</w:t>
      </w:r>
    </w:p>
    <w:p w:rsidR="00611C4F" w:rsidRPr="00611C4F" w:rsidRDefault="00611C4F" w:rsidP="00611C4F">
      <w:pPr>
        <w:pStyle w:val="CoverNormal"/>
        <w:rPr>
          <w:rStyle w:val="HideTWBExt"/>
          <w:noProof w:val="0"/>
        </w:rPr>
      </w:pPr>
    </w:p>
    <w:p w:rsidR="00611C4F" w:rsidRPr="00611C4F" w:rsidRDefault="00611C4F" w:rsidP="00611C4F">
      <w:pPr>
        <w:pStyle w:val="CoverNormal"/>
      </w:pPr>
    </w:p>
    <w:p w:rsidR="00793EA9" w:rsidRPr="00611C4F" w:rsidRDefault="0087628B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 xml:space="preserve">Kumitat għal-Libertajiet Ċivili, il-Ġustizzja u </w:t>
      </w:r>
      <w:r>
        <w:t>l-Intern</w:t>
      </w:r>
      <w:r>
        <w:rPr>
          <w:rStyle w:val="HideTWBExt"/>
        </w:rPr>
        <w:t>&lt;/Commission&gt;</w:t>
      </w:r>
    </w:p>
    <w:p w:rsidR="00793EA9" w:rsidRPr="00611C4F" w:rsidRDefault="0087628B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Erik Marquardt</w:t>
      </w:r>
      <w:r>
        <w:rPr>
          <w:rStyle w:val="HideTWBExt"/>
        </w:rPr>
        <w:t>&lt;/Depute&gt;</w:t>
      </w:r>
    </w:p>
    <w:p w:rsidR="001C5B44" w:rsidRPr="00611C4F" w:rsidRDefault="001C5B44" w:rsidP="001C5B44">
      <w:pPr>
        <w:pStyle w:val="CoverNormal"/>
      </w:pPr>
    </w:p>
    <w:p w:rsidR="00611C4F" w:rsidRPr="00611C4F" w:rsidRDefault="0087628B" w:rsidP="00894923">
      <w:r>
        <w:br w:type="page"/>
      </w:r>
      <w:r w:rsidR="00C5497C">
        <w:lastRenderedPageBreak/>
        <w:fldChar w:fldCharType="begin"/>
      </w:r>
      <w:r>
        <w:instrText xml:space="preserve"> TITLE  \* MERGEFORMAT </w:instrText>
      </w:r>
      <w:r w:rsidR="00C5497C">
        <w:fldChar w:fldCharType="separate"/>
      </w:r>
      <w:r>
        <w:t>PR_COD_1amCom</w:t>
      </w:r>
      <w:r w:rsidR="00C5497C">
        <w:fldChar w:fldCharType="end"/>
      </w:r>
    </w:p>
    <w:p w:rsidR="00611C4F" w:rsidRPr="00611C4F" w:rsidRDefault="00611C4F" w:rsidP="00894923"/>
    <w:p w:rsidR="00611C4F" w:rsidRPr="00611C4F" w:rsidRDefault="00611C4F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A24E4">
        <w:tc>
          <w:tcPr>
            <w:tcW w:w="5811" w:type="dxa"/>
          </w:tcPr>
          <w:p w:rsidR="00611C4F" w:rsidRPr="00611C4F" w:rsidRDefault="0087628B" w:rsidP="00894923">
            <w:pPr>
              <w:pStyle w:val="Lgendetitre"/>
            </w:pPr>
            <w:r>
              <w:t>Tifsira tas-simboli użati</w:t>
            </w:r>
          </w:p>
        </w:tc>
      </w:tr>
      <w:tr w:rsidR="004A24E4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11C4F" w:rsidRPr="00611C4F" w:rsidRDefault="0087628B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ta' konsultazzjoni</w:t>
            </w:r>
          </w:p>
          <w:p w:rsidR="00611C4F" w:rsidRPr="00611C4F" w:rsidRDefault="0087628B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ta' approvazzjoni</w:t>
            </w:r>
          </w:p>
          <w:p w:rsidR="00611C4F" w:rsidRPr="00611C4F" w:rsidRDefault="0087628B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611C4F" w:rsidRPr="00611C4F" w:rsidRDefault="0087628B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611C4F" w:rsidRPr="00611C4F" w:rsidRDefault="0087628B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611C4F" w:rsidRPr="00611C4F" w:rsidRDefault="00611C4F" w:rsidP="001A03FF">
            <w:pPr>
              <w:pStyle w:val="Lgendestandard"/>
            </w:pPr>
          </w:p>
          <w:p w:rsidR="00611C4F" w:rsidRPr="00611C4F" w:rsidRDefault="0087628B" w:rsidP="001A03FF">
            <w:pPr>
              <w:pStyle w:val="Lgendestandard"/>
            </w:pPr>
            <w:r>
              <w:t>(It-tip ta' proċedura jiddependi mill-bażi ġuridika proposta mill-abbozz ta' att.)</w:t>
            </w:r>
          </w:p>
          <w:p w:rsidR="00611C4F" w:rsidRPr="00611C4F" w:rsidRDefault="00611C4F" w:rsidP="007F43F3">
            <w:pPr>
              <w:pStyle w:val="Lgendestandard"/>
            </w:pPr>
          </w:p>
        </w:tc>
      </w:tr>
    </w:tbl>
    <w:p w:rsidR="00611C4F" w:rsidRPr="00611C4F" w:rsidRDefault="00611C4F" w:rsidP="00894923"/>
    <w:p w:rsidR="00611C4F" w:rsidRPr="00611C4F" w:rsidRDefault="00611C4F" w:rsidP="00894923"/>
    <w:p w:rsidR="00611C4F" w:rsidRPr="00611C4F" w:rsidRDefault="00611C4F" w:rsidP="00894923"/>
    <w:p w:rsidR="00611C4F" w:rsidRPr="00611C4F" w:rsidRDefault="00611C4F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A24E4">
        <w:tc>
          <w:tcPr>
            <w:tcW w:w="5811" w:type="dxa"/>
          </w:tcPr>
          <w:p w:rsidR="00611C4F" w:rsidRPr="00611C4F" w:rsidRDefault="0087628B" w:rsidP="00894923">
            <w:pPr>
              <w:pStyle w:val="Lgendetitre"/>
            </w:pPr>
            <w:r>
              <w:t>Emendi għal abbozz ta' att</w:t>
            </w:r>
          </w:p>
        </w:tc>
      </w:tr>
      <w:tr w:rsidR="004A24E4" w:rsidTr="0094769F">
        <w:trPr>
          <w:trHeight w:val="4638"/>
        </w:trPr>
        <w:tc>
          <w:tcPr>
            <w:tcW w:w="5811" w:type="dxa"/>
          </w:tcPr>
          <w:p w:rsidR="00611C4F" w:rsidRPr="00611C4F" w:rsidRDefault="0087628B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 xml:space="preserve">Emendi tal-Parlament </w:t>
            </w:r>
            <w:r>
              <w:rPr>
                <w:b/>
              </w:rPr>
              <w:t>f'żewġ kolonni</w:t>
            </w:r>
          </w:p>
          <w:p w:rsidR="00611C4F" w:rsidRPr="00611C4F" w:rsidRDefault="00611C4F" w:rsidP="007F43F3">
            <w:pPr>
              <w:pStyle w:val="Lgendestandard"/>
              <w:rPr>
                <w:szCs w:val="24"/>
              </w:rPr>
            </w:pPr>
          </w:p>
          <w:p w:rsidR="00611C4F" w:rsidRPr="00611C4F" w:rsidRDefault="0087628B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</w:t>
            </w:r>
            <w:r>
              <w:t>-lemin.</w:t>
            </w:r>
          </w:p>
          <w:p w:rsidR="00611C4F" w:rsidRPr="00611C4F" w:rsidRDefault="00611C4F" w:rsidP="007F43F3">
            <w:pPr>
              <w:pStyle w:val="Lgendestandard"/>
              <w:rPr>
                <w:szCs w:val="24"/>
              </w:rPr>
            </w:pPr>
          </w:p>
          <w:p w:rsidR="00611C4F" w:rsidRPr="00611C4F" w:rsidRDefault="0087628B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ta' kull emenda jidentifikaw il-parti tat-test ikkonċernata fl-abbozz ta' att inkwistjoni. Meta emenda tirrigwarda att eżistenti, li l-abbozz ta' att ikollu l-ħsieb li jemenda, l-intestatura jkun fiha wkoll </w:t>
            </w:r>
            <w:r>
              <w:t xml:space="preserve">it-tielet u r-raba' linji li jidentifikaw rispettivament l-att eżistenti u d-dispożizzjoni kkonċernata f'dak l-att. </w:t>
            </w:r>
          </w:p>
          <w:p w:rsidR="00611C4F" w:rsidRPr="00611C4F" w:rsidRDefault="00611C4F" w:rsidP="007F43F3">
            <w:pPr>
              <w:pStyle w:val="Lgendestandard"/>
              <w:rPr>
                <w:szCs w:val="24"/>
              </w:rPr>
            </w:pPr>
          </w:p>
          <w:p w:rsidR="00611C4F" w:rsidRPr="00611C4F" w:rsidRDefault="0087628B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ta' test konsolidat</w:t>
            </w:r>
          </w:p>
          <w:p w:rsidR="00611C4F" w:rsidRPr="00611C4F" w:rsidRDefault="00611C4F" w:rsidP="007F43F3">
            <w:pPr>
              <w:pStyle w:val="Lgendestandard"/>
              <w:rPr>
                <w:szCs w:val="24"/>
              </w:rPr>
            </w:pPr>
          </w:p>
          <w:p w:rsidR="00611C4F" w:rsidRPr="00611C4F" w:rsidRDefault="0087628B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</w:t>
            </w:r>
            <w:r>
              <w:t>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611C4F" w:rsidRPr="00611C4F" w:rsidRDefault="0087628B" w:rsidP="007F43F3">
            <w:pPr>
              <w:pStyle w:val="Lgendestandard"/>
            </w:pPr>
            <w:r>
              <w:tab/>
              <w:t>Bħala eċċezzjoni, i</w:t>
            </w:r>
            <w:r>
              <w:t>t-tibdil ta' natura strettament teknika magħmul mis-servizzi fil-preparazzjoni tat-test finali mhuwiex indikat.</w:t>
            </w:r>
          </w:p>
          <w:p w:rsidR="00611C4F" w:rsidRPr="00611C4F" w:rsidRDefault="00611C4F" w:rsidP="0069092A">
            <w:pPr>
              <w:pStyle w:val="Lgendestandard"/>
            </w:pPr>
          </w:p>
        </w:tc>
      </w:tr>
    </w:tbl>
    <w:p w:rsidR="00611C4F" w:rsidRPr="00611C4F" w:rsidRDefault="00611C4F" w:rsidP="00894923"/>
    <w:p w:rsidR="00793EA9" w:rsidRPr="00611C4F" w:rsidRDefault="00793EA9" w:rsidP="00012351">
      <w:pPr>
        <w:widowControl/>
        <w:tabs>
          <w:tab w:val="center" w:pos="4677"/>
        </w:tabs>
      </w:pPr>
    </w:p>
    <w:p w:rsidR="00793EA9" w:rsidRPr="00611C4F" w:rsidRDefault="0087628B">
      <w:pPr>
        <w:pStyle w:val="TOCHeading"/>
      </w:pPr>
      <w:r>
        <w:br w:type="page"/>
      </w:r>
      <w:r>
        <w:lastRenderedPageBreak/>
        <w:t>WERREJ</w:t>
      </w:r>
    </w:p>
    <w:p w:rsidR="00793EA9" w:rsidRPr="00611C4F" w:rsidRDefault="0087628B">
      <w:pPr>
        <w:pStyle w:val="TOCPage"/>
      </w:pPr>
      <w:r>
        <w:t>Paġna</w:t>
      </w:r>
    </w:p>
    <w:p w:rsidR="0087628B" w:rsidRDefault="0087628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611C4F">
        <w:rPr>
          <w:b/>
        </w:rPr>
        <w:fldChar w:fldCharType="begin"/>
      </w:r>
      <w:r w:rsidRPr="00611C4F">
        <w:rPr>
          <w:b/>
        </w:rPr>
        <w:instrText xml:space="preserve"> TOC \t "PageHeading</w:instrText>
      </w:r>
      <w:r w:rsidR="00611C4F" w:rsidRPr="00611C4F">
        <w:rPr>
          <w:b/>
        </w:rPr>
        <w:instrText>;</w:instrText>
      </w:r>
      <w:r w:rsidRPr="00611C4F">
        <w:rPr>
          <w:b/>
        </w:rPr>
        <w:instrText xml:space="preserve">1" </w:instrText>
      </w:r>
      <w:r w:rsidRPr="00611C4F">
        <w:rPr>
          <w:b/>
        </w:rPr>
        <w:fldChar w:fldCharType="separate"/>
      </w:r>
      <w:r>
        <w:rPr>
          <w:noProof/>
        </w:rPr>
        <w:t>ABBOZZ TA'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_Toc115340373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628B" w:rsidRDefault="0087628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_Toc115340374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46B0" w:rsidRPr="00611C4F" w:rsidRDefault="0087628B" w:rsidP="00C23324">
      <w:r w:rsidRPr="00611C4F">
        <w:rPr>
          <w:b/>
        </w:rPr>
        <w:fldChar w:fldCharType="end"/>
      </w:r>
    </w:p>
    <w:p w:rsidR="00793EA9" w:rsidRPr="00611C4F" w:rsidRDefault="0087628B">
      <w:pPr>
        <w:pStyle w:val="PageHeading"/>
      </w:pPr>
      <w:r>
        <w:br w:type="page"/>
      </w:r>
      <w:r>
        <w:lastRenderedPageBreak/>
        <w:br w:type="page"/>
      </w:r>
      <w:bookmarkStart w:id="1" w:name="_Toc115340373"/>
      <w:r>
        <w:lastRenderedPageBreak/>
        <w:t>ABBOZZ TA' RIŻOLUZZJONI LEĠIŻLATTIVA TAL-PARLAMENT EWROPEW</w:t>
      </w:r>
      <w:bookmarkEnd w:id="1"/>
    </w:p>
    <w:p w:rsidR="00611C4F" w:rsidRPr="00611C4F" w:rsidRDefault="0087628B" w:rsidP="00611C4F">
      <w:pPr>
        <w:pStyle w:val="NormalBold"/>
      </w:pPr>
      <w:r>
        <w:t>dwar il-proposta għal regolament tal-Parlament Ewropew u tal-Kunsill li jemenda r-Regolament (UE) 2018/1806, li jelenka l-pajj</w:t>
      </w:r>
      <w:r>
        <w:t>iżi terzi li ċ-ċittadini tagħhom għandu jkollhom viża fil-pussess tagħhom meta jaqsmu l-fruntieri esterni u dawk li ċ-ċittadini tagħhom huma eżenti minn dik il-ħtieġa (Il-Kuwajt, il-Qatar)</w:t>
      </w:r>
    </w:p>
    <w:p w:rsidR="00793EA9" w:rsidRPr="00611C4F" w:rsidRDefault="0087628B" w:rsidP="00611C4F">
      <w:pPr>
        <w:pStyle w:val="NormalBold12a"/>
      </w:pPr>
      <w:r>
        <w:t>(COM(2022)0189 – C9</w:t>
      </w:r>
      <w:r>
        <w:noBreakHyphen/>
        <w:t>0160/2022 – 2022/0135(COD))</w:t>
      </w:r>
    </w:p>
    <w:p w:rsidR="00793EA9" w:rsidRPr="00611C4F" w:rsidRDefault="0087628B" w:rsidP="00A910C9">
      <w:pPr>
        <w:pStyle w:val="NormalBold"/>
      </w:pPr>
      <w:r>
        <w:t>(Proċedura leġiżlat</w:t>
      </w:r>
      <w:r>
        <w:t>tiva ordinarja: l-ewwel qari)</w:t>
      </w:r>
    </w:p>
    <w:p w:rsidR="00793EA9" w:rsidRPr="00611C4F" w:rsidRDefault="0087628B" w:rsidP="00A910C9">
      <w:pPr>
        <w:pStyle w:val="EPComma"/>
      </w:pPr>
      <w:r>
        <w:rPr>
          <w:i/>
        </w:rPr>
        <w:t>Il-Parlament Ewropew</w:t>
      </w:r>
      <w:r>
        <w:t>,</w:t>
      </w:r>
    </w:p>
    <w:p w:rsidR="00793EA9" w:rsidRPr="00611C4F" w:rsidRDefault="0087628B">
      <w:pPr>
        <w:pStyle w:val="NormalHanging12a"/>
      </w:pPr>
      <w:r>
        <w:t>–</w:t>
      </w:r>
      <w:r>
        <w:tab/>
        <w:t>wara li kkunsidra l-proposta tal-Kummissjoni lill-Parlament Ewropew u lill-Kunsill (COM(2022)0189),</w:t>
      </w:r>
    </w:p>
    <w:p w:rsidR="00611C4F" w:rsidRPr="00611C4F" w:rsidRDefault="0087628B" w:rsidP="00611C4F">
      <w:pPr>
        <w:pStyle w:val="NormalHanging12a"/>
      </w:pPr>
      <w:r>
        <w:t>–</w:t>
      </w:r>
      <w:r>
        <w:tab/>
        <w:t>wara li kkunsidra l-Artikolu 294(2) u l-Artikolu 77(2), il-punt (a) tat-Trattat dwar il-Funzjonament</w:t>
      </w:r>
      <w:r>
        <w:t xml:space="preserve"> tal-Unjoni Ewropea, skont liema artikoli l-Kummissjoni ppreżentat il-proposta lill-Parlament (C9</w:t>
      </w:r>
      <w:r>
        <w:noBreakHyphen/>
        <w:t>0160/2022),</w:t>
      </w:r>
    </w:p>
    <w:p w:rsidR="00611C4F" w:rsidRPr="00611C4F" w:rsidRDefault="0087628B" w:rsidP="00611C4F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611C4F" w:rsidRPr="00611C4F" w:rsidRDefault="0087628B" w:rsidP="00611C4F">
      <w:pPr>
        <w:pStyle w:val="NormalHanging12a"/>
      </w:pPr>
      <w:r>
        <w:t>–</w:t>
      </w:r>
      <w:r>
        <w:tab/>
        <w:t>wara li kkunsidra l-Artikolu 59 tar-Regoli ta' Proċed</w:t>
      </w:r>
      <w:r>
        <w:t>ura tiegħu,</w:t>
      </w:r>
    </w:p>
    <w:p w:rsidR="00611C4F" w:rsidRPr="00611C4F" w:rsidRDefault="0087628B" w:rsidP="00611C4F">
      <w:pPr>
        <w:pStyle w:val="NormalHanging12a"/>
      </w:pPr>
      <w:r>
        <w:t>–</w:t>
      </w:r>
      <w:r>
        <w:tab/>
        <w:t>wara li kkunsidra r-rapport tal-Kumitat għal-Libertajiet Ċivili, il-Ġustizzja u l-Intern (A9</w:t>
      </w:r>
      <w:r>
        <w:noBreakHyphen/>
        <w:t>0000/2022),</w:t>
      </w:r>
    </w:p>
    <w:p w:rsidR="00611C4F" w:rsidRPr="00611C4F" w:rsidRDefault="0087628B" w:rsidP="00611C4F">
      <w:pPr>
        <w:pStyle w:val="NormalHanging12a"/>
      </w:pPr>
      <w:r>
        <w:t>1.</w:t>
      </w:r>
      <w:r>
        <w:tab/>
        <w:t>Jadotta l-pożizzjoni fl-ewwel qari li tidher hawn taħt;</w:t>
      </w:r>
    </w:p>
    <w:p w:rsidR="00611C4F" w:rsidRPr="00611C4F" w:rsidRDefault="0087628B" w:rsidP="00611C4F">
      <w:pPr>
        <w:pStyle w:val="NormalHanging12a"/>
      </w:pPr>
      <w:r>
        <w:t>2.</w:t>
      </w:r>
      <w:r>
        <w:tab/>
        <w:t>Jitlob lill-Kummissjoni terġa' tirreferi l-kwistjoni lill-Parlament jekk ti</w:t>
      </w:r>
      <w:r>
        <w:t>bdel il-proposta tagħha, temendaha b'mod sustanzjali jew ikollha l-ħsieb li temendaha b'mod sustanzjali;</w:t>
      </w:r>
    </w:p>
    <w:p w:rsidR="00611C4F" w:rsidRPr="00611C4F" w:rsidRDefault="0087628B" w:rsidP="00611C4F">
      <w:pPr>
        <w:pStyle w:val="NormalHanging12a"/>
      </w:pPr>
      <w:r>
        <w:t>3.</w:t>
      </w:r>
      <w:r>
        <w:tab/>
        <w:t>Jagħti istruzzjonijiet lill-President tiegħu biex tgħaddi l-pożizzjoni tal-Parlament lill-Kunsill u lill-Kummissjoni kif ukoll lill-parlamenti nazzj</w:t>
      </w:r>
      <w:r>
        <w:t>onali.</w:t>
      </w:r>
    </w:p>
    <w:p w:rsidR="00611C4F" w:rsidRPr="00611C4F" w:rsidRDefault="00611C4F" w:rsidP="00611C4F"/>
    <w:p w:rsidR="00611C4F" w:rsidRPr="00611C4F" w:rsidRDefault="0087628B" w:rsidP="00611C4F">
      <w:pPr>
        <w:pStyle w:val="AmNumberTabs"/>
        <w:keepNext/>
      </w:pPr>
      <w:r>
        <w:rPr>
          <w:rStyle w:val="HideTWBExt"/>
          <w:b w:val="0"/>
        </w:rPr>
        <w:t>&lt;RepeatBlock-Amend&gt;</w:t>
      </w:r>
      <w:bookmarkStart w:id="2" w:name="restart"/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bookmarkEnd w:id="2"/>
    <w:p w:rsidR="00611C4F" w:rsidRPr="00611C4F" w:rsidRDefault="0087628B" w:rsidP="00611C4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611C4F" w:rsidRPr="00611C4F" w:rsidRDefault="0087628B" w:rsidP="00611C4F">
      <w:pPr>
        <w:pStyle w:val="NormalBold"/>
      </w:pPr>
      <w:r>
        <w:rPr>
          <w:rStyle w:val="HideTWBExt"/>
          <w:b w:val="0"/>
        </w:rPr>
        <w:t>&lt;Article&gt;</w:t>
      </w:r>
      <w:r>
        <w:t>Premessa 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A24E4" w:rsidTr="00451FCA">
        <w:trPr>
          <w:jc w:val="center"/>
        </w:trPr>
        <w:tc>
          <w:tcPr>
            <w:tcW w:w="9752" w:type="dxa"/>
            <w:gridSpan w:val="2"/>
          </w:tcPr>
          <w:p w:rsidR="00611C4F" w:rsidRPr="00611C4F" w:rsidRDefault="00611C4F" w:rsidP="00451FCA">
            <w:pPr>
              <w:keepNext/>
            </w:pP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Emenda</w:t>
            </w: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Normal6"/>
            </w:pPr>
            <w:r>
              <w:t>(3)</w:t>
            </w:r>
            <w:r>
              <w:tab/>
              <w:t xml:space="preserve">Il-Kuwajt u l-Qatar </w:t>
            </w:r>
            <w:r>
              <w:rPr>
                <w:b/>
                <w:bCs/>
                <w:i/>
                <w:iCs/>
              </w:rPr>
              <w:t>jippreżentaw riskji baxxi ta' migrazzjoni irregolari lejn</w:t>
            </w:r>
            <w:r>
              <w:rPr>
                <w:b/>
                <w:bCs/>
                <w:i/>
                <w:iCs/>
              </w:rPr>
              <w:t xml:space="preserve"> l-Unjoni u</w:t>
            </w:r>
            <w:r>
              <w:t xml:space="preserve"> joħorġu passaporti bijometriċi f'konformità mal-istandards tal-</w:t>
            </w:r>
            <w:r>
              <w:lastRenderedPageBreak/>
              <w:t xml:space="preserve">Organizzazzjoni tal-Avjazzjoni Ċivili Internazzjonali. </w:t>
            </w:r>
            <w:r>
              <w:rPr>
                <w:b/>
                <w:i/>
              </w:rPr>
              <w:t xml:space="preserve">Il-kooperazzjoni fis-sigurtà ma' dawk il-pajjiżi intensifikat f'dawn l-aħħar snin. </w:t>
            </w:r>
            <w:r>
              <w:rPr>
                <w:b/>
                <w:bCs/>
                <w:i/>
                <w:iCs/>
              </w:rPr>
              <w:t>Fir-rigward tal-interessi ekonomiċi, il-Kuw</w:t>
            </w:r>
            <w:r>
              <w:rPr>
                <w:b/>
                <w:bCs/>
                <w:i/>
                <w:iCs/>
              </w:rPr>
              <w:t>ajt u l-Qatar huma sħab ekonomiċi importanti għall-Unjoni, b'mod partikolari fil-qasam tal-enerġija.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Għalkemm</w:t>
            </w:r>
            <w:r>
              <w:t xml:space="preserve"> għad fadal sfidi fil-qasam tad-drittijiet tal-bniedem u l-libertajiet fundamentali</w:t>
            </w:r>
            <w:r>
              <w:rPr>
                <w:b/>
                <w:bCs/>
                <w:i/>
                <w:iCs/>
              </w:rPr>
              <w:t>, il-Kuwajt</w:t>
            </w:r>
            <w:r>
              <w:t xml:space="preserve"> u l-Qatar </w:t>
            </w:r>
            <w:r>
              <w:rPr>
                <w:b/>
                <w:bCs/>
                <w:i/>
                <w:iCs/>
              </w:rPr>
              <w:t>għaddew minn trasformazzjonijiet</w:t>
            </w:r>
            <w:r>
              <w:t xml:space="preserve"> soċjetali u </w:t>
            </w:r>
            <w:r>
              <w:rPr>
                <w:b/>
                <w:bCs/>
                <w:i/>
                <w:iCs/>
              </w:rPr>
              <w:t>titjib fir-rigward tad-drittijiet tan-nisa, id-drittijiet tax-xogħol u l-libertà tar-reliġjon u d-djalogu bejn ir-reliġjonijiet u huma mistennija li jkomplu jagħmlu progress u riformi.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Il-benefiċċji fit-tul</w:t>
            </w:r>
            <w:r>
              <w:t xml:space="preserve"> tal-ivvjaġġar mingħajr viża</w:t>
            </w:r>
            <w:r>
              <w:rPr>
                <w:b/>
                <w:bCs/>
                <w:i/>
                <w:iCs/>
              </w:rPr>
              <w:t xml:space="preserve"> lejn l-U</w:t>
            </w:r>
            <w:r>
              <w:rPr>
                <w:b/>
                <w:bCs/>
                <w:i/>
                <w:iCs/>
              </w:rPr>
              <w:t>E jistgħu jsaħħu x-xejriet pożittivi f’dawn l-oqsma</w:t>
            </w:r>
            <w:r>
              <w:t>.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Normal6"/>
              <w:rPr>
                <w:szCs w:val="24"/>
              </w:rPr>
            </w:pPr>
            <w:r>
              <w:lastRenderedPageBreak/>
              <w:t>(3)</w:t>
            </w:r>
            <w:r>
              <w:tab/>
            </w:r>
            <w:r>
              <w:rPr>
                <w:b/>
                <w:bCs/>
                <w:i/>
                <w:iCs/>
              </w:rPr>
              <w:t>Abbażi tal-valutazzjoni tal-Kummissjoni,</w:t>
            </w:r>
            <w:r>
              <w:t xml:space="preserve"> il-Kuwajt u l-Qatar </w:t>
            </w:r>
            <w:r>
              <w:rPr>
                <w:b/>
                <w:bCs/>
                <w:i/>
                <w:iCs/>
              </w:rPr>
              <w:t xml:space="preserve">jissodisfaw il-kriterji stabbiliti fir-Regolament (UE) 2018/1806, li </w:t>
            </w:r>
            <w:r>
              <w:rPr>
                <w:b/>
                <w:bCs/>
                <w:i/>
                <w:iCs/>
              </w:rPr>
              <w:lastRenderedPageBreak/>
              <w:t>jippermettu l-inklużjoni tagħhom fil-lista ta' pajjiżi li ċ-ċittadini</w:t>
            </w:r>
            <w:r>
              <w:rPr>
                <w:b/>
                <w:bCs/>
                <w:i/>
                <w:iCs/>
              </w:rPr>
              <w:t xml:space="preserve"> tagħhom huma eżenti mill-ħtieġa ta' viża.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Iż-żewġ pajjiżi</w:t>
            </w:r>
            <w:r>
              <w:t xml:space="preserve"> joħorġu </w:t>
            </w:r>
            <w:r>
              <w:rPr>
                <w:b/>
                <w:bCs/>
                <w:i/>
                <w:iCs/>
              </w:rPr>
              <w:t>wkoll</w:t>
            </w:r>
            <w:r>
              <w:rPr>
                <w:b/>
                <w:bCs/>
              </w:rPr>
              <w:t xml:space="preserve"> </w:t>
            </w:r>
            <w:r>
              <w:t xml:space="preserve">passaporti bijometriċi f'konformità mal-istandards tal-Organizzazzjoni tal-Avjazzjoni Ċivili Internazzjonali. </w:t>
            </w:r>
            <w:r>
              <w:rPr>
                <w:b/>
                <w:bCs/>
                <w:i/>
                <w:iCs/>
              </w:rPr>
              <w:t>Madankollu, kif deskritt fil-valutazzjoni tal-Kummissjoni (Dokument ta' Ħ</w:t>
            </w:r>
            <w:r>
              <w:rPr>
                <w:b/>
                <w:bCs/>
                <w:i/>
                <w:iCs/>
              </w:rPr>
              <w:t>idma tal-Persunal tal-Kummissjoni dwar l-issodisfar mill-Kuwajt u mill-Qatar tal-kriterji elenkati fl-Artikolu 1 tar-Regolament (UE) 2018/1806), fir-Rapport Annwali tal-UE tal-2021 tas-SEAE dwar id-Drittijiet tal-Bniedem u d-Demokrazija fid-Dinja (Rapporti</w:t>
            </w:r>
            <w:r>
              <w:rPr>
                <w:b/>
                <w:bCs/>
                <w:i/>
                <w:iCs/>
              </w:rPr>
              <w:t xml:space="preserve"> tal-Pajjiżi) u f'diversi rapporti tal-NGOs,</w:t>
            </w:r>
            <w:r>
              <w:t xml:space="preserve"> għad fadal </w:t>
            </w:r>
            <w:r>
              <w:rPr>
                <w:b/>
                <w:bCs/>
                <w:i/>
                <w:iCs/>
              </w:rPr>
              <w:t>tħassib serju u ħafna</w:t>
            </w:r>
            <w:r>
              <w:t xml:space="preserve"> sfidi fil-qasam tad-drittijiet tal-bniedem u l-libertajiet fundamentali </w:t>
            </w:r>
            <w:r>
              <w:rPr>
                <w:b/>
                <w:bCs/>
                <w:i/>
                <w:iCs/>
              </w:rPr>
              <w:t>fil-Kuwajt</w:t>
            </w:r>
            <w:r>
              <w:t xml:space="preserve"> u l-Qatar </w:t>
            </w:r>
            <w:r>
              <w:rPr>
                <w:b/>
                <w:bCs/>
                <w:i/>
                <w:iCs/>
              </w:rPr>
              <w:t>minkejja t-trasformazzjonijiet</w:t>
            </w:r>
            <w:r>
              <w:t xml:space="preserve"> soċjetali u</w:t>
            </w:r>
            <w:r>
              <w:rPr>
                <w:b/>
                <w:bCs/>
                <w:i/>
                <w:iCs/>
              </w:rPr>
              <w:t xml:space="preserve"> l-bidliet leġiżlattivi reċenti u li għadde</w:t>
            </w:r>
            <w:r>
              <w:rPr>
                <w:b/>
                <w:bCs/>
                <w:i/>
                <w:iCs/>
              </w:rPr>
              <w:t>jjin bħalissa.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Sabiex tiġi ggarantita l-effikaċja tal-eżenzjoni mill-viża u r-reċiproċità sħiħa tagħha, il-ftehim dwar l-eżenzjoni mill-viża jenħtieġ li jiżgura li kwalunkwe ostaklu li jipprevjeni t-tgawdija tal-benefiċċji</w:t>
            </w:r>
            <w:r>
              <w:t xml:space="preserve"> tal-ivvjaġġar mingħajr viża </w:t>
            </w:r>
            <w:r>
              <w:rPr>
                <w:b/>
                <w:bCs/>
                <w:i/>
                <w:iCs/>
              </w:rPr>
              <w:t xml:space="preserve">meta </w:t>
            </w:r>
            <w:r>
              <w:rPr>
                <w:b/>
                <w:bCs/>
                <w:i/>
                <w:iCs/>
              </w:rPr>
              <w:t>jinqasmu l-fruntieri esterni tal-Istati Membri jitneħħa billi jingħata aċċess lill-benefiċjarji fuq bażi nondiskriminatorja, b'mod partikolari aċċess indipendenti għall-ivvjaġġar għan-nisa, il-membri tal-komunità LGBTQ+ u l-persuni apolidi</w:t>
            </w:r>
            <w:r>
              <w:t xml:space="preserve">. </w:t>
            </w:r>
            <w:r>
              <w:rPr>
                <w:b/>
                <w:i/>
              </w:rPr>
              <w:t>Tali kundizzjon</w:t>
            </w:r>
            <w:r>
              <w:rPr>
                <w:b/>
                <w:i/>
              </w:rPr>
              <w:t>ijiet jenħtieġ li jiġu riflessi fil-ftehimiet bilaterali dwar l-eżenzjoni mill-viża li jiġu konklużi bejn l-Unjoni u dawk il-pajjiżi.</w:t>
            </w:r>
          </w:p>
        </w:tc>
      </w:tr>
    </w:tbl>
    <w:p w:rsidR="00611C4F" w:rsidRPr="00611C4F" w:rsidRDefault="0087628B" w:rsidP="00611C4F">
      <w:pPr>
        <w:pStyle w:val="Olang"/>
        <w:rPr>
          <w:sz w:val="24"/>
          <w:szCs w:val="24"/>
        </w:rPr>
      </w:pPr>
      <w:r w:rsidRPr="00611C4F">
        <w:rPr>
          <w:sz w:val="24"/>
          <w:szCs w:val="24"/>
        </w:rPr>
        <w:lastRenderedPageBreak/>
        <w:t xml:space="preserve">Or. </w:t>
      </w:r>
      <w:r w:rsidRPr="00611C4F">
        <w:rPr>
          <w:rStyle w:val="HideTWBExt"/>
          <w:noProof w:val="0"/>
        </w:rPr>
        <w:t>&lt;Original&gt;</w:t>
      </w:r>
      <w:r w:rsidRPr="00611C4F">
        <w:rPr>
          <w:rStyle w:val="HideTWBInt"/>
          <w:sz w:val="24"/>
          <w:szCs w:val="24"/>
        </w:rPr>
        <w:t>{EN}</w:t>
      </w:r>
      <w:r w:rsidRPr="00611C4F">
        <w:rPr>
          <w:sz w:val="24"/>
          <w:szCs w:val="24"/>
        </w:rPr>
        <w:t>en</w:t>
      </w:r>
      <w:r w:rsidRPr="00611C4F">
        <w:rPr>
          <w:rStyle w:val="HideTWBExt"/>
          <w:noProof w:val="0"/>
        </w:rPr>
        <w:t>&lt;/Original&gt;</w:t>
      </w:r>
    </w:p>
    <w:p w:rsidR="00611C4F" w:rsidRPr="00611C4F" w:rsidRDefault="0087628B" w:rsidP="00611C4F">
      <w:r>
        <w:rPr>
          <w:rStyle w:val="HideTWBExt"/>
        </w:rPr>
        <w:t>&lt;/Amend&gt;</w:t>
      </w:r>
    </w:p>
    <w:p w:rsidR="00611C4F" w:rsidRPr="00611C4F" w:rsidRDefault="0087628B" w:rsidP="00611C4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611C4F" w:rsidRPr="00611C4F" w:rsidRDefault="0087628B" w:rsidP="00611C4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611C4F" w:rsidRPr="00611C4F" w:rsidRDefault="0087628B" w:rsidP="00611C4F">
      <w:pPr>
        <w:pStyle w:val="NormalBold"/>
      </w:pPr>
      <w:r>
        <w:rPr>
          <w:rStyle w:val="HideTWBExt"/>
          <w:b w:val="0"/>
        </w:rPr>
        <w:t>&lt;A</w:t>
      </w:r>
      <w:r>
        <w:rPr>
          <w:rStyle w:val="HideTWBExt"/>
          <w:b w:val="0"/>
        </w:rPr>
        <w:t>rticle&gt;</w:t>
      </w:r>
      <w:r>
        <w:t>Premessa 3a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A24E4" w:rsidTr="00451FCA">
        <w:trPr>
          <w:jc w:val="center"/>
        </w:trPr>
        <w:tc>
          <w:tcPr>
            <w:tcW w:w="9752" w:type="dxa"/>
            <w:gridSpan w:val="2"/>
          </w:tcPr>
          <w:p w:rsidR="00611C4F" w:rsidRPr="00611C4F" w:rsidRDefault="00611C4F" w:rsidP="00451FCA">
            <w:pPr>
              <w:keepNext/>
            </w:pP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Emenda</w:t>
            </w: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611C4F" w:rsidP="00451FCA">
            <w:pPr>
              <w:pStyle w:val="Normal6"/>
            </w:pP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(3a)</w:t>
            </w:r>
            <w:r>
              <w:rPr>
                <w:b/>
                <w:i/>
              </w:rPr>
              <w:tab/>
              <w:t xml:space="preserve">Barra minn hekk, jenħtieġ li jinbeda djalogu sħiħ u uffiċjali dwar id-drittijiet tal-bniedem mal-Kuwajt u mal-Qatar, li jwassal għal titjib u kisbiet tanġibbli fir-rigward, </w:t>
            </w:r>
            <w:r>
              <w:rPr>
                <w:b/>
                <w:i/>
              </w:rPr>
              <w:t xml:space="preserve">fost l-oħrajn, tad-drittijiet tax-xogħol u tal-ħaddiema, inklużi d-drittijiet tal-ħaddiema migranti, id-drittijiet tan-nisa, id-drittijiet tal-persuni LGBTQ+, il-libertà tar-reliġjon, il-projbizzjoni tat-tortura, il-libertà tal-kelma, id-dritt ta' għaqda, </w:t>
            </w:r>
            <w:r>
              <w:rPr>
                <w:b/>
                <w:i/>
              </w:rPr>
              <w:t>u l-projbizzjoni tal-piena tal-mewt. Il-ftehimiet bilaterali dwar l-eżenzjoni mill-viża bejn l-Unjoni u l-Kuwajt u l-Unjoni u l-Qatar jenħtieġ li jinkludu impenji espliċiti u konkreti għal dan l-għan.</w:t>
            </w:r>
          </w:p>
        </w:tc>
      </w:tr>
    </w:tbl>
    <w:p w:rsidR="00611C4F" w:rsidRPr="00611C4F" w:rsidRDefault="0087628B" w:rsidP="00611C4F">
      <w:pPr>
        <w:pStyle w:val="Olang"/>
        <w:rPr>
          <w:sz w:val="24"/>
          <w:szCs w:val="24"/>
        </w:rPr>
      </w:pPr>
      <w:r w:rsidRPr="00611C4F">
        <w:rPr>
          <w:sz w:val="24"/>
          <w:szCs w:val="24"/>
        </w:rPr>
        <w:t xml:space="preserve">Or. </w:t>
      </w:r>
      <w:r w:rsidRPr="00611C4F">
        <w:rPr>
          <w:rStyle w:val="HideTWBExt"/>
          <w:noProof w:val="0"/>
        </w:rPr>
        <w:t>&lt;Original&gt;</w:t>
      </w:r>
      <w:r w:rsidRPr="00611C4F">
        <w:rPr>
          <w:rStyle w:val="HideTWBInt"/>
          <w:sz w:val="24"/>
          <w:szCs w:val="24"/>
        </w:rPr>
        <w:t>{EN}</w:t>
      </w:r>
      <w:r w:rsidRPr="00611C4F">
        <w:rPr>
          <w:sz w:val="24"/>
          <w:szCs w:val="24"/>
        </w:rPr>
        <w:t>en</w:t>
      </w:r>
      <w:r w:rsidRPr="00611C4F">
        <w:rPr>
          <w:rStyle w:val="HideTWBExt"/>
          <w:noProof w:val="0"/>
        </w:rPr>
        <w:t>&lt;/Original&gt;</w:t>
      </w:r>
    </w:p>
    <w:p w:rsidR="00611C4F" w:rsidRPr="00611C4F" w:rsidRDefault="0087628B" w:rsidP="00611C4F">
      <w:r>
        <w:rPr>
          <w:rStyle w:val="HideTWBExt"/>
        </w:rPr>
        <w:t>&lt;/Amend&gt;</w:t>
      </w:r>
    </w:p>
    <w:p w:rsidR="00611C4F" w:rsidRPr="00611C4F" w:rsidRDefault="0087628B" w:rsidP="00611C4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611C4F" w:rsidRPr="00611C4F" w:rsidRDefault="0087628B" w:rsidP="00611C4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611C4F" w:rsidRPr="00611C4F" w:rsidRDefault="0087628B" w:rsidP="00611C4F">
      <w:pPr>
        <w:pStyle w:val="NormalBold"/>
      </w:pPr>
      <w:r>
        <w:rPr>
          <w:rStyle w:val="HideTWBExt"/>
          <w:b w:val="0"/>
        </w:rPr>
        <w:t>&lt;Article&gt;</w:t>
      </w:r>
      <w:r>
        <w:t>Premessa 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A24E4" w:rsidTr="00451FCA">
        <w:trPr>
          <w:jc w:val="center"/>
        </w:trPr>
        <w:tc>
          <w:tcPr>
            <w:tcW w:w="9752" w:type="dxa"/>
            <w:gridSpan w:val="2"/>
          </w:tcPr>
          <w:p w:rsidR="00611C4F" w:rsidRPr="00611C4F" w:rsidRDefault="00611C4F" w:rsidP="00451FCA">
            <w:pPr>
              <w:keepNext/>
            </w:pP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Emenda</w:t>
            </w: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Normal6"/>
            </w:pPr>
            <w:r>
              <w:t>(4)</w:t>
            </w:r>
            <w:r>
              <w:tab/>
            </w:r>
            <w:r>
              <w:rPr>
                <w:b/>
                <w:bCs/>
                <w:i/>
                <w:iCs/>
              </w:rPr>
              <w:t>B'konsegwenza</w:t>
            </w:r>
            <w:r>
              <w:t xml:space="preserve">, ċittadini ta' dawk il-pajjiżi </w:t>
            </w:r>
            <w:r>
              <w:rPr>
                <w:b/>
                <w:bCs/>
                <w:i/>
                <w:iCs/>
              </w:rPr>
              <w:t>għandhom ikunu</w:t>
            </w:r>
            <w:r>
              <w:t xml:space="preserve"> eżenti </w:t>
            </w:r>
            <w:r>
              <w:rPr>
                <w:b/>
                <w:bCs/>
                <w:i/>
                <w:iCs/>
              </w:rPr>
              <w:t>mill-ħtieġa tal-viża</w:t>
            </w:r>
            <w:r>
              <w:t xml:space="preserve"> għal soġġorni ta' mhux iktar minn 90 jum fi kwalunkwe perjodu ta' 180 jum, u r-referenzi għal dawk il-pajjiżi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jiġu trasferiti għall-Anness II għar-Regolament (UE) 2018/1806.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</w:r>
            <w:r>
              <w:rPr>
                <w:b/>
                <w:bCs/>
                <w:i/>
                <w:iCs/>
              </w:rPr>
              <w:t>Meta jitqies li l-benefiċċji fit-tul tal-ivvjaġġar mingħajr viża lej</w:t>
            </w:r>
            <w:r>
              <w:rPr>
                <w:b/>
                <w:bCs/>
                <w:i/>
                <w:iCs/>
              </w:rPr>
              <w:t>n l-UE u tal-iskambju reċiproku magħha jistgħu jirrinforzaw xejriet pożittivi anki fl-oqsma tad-drittijiet tal-bniedem u d-drittijiet fundamentali</w:t>
            </w:r>
            <w:r>
              <w:t xml:space="preserve">, ċittadini ta' dawk il-pajjiżi </w:t>
            </w:r>
            <w:r>
              <w:rPr>
                <w:b/>
                <w:bCs/>
                <w:i/>
                <w:iCs/>
              </w:rPr>
              <w:t>jenħtieġ li jkunu</w:t>
            </w:r>
            <w:r>
              <w:t xml:space="preserve"> eżenti </w:t>
            </w:r>
            <w:r>
              <w:rPr>
                <w:b/>
                <w:bCs/>
                <w:i/>
                <w:iCs/>
              </w:rPr>
              <w:t>mill-ħtieġa ta' viża</w:t>
            </w:r>
            <w:r>
              <w:t xml:space="preserve"> għal soġġorni ta' mhux iktar min</w:t>
            </w:r>
            <w:r>
              <w:t xml:space="preserve">n 90 jum fi kwalunkwe perjodu ta' 180 jum, u r-referenzi għal dawk il-pajjiżi </w:t>
            </w:r>
            <w:r>
              <w:rPr>
                <w:b/>
                <w:bCs/>
                <w:i/>
                <w:iCs/>
              </w:rPr>
              <w:t>jenħtieġ li</w:t>
            </w:r>
            <w:r>
              <w:t xml:space="preserve"> jiġu trasferiti għall-Anness II għar-Regolament (UE) 2018/1806.</w:t>
            </w:r>
          </w:p>
        </w:tc>
      </w:tr>
    </w:tbl>
    <w:p w:rsidR="00611C4F" w:rsidRPr="00611C4F" w:rsidRDefault="0087628B" w:rsidP="00611C4F">
      <w:pPr>
        <w:pStyle w:val="Olang"/>
        <w:rPr>
          <w:sz w:val="24"/>
          <w:szCs w:val="24"/>
        </w:rPr>
      </w:pPr>
      <w:r w:rsidRPr="00611C4F">
        <w:rPr>
          <w:sz w:val="24"/>
          <w:szCs w:val="24"/>
        </w:rPr>
        <w:t xml:space="preserve">Or. </w:t>
      </w:r>
      <w:r w:rsidRPr="00611C4F">
        <w:rPr>
          <w:rStyle w:val="HideTWBExt"/>
          <w:noProof w:val="0"/>
        </w:rPr>
        <w:t>&lt;Original&gt;</w:t>
      </w:r>
      <w:r w:rsidRPr="00611C4F">
        <w:rPr>
          <w:rStyle w:val="HideTWBInt"/>
          <w:sz w:val="24"/>
          <w:szCs w:val="24"/>
        </w:rPr>
        <w:t>{EN}</w:t>
      </w:r>
      <w:r w:rsidRPr="00611C4F">
        <w:rPr>
          <w:sz w:val="24"/>
          <w:szCs w:val="24"/>
        </w:rPr>
        <w:t>en</w:t>
      </w:r>
      <w:r w:rsidRPr="00611C4F">
        <w:rPr>
          <w:rStyle w:val="HideTWBExt"/>
          <w:noProof w:val="0"/>
        </w:rPr>
        <w:t>&lt;/Original&gt;</w:t>
      </w:r>
    </w:p>
    <w:p w:rsidR="00611C4F" w:rsidRPr="00611C4F" w:rsidRDefault="0087628B" w:rsidP="00611C4F">
      <w:r>
        <w:rPr>
          <w:rStyle w:val="HideTWBExt"/>
        </w:rPr>
        <w:t>&lt;/Amend&gt;</w:t>
      </w:r>
    </w:p>
    <w:p w:rsidR="00611C4F" w:rsidRPr="00611C4F" w:rsidRDefault="0087628B" w:rsidP="00611C4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611C4F" w:rsidRPr="00611C4F" w:rsidRDefault="0087628B" w:rsidP="00611C4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&lt;/DocAmend&gt;</w:t>
      </w:r>
    </w:p>
    <w:p w:rsidR="00611C4F" w:rsidRPr="00611C4F" w:rsidRDefault="0087628B" w:rsidP="00611C4F">
      <w:pPr>
        <w:pStyle w:val="NormalBold"/>
      </w:pPr>
      <w:r>
        <w:rPr>
          <w:rStyle w:val="HideTWBExt"/>
          <w:b w:val="0"/>
        </w:rPr>
        <w:t>&lt;Article&gt;</w:t>
      </w:r>
      <w:r>
        <w:t>Premessa 4a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A24E4" w:rsidTr="00451FCA">
        <w:trPr>
          <w:jc w:val="center"/>
        </w:trPr>
        <w:tc>
          <w:tcPr>
            <w:tcW w:w="9752" w:type="dxa"/>
            <w:gridSpan w:val="2"/>
          </w:tcPr>
          <w:p w:rsidR="00611C4F" w:rsidRPr="00611C4F" w:rsidRDefault="00611C4F" w:rsidP="00451FCA">
            <w:pPr>
              <w:keepNext/>
            </w:pP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Emenda</w:t>
            </w: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611C4F" w:rsidP="00451FCA">
            <w:pPr>
              <w:pStyle w:val="Normal6"/>
            </w:pP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(4a)</w:t>
            </w:r>
            <w:r>
              <w:rPr>
                <w:b/>
                <w:i/>
              </w:rPr>
              <w:tab/>
              <w:t>Sabiex jiġu vvalutati l-benefiċċji, il-kisbiet u t-titjib potenzjali marbuta mal-eżenzjoni reċiproka mill-ħtieġa ta' viża, il-ftehimiet bilaterali dw</w:t>
            </w:r>
            <w:r>
              <w:rPr>
                <w:b/>
                <w:i/>
              </w:rPr>
              <w:t>ar l-eżenzjoni mill-viża bejn l-Unjoni u l-Kuwajt u l-Unjoni u l-Qatar jenħtieġ li jipprevedu l-evalwazzjoni perjodika mill-Kummissjoni tal-implimentazzjoni tad-dispożizzjonijiet tagħhom, inkluża d-dimensjoni tad-drittijiet tal-bniedem tagħhom.</w:t>
            </w:r>
          </w:p>
        </w:tc>
      </w:tr>
    </w:tbl>
    <w:p w:rsidR="00611C4F" w:rsidRPr="00611C4F" w:rsidRDefault="0087628B" w:rsidP="00611C4F">
      <w:pPr>
        <w:pStyle w:val="Olang"/>
        <w:rPr>
          <w:sz w:val="24"/>
          <w:szCs w:val="24"/>
        </w:rPr>
      </w:pPr>
      <w:r w:rsidRPr="00611C4F">
        <w:rPr>
          <w:sz w:val="24"/>
          <w:szCs w:val="24"/>
        </w:rPr>
        <w:t xml:space="preserve">Or. </w:t>
      </w:r>
      <w:r w:rsidRPr="00611C4F">
        <w:rPr>
          <w:rStyle w:val="HideTWBExt"/>
          <w:noProof w:val="0"/>
        </w:rPr>
        <w:t>&lt;Origi</w:t>
      </w:r>
      <w:r w:rsidRPr="00611C4F">
        <w:rPr>
          <w:rStyle w:val="HideTWBExt"/>
          <w:noProof w:val="0"/>
        </w:rPr>
        <w:t>nal&gt;</w:t>
      </w:r>
      <w:r w:rsidRPr="00611C4F">
        <w:rPr>
          <w:rStyle w:val="HideTWBInt"/>
          <w:sz w:val="24"/>
          <w:szCs w:val="24"/>
        </w:rPr>
        <w:t>{EN}</w:t>
      </w:r>
      <w:r w:rsidRPr="00611C4F">
        <w:rPr>
          <w:sz w:val="24"/>
          <w:szCs w:val="24"/>
        </w:rPr>
        <w:t>en</w:t>
      </w:r>
      <w:r w:rsidRPr="00611C4F">
        <w:rPr>
          <w:rStyle w:val="HideTWBExt"/>
          <w:noProof w:val="0"/>
        </w:rPr>
        <w:t>&lt;/Original&gt;</w:t>
      </w:r>
    </w:p>
    <w:p w:rsidR="00611C4F" w:rsidRPr="00611C4F" w:rsidRDefault="0087628B" w:rsidP="00611C4F">
      <w:r>
        <w:rPr>
          <w:rStyle w:val="HideTWBExt"/>
        </w:rPr>
        <w:t>&lt;/Amend&gt;</w:t>
      </w:r>
    </w:p>
    <w:p w:rsidR="00611C4F" w:rsidRPr="00611C4F" w:rsidRDefault="0087628B" w:rsidP="00611C4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611C4F" w:rsidRPr="00611C4F" w:rsidRDefault="0087628B" w:rsidP="00611C4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611C4F" w:rsidRPr="00611C4F" w:rsidRDefault="0087628B" w:rsidP="00611C4F">
      <w:pPr>
        <w:pStyle w:val="NormalBold"/>
      </w:pPr>
      <w:r>
        <w:rPr>
          <w:rStyle w:val="HideTWBExt"/>
          <w:b w:val="0"/>
        </w:rPr>
        <w:t>&lt;Article&gt;</w:t>
      </w:r>
      <w:r>
        <w:t>Premessa 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A24E4" w:rsidTr="00451FCA">
        <w:trPr>
          <w:jc w:val="center"/>
        </w:trPr>
        <w:tc>
          <w:tcPr>
            <w:tcW w:w="9752" w:type="dxa"/>
            <w:gridSpan w:val="2"/>
          </w:tcPr>
          <w:p w:rsidR="00611C4F" w:rsidRPr="00611C4F" w:rsidRDefault="00611C4F" w:rsidP="00451FCA">
            <w:pPr>
              <w:keepNext/>
            </w:pP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Emenda</w:t>
            </w: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Normal6"/>
            </w:pPr>
            <w:r>
              <w:t>(6)</w:t>
            </w:r>
            <w:r>
              <w:tab/>
              <w:t xml:space="preserve">L-eżenzjoni </w:t>
            </w:r>
            <w:r>
              <w:rPr>
                <w:b/>
                <w:bCs/>
                <w:i/>
                <w:iCs/>
              </w:rPr>
              <w:t>mir-rekwiżit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tal-viża</w:t>
            </w:r>
            <w:r>
              <w:t xml:space="preserve"> għaċ-ċittadini tal-Kuwajt u tal-Qatar </w:t>
            </w:r>
            <w:r>
              <w:rPr>
                <w:b/>
                <w:bCs/>
                <w:i/>
                <w:iCs/>
              </w:rPr>
              <w:t>ma għandhiex tapplika</w:t>
            </w:r>
            <w:r>
              <w:t xml:space="preserve"> sakemm ma jiġux konklużi ftehimiet bilaterali dwar l-eżenzjoni mill-viża bejn l-Unjoni u l-Kuwajt u l-Qatar, sabiex b'mod partikolari tiġi żgurata r-reċiproċità sħiħa.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 xml:space="preserve">L-eżenzjoni </w:t>
            </w:r>
            <w:r>
              <w:rPr>
                <w:b/>
                <w:bCs/>
                <w:i/>
                <w:iCs/>
              </w:rPr>
              <w:t>mill-ħtieġa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>ta' viża</w:t>
            </w:r>
            <w:r>
              <w:t xml:space="preserve"> għaċ-ċittadini tal-Kuwajt u t</w:t>
            </w:r>
            <w:r>
              <w:t xml:space="preserve">al-Qatar </w:t>
            </w:r>
            <w:r>
              <w:rPr>
                <w:b/>
                <w:bCs/>
                <w:i/>
                <w:iCs/>
              </w:rPr>
              <w:t>jenħtieġ li ma tapplikax</w:t>
            </w:r>
            <w:r>
              <w:t xml:space="preserve"> sakemm ma jiġux konklużi ftehimiet bilaterali dwar l-eżenzjoni mill-viża bejn l-Unjoni u l-Kuwajt u l-Qatar, sabiex b'mod partikolari tiġi żgurata r-reċiproċità sħiħa. </w:t>
            </w:r>
            <w:r>
              <w:rPr>
                <w:b/>
                <w:i/>
              </w:rPr>
              <w:t>Il-konklużjoni ta' ftehimiet bilaterali dwar l-eżenzjo</w:t>
            </w:r>
            <w:r>
              <w:rPr>
                <w:b/>
                <w:i/>
              </w:rPr>
              <w:t>ni mill-viża bejn l-Unjoni u l-Kuwajt u l-Unjoni u l-Qatar jenħtieġ li ma tkunx dipendenti fuq il-konklużjoni ta' ftehimiet bilaterali relatati ma' oqsma oħra ta' politika, bħar-ritorn jew ir-riammissjoni, jew inkella tkun interkonnessa magħha.</w:t>
            </w:r>
          </w:p>
        </w:tc>
      </w:tr>
    </w:tbl>
    <w:p w:rsidR="00611C4F" w:rsidRPr="00611C4F" w:rsidRDefault="0087628B" w:rsidP="00611C4F">
      <w:pPr>
        <w:pStyle w:val="Olang"/>
        <w:rPr>
          <w:sz w:val="24"/>
          <w:szCs w:val="24"/>
        </w:rPr>
      </w:pPr>
      <w:r w:rsidRPr="00611C4F">
        <w:rPr>
          <w:sz w:val="24"/>
          <w:szCs w:val="24"/>
        </w:rPr>
        <w:t xml:space="preserve">Or. </w:t>
      </w:r>
      <w:r w:rsidRPr="00611C4F">
        <w:rPr>
          <w:rStyle w:val="HideTWBExt"/>
          <w:noProof w:val="0"/>
        </w:rPr>
        <w:t>&lt;Origi</w:t>
      </w:r>
      <w:r w:rsidRPr="00611C4F">
        <w:rPr>
          <w:rStyle w:val="HideTWBExt"/>
          <w:noProof w:val="0"/>
        </w:rPr>
        <w:t>nal&gt;</w:t>
      </w:r>
      <w:r w:rsidRPr="00611C4F">
        <w:rPr>
          <w:rStyle w:val="HideTWBInt"/>
          <w:sz w:val="24"/>
          <w:szCs w:val="24"/>
        </w:rPr>
        <w:t>{EN}</w:t>
      </w:r>
      <w:r w:rsidRPr="00611C4F">
        <w:rPr>
          <w:sz w:val="24"/>
          <w:szCs w:val="24"/>
        </w:rPr>
        <w:t>en</w:t>
      </w:r>
      <w:r w:rsidRPr="00611C4F">
        <w:rPr>
          <w:rStyle w:val="HideTWBExt"/>
          <w:noProof w:val="0"/>
        </w:rPr>
        <w:t>&lt;/Original&gt;</w:t>
      </w:r>
    </w:p>
    <w:p w:rsidR="00611C4F" w:rsidRPr="00611C4F" w:rsidRDefault="0087628B" w:rsidP="00611C4F">
      <w:r>
        <w:rPr>
          <w:rStyle w:val="HideTWBExt"/>
        </w:rPr>
        <w:t>&lt;/Amend&gt;</w:t>
      </w:r>
    </w:p>
    <w:p w:rsidR="00611C4F" w:rsidRPr="00611C4F" w:rsidRDefault="0087628B" w:rsidP="00611C4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611C4F" w:rsidRPr="00611C4F" w:rsidRDefault="0087628B" w:rsidP="00611C4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611C4F" w:rsidRPr="00611C4F" w:rsidRDefault="0087628B" w:rsidP="00611C4F">
      <w:pPr>
        <w:pStyle w:val="NormalBold"/>
      </w:pPr>
      <w:r>
        <w:rPr>
          <w:rStyle w:val="HideTWBExt"/>
          <w:b w:val="0"/>
        </w:rPr>
        <w:t>&lt;Article&gt;</w:t>
      </w:r>
      <w:r>
        <w:t>Premessa 6a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A24E4" w:rsidTr="00451FCA">
        <w:trPr>
          <w:jc w:val="center"/>
        </w:trPr>
        <w:tc>
          <w:tcPr>
            <w:tcW w:w="9752" w:type="dxa"/>
            <w:gridSpan w:val="2"/>
          </w:tcPr>
          <w:p w:rsidR="00611C4F" w:rsidRPr="00611C4F" w:rsidRDefault="00611C4F" w:rsidP="00451FCA">
            <w:pPr>
              <w:keepNext/>
            </w:pP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ColumnHeading"/>
              <w:keepNext/>
            </w:pPr>
            <w:r>
              <w:t>Emenda</w:t>
            </w:r>
          </w:p>
        </w:tc>
      </w:tr>
      <w:tr w:rsidR="004A24E4" w:rsidTr="00451FCA">
        <w:trPr>
          <w:jc w:val="center"/>
        </w:trPr>
        <w:tc>
          <w:tcPr>
            <w:tcW w:w="4876" w:type="dxa"/>
          </w:tcPr>
          <w:p w:rsidR="00611C4F" w:rsidRPr="00611C4F" w:rsidRDefault="00611C4F" w:rsidP="00451FCA">
            <w:pPr>
              <w:pStyle w:val="Normal6"/>
            </w:pPr>
          </w:p>
        </w:tc>
        <w:tc>
          <w:tcPr>
            <w:tcW w:w="4876" w:type="dxa"/>
          </w:tcPr>
          <w:p w:rsidR="00611C4F" w:rsidRPr="00611C4F" w:rsidRDefault="0087628B" w:rsidP="00451FCA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(6a)</w:t>
            </w:r>
            <w:r>
              <w:rPr>
                <w:b/>
                <w:i/>
              </w:rPr>
              <w:tab/>
              <w:t xml:space="preserve">Skont il-mudell tal-proċess attwali, li jkopri l-Kuwajt u </w:t>
            </w:r>
            <w:r>
              <w:rPr>
                <w:b/>
                <w:i/>
              </w:rPr>
              <w:t>l-Qatar bħala ftehimiet ta' ġenerazzjoni ġdida skont ir-Regolament (UE) 2018/1806, jenħtieġ li l-Kummissjoni tivvaluta minnufih is-sitwazzjoni ta' pajjiżi terzi oħra potenzjalment eliġibbli għall-eżenzjoni mill-viża, b'mod partikolari l-Oman u l-Ekwador, f</w:t>
            </w:r>
            <w:r>
              <w:rPr>
                <w:b/>
                <w:i/>
              </w:rPr>
              <w:t>ilwaqt li tqis il-koerenza reġjonali rispettiva.</w:t>
            </w:r>
          </w:p>
        </w:tc>
      </w:tr>
    </w:tbl>
    <w:p w:rsidR="00611C4F" w:rsidRPr="00611C4F" w:rsidRDefault="0087628B" w:rsidP="00611C4F">
      <w:pPr>
        <w:pStyle w:val="Olang"/>
        <w:rPr>
          <w:sz w:val="24"/>
          <w:szCs w:val="24"/>
        </w:rPr>
      </w:pPr>
      <w:r w:rsidRPr="00611C4F">
        <w:rPr>
          <w:sz w:val="24"/>
          <w:szCs w:val="24"/>
        </w:rPr>
        <w:t xml:space="preserve">Or. </w:t>
      </w:r>
      <w:r w:rsidRPr="00611C4F">
        <w:rPr>
          <w:rStyle w:val="HideTWBExt"/>
          <w:noProof w:val="0"/>
        </w:rPr>
        <w:t>&lt;Original&gt;</w:t>
      </w:r>
      <w:r w:rsidRPr="00611C4F">
        <w:rPr>
          <w:rStyle w:val="HideTWBInt"/>
          <w:sz w:val="24"/>
          <w:szCs w:val="24"/>
        </w:rPr>
        <w:t>{EN}</w:t>
      </w:r>
      <w:r w:rsidRPr="00611C4F">
        <w:rPr>
          <w:sz w:val="24"/>
          <w:szCs w:val="24"/>
        </w:rPr>
        <w:t>en</w:t>
      </w:r>
      <w:r w:rsidRPr="00611C4F">
        <w:rPr>
          <w:rStyle w:val="HideTWBExt"/>
          <w:noProof w:val="0"/>
        </w:rPr>
        <w:t>&lt;/Original&gt;</w:t>
      </w:r>
    </w:p>
    <w:p w:rsidR="00611C4F" w:rsidRPr="00611C4F" w:rsidRDefault="0087628B" w:rsidP="00611C4F">
      <w:r>
        <w:rPr>
          <w:rStyle w:val="HideTWBExt"/>
        </w:rPr>
        <w:t>&lt;/Amend&gt;&lt;/RepeatBlock-Amend&gt;</w:t>
      </w:r>
    </w:p>
    <w:p w:rsidR="00611C4F" w:rsidRPr="00611C4F" w:rsidRDefault="00611C4F" w:rsidP="00611C4F">
      <w:pPr>
        <w:sectPr w:rsidR="00611C4F" w:rsidRPr="00611C4F" w:rsidSect="00611C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11C4F" w:rsidRPr="00611C4F" w:rsidRDefault="0087628B" w:rsidP="00611C4F">
      <w:pPr>
        <w:pStyle w:val="PageHeading"/>
      </w:pPr>
      <w:bookmarkStart w:id="3" w:name="_Toc114644601"/>
      <w:bookmarkStart w:id="4" w:name="_Toc115340374"/>
      <w:r>
        <w:lastRenderedPageBreak/>
        <w:t>NOTA SPJEGATTIVA</w:t>
      </w:r>
      <w:bookmarkEnd w:id="3"/>
      <w:bookmarkEnd w:id="4"/>
    </w:p>
    <w:p w:rsidR="00611C4F" w:rsidRPr="00611C4F" w:rsidRDefault="0087628B" w:rsidP="00611C4F">
      <w:pPr>
        <w:spacing w:before="100" w:beforeAutospacing="1" w:after="240"/>
        <w:jc w:val="both"/>
        <w:rPr>
          <w:rFonts w:eastAsia="Calibri"/>
        </w:rPr>
      </w:pPr>
      <w:r>
        <w:t xml:space="preserve">Il-proposta tal-Kummissjoni Ewropea għandha l-għan li temenda r-Regolament (KE) 2018/1806 biex jeżenta liċ-ċittadini </w:t>
      </w:r>
      <w:r>
        <w:t>tal-Kuwajt u l-Qatar mill-ħtieġa li jkunu fil-pussess ta' viża meta jaqsmu l-fruntieri esterni tal-Istati Membri għal soġġorni ta' mhux aktar minn 90 jum fi kwalunkwe perjodu ta' 180 jum. Il-bażi ġuridika għall-proposta hija l-punt (a) tal-Artikolu 77(2) t</w:t>
      </w:r>
      <w:r>
        <w:t>at-Trattat dwar il-Funzjonament tal-Unjoni Ewropea (TFUE). Ir-regolament propost se jikkostitwixxi żvilupp tal-acquis ta' Schengen.</w:t>
      </w:r>
    </w:p>
    <w:p w:rsidR="00611C4F" w:rsidRPr="00611C4F" w:rsidRDefault="0087628B" w:rsidP="00611C4F">
      <w:pPr>
        <w:spacing w:before="100" w:beforeAutospacing="1" w:after="240"/>
        <w:jc w:val="both"/>
        <w:rPr>
          <w:rFonts w:eastAsia="Calibri"/>
        </w:rPr>
      </w:pPr>
      <w:r>
        <w:t>Il-pajjiżi terzi li ċ-ċittadini tagħhom huma eżenti mill-ħtieġa ta' viża għandhom jiġu stabbiliti abbażi ta' valutazzjoni ka</w:t>
      </w:r>
      <w:r>
        <w:t>ż b'każ ta' diversi kriterji stabbiliti fl-Artikolu 1 tar-Regolament (UE) 2018/1806. Il-kriterji jirrigwardaw, fost l-oħrajn, "l-immigrazzjoni illegali, l-ordni pubbliku u s-sigurtà, il-benefiċċji ekonomiċi, partikolarment f'termini ta' turiżmu u ta' kumme</w:t>
      </w:r>
      <w:r>
        <w:t>rċ barrani u r-relazzjonijiet esterni tal-Unjoni mal-pajjiżi terzi rilevanti, inklużi, b'mod partikolari, kunsiderazzjonijiet dwar id-drittijiet tal-bniedem u l-libertajiet fundamentali, kif ukoll l-implikazzjonijiet ta' koerenza u reċiproċità reġjonali".</w:t>
      </w:r>
    </w:p>
    <w:p w:rsidR="00611C4F" w:rsidRPr="00611C4F" w:rsidRDefault="0087628B" w:rsidP="00611C4F">
      <w:pPr>
        <w:spacing w:before="100" w:beforeAutospacing="1" w:after="240"/>
        <w:jc w:val="both"/>
        <w:rPr>
          <w:rFonts w:eastAsia="Calibri"/>
        </w:rPr>
      </w:pPr>
      <w:r>
        <w:t>Ftehim ta' eżenzjoni mill-viża, li se jinkludi salvagwardji fir-rigward tal-kriterji tar-Regolament (UE) 2018/1806 li ġġustifikaw l-eżenzjoni mill-viża, ikollu jiġi konkluż bejn kull wieħed miż-żewġ pajjiżi u l-UE biex l-eżenzjoni ssir effettiva. Wara l-ap</w:t>
      </w:r>
      <w:r>
        <w:t>plikazzjoni tal-eżenzjoni proposta mill-ħtieġa ta' viża, il-mekkaniżmi ta' reċiproċità u sospensjoni tar-Regolament (UE) 2018/1806 jistgħu jiġu applikati f'każ li r-reċiproċità sħiħa tal-viża ma tkunx żgurata jew jekk ir-reġim mingħajr viża jiġi abbużat je</w:t>
      </w:r>
      <w:r>
        <w:t>w f'każ ta' abbuż li jirriżulta mill-eżenzjoni mill-ħtieġa ta' viża.</w:t>
      </w:r>
    </w:p>
    <w:p w:rsidR="00611C4F" w:rsidRPr="00611C4F" w:rsidRDefault="0087628B" w:rsidP="00611C4F">
      <w:pPr>
        <w:spacing w:before="100" w:beforeAutospacing="1" w:after="240"/>
        <w:jc w:val="both"/>
        <w:rPr>
          <w:rFonts w:eastAsia="Calibri"/>
        </w:rPr>
      </w:pPr>
      <w:r>
        <w:t xml:space="preserve">Il-vjaġġaturi li ma jirrikjedux viża se jibqa' jsirilhom kontrolli fil-fruntieri esterni tal-UE dwar jekk jissodisfawx ir-rekwiżiti tad-dħul, inkluż billi jiġu ċċekkjati s-Sistema ta' </w:t>
      </w:r>
      <w:r>
        <w:t>Informazzjoni ta' Schengen u l-bażijiet tad-data nazzjonali tal-Istati Membri. Barra minn hekk, il-vjaġġaturi eżenti mill-ħtieġa ta' viża li jżuru ż-żona Schengen ikunu soġġetti għas-Sistema ta' Dħul/Ħruġ (EES) tal-UE u għas-Sistema Ewropea ta' Informazzjo</w:t>
      </w:r>
      <w:r>
        <w:t>ni u ta' Awtorizzazzjoni għall-Ivvjaġġar (ETIAS) malli dawn ikunu kompletament operattivi.</w:t>
      </w:r>
    </w:p>
    <w:p w:rsidR="00611C4F" w:rsidRPr="00611C4F" w:rsidRDefault="0087628B" w:rsidP="00611C4F">
      <w:pPr>
        <w:spacing w:before="100" w:beforeAutospacing="1" w:after="240"/>
        <w:jc w:val="both"/>
        <w:rPr>
          <w:rFonts w:eastAsia="Calibri"/>
        </w:rPr>
      </w:pPr>
      <w:r>
        <w:t>Kemm il-Kuwajt kif ukoll il-Qatar huma sħab ekonomiċi importanti għall-Unjoni, b'mod partikolari fil-qasam tal-enerġija u fid-dawl tal-objettivi tal-UE li tiddiversi</w:t>
      </w:r>
      <w:r>
        <w:t>fika l-provvisti tal-enerġija tagħha. Il-kooperazzjoni bejn l-UE u l-Kuwajt u l-Qatar intensifikat ukoll f'dawn l-aħħar snin f'diversi oqsma ta' politika, bħal fil-qasam tas-sigurtà kemm fil-livell bilaterali kif ukoll permezz tal-Kunsill ta' Kooperazzjoni</w:t>
      </w:r>
      <w:r>
        <w:t xml:space="preserve"> tal-Golf (GCC). Barra minn hekk, il-Kuwajt u l-Qatar it-tnejn joħorġu passaporti bijometriċi.</w:t>
      </w:r>
    </w:p>
    <w:p w:rsidR="00611C4F" w:rsidRPr="00611C4F" w:rsidRDefault="0087628B" w:rsidP="00611C4F">
      <w:pPr>
        <w:spacing w:before="100" w:beforeAutospacing="1" w:after="240"/>
        <w:jc w:val="both"/>
        <w:rPr>
          <w:rFonts w:eastAsia="Calibri"/>
        </w:rPr>
      </w:pPr>
      <w:r>
        <w:t>Madankollu, għad hemm tħassib u nuqqasijiet serji fil-qasam tad-drittijiet tal-bniedem u l-libertajiet fundamentali. Minkejja r-riformi leġiżlattivi u l-inizjatt</w:t>
      </w:r>
      <w:r>
        <w:t>ivi politiċi reċenti, għadhom jippersistu ħafna sfidi f'diversi oqsma kif ukoll fl-infurzar ta' leġiżlazzjoni li għadha kif ġiet adottata kif indikat, fost oħrajn, fil-valutazzjoni tal-Kummissjoni stess, fir-rapport annwali tal-2021 tas-SEAE dwar id-dritti</w:t>
      </w:r>
      <w:r>
        <w:t>jiet tal-bniedem, u fir-rapporti annwali ta' Amnesty International u Human Rights Watch. F'dan il-kuntest, ingħatat attenzjoni partikolari lill-kundizzjonijiet tax-xogħol tal-ħaddiema migranti fid-dawl tat-Tazza tad-Dinja tal-FIFA li jmiss. Madankollu, oqs</w:t>
      </w:r>
      <w:r>
        <w:t xml:space="preserve">ma oħra ta' tħassib jinkludu d-drittijiet tan-nisa, id-drittijiet tal-persuni LGBTQ+, il-libertà </w:t>
      </w:r>
      <w:r>
        <w:lastRenderedPageBreak/>
        <w:t>tar-reliġjon, il-projbizzjoni tat-tortura, il-libertà tal-kelma, id-dritt ta' għaqda, u l-projbizzjoni tal-piena tal-mewt.</w:t>
      </w:r>
    </w:p>
    <w:p w:rsidR="00611C4F" w:rsidRPr="00611C4F" w:rsidRDefault="0087628B" w:rsidP="00611C4F">
      <w:pPr>
        <w:spacing w:after="240"/>
        <w:jc w:val="both"/>
      </w:pPr>
      <w:r>
        <w:t>L-istatus mingħajr viża jista' jkoll</w:t>
      </w:r>
      <w:r>
        <w:t xml:space="preserve">u rwol ewlieni fil-promozzjoni tas-sħubija bejn iż-żewġ reġjuni u fit-tisħiħ tad-djalogu politiku, u fl-iskambji ekonomiċi, ta' riċerka, edukattivi, kulturali u soċjetali. L-organizzazzjoni ta' djalogi uffiċjali dwar id-drittijiet tal-bniedem għandha tkun </w:t>
      </w:r>
      <w:r>
        <w:t>parti integrali mill-impenji meħuda fl-ambitu tal-ftehimiet bilaterali li għandhom jiġu konklużi bejn l-Unjoni u l-Qatar u l-Kuwajt, u l-evalwazzjoni kontinwa ta' tali djalogi għandha tkun prevista wkoll. Meta jitqies li dawk il-ftehimiet bilaterali se jku</w:t>
      </w:r>
      <w:r>
        <w:t>nu l-ewwel li jiġu adottati fl-ambitu tar-reġim il-ġdid previst mir-Regolament (UE) 2018/1806, ir-Rapporteur jemmen li l-introduzzjoni ta' tali klawżoli tirrappreżenta mudell pożittiv b'effetti trickle-down ta' benefiċċju għal ftehimiet futuri ta' dan it-t</w:t>
      </w:r>
      <w:r>
        <w:t>ip.</w:t>
      </w:r>
    </w:p>
    <w:p w:rsidR="00611C4F" w:rsidRPr="00611C4F" w:rsidRDefault="0087628B" w:rsidP="00611C4F">
      <w:pPr>
        <w:spacing w:after="240"/>
        <w:jc w:val="both"/>
      </w:pPr>
      <w:r>
        <w:t>L-introduzzjoni tar-reġim mingħajr viża hija ta' importanza sinifikanti għaċ-ċittadini tal-Qatar u l-Kuwajt kif ukoll għaċ-ċittadini tal-UE, u se tikkontribwixxi għall-approfondiment tal-kuntatti u l-iskambji bejn il-persuni kif ukoll għat-tisħiħ tar-r</w:t>
      </w:r>
      <w:r>
        <w:t>elazzjonijiet soċjali u kulturali. F'dan ir-rigward, ikun essenzjali li jiġi żgurat aċċess ugwali u nondiskriminatorju għaċ-ċittadini kollha taż-żewġ partijiet għall-benefiċċji relatati mar-reġim mingħajr viża.</w:t>
      </w:r>
    </w:p>
    <w:p w:rsidR="00611C4F" w:rsidRPr="00611C4F" w:rsidRDefault="0087628B" w:rsidP="00611C4F">
      <w:pPr>
        <w:spacing w:after="240"/>
        <w:jc w:val="both"/>
      </w:pPr>
      <w:r>
        <w:t>Sabiex jiġu vvalutati l-benefiċċji u l-kisbie</w:t>
      </w:r>
      <w:r>
        <w:t>t reali li jirriżultaw mir-reġim mingħajr viża u l-ħtieġa potenzjali ta' titjib, ir-Rapporteur iqis li jkun xieraq li ssir evalwazzjoni perjodika ta' tali reġim, billi fil-ftehimiet bilaterali futuri kollha dwar l-eżenzjoni mill-viża tiġi inkorporata dispo</w:t>
      </w:r>
      <w:r>
        <w:t>żizzjoni espliċita dwar l-evalwazzjoni u r-rappurtar mill-Kummissjoni.</w:t>
      </w:r>
    </w:p>
    <w:p w:rsidR="00611C4F" w:rsidRPr="00611C4F" w:rsidRDefault="0087628B" w:rsidP="00611C4F">
      <w:pPr>
        <w:spacing w:after="240"/>
        <w:jc w:val="both"/>
      </w:pPr>
      <w:r>
        <w:t xml:space="preserve">Fid-dawl tal-benefiċċji li r-reġim mingħajr viża jista' jġib lill-partijiet involuti, l-UE għandha żżid l-isforzi tagħha biex tinvolvi ruħha ma' pajjiżi terzi oħra li jkunu interessati </w:t>
      </w:r>
      <w:r>
        <w:t>fl-ivvjaġġar mingħajr viża lejn l-UE. L-eżenzjonijiet proposti mill-ħtieġa ta' viża għaċ-ċittadini tal-Qatar u l-Kuwajt għandhom jagħtu impetu lill-Kummissjoni biex tibda djalogu konkret ma' pajjiżi oħra abbażi tal-kriterji u l-proċedura stabbiliti fir-Reg</w:t>
      </w:r>
      <w:r>
        <w:t>olament (UE) 2018/1806 u biex tevalwa b'mod tempestiv lil dawk il-pajjiżi potenzjalment eliġibbli u interessati.</w:t>
      </w:r>
    </w:p>
    <w:p w:rsidR="00611C4F" w:rsidRPr="00611C4F" w:rsidRDefault="0087628B" w:rsidP="00611C4F">
      <w:pPr>
        <w:spacing w:after="240"/>
        <w:jc w:val="both"/>
      </w:pPr>
      <w:r>
        <w:t>Fl-aħħar nett, ir-Rapporteur jemmen li, bl-adozzjoni ta' din il-proposta tal-Kummissjoni Ewropea, il-Parlament Ewropew jikkonferma l-impenn tie</w:t>
      </w:r>
      <w:r>
        <w:t>għu li jsaħħaħ ir-relazzjonijiet bejn il-persuni u l-iskambji soċjetali mal-Kuwajt u mal-Qatar. Għaldaqstant, u filwaqt li jitqies is-sinifikat tal-liberalizzazzjoni tal-viża għaċ-ċittadini tal-partijiet involuti, ir-Rapporteur jirrakkomanda li l-membri ta</w:t>
      </w:r>
      <w:r>
        <w:t>l-Kumitat għal-Libertajiet Ċivili, il-Ġustizzja u l-Intern jappoġġaw dan ir-rapport.</w:t>
      </w:r>
    </w:p>
    <w:p w:rsidR="002669B6" w:rsidRPr="00611C4F" w:rsidRDefault="002669B6" w:rsidP="00611C4F">
      <w:pPr>
        <w:pStyle w:val="NormalHanging12a"/>
      </w:pPr>
    </w:p>
    <w:sectPr w:rsidR="002669B6" w:rsidRPr="00611C4F" w:rsidSect="00611C4F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7628B">
      <w:r>
        <w:separator/>
      </w:r>
    </w:p>
  </w:endnote>
  <w:endnote w:type="continuationSeparator" w:id="0">
    <w:p w:rsidR="00000000" w:rsidRDefault="0087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C4F" w:rsidRPr="00611C4F" w:rsidRDefault="0087628B" w:rsidP="00611C4F">
    <w:pPr>
      <w:pStyle w:val="EPFooter"/>
    </w:pPr>
    <w:r w:rsidRPr="00611C4F">
      <w:t>PE</w:t>
    </w:r>
    <w:r w:rsidRPr="00611C4F">
      <w:rPr>
        <w:rStyle w:val="HideTWBExt"/>
        <w:noProof w:val="0"/>
      </w:rPr>
      <w:t>&lt;NoPE&gt;</w:t>
    </w:r>
    <w:r w:rsidRPr="00611C4F">
      <w:t>736.470</w:t>
    </w:r>
    <w:r w:rsidRPr="00611C4F">
      <w:rPr>
        <w:rStyle w:val="HideTWBExt"/>
        <w:noProof w:val="0"/>
      </w:rPr>
      <w:t>&lt;/NoPE&gt;&lt;Version&gt;</w:t>
    </w:r>
    <w:r w:rsidRPr="00611C4F">
      <w:t>v01-00</w:t>
    </w:r>
    <w:r w:rsidRPr="00611C4F">
      <w:rPr>
        <w:rStyle w:val="HideTWBExt"/>
        <w:noProof w:val="0"/>
      </w:rPr>
      <w:t>&lt;/Version&gt;</w:t>
    </w:r>
    <w:r w:rsidRPr="00611C4F">
      <w:tab/>
    </w:r>
    <w:r w:rsidRPr="00611C4F">
      <w:fldChar w:fldCharType="begin"/>
    </w:r>
    <w:r w:rsidRPr="00611C4F">
      <w:instrText xml:space="preserve"> PAGE  \* MERGEFORMAT </w:instrText>
    </w:r>
    <w:r w:rsidRPr="00611C4F">
      <w:fldChar w:fldCharType="separate"/>
    </w:r>
    <w:r>
      <w:rPr>
        <w:noProof/>
      </w:rPr>
      <w:t>2</w:t>
    </w:r>
    <w:r w:rsidRPr="00611C4F">
      <w:fldChar w:fldCharType="end"/>
    </w:r>
    <w:r w:rsidRPr="00611C4F">
      <w:t>/</w:t>
    </w:r>
    <w:r w:rsidR="00C5497C">
      <w:fldChar w:fldCharType="begin"/>
    </w:r>
    <w:r>
      <w:instrText xml:space="preserve"> NUMPAGES  \* MERGEFORMAT </w:instrText>
    </w:r>
    <w:r w:rsidR="00C5497C">
      <w:fldChar w:fldCharType="separate"/>
    </w:r>
    <w:r>
      <w:rPr>
        <w:noProof/>
      </w:rPr>
      <w:t>11</w:t>
    </w:r>
    <w:r w:rsidR="00C5497C">
      <w:rPr>
        <w:noProof/>
      </w:rPr>
      <w:fldChar w:fldCharType="end"/>
    </w:r>
    <w:r w:rsidRPr="00611C4F">
      <w:tab/>
    </w:r>
    <w:r w:rsidRPr="00611C4F">
      <w:rPr>
        <w:rStyle w:val="HideTWBExt"/>
        <w:noProof w:val="0"/>
      </w:rPr>
      <w:t>&lt;PathFdR&gt;</w:t>
    </w:r>
    <w:r w:rsidRPr="00611C4F">
      <w:t>PR\1263011MT.docx</w:t>
    </w:r>
    <w:r w:rsidRPr="00611C4F">
      <w:rPr>
        <w:rStyle w:val="HideTWBExt"/>
        <w:noProof w:val="0"/>
      </w:rPr>
      <w:t>&lt;/PathFdR&gt;</w:t>
    </w:r>
  </w:p>
  <w:p w:rsidR="00611C4F" w:rsidRPr="00611C4F" w:rsidRDefault="0087628B" w:rsidP="00611C4F">
    <w:pPr>
      <w:pStyle w:val="EPFooter2"/>
    </w:pPr>
    <w:r w:rsidRPr="00611C4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C4F" w:rsidRPr="00611C4F" w:rsidRDefault="0087628B" w:rsidP="00611C4F">
    <w:pPr>
      <w:pStyle w:val="EPFooter"/>
    </w:pPr>
    <w:r w:rsidRPr="00611C4F">
      <w:rPr>
        <w:rStyle w:val="HideTWBExt"/>
        <w:noProof w:val="0"/>
      </w:rPr>
      <w:t>&lt;PathFdR&gt;</w:t>
    </w:r>
    <w:r w:rsidRPr="00611C4F">
      <w:t>PR\1263011MT.docx</w:t>
    </w:r>
    <w:r w:rsidRPr="00611C4F">
      <w:rPr>
        <w:rStyle w:val="HideTWBExt"/>
        <w:noProof w:val="0"/>
      </w:rPr>
      <w:t>&lt;/PathFdR&gt;</w:t>
    </w:r>
    <w:r w:rsidRPr="00611C4F">
      <w:tab/>
    </w:r>
    <w:r w:rsidRPr="00611C4F">
      <w:fldChar w:fldCharType="begin"/>
    </w:r>
    <w:r w:rsidRPr="00611C4F">
      <w:instrText xml:space="preserve"> PAGE  \* MERGEFORMAT </w:instrText>
    </w:r>
    <w:r w:rsidRPr="00611C4F">
      <w:fldChar w:fldCharType="separate"/>
    </w:r>
    <w:r>
      <w:rPr>
        <w:noProof/>
      </w:rPr>
      <w:t>9</w:t>
    </w:r>
    <w:r w:rsidRPr="00611C4F">
      <w:fldChar w:fldCharType="end"/>
    </w:r>
    <w:r w:rsidRPr="00611C4F">
      <w:t>/</w:t>
    </w:r>
    <w:r w:rsidR="00C5497C">
      <w:fldChar w:fldCharType="begin"/>
    </w:r>
    <w:r>
      <w:instrText xml:space="preserve"> NUMPAGES  \* MERGEFORMAT </w:instrText>
    </w:r>
    <w:r w:rsidR="00C5497C">
      <w:fldChar w:fldCharType="separate"/>
    </w:r>
    <w:r>
      <w:rPr>
        <w:noProof/>
      </w:rPr>
      <w:t>11</w:t>
    </w:r>
    <w:r w:rsidR="00C5497C">
      <w:rPr>
        <w:noProof/>
      </w:rPr>
      <w:fldChar w:fldCharType="end"/>
    </w:r>
    <w:r w:rsidRPr="00611C4F">
      <w:tab/>
      <w:t>PE</w:t>
    </w:r>
    <w:r w:rsidRPr="00611C4F">
      <w:rPr>
        <w:rStyle w:val="HideTWBExt"/>
        <w:noProof w:val="0"/>
      </w:rPr>
      <w:t>&lt;NoPE&gt;</w:t>
    </w:r>
    <w:r w:rsidRPr="00611C4F">
      <w:t>736.470</w:t>
    </w:r>
    <w:r w:rsidRPr="00611C4F">
      <w:rPr>
        <w:rStyle w:val="HideTWBExt"/>
        <w:noProof w:val="0"/>
      </w:rPr>
      <w:t>&lt;/NoPE&gt;&lt;Version&gt;</w:t>
    </w:r>
    <w:r w:rsidRPr="00611C4F">
      <w:t>v01-00</w:t>
    </w:r>
    <w:r w:rsidRPr="00611C4F">
      <w:rPr>
        <w:rStyle w:val="HideTWBExt"/>
        <w:noProof w:val="0"/>
      </w:rPr>
      <w:t>&lt;/Version&gt;</w:t>
    </w:r>
  </w:p>
  <w:p w:rsidR="00611C4F" w:rsidRPr="00611C4F" w:rsidRDefault="0087628B" w:rsidP="00611C4F">
    <w:pPr>
      <w:pStyle w:val="EPFooter2"/>
    </w:pPr>
    <w:r w:rsidRPr="00611C4F">
      <w:tab/>
    </w:r>
    <w:r w:rsidRPr="00611C4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C4F" w:rsidRPr="00611C4F" w:rsidRDefault="0087628B" w:rsidP="00611C4F">
    <w:pPr>
      <w:pStyle w:val="EPFooter"/>
    </w:pPr>
    <w:r w:rsidRPr="00611C4F">
      <w:rPr>
        <w:rStyle w:val="HideTWBExt"/>
        <w:noProof w:val="0"/>
      </w:rPr>
      <w:t>&lt;PathFdR&gt;</w:t>
    </w:r>
    <w:r w:rsidRPr="00611C4F">
      <w:t>PR\1263011MT.docx</w:t>
    </w:r>
    <w:r w:rsidRPr="00611C4F">
      <w:rPr>
        <w:rStyle w:val="HideTWBExt"/>
        <w:noProof w:val="0"/>
      </w:rPr>
      <w:t>&lt;/Path</w:t>
    </w:r>
    <w:r w:rsidRPr="00611C4F">
      <w:rPr>
        <w:rStyle w:val="HideTWBExt"/>
        <w:noProof w:val="0"/>
      </w:rPr>
      <w:t>FdR&gt;</w:t>
    </w:r>
    <w:r w:rsidRPr="00611C4F">
      <w:tab/>
    </w:r>
    <w:r w:rsidRPr="00611C4F">
      <w:tab/>
      <w:t>PE</w:t>
    </w:r>
    <w:r w:rsidRPr="00611C4F">
      <w:rPr>
        <w:rStyle w:val="HideTWBExt"/>
        <w:noProof w:val="0"/>
      </w:rPr>
      <w:t>&lt;NoPE&gt;</w:t>
    </w:r>
    <w:r w:rsidRPr="00611C4F">
      <w:t>736.470</w:t>
    </w:r>
    <w:r w:rsidRPr="00611C4F">
      <w:rPr>
        <w:rStyle w:val="HideTWBExt"/>
        <w:noProof w:val="0"/>
      </w:rPr>
      <w:t>&lt;/NoPE&gt;&lt;Version&gt;</w:t>
    </w:r>
    <w:r w:rsidRPr="00611C4F">
      <w:t>v01-00</w:t>
    </w:r>
    <w:r w:rsidRPr="00611C4F">
      <w:rPr>
        <w:rStyle w:val="HideTWBExt"/>
        <w:noProof w:val="0"/>
      </w:rPr>
      <w:t>&lt;/Version&gt;</w:t>
    </w:r>
  </w:p>
  <w:p w:rsidR="00611C4F" w:rsidRPr="00611C4F" w:rsidRDefault="0087628B" w:rsidP="00611C4F">
    <w:pPr>
      <w:pStyle w:val="EPFooter2"/>
    </w:pPr>
    <w:r w:rsidRPr="00611C4F">
      <w:t>MT</w:t>
    </w:r>
    <w:r w:rsidRPr="00611C4F">
      <w:tab/>
    </w:r>
    <w:r w:rsidRPr="00611C4F">
      <w:rPr>
        <w:b w:val="0"/>
        <w:i/>
        <w:color w:val="C0C0C0"/>
        <w:sz w:val="22"/>
      </w:rPr>
      <w:t>Magħquda fid-diversità</w:t>
    </w:r>
    <w:r w:rsidRPr="00611C4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611C4F" w:rsidRDefault="0087628B" w:rsidP="00F07062">
    <w:pPr>
      <w:pStyle w:val="EPFooter"/>
    </w:pPr>
    <w:r w:rsidRPr="00611C4F">
      <w:rPr>
        <w:rStyle w:val="HideTWBExt"/>
        <w:noProof w:val="0"/>
      </w:rPr>
      <w:t>&lt;PathFdR&gt;</w:t>
    </w:r>
    <w:r w:rsidR="00611C4F" w:rsidRPr="00611C4F">
      <w:rPr>
        <w:color w:val="auto"/>
      </w:rPr>
      <w:t>PR\1263011MT.docx</w:t>
    </w:r>
    <w:r w:rsidRPr="00611C4F">
      <w:rPr>
        <w:rStyle w:val="HideTWBExt"/>
        <w:noProof w:val="0"/>
      </w:rPr>
      <w:t>&lt;/PathFdR&gt;</w:t>
    </w:r>
    <w:r w:rsidRPr="00611C4F">
      <w:tab/>
    </w:r>
    <w:r w:rsidRPr="00611C4F">
      <w:tab/>
      <w:t>PE</w:t>
    </w:r>
    <w:r w:rsidRPr="00611C4F">
      <w:rPr>
        <w:rStyle w:val="HideTWBExt"/>
        <w:noProof w:val="0"/>
      </w:rPr>
      <w:t>&lt;NoPE&gt;</w:t>
    </w:r>
    <w:r w:rsidR="00611C4F" w:rsidRPr="00611C4F">
      <w:rPr>
        <w:color w:val="auto"/>
      </w:rPr>
      <w:t>736.470</w:t>
    </w:r>
    <w:r w:rsidRPr="00611C4F">
      <w:rPr>
        <w:rStyle w:val="HideTWBExt"/>
        <w:noProof w:val="0"/>
      </w:rPr>
      <w:t>&lt;/NoPE&gt;&lt;Version&gt;</w:t>
    </w:r>
    <w:r w:rsidR="001467A7" w:rsidRPr="00611C4F">
      <w:t>v</w:t>
    </w:r>
    <w:r w:rsidR="00611C4F" w:rsidRPr="00611C4F">
      <w:rPr>
        <w:color w:val="auto"/>
      </w:rPr>
      <w:t>01-00</w:t>
    </w:r>
    <w:r w:rsidRPr="00611C4F">
      <w:rPr>
        <w:rStyle w:val="HideTWBExt"/>
        <w:noProof w:val="0"/>
      </w:rPr>
      <w:t>&lt;/Version&gt;</w:t>
    </w:r>
  </w:p>
  <w:p w:rsidR="00FB52FE" w:rsidRPr="00611C4F" w:rsidRDefault="0087628B" w:rsidP="00461601">
    <w:pPr>
      <w:pStyle w:val="EPFooter2"/>
      <w:tabs>
        <w:tab w:val="clear" w:pos="4535"/>
        <w:tab w:val="center" w:pos="4536"/>
      </w:tabs>
    </w:pPr>
    <w:r w:rsidRPr="00611C4F">
      <w:fldChar w:fldCharType="begin"/>
    </w:r>
    <w:r w:rsidRPr="00611C4F">
      <w:instrText xml:space="preserve"> DOCPROPERTY "&lt;Extension&gt;" </w:instrText>
    </w:r>
    <w:r w:rsidRPr="00611C4F">
      <w:fldChar w:fldCharType="separate"/>
    </w:r>
    <w:r>
      <w:t>MT</w:t>
    </w:r>
    <w:r w:rsidRPr="00611C4F">
      <w:fldChar w:fldCharType="end"/>
    </w:r>
    <w:r w:rsidRPr="00611C4F">
      <w:tab/>
    </w:r>
    <w:r w:rsidR="00611C4F" w:rsidRPr="00611C4F">
      <w:rPr>
        <w:b w:val="0"/>
        <w:i/>
        <w:color w:val="C0C0C0"/>
        <w:sz w:val="22"/>
        <w:szCs w:val="22"/>
      </w:rPr>
      <w:t>Magħquda fid-diversità</w:t>
    </w:r>
    <w:r w:rsidRPr="00611C4F">
      <w:tab/>
    </w:r>
    <w:r w:rsidRPr="00611C4F">
      <w:fldChar w:fldCharType="begin"/>
    </w:r>
    <w:r w:rsidRPr="00611C4F">
      <w:instrText xml:space="preserve"> DOCPROPERTY "&lt;Extension&gt;" </w:instrText>
    </w:r>
    <w:r w:rsidRPr="00611C4F">
      <w:fldChar w:fldCharType="separate"/>
    </w:r>
    <w:r>
      <w:t>MT</w:t>
    </w:r>
    <w:r w:rsidRPr="00611C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7628B">
      <w:r>
        <w:separator/>
      </w:r>
    </w:p>
  </w:footnote>
  <w:footnote w:type="continuationSeparator" w:id="0">
    <w:p w:rsidR="00000000" w:rsidRDefault="00876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C" w:rsidRDefault="00C54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C" w:rsidRDefault="00C549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97C" w:rsidRDefault="00C549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450136 HideTWBExt;}{\*\cs18 \additive \v\f1\fs20\cf15 _x000d__x000a_\spriority0 \styrsid5450136 HideTWBInt;}{\s19\ql \li0\ri0\sa120\nowidctlpar\wrapdefault\aspalpha\aspnum\faauto\adjustright\rin0\lin0\itap0 \rtlch\fcs1 \af0\afs20\alang1025 \ltrch\fcs0 \fs24\lang1082\langfe2057\cgrid\langnp1082\langfenp2057 _x000d__x000a_\sbasedon0 \snext19 \spriority0 \styrsid5450136 Normal6a;}{\s20\ql \li0\ri0\nowidctlpar\wrapdefault\aspalpha\aspnum\faauto\adjustright\rin0\lin0\itap0 \rtlch\fcs1 \af0\afs20\alang1025 \ltrch\fcs0 \b\fs24\lang1082\langfe2057\cgrid\langnp1082\langfenp2057 _x000d__x000a_\sbasedon0 \snext20 \spriority0 \styrsid5450136 NormalBold;}{\s21\ql \li0\ri0\sa240\nowidctlpar\wrapdefault\aspalpha\aspnum\faauto\adjustright\rin0\lin0\itap0 \rtlch\fcs1 \af0\afs20\alang1025 \ltrch\fcs0 _x000d__x000a_\i\fs24\lang1082\langfe2057\cgrid\langnp1082\langfenp2057 \sbasedon0 \snext21 \spriority0 \styrsid5450136 AmJustText;}{\s22\qc \li0\ri0\sb240\sa240\nowidctlpar\wrapdefault\aspalpha\aspnum\faauto\adjustright\rin0\lin0\itap0 \rtlch\fcs1 _x000d__x000a_\af0\afs20\alang1025 \ltrch\fcs0 \i\fs24\lang1082\langfe2057\cgrid\langnp1082\langfenp2057 \sbasedon0 \snext22 \spriority0 \styrsid5450136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5450136 AmJustTitle;}{\s24\qr \li0\ri0\sb240\sa240\nowidctlpar\wrapdefault\aspalpha\aspnum\faauto\adjustright\rin0\lin0\itap0 \rtlch\fcs1 \af0\afs20\alang1025 \ltrch\fcs0 _x000d__x000a_\fs24\lang1082\langfe2057\cgrid\langnp1082\langfenp2057 \sbasedon0 \snext24 \spriority0 \styrsid5450136 AmOrLang;}{\s25\qc \li0\ri0\sa240\nowidctlpar\wrapdefault\aspalpha\aspnum\faauto\adjustright\rin0\lin0\itap0 \rtlch\fcs1 \af0\afs20\alang1025 _x000d__x000a_\ltrch\fcs0 \i\fs24\lang1082\langfe2057\cgrid\langnp1082\langfenp2057 \sbasedon0 \snext25 \spriority0 \styrsid545013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5450136 AmNumberTabs;}{\s27\ql \li0\ri0\sb240\nowidctlpar\wrapdefault\aspalpha\aspnum\faauto\adjustright\rin0\lin0\itap0 \rtlch\fcs1 _x000d__x000a_\af0\afs20\alang1025 \ltrch\fcs0 \b\fs24\lang1082\langfe2057\cgrid\langnp1082\langfenp2057 \sbasedon0 \snext27 \spriority0 \styrsid5450136 NormalBold12b;}}{\*\rsidtbl \rsid24658\rsid223860\rsid735077\rsid1718133\rsid2892074\rsid3565327\rsid4666813_x000d__x000a_\rsid5450136\rsid6641733\rsid7823322\rsid9636012\rsid10377208\rsid11215221\rsid11549030\rsid12154954\rsid13183043\rsid14382809\rsid14424199\rsid15204470\rsid15285974\rsid15950462\rsid16324206\rsid16662270}{\mmathPr\mmathFont34\mbrkBin0\mbrkBinSub0_x000d__x000a_\msmallFrac0\mdispDef1\mlMargin0\mrMargin0\mdefJc1\mwrapIndent1440\mintLim0\mnaryLim1}{\info{\author BONNICI Mary Ann}{\operator BONNICI Mary Ann}{\creatim\yr2022\mo9\dy21\hr12\min34}{\revtim\yr2022\mo9\dy21\hr12\min34}{\version1}{\edmins0}{\nofpages1}_x000d__x000a_{\nofwords103}{\nofchars592}{\nofcharsws69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45013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bonnic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18304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183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183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18304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450136 \rtlch\fcs1 _x000d__x000a_\af0\afs20\alang1025 \ltrch\fcs0 \b\fs24\lang1082\langfe2057\cgrid\langnp1082\langfenp2057 {\rtlch\fcs1 \af0 \ltrch\fcs0 \cs17\b0\v\fs20\cf9\loch\af1\hich\af1\dbch\af31501\insrsid5450136\charrsid1337255 {\*\bkmkstart restart}_x000d__x000a_\hich\af1\dbch\af31501\loch\f1 &lt;Amend&gt;}{\rtlch\fcs1 \af0 \ltrch\fcs0 \insrsid5450136\charrsid1337255 Emenda\tab \tab }{\rtlch\fcs1 \af0 \ltrch\fcs0 \cs17\b0\v\fs20\cf9\loch\af1\hich\af1\dbch\af31501\insrsid5450136\charrsid1337255 _x000d__x000a_\hich\af1\dbch\af31501\loch\f1 &lt;NumAm&gt;}{\rtlch\fcs1 \af0 \ltrch\fcs0 \insrsid5450136\charrsid1337255 #}{\rtlch\fcs1 \af1 \ltrch\fcs0 \cs18\v\f1\fs20\cf15\insrsid5450136\charrsid1337255 ENMIENDA@NRAM@}{\rtlch\fcs1 \af0 \ltrch\fcs0 _x000d__x000a_\insrsid5450136\charrsid1337255 #}{\rtlch\fcs1 \af0 \ltrch\fcs0 \cs17\b0\v\fs20\cf9\loch\af1\hich\af1\dbch\af31501\insrsid5450136\charrsid1337255 \hich\af1\dbch\af31501\loch\f1 &lt;/NumAm&gt;}{\rtlch\fcs1 \af0 \ltrch\fcs0 \insrsid5450136\charrsid1337255 _x000d__x000a_\par }\pard\plain \ltrpar\s27\ql \li0\ri0\sb240\keepn\nowidctlpar\wrapdefault\aspalpha\aspnum\faauto\adjustright\rin0\lin0\itap0\pararsid5450136 \rtlch\fcs1 \af0\afs20\alang1025 \ltrch\fcs0 \b\fs24\lang1082\langfe2057\cgrid\langnp1082\langfenp2057 {_x000d__x000a_\rtlch\fcs1 \af0 \ltrch\fcs0 \cs17\b0\v\fs20\cf9\loch\af1\hich\af1\dbch\af31501\insrsid5450136\charrsid1337255 \hich\af1\dbch\af31501\loch\f1 &lt;DocAmend&gt;}{\rtlch\fcs1 \af0 \ltrch\fcs0 \insrsid5450136\charrsid1337255 Proposta g\u295\'68al #}{\rtlch\fcs1 _x000d__x000a_\af1 \ltrch\fcs0 \cs18\v\f1\fs20\cf15\insrsid5450136\charrsid1337255 MNU[DOC1][DOC2][DOC3]@DOCMSG@DOCMNU}{\rtlch\fcs1 \af0 \ltrch\fcs0 \insrsid5450136\charrsid1337255 ##}{\rtlch\fcs1 \af1 \ltrch\fcs0 \cs18\v\f1\fs20\cf15\insrsid5450136\charrsid1337255 _x000d__x000a_MNU[AMACTYES][NOTAPP]@CHOICE@AMACTMNU}{\rtlch\fcs1 \af0 \ltrch\fcs0 \insrsid5450136\charrsid1337255 #}{\rtlch\fcs1 \af0 \ltrch\fcs0 \cs17\b0\v\fs20\cf9\loch\af1\hich\af1\dbch\af31501\insrsid5450136\charrsid1337255 \hich\af1\dbch\af31501\loch\f1 _x000d__x000a_&lt;/DocAmend&gt;}{\rtlch\fcs1 \af0 \ltrch\fcs0 \insrsid5450136\charrsid1337255 _x000d__x000a_\par }\pard\plain \ltrpar\s20\ql \li0\ri0\keepn\nowidctlpar\wrapdefault\aspalpha\aspnum\faauto\adjustright\rin0\lin0\itap0\pararsid5450136 \rtlch\fcs1 \af0\afs20\alang1025 \ltrch\fcs0 \b\fs24\lang1082\langfe2057\cgrid\langnp1082\langfenp2057 {\rtlch\fcs1 \af0 _x000d__x000a_\ltrch\fcs0 \cs17\b0\v\fs20\cf9\loch\af1\hich\af1\dbch\af31501\insrsid5450136\charrsid1337255 \hich\af1\dbch\af31501\loch\f1 &lt;Article&gt;}{\rtlch\fcs1 \af0 \ltrch\fcs0 \insrsid5450136\charrsid1337255 #}{\rtlch\fcs1 \af1 \ltrch\fcs0 _x000d__x000a_\cs18\v\f1\fs20\cf15\insrsid5450136\charrsid1337255 MNU[AMACTPARTYES][AMACTPARTNO]@CHOICE@AMACTMNU}{\rtlch\fcs1 \af0 \ltrch\fcs0 \insrsid5450136\charrsid1337255 #}{\rtlch\fcs1 \af0 \ltrch\fcs0 _x000d__x000a_\cs17\b0\v\fs20\cf9\loch\af1\hich\af1\dbch\af31501\insrsid5450136\charrsid1337255 \hich\af1\dbch\af31501\loch\f1 &lt;/Article&gt;}{\rtlch\fcs1 \af0 \ltrch\fcs0 \insrsid5450136\charrsid1337255 _x000d__x000a_\par }\pard\plain \ltrpar\ql \li0\ri0\keepn\widctlpar\wrapdefault\aspalpha\aspnum\faauto\adjustright\rin0\lin0\itap0\pararsid5450136 \rtlch\fcs1 \af0\afs20\alang1025 \ltrch\fcs0 \fs24\lang2057\langfe2057\cgrid\langnp2057\langfenp2057 {\rtlch\fcs1 \af0 _x000d__x000a_\ltrch\fcs0 \cs17\v\fs20\cf9\lang1082\langfe2057\loch\af1\hich\af1\dbch\af31501\langnp1082\insrsid5450136\charrsid1337255 \hich\af1\dbch\af31501\loch\f1 &lt;DocAmend2&gt;&lt;OptDel&gt;}{\rtlch\fcs1 \af0 \ltrch\fcs0 _x000d__x000a_\lang1082\langfe2057\langnp1082\insrsid5450136\charrsid1337255 #}{\rtlch\fcs1 \af1 \ltrch\fcs0 \cs18\v\f1\fs20\cf15\lang1082\langfe2057\langnp1082\insrsid5450136\charrsid1337255 MNU[OPTNRACTYES][NOTAPP]@CHOICE@AMACTMNU}{\rtlch\fcs1 \af0 \ltrch\fcs0 _x000d__x000a_\lang1082\langfe2057\langnp1082\insrsid5450136\charrsid1337255 #}{\rtlch\fcs1 \af0 \ltrch\fcs0 \cs17\v\fs20\cf9\lang1082\langfe2057\loch\af1\hich\af1\dbch\af31501\langnp1082\insrsid5450136\charrsid1337255 \hich\af1\dbch\af31501\loch\f1 _x000d__x000a_&lt;/OptDel&gt;&lt;/DocAmend2&gt;}{\rtlch\fcs1 \af0 \ltrch\fcs0 \lang1082\langfe2057\langnp1082\insrsid5450136\charrsid1337255 _x000d__x000a_\par }\pard \ltrpar\ql \li0\ri0\widctlpar\wrapdefault\aspalpha\aspnum\faauto\adjustright\rin0\lin0\itap0\pararsid5450136 {\rtlch\fcs1 \af0 \ltrch\fcs0 _x000d__x000a_\cs17\v\fs20\cf9\lang1082\langfe2057\loch\af1\hich\af1\dbch\af31501\langnp1082\insrsid5450136\charrsid1337255 \hich\af1\dbch\af31501\loch\f1 &lt;Article2&gt;&lt;OptDel&gt;}{\rtlch\fcs1 \af0 \ltrch\fcs0 \lang1082\langfe2057\langnp1082\insrsid5450136\charrsid1337255 #}_x000d__x000a_{\rtlch\fcs1 \af1 \ltrch\fcs0 \cs18\v\f1\fs20\cf15\lang1082\langfe2057\langnp1082\insrsid5450136\charrsid1337255 MNU[OPTACTPARTYES][NOTAPP]@CHOICE@AMACTMNU}{\rtlch\fcs1 \af0 \ltrch\fcs0 \lang1082\langfe2057\langnp1082\insrsid5450136\charrsid1337255 #}{_x000d__x000a_\rtlch\fcs1 \af0 \ltrch\fcs0 \cs17\v\fs20\cf9\lang1082\langfe2057\loch\af1\hich\af1\dbch\af31501\langnp1082\insrsid5450136\charrsid1337255 \hich\af1\dbch\af31501\loch\f1 &lt;/OptDel&gt;&lt;/Article2&gt;}{\rtlch\fcs1 \af0 \ltrch\fcs0 _x000d__x000a_\lang1082\langfe2057\langnp1082\insrsid5450136\charrsid1337255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5450136\charrsid133725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5450136\charrsid1337255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5450136\charrsid1337255 #}{\rtlch\fcs1 \af1 \ltrch\fcs0 \cs18\v\f1\fs20\cf15\insrsid5450136\charrsid1337255 MNU[OPTLEFTAMACT][LEFTPROP]@CHOICE@AMACTMNU}{\rtlch\fcs1 \af0 \ltrch\fcs0 \insrsid5450136\charrsid1337255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5450136\charrsid1337255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5450136\charrsid1337255 ##\cell ##}{\rtlch\fcs1 \af0\afs24 \ltrch\fcs0 \insrsid5450136\charrsid1337255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5450136\charrsid1337255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450136 \rtlch\fcs1 \af0\afs20\alang1025 \ltrch\fcs0 \fs24\lang1082\langfe2057\cgrid\langnp1082\langfenp2057 {\rtlch\fcs1 \af0 \ltrch\fcs0 _x000d__x000a_\insrsid5450136\charrsid1337255 Or. }{\rtlch\fcs1 \af0 \ltrch\fcs0 \cs17\v\fs20\cf9\loch\af1\hich\af1\dbch\af31501\insrsid5450136\charrsid1337255 \hich\af1\dbch\af31501\loch\f1 &lt;Original&gt;}{\rtlch\fcs1 \af0 \ltrch\fcs0 \insrsid5450136\charrsid1337255 #}{_x000d__x000a_\rtlch\fcs1 \af1 \ltrch\fcs0 \cs18\v\f1\fs20\cf15\insrsid5450136\charrsid1337255 MNU[ORLANGONE][ORLANGMORE]@CHOICE@ORLANGMNU}{\rtlch\fcs1 \af0 \ltrch\fcs0 \insrsid5450136\charrsid1337255 #}{\rtlch\fcs1 \af0 \ltrch\fcs0 _x000d__x000a_\cs17\v\fs20\cf9\loch\af1\hich\af1\dbch\af31501\insrsid5450136\charrsid1337255 \hich\af1\dbch\af31501\loch\f1 &lt;/Original&gt;}{\rtlch\fcs1 \af0 \ltrch\fcs0 \insrsid5450136\charrsid1337255 _x000d__x000a_\par }\pard\plain \ltrpar\s22\qc \li0\ri0\sb240\sa240\nowidctlpar\wrapdefault\aspalpha\aspnum\faauto\adjustright\rin0\lin0\itap0\pararsid5450136 \rtlch\fcs1 \af0\afs20\alang1025 \ltrch\fcs0 \i\fs24\lang1082\langfe2057\cgrid\langnp1082\langfenp2057 {_x000d__x000a_\rtlch\fcs1 \af0 \ltrch\fcs0 \cs17\i0\v\fs20\cf9\loch\af1\hich\af1\dbch\af31501\insrsid5450136\charrsid1337255 \hich\af1\dbch\af31501\loch\f1 &lt;OptDel&gt;}{\rtlch\fcs1 \af0 \ltrch\fcs0 \insrsid5450136\charrsid1337255 #}{\rtlch\fcs1 \af1 \ltrch\fcs0 _x000d__x000a_\cs18\v\f1\fs20\cf15\insrsid5450136\charrsid1337255 MNU[CROSSREFNO][CROSSREFYES]@CHOICE@}{\rtlch\fcs1 \af0 \ltrch\fcs0 \insrsid5450136\charrsid1337255 #}{\rtlch\fcs1 \af0 \ltrch\fcs0 _x000d__x000a_\cs17\i0\v\fs20\cf9\loch\af1\hich\af1\dbch\af31501\insrsid5450136\charrsid1337255 \hich\af1\dbch\af31501\loch\f1 &lt;/OptDel&gt;}{\rtlch\fcs1 \af0 \ltrch\fcs0 \insrsid5450136\charrsid1337255 _x000d__x000a_\par }\pard\plain \ltrpar\s23\qc \li0\ri0\sb240\sa240\keepn\nowidctlpar\wrapdefault\aspalpha\aspnum\faauto\adjustright\rin0\lin0\itap0\pararsid5450136 \rtlch\fcs1 \af0\afs20\alang1025 \ltrch\fcs0 \i\fs24\lang1082\langfe2057\cgrid\langnp1082\langfenp2057 {_x000d__x000a_\rtlch\fcs1 \af0 \ltrch\fcs0 \cs17\i0\v\fs20\cf9\loch\af1\hich\af1\dbch\af31501\insrsid5450136\charrsid1337255 \hich\af1\dbch\af31501\loch\f1 &lt;TitreJust&gt;}{\rtlch\fcs1 \af0 \ltrch\fcs0 \insrsid5450136\charrsid1337255 \u288\'47ustifikazzjoni}{\rtlch\fcs1 _x000d__x000a_\af0 \ltrch\fcs0 \cs17\i0\v\fs20\cf9\loch\af1\hich\af1\dbch\af31501\insrsid5450136\charrsid1337255 \hich\af1\dbch\af31501\loch\f1 &lt;/TitreJust&gt;}{\rtlch\fcs1 \af0 \ltrch\fcs0 \insrsid5450136\charrsid1337255 _x000d__x000a_\par }\pard\plain \ltrpar\s21\ql \li0\ri0\sa240\nowidctlpar\wrapdefault\aspalpha\aspnum\faauto\adjustright\rin0\lin0\itap0\pararsid5450136 \rtlch\fcs1 \af0\afs20\alang1025 \ltrch\fcs0 \i\fs24\lang1082\langfe2057\cgrid\langnp1082\langfenp2057 {\rtlch\fcs1 \af0 _x000d__x000a_\ltrch\fcs0 \cs17\i0\v\fs20\cf9\loch\af1\hich\af1\dbch\af31501\insrsid5450136\charrsid1337255 \hich\af1\dbch\af31501\loch\f1 &lt;OptDelPrev&gt;}{\rtlch\fcs1 \af0 \ltrch\fcs0 \insrsid5450136\charrsid1337255 #}{\rtlch\fcs1 \af1 \ltrch\fcs0 _x000d__x000a_\cs18\v\f1\fs20\cf15\insrsid5450136\charrsid1337255 MNU[TEXTJUSTYES][TEXTJUSTNO]@CHOICE@}{\rtlch\fcs1 \af0 \ltrch\fcs0 \insrsid5450136\charrsid1337255 #}{\rtlch\fcs1 \af0 \ltrch\fcs0 _x000d__x000a_\cs17\i0\v\fs20\cf9\loch\af1\hich\af1\dbch\af31501\insrsid5450136\charrsid1337255 \hich\af1\dbch\af31501\loch\f1 &lt;/OptDelPrev&gt;}{\rtlch\fcs1 \af0 \ltrch\fcs0 \insrsid5450136\charrsid1337255 _x000d__x000a_\par }\pard\plain \ltrpar\ql \li0\ri0\widctlpar\wrapdefault\aspalpha\aspnum\faauto\adjustright\rin0\lin0\itap0\pararsid5450136 \rtlch\fcs1 \af0\afs20\alang1025 \ltrch\fcs0 \fs24\lang2057\langfe2057\cgrid\langnp2057\langfenp2057 {\rtlch\fcs1 \af0 \ltrch\fcs0 _x000d__x000a_\cs17\v\fs20\cf9\lang1082\langfe2057\loch\af1\hich\af1\dbch\af31501\langnp1082\insrsid5450136\charrsid133725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c_x000d__x000a_bdada5c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3"/>
    <w:docVar w:name="TXTAUTHOR" w:val="Erik Marquardt"/>
    <w:docVar w:name="TXTLANGUE" w:val="MT"/>
    <w:docVar w:name="TXTLANGUEMIN" w:val="mt"/>
    <w:docVar w:name="TXTNRCOD" w:val="2022/0135"/>
    <w:docVar w:name="TXTNRCOM" w:val="(2022)0189"/>
    <w:docVar w:name="TXTNRPE" w:val="736.470"/>
    <w:docVar w:name="TXTPEorAP" w:val="PE"/>
    <w:docVar w:name="TXTROUTE" w:val="PR\1263011MT.docx"/>
    <w:docVar w:name="TXTVERSION" w:val="01-00"/>
  </w:docVars>
  <w:rsids>
    <w:rsidRoot w:val="001467A7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467A7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1FCA"/>
    <w:rsid w:val="00455743"/>
    <w:rsid w:val="00461601"/>
    <w:rsid w:val="004A24E4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11C4F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19B9"/>
    <w:rsid w:val="0087628B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497C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D1112-A00E-4880-8888-DC240997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11C4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1C4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611C4F"/>
    <w:pPr>
      <w:ind w:left="0" w:firstLine="0"/>
    </w:pPr>
  </w:style>
  <w:style w:type="character" w:customStyle="1" w:styleId="NormalBoldChar">
    <w:name w:val="NormalBold Char"/>
    <w:link w:val="NormalBold"/>
    <w:rsid w:val="00611C4F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611C4F"/>
    <w:pPr>
      <w:spacing w:after="120"/>
    </w:pPr>
  </w:style>
  <w:style w:type="character" w:customStyle="1" w:styleId="Normal6Char">
    <w:name w:val="Normal6 Char"/>
    <w:link w:val="Normal6"/>
    <w:rsid w:val="00611C4F"/>
    <w:rPr>
      <w:sz w:val="24"/>
      <w:lang w:val="mt-MT"/>
    </w:rPr>
  </w:style>
  <w:style w:type="paragraph" w:customStyle="1" w:styleId="ColumnHeading">
    <w:name w:val="ColumnHeading"/>
    <w:basedOn w:val="Normal"/>
    <w:rsid w:val="00611C4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11C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611C4F"/>
    <w:pPr>
      <w:jc w:val="right"/>
    </w:pPr>
  </w:style>
  <w:style w:type="paragraph" w:styleId="Footer">
    <w:name w:val="footer"/>
    <w:basedOn w:val="Normal"/>
    <w:link w:val="FooterChar"/>
    <w:semiHidden/>
    <w:rsid w:val="00C549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5497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9F4AF-B95F-4D5D-8B74-FCC4FD3E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2051</Words>
  <Characters>15083</Characters>
  <Application>Microsoft Office Word</Application>
  <DocSecurity>0</DocSecurity>
  <Lines>386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BONNICI Mary Ann</dc:creator>
  <cp:lastModifiedBy>BONNICI Mary Ann</cp:lastModifiedBy>
  <cp:revision>2</cp:revision>
  <cp:lastPrinted>2004-11-04T09:41:00Z</cp:lastPrinted>
  <dcterms:created xsi:type="dcterms:W3CDTF">2022-09-29T08:39:00Z</dcterms:created>
  <dcterms:modified xsi:type="dcterms:W3CDTF">2022-09-29T08:39:00Z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1263011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\\eiciLUXpr1\pdocep$\DocEP\TRANSFIL\MT\PR_COD_1amCom.MT(29/06/2022 10:24:47)</vt:lpwstr>
  </property>
  <property fmtid="{D5CDD505-2E9C-101B-9397-08002B2CF9AE}" pid="7" name="&lt;Type&gt;">
    <vt:lpwstr>PR</vt:lpwstr>
  </property>
  <property fmtid="{D5CDD505-2E9C-101B-9397-08002B2CF9AE}" pid="8" name="Bookout">
    <vt:lpwstr>OK - 2022/09/29 10:39</vt:lpwstr>
  </property>
  <property fmtid="{D5CDD505-2E9C-101B-9397-08002B2CF9AE}" pid="9" name="Created with">
    <vt:lpwstr>9.11.0 Build [20211103]</vt:lpwstr>
  </property>
  <property fmtid="{D5CDD505-2E9C-101B-9397-08002B2CF9AE}" pid="10" name="FooterPath">
    <vt:lpwstr>PR\1263011MT.docx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736.470</vt:lpwstr>
  </property>
  <property fmtid="{D5CDD505-2E9C-101B-9397-08002B2CF9AE}" pid="13" name="SDLStudio">
    <vt:lpwstr/>
  </property>
</Properties>
</file>