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850A4A" w:rsidRPr="00522AC0" w:rsidTr="00C85D0F">
        <w:trPr>
          <w:trHeight w:hRule="exact" w:val="1418"/>
        </w:trPr>
        <w:tc>
          <w:tcPr>
            <w:tcW w:w="6804" w:type="dxa"/>
            <w:shd w:val="clear" w:color="auto" w:fill="auto"/>
            <w:vAlign w:val="center"/>
          </w:tcPr>
          <w:p w:rsidR="00B13D6F" w:rsidRPr="00522AC0" w:rsidRDefault="00217739" w:rsidP="00C85D0F">
            <w:pPr>
              <w:pStyle w:val="EPName"/>
            </w:pPr>
            <w:r w:rsidRPr="00522AC0">
              <w:t>Parlament Europejski</w:t>
            </w:r>
          </w:p>
          <w:p w:rsidR="00B13D6F" w:rsidRPr="00522AC0" w:rsidRDefault="00217739" w:rsidP="001257CF">
            <w:pPr>
              <w:pStyle w:val="EPTerm"/>
            </w:pPr>
            <w:r w:rsidRPr="00522AC0">
              <w:t>2019-2024</w:t>
            </w:r>
          </w:p>
        </w:tc>
        <w:tc>
          <w:tcPr>
            <w:tcW w:w="2268" w:type="dxa"/>
            <w:shd w:val="clear" w:color="auto" w:fill="auto"/>
          </w:tcPr>
          <w:p w:rsidR="00B13D6F" w:rsidRPr="00522AC0" w:rsidRDefault="00217739" w:rsidP="00C85D0F">
            <w:pPr>
              <w:pStyle w:val="EPLogo"/>
            </w:pPr>
            <w:r w:rsidRPr="00522AC0">
              <w:rPr>
                <w:lang w:eastAsia="pl-PL"/>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807589"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461601" w:rsidRPr="00522AC0" w:rsidRDefault="00461601" w:rsidP="00461601">
      <w:pPr>
        <w:pStyle w:val="LineTop"/>
      </w:pPr>
    </w:p>
    <w:p w:rsidR="00461601" w:rsidRPr="00522AC0" w:rsidRDefault="00217739" w:rsidP="00461601">
      <w:pPr>
        <w:pStyle w:val="EPBody"/>
      </w:pPr>
      <w:r w:rsidRPr="00522AC0">
        <w:rPr>
          <w:rStyle w:val="HideTWBExt"/>
          <w:noProof w:val="0"/>
        </w:rPr>
        <w:t>&lt;</w:t>
      </w:r>
      <w:r w:rsidRPr="00522AC0">
        <w:rPr>
          <w:rStyle w:val="HideTWBExt"/>
          <w:i w:val="0"/>
          <w:noProof w:val="0"/>
        </w:rPr>
        <w:t>Commission</w:t>
      </w:r>
      <w:r w:rsidRPr="00522AC0">
        <w:rPr>
          <w:rStyle w:val="HideTWBExt"/>
          <w:noProof w:val="0"/>
        </w:rPr>
        <w:t>&gt;</w:t>
      </w:r>
      <w:r w:rsidRPr="00522AC0">
        <w:rPr>
          <w:rStyle w:val="HideTWBInt"/>
          <w:color w:val="auto"/>
        </w:rPr>
        <w:t>{LIBE}</w:t>
      </w:r>
      <w:r w:rsidRPr="00522AC0">
        <w:t>Komisja Wolności Obywatelskich, Sprawiedliwości i Spraw Wewnętrznych</w:t>
      </w:r>
      <w:r w:rsidRPr="00522AC0">
        <w:rPr>
          <w:rStyle w:val="HideTWBExt"/>
          <w:noProof w:val="0"/>
        </w:rPr>
        <w:t>&lt;/</w:t>
      </w:r>
      <w:r w:rsidRPr="00522AC0">
        <w:rPr>
          <w:rStyle w:val="HideTWBExt"/>
          <w:i w:val="0"/>
          <w:noProof w:val="0"/>
        </w:rPr>
        <w:t>Commission</w:t>
      </w:r>
      <w:r w:rsidRPr="00522AC0">
        <w:rPr>
          <w:rStyle w:val="HideTWBExt"/>
          <w:noProof w:val="0"/>
        </w:rPr>
        <w:t>&gt;</w:t>
      </w:r>
    </w:p>
    <w:p w:rsidR="00461601" w:rsidRPr="00522AC0" w:rsidRDefault="00461601" w:rsidP="00461601">
      <w:pPr>
        <w:pStyle w:val="LineBottom"/>
      </w:pPr>
    </w:p>
    <w:p w:rsidR="00793EA9" w:rsidRPr="00522AC0" w:rsidRDefault="00217739">
      <w:pPr>
        <w:pStyle w:val="CoverReference"/>
      </w:pPr>
      <w:r w:rsidRPr="00522AC0">
        <w:rPr>
          <w:rStyle w:val="HideTWBExt"/>
          <w:b w:val="0"/>
          <w:noProof w:val="0"/>
        </w:rPr>
        <w:t>&lt;RefProc&gt;</w:t>
      </w:r>
      <w:r w:rsidRPr="00522AC0">
        <w:t>2022/0135</w:t>
      </w:r>
      <w:r w:rsidRPr="00522AC0">
        <w:rPr>
          <w:rStyle w:val="HideTWBExt"/>
          <w:b w:val="0"/>
          <w:noProof w:val="0"/>
        </w:rPr>
        <w:t>&lt;/RefProc&gt;&lt;RefTypeProc&gt;</w:t>
      </w:r>
      <w:r w:rsidRPr="00522AC0">
        <w:t>(COD)</w:t>
      </w:r>
      <w:r w:rsidRPr="00522AC0">
        <w:rPr>
          <w:rStyle w:val="HideTWBExt"/>
          <w:b w:val="0"/>
          <w:noProof w:val="0"/>
        </w:rPr>
        <w:t>&lt;/RefTypeProc&gt;</w:t>
      </w:r>
    </w:p>
    <w:p w:rsidR="00793EA9" w:rsidRPr="00522AC0" w:rsidRDefault="00217739">
      <w:pPr>
        <w:pStyle w:val="CoverDate"/>
      </w:pPr>
      <w:r w:rsidRPr="00522AC0">
        <w:rPr>
          <w:rStyle w:val="HideTWBExt"/>
          <w:noProof w:val="0"/>
        </w:rPr>
        <w:t>&lt;Date&gt;</w:t>
      </w:r>
      <w:r w:rsidRPr="00522AC0">
        <w:rPr>
          <w:rStyle w:val="HideTWBInt"/>
          <w:color w:val="auto"/>
        </w:rPr>
        <w:t>{16/09/2022}</w:t>
      </w:r>
      <w:r w:rsidRPr="00522AC0">
        <w:t>16.9.2022</w:t>
      </w:r>
      <w:r w:rsidRPr="00522AC0">
        <w:rPr>
          <w:rStyle w:val="HideTWBExt"/>
          <w:noProof w:val="0"/>
        </w:rPr>
        <w:t>&lt;/Date&gt;</w:t>
      </w:r>
    </w:p>
    <w:p w:rsidR="00793EA9" w:rsidRPr="00522AC0" w:rsidRDefault="00217739">
      <w:pPr>
        <w:pStyle w:val="CoverDocType"/>
      </w:pPr>
      <w:r w:rsidRPr="00522AC0">
        <w:rPr>
          <w:rStyle w:val="HideTWBExt"/>
          <w:b w:val="0"/>
          <w:noProof w:val="0"/>
        </w:rPr>
        <w:t>&lt;RefProcLect&gt;</w:t>
      </w:r>
      <w:r w:rsidRPr="00522AC0">
        <w:t>***I</w:t>
      </w:r>
      <w:r w:rsidRPr="00522AC0">
        <w:rPr>
          <w:rStyle w:val="HideTWBExt"/>
          <w:b w:val="0"/>
          <w:noProof w:val="0"/>
        </w:rPr>
        <w:t>&lt;/RefProcLect&gt;</w:t>
      </w:r>
    </w:p>
    <w:p w:rsidR="00793EA9" w:rsidRPr="00522AC0" w:rsidRDefault="00217739">
      <w:pPr>
        <w:pStyle w:val="CoverDocType24a"/>
      </w:pPr>
      <w:r w:rsidRPr="00522AC0">
        <w:rPr>
          <w:rStyle w:val="HideTWBExt"/>
          <w:b w:val="0"/>
          <w:noProof w:val="0"/>
        </w:rPr>
        <w:t>&lt;TitreType&gt;</w:t>
      </w:r>
      <w:r w:rsidRPr="00522AC0">
        <w:t>PROJEKT SPRAWOZDANIA</w:t>
      </w:r>
      <w:r w:rsidRPr="00522AC0">
        <w:rPr>
          <w:rStyle w:val="HideTWBExt"/>
          <w:b w:val="0"/>
          <w:noProof w:val="0"/>
        </w:rPr>
        <w:t>&lt;/TitreType&gt;</w:t>
      </w:r>
    </w:p>
    <w:p w:rsidR="00793EA9" w:rsidRPr="00522AC0" w:rsidRDefault="00217739">
      <w:pPr>
        <w:pStyle w:val="CoverNormal"/>
      </w:pPr>
      <w:r w:rsidRPr="00522AC0">
        <w:rPr>
          <w:rStyle w:val="HideTWBExt"/>
          <w:noProof w:val="0"/>
        </w:rPr>
        <w:t>&lt;Titre&gt;</w:t>
      </w:r>
      <w:r w:rsidRPr="00522AC0">
        <w:t>w sprawie wniosku dotyczącego rozporządzenia Parlamentu Europejskiego i Rady zmieniającego rozporządzenie (UE) 2018/1806 wymieniające państwa trzecie, których obywatele muszą posiadać wizy p</w:t>
      </w:r>
      <w:r w:rsidRPr="00522AC0">
        <w:t>odczas przekraczania granic zewnętrznych, oraz te, których obywatele są zwolnieni z tego wymogu (Kuwejt, Katar)</w:t>
      </w:r>
      <w:r w:rsidRPr="00522AC0">
        <w:rPr>
          <w:rStyle w:val="HideTWBExt"/>
          <w:noProof w:val="0"/>
        </w:rPr>
        <w:t>&lt;/Titre&gt;</w:t>
      </w:r>
    </w:p>
    <w:p w:rsidR="00793EA9" w:rsidRPr="00522AC0" w:rsidRDefault="00217739">
      <w:pPr>
        <w:pStyle w:val="CoverNormal24a"/>
      </w:pPr>
      <w:r w:rsidRPr="00522AC0">
        <w:rPr>
          <w:rStyle w:val="HideTWBExt"/>
          <w:noProof w:val="0"/>
        </w:rPr>
        <w:t>&lt;DocRef&gt;</w:t>
      </w:r>
      <w:r w:rsidRPr="00522AC0">
        <w:t>(COM(2022)0189 – C9</w:t>
      </w:r>
      <w:r w:rsidRPr="00522AC0">
        <w:noBreakHyphen/>
        <w:t>0160/2022 – 2022/0135(COD))</w:t>
      </w:r>
      <w:r w:rsidRPr="00522AC0">
        <w:rPr>
          <w:rStyle w:val="HideTWBExt"/>
          <w:noProof w:val="0"/>
        </w:rPr>
        <w:t>&lt;/DocRef&gt;</w:t>
      </w:r>
    </w:p>
    <w:p w:rsidR="00793EA9" w:rsidRPr="00522AC0" w:rsidRDefault="00217739">
      <w:pPr>
        <w:pStyle w:val="CoverNormal24a"/>
      </w:pPr>
      <w:r w:rsidRPr="00522AC0">
        <w:rPr>
          <w:rStyle w:val="HideTWBExt"/>
          <w:noProof w:val="0"/>
        </w:rPr>
        <w:t>&lt;Commission&gt;</w:t>
      </w:r>
      <w:r w:rsidRPr="00522AC0">
        <w:rPr>
          <w:rStyle w:val="HideTWBInt"/>
          <w:color w:val="auto"/>
        </w:rPr>
        <w:t>{LIBE}</w:t>
      </w:r>
      <w:r w:rsidRPr="00522AC0">
        <w:t>Komisja Wolności Obywatelskich, Sprawiedliwości i Spr</w:t>
      </w:r>
      <w:r w:rsidRPr="00522AC0">
        <w:t>aw Wewnętrznych</w:t>
      </w:r>
      <w:r w:rsidRPr="00522AC0">
        <w:rPr>
          <w:rStyle w:val="HideTWBExt"/>
          <w:noProof w:val="0"/>
        </w:rPr>
        <w:t>&lt;/Commission&gt;</w:t>
      </w:r>
    </w:p>
    <w:p w:rsidR="00793EA9" w:rsidRPr="00522AC0" w:rsidRDefault="00217739">
      <w:pPr>
        <w:pStyle w:val="CoverNormal24a"/>
      </w:pPr>
      <w:r w:rsidRPr="00522AC0">
        <w:t xml:space="preserve">Sprawozdawca: </w:t>
      </w:r>
      <w:r w:rsidRPr="00522AC0">
        <w:rPr>
          <w:rStyle w:val="HideTWBExt"/>
          <w:noProof w:val="0"/>
        </w:rPr>
        <w:t>&lt;Depute&gt;</w:t>
      </w:r>
      <w:r w:rsidRPr="00522AC0">
        <w:t>Erik Marquardt</w:t>
      </w:r>
      <w:r w:rsidRPr="00522AC0">
        <w:rPr>
          <w:rStyle w:val="HideTWBExt"/>
          <w:noProof w:val="0"/>
        </w:rPr>
        <w:t>&lt;/Depute&gt;</w:t>
      </w:r>
    </w:p>
    <w:p w:rsidR="001C5B44" w:rsidRPr="00522AC0" w:rsidRDefault="001C5B44" w:rsidP="001C5B44">
      <w:pPr>
        <w:pStyle w:val="CoverNormal"/>
      </w:pPr>
    </w:p>
    <w:p w:rsidR="001257CF" w:rsidRPr="00522AC0" w:rsidRDefault="00217739" w:rsidP="00894923">
      <w:r w:rsidRPr="00522AC0">
        <w:br w:type="page"/>
      </w:r>
      <w:r w:rsidRPr="00522AC0">
        <w:lastRenderedPageBreak/>
        <w:fldChar w:fldCharType="begin"/>
      </w:r>
      <w:r w:rsidRPr="00522AC0">
        <w:instrText xml:space="preserve"> TITLE  \* MERGEFORMAT </w:instrText>
      </w:r>
      <w:r w:rsidRPr="00522AC0">
        <w:fldChar w:fldCharType="separate"/>
      </w:r>
      <w:r>
        <w:t>PR_COD_1amCom</w:t>
      </w:r>
      <w:r w:rsidRPr="00522AC0">
        <w:fldChar w:fldCharType="end"/>
      </w:r>
    </w:p>
    <w:p w:rsidR="001257CF" w:rsidRPr="00522AC0" w:rsidRDefault="001257CF" w:rsidP="00894923"/>
    <w:p w:rsidR="001257CF" w:rsidRPr="00522AC0" w:rsidRDefault="001257CF" w:rsidP="00894923"/>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850A4A" w:rsidRPr="00522AC0">
        <w:tc>
          <w:tcPr>
            <w:tcW w:w="5811" w:type="dxa"/>
          </w:tcPr>
          <w:p w:rsidR="001257CF" w:rsidRPr="00522AC0" w:rsidRDefault="00217739" w:rsidP="00894923">
            <w:pPr>
              <w:pStyle w:val="Lgendetitre"/>
            </w:pPr>
            <w:r w:rsidRPr="00522AC0">
              <w:t>Objaśnienie używanych znaków</w:t>
            </w:r>
          </w:p>
        </w:tc>
      </w:tr>
      <w:tr w:rsidR="00850A4A" w:rsidRPr="00522AC0" w:rsidTr="007452CB">
        <w:trPr>
          <w:cantSplit/>
          <w:trHeight w:val="1807"/>
        </w:trPr>
        <w:tc>
          <w:tcPr>
            <w:tcW w:w="5811" w:type="dxa"/>
            <w:tcBorders>
              <w:bottom w:val="single" w:sz="4" w:space="0" w:color="auto"/>
            </w:tcBorders>
          </w:tcPr>
          <w:p w:rsidR="001257CF" w:rsidRPr="00522AC0" w:rsidRDefault="00217739" w:rsidP="003506ED">
            <w:pPr>
              <w:pStyle w:val="Lgendesigne"/>
            </w:pPr>
            <w:r w:rsidRPr="00522AC0">
              <w:tab/>
              <w:t>*</w:t>
            </w:r>
            <w:r w:rsidRPr="00522AC0">
              <w:tab/>
              <w:t>Procedura konsultacji</w:t>
            </w:r>
          </w:p>
          <w:p w:rsidR="001257CF" w:rsidRPr="00522AC0" w:rsidRDefault="00217739" w:rsidP="003506ED">
            <w:pPr>
              <w:pStyle w:val="Lgendesigne"/>
            </w:pPr>
            <w:r w:rsidRPr="00522AC0">
              <w:tab/>
              <w:t>***</w:t>
            </w:r>
            <w:r w:rsidRPr="00522AC0">
              <w:tab/>
              <w:t>Procedura zgody</w:t>
            </w:r>
          </w:p>
          <w:p w:rsidR="001257CF" w:rsidRPr="00522AC0" w:rsidRDefault="00217739" w:rsidP="003506ED">
            <w:pPr>
              <w:pStyle w:val="Lgendesigne"/>
            </w:pPr>
            <w:r w:rsidRPr="00522AC0">
              <w:tab/>
              <w:t>***I</w:t>
            </w:r>
            <w:r w:rsidRPr="00522AC0">
              <w:tab/>
              <w:t>Zwykła procedura ustawodawcza (pierwsze czytanie)</w:t>
            </w:r>
          </w:p>
          <w:p w:rsidR="001257CF" w:rsidRPr="00522AC0" w:rsidRDefault="00217739" w:rsidP="003506ED">
            <w:pPr>
              <w:pStyle w:val="Lgendesigne"/>
            </w:pPr>
            <w:r w:rsidRPr="00522AC0">
              <w:tab/>
            </w:r>
            <w:r w:rsidRPr="00522AC0">
              <w:t>***II</w:t>
            </w:r>
            <w:r w:rsidRPr="00522AC0">
              <w:tab/>
              <w:t>Zwykła procedura ustawodawcza (drugie czytanie)</w:t>
            </w:r>
          </w:p>
          <w:p w:rsidR="001257CF" w:rsidRPr="00522AC0" w:rsidRDefault="00217739" w:rsidP="003506ED">
            <w:pPr>
              <w:pStyle w:val="Lgendesigne"/>
            </w:pPr>
            <w:r w:rsidRPr="00522AC0">
              <w:tab/>
              <w:t>***III</w:t>
            </w:r>
            <w:r w:rsidRPr="00522AC0">
              <w:tab/>
              <w:t>Zwykła procedura ustawodawcza (trzecie czytanie)</w:t>
            </w:r>
          </w:p>
          <w:p w:rsidR="001257CF" w:rsidRPr="00522AC0" w:rsidRDefault="001257CF" w:rsidP="003506ED">
            <w:pPr>
              <w:pStyle w:val="Lgendestandard"/>
            </w:pPr>
          </w:p>
          <w:p w:rsidR="001257CF" w:rsidRPr="00522AC0" w:rsidRDefault="00217739" w:rsidP="003506ED">
            <w:pPr>
              <w:pStyle w:val="Lgendestandard"/>
            </w:pPr>
            <w:r w:rsidRPr="00522AC0">
              <w:t>(Wskazana procedura opiera się na podstawie prawnej zaproponowanej w projekcie aktu)</w:t>
            </w:r>
          </w:p>
          <w:p w:rsidR="001257CF" w:rsidRPr="00522AC0" w:rsidRDefault="001257CF" w:rsidP="00B54EAF">
            <w:pPr>
              <w:pStyle w:val="Lgendestandard"/>
            </w:pPr>
          </w:p>
        </w:tc>
      </w:tr>
    </w:tbl>
    <w:p w:rsidR="001257CF" w:rsidRPr="00522AC0" w:rsidRDefault="001257CF" w:rsidP="00894923"/>
    <w:p w:rsidR="001257CF" w:rsidRPr="00522AC0" w:rsidRDefault="001257CF" w:rsidP="00894923"/>
    <w:p w:rsidR="001257CF" w:rsidRPr="00522AC0" w:rsidRDefault="001257CF" w:rsidP="00894923"/>
    <w:p w:rsidR="001257CF" w:rsidRPr="00522AC0" w:rsidRDefault="001257CF" w:rsidP="00894923"/>
    <w:tbl>
      <w:tblPr>
        <w:tblW w:w="0" w:type="auto"/>
        <w:tblInd w:w="1668" w:type="dxa"/>
        <w:tblBorders>
          <w:top w:val="single" w:sz="4" w:space="0" w:color="auto"/>
          <w:left w:val="single" w:sz="4" w:space="0" w:color="auto"/>
          <w:bottom w:val="single" w:sz="4" w:space="0" w:color="auto"/>
          <w:right w:val="single" w:sz="4" w:space="0" w:color="auto"/>
          <w:insideV w:val="single" w:sz="6" w:space="0" w:color="auto"/>
        </w:tblBorders>
        <w:tblLayout w:type="fixed"/>
        <w:tblLook w:val="0000" w:firstRow="0" w:lastRow="0" w:firstColumn="0" w:lastColumn="0" w:noHBand="0" w:noVBand="0"/>
      </w:tblPr>
      <w:tblGrid>
        <w:gridCol w:w="5811"/>
      </w:tblGrid>
      <w:tr w:rsidR="00850A4A" w:rsidRPr="00522AC0">
        <w:tc>
          <w:tcPr>
            <w:tcW w:w="5811" w:type="dxa"/>
          </w:tcPr>
          <w:p w:rsidR="001257CF" w:rsidRPr="00522AC0" w:rsidRDefault="00217739" w:rsidP="00894923">
            <w:pPr>
              <w:pStyle w:val="Lgendetitre"/>
            </w:pPr>
            <w:r w:rsidRPr="00522AC0">
              <w:t>Poprawki do projektu aktu</w:t>
            </w:r>
          </w:p>
        </w:tc>
      </w:tr>
      <w:tr w:rsidR="00850A4A" w:rsidRPr="00522AC0" w:rsidTr="00554250">
        <w:trPr>
          <w:trHeight w:val="4496"/>
        </w:trPr>
        <w:tc>
          <w:tcPr>
            <w:tcW w:w="5811" w:type="dxa"/>
          </w:tcPr>
          <w:p w:rsidR="001257CF" w:rsidRPr="00522AC0" w:rsidRDefault="00217739" w:rsidP="003506ED">
            <w:pPr>
              <w:pStyle w:val="Lgendestandard"/>
              <w:rPr>
                <w:szCs w:val="24"/>
              </w:rPr>
            </w:pPr>
            <w:r w:rsidRPr="00522AC0">
              <w:rPr>
                <w:b/>
              </w:rPr>
              <w:t xml:space="preserve">Poprawki Parlamentu w </w:t>
            </w:r>
            <w:r w:rsidRPr="00522AC0">
              <w:rPr>
                <w:b/>
              </w:rPr>
              <w:t>postaci dwóch kolumn</w:t>
            </w:r>
          </w:p>
          <w:p w:rsidR="001257CF" w:rsidRPr="00522AC0" w:rsidRDefault="001257CF" w:rsidP="003506ED">
            <w:pPr>
              <w:pStyle w:val="Lgendestandard"/>
              <w:rPr>
                <w:szCs w:val="24"/>
              </w:rPr>
            </w:pPr>
          </w:p>
          <w:p w:rsidR="001257CF" w:rsidRPr="00522AC0" w:rsidRDefault="00217739" w:rsidP="003506ED">
            <w:pPr>
              <w:pStyle w:val="Lgendestandard"/>
              <w:rPr>
                <w:szCs w:val="24"/>
              </w:rPr>
            </w:pPr>
            <w:r w:rsidRPr="00522AC0">
              <w:t xml:space="preserve">Skreślenia zaznacza się </w:t>
            </w:r>
            <w:r w:rsidRPr="00522AC0">
              <w:rPr>
                <w:b/>
                <w:i/>
              </w:rPr>
              <w:t>wytłuszczonym drukiem i kursywą</w:t>
            </w:r>
            <w:r w:rsidRPr="00522AC0">
              <w:t xml:space="preserve"> w lewej kolumnie. Zmianę brzmienia zaznacza się </w:t>
            </w:r>
            <w:r w:rsidRPr="00522AC0">
              <w:rPr>
                <w:b/>
                <w:i/>
              </w:rPr>
              <w:t>wytłuszczonym drukiem i kursywą</w:t>
            </w:r>
            <w:r w:rsidRPr="00522AC0">
              <w:t xml:space="preserve"> w obu kolumnach. Nowy tekst zaznacza się </w:t>
            </w:r>
            <w:r w:rsidRPr="00522AC0">
              <w:rPr>
                <w:b/>
                <w:i/>
              </w:rPr>
              <w:t>wytłuszczonym drukiem i kursywą</w:t>
            </w:r>
            <w:r w:rsidRPr="00522AC0">
              <w:t xml:space="preserve"> w prawej kolumnie.</w:t>
            </w:r>
          </w:p>
          <w:p w:rsidR="001257CF" w:rsidRPr="00522AC0" w:rsidRDefault="001257CF" w:rsidP="003506ED">
            <w:pPr>
              <w:pStyle w:val="Lgendestandard"/>
              <w:rPr>
                <w:szCs w:val="24"/>
              </w:rPr>
            </w:pPr>
          </w:p>
          <w:p w:rsidR="001257CF" w:rsidRPr="00522AC0" w:rsidRDefault="00217739" w:rsidP="003506ED">
            <w:pPr>
              <w:pStyle w:val="Lgendestandard"/>
              <w:rPr>
                <w:szCs w:val="24"/>
              </w:rPr>
            </w:pPr>
            <w:r w:rsidRPr="00522AC0">
              <w:t>Pierwszy i drugi wiersz nagłówka każdej poprawki wskazuje element rozpatrywanego projektu aktu, którego dotyczy poprawka. Jeżeli poprawka odnosi się do obowiązującego aktu, do którego zmiany zmierza projekt aktu, nagłówek zawiera dodatkowo trzeci wiersz, w</w:t>
            </w:r>
            <w:r w:rsidRPr="00522AC0">
              <w:t xml:space="preserve"> którym wskazuje się odpowiednio obowiązujący akt i przepis, którego dotyczy poprawka.</w:t>
            </w:r>
          </w:p>
          <w:p w:rsidR="001257CF" w:rsidRPr="00522AC0" w:rsidRDefault="001257CF" w:rsidP="003506ED">
            <w:pPr>
              <w:pStyle w:val="Lgendestandard"/>
              <w:rPr>
                <w:szCs w:val="24"/>
              </w:rPr>
            </w:pPr>
          </w:p>
          <w:p w:rsidR="001257CF" w:rsidRPr="00522AC0" w:rsidRDefault="00217739" w:rsidP="003506ED">
            <w:pPr>
              <w:pStyle w:val="Lgendestandard"/>
              <w:rPr>
                <w:b/>
                <w:szCs w:val="24"/>
              </w:rPr>
            </w:pPr>
            <w:r w:rsidRPr="00522AC0">
              <w:rPr>
                <w:b/>
              </w:rPr>
              <w:t>Poprawki Parlamentu w postaci tekstu skonsolidowanego</w:t>
            </w:r>
          </w:p>
          <w:p w:rsidR="001257CF" w:rsidRPr="00522AC0" w:rsidRDefault="001257CF" w:rsidP="003506ED">
            <w:pPr>
              <w:pStyle w:val="Lgendestandard"/>
              <w:rPr>
                <w:szCs w:val="24"/>
              </w:rPr>
            </w:pPr>
          </w:p>
          <w:p w:rsidR="001257CF" w:rsidRPr="00522AC0" w:rsidRDefault="00217739" w:rsidP="003506ED">
            <w:pPr>
              <w:pStyle w:val="Lgendestandard"/>
              <w:rPr>
                <w:szCs w:val="24"/>
              </w:rPr>
            </w:pPr>
            <w:r w:rsidRPr="00522AC0">
              <w:t xml:space="preserve">Nowe fragmenty tekstu zaznacza się </w:t>
            </w:r>
            <w:r w:rsidRPr="00522AC0">
              <w:rPr>
                <w:b/>
                <w:i/>
              </w:rPr>
              <w:t>wytłuszczonym drukiem i kursywą</w:t>
            </w:r>
            <w:r w:rsidRPr="00522AC0">
              <w:t>. Fragmenty tekstu, które zostały skreślone, za</w:t>
            </w:r>
            <w:r w:rsidRPr="00522AC0">
              <w:t xml:space="preserve">znacza się za pomocą symbolu ▌lub przekreśla. Zmianę brzmienia zaznacza się przez wyróżnienie nowego tekstu </w:t>
            </w:r>
            <w:r w:rsidRPr="00522AC0">
              <w:rPr>
                <w:b/>
                <w:i/>
              </w:rPr>
              <w:t>wytłuszczonym drukiem i kursywą</w:t>
            </w:r>
            <w:r w:rsidRPr="00522AC0">
              <w:t xml:space="preserve"> i usunięcie lub przekreślenie zastąpionego tekstu. </w:t>
            </w:r>
          </w:p>
          <w:p w:rsidR="001257CF" w:rsidRPr="00522AC0" w:rsidRDefault="00217739" w:rsidP="003506ED">
            <w:pPr>
              <w:pStyle w:val="Lgendestandard"/>
            </w:pPr>
            <w:r w:rsidRPr="00522AC0">
              <w:t>Tytułem wyjątku nie zaznacza się zmian o charakterze ściśle tech</w:t>
            </w:r>
            <w:r w:rsidRPr="00522AC0">
              <w:t>nicznym wprowadzonych przez służby w celu opracowania końcowej wersji tekstu.</w:t>
            </w:r>
          </w:p>
          <w:p w:rsidR="001257CF" w:rsidRPr="00522AC0" w:rsidRDefault="001257CF" w:rsidP="0069092A">
            <w:pPr>
              <w:pStyle w:val="Lgendestandard"/>
            </w:pPr>
          </w:p>
        </w:tc>
      </w:tr>
    </w:tbl>
    <w:p w:rsidR="001257CF" w:rsidRPr="00522AC0" w:rsidRDefault="001257CF" w:rsidP="00894923"/>
    <w:p w:rsidR="00793EA9" w:rsidRPr="00522AC0" w:rsidRDefault="00793EA9" w:rsidP="00012351">
      <w:pPr>
        <w:widowControl/>
        <w:tabs>
          <w:tab w:val="center" w:pos="4677"/>
        </w:tabs>
      </w:pPr>
    </w:p>
    <w:p w:rsidR="00793EA9" w:rsidRPr="00522AC0" w:rsidRDefault="00217739">
      <w:pPr>
        <w:pStyle w:val="TOCHeading"/>
      </w:pPr>
      <w:r w:rsidRPr="00522AC0">
        <w:br w:type="page"/>
      </w:r>
      <w:r w:rsidRPr="00522AC0">
        <w:lastRenderedPageBreak/>
        <w:t>SPIS TREŚCI</w:t>
      </w:r>
    </w:p>
    <w:p w:rsidR="00793EA9" w:rsidRPr="00522AC0" w:rsidRDefault="00217739">
      <w:pPr>
        <w:pStyle w:val="TOCPage"/>
      </w:pPr>
      <w:r w:rsidRPr="00522AC0">
        <w:t>Strona</w:t>
      </w:r>
    </w:p>
    <w:p w:rsidR="00217739" w:rsidRDefault="00217739">
      <w:pPr>
        <w:pStyle w:val="TOC1"/>
        <w:tabs>
          <w:tab w:val="right" w:leader="dot" w:pos="9060"/>
        </w:tabs>
        <w:rPr>
          <w:rFonts w:asciiTheme="minorHAnsi" w:eastAsiaTheme="minorEastAsia" w:hAnsiTheme="minorHAnsi" w:cstheme="minorBidi"/>
          <w:noProof/>
          <w:sz w:val="22"/>
          <w:szCs w:val="22"/>
          <w:lang w:eastAsia="pl-PL"/>
        </w:rPr>
      </w:pPr>
      <w:r w:rsidRPr="00522AC0">
        <w:rPr>
          <w:b/>
        </w:rPr>
        <w:fldChar w:fldCharType="begin"/>
      </w:r>
      <w:r w:rsidRPr="00522AC0">
        <w:rPr>
          <w:b/>
        </w:rPr>
        <w:instrText xml:space="preserve"> TOC \t "PageHeading</w:instrText>
      </w:r>
      <w:r w:rsidR="00B153D5">
        <w:rPr>
          <w:b/>
        </w:rPr>
        <w:instrText>;</w:instrText>
      </w:r>
      <w:r w:rsidRPr="00522AC0">
        <w:rPr>
          <w:b/>
        </w:rPr>
        <w:instrText xml:space="preserve">1" </w:instrText>
      </w:r>
      <w:r w:rsidRPr="00522AC0">
        <w:rPr>
          <w:b/>
        </w:rPr>
        <w:fldChar w:fldCharType="separate"/>
      </w:r>
      <w:r>
        <w:rPr>
          <w:noProof/>
        </w:rPr>
        <w:t>PROJEKT REZOLUCJI USTAWODAWCZEJ PARLAMENTU EUROPEJSKIEGO</w:t>
      </w:r>
      <w:r>
        <w:rPr>
          <w:noProof/>
        </w:rPr>
        <w:tab/>
      </w:r>
      <w:r>
        <w:rPr>
          <w:noProof/>
        </w:rPr>
        <w:fldChar w:fldCharType="begin"/>
      </w:r>
      <w:r>
        <w:rPr>
          <w:noProof/>
        </w:rPr>
        <w:instrText xml:space="preserve"> PAGEREF _Toc115448477 \h </w:instrText>
      </w:r>
      <w:r>
        <w:rPr>
          <w:noProof/>
        </w:rPr>
      </w:r>
      <w:r>
        <w:rPr>
          <w:noProof/>
        </w:rPr>
        <w:fldChar w:fldCharType="separate"/>
      </w:r>
      <w:r>
        <w:rPr>
          <w:noProof/>
        </w:rPr>
        <w:t>5</w:t>
      </w:r>
      <w:r>
        <w:rPr>
          <w:noProof/>
        </w:rPr>
        <w:fldChar w:fldCharType="end"/>
      </w:r>
    </w:p>
    <w:p w:rsidR="00217739" w:rsidRDefault="00217739">
      <w:pPr>
        <w:pStyle w:val="TOC1"/>
        <w:tabs>
          <w:tab w:val="right" w:leader="dot" w:pos="9060"/>
        </w:tabs>
        <w:rPr>
          <w:rFonts w:asciiTheme="minorHAnsi" w:eastAsiaTheme="minorEastAsia" w:hAnsiTheme="minorHAnsi" w:cstheme="minorBidi"/>
          <w:noProof/>
          <w:sz w:val="22"/>
          <w:szCs w:val="22"/>
          <w:lang w:eastAsia="pl-PL"/>
        </w:rPr>
      </w:pPr>
      <w:r>
        <w:rPr>
          <w:noProof/>
        </w:rPr>
        <w:t>UZASADNIENIE</w:t>
      </w:r>
      <w:r>
        <w:rPr>
          <w:noProof/>
        </w:rPr>
        <w:tab/>
      </w:r>
      <w:r>
        <w:rPr>
          <w:noProof/>
        </w:rPr>
        <w:fldChar w:fldCharType="begin"/>
      </w:r>
      <w:r>
        <w:rPr>
          <w:noProof/>
        </w:rPr>
        <w:instrText xml:space="preserve"> PAGEREF _Toc115448478 \h </w:instrText>
      </w:r>
      <w:r>
        <w:rPr>
          <w:noProof/>
        </w:rPr>
      </w:r>
      <w:r>
        <w:rPr>
          <w:noProof/>
        </w:rPr>
        <w:fldChar w:fldCharType="separate"/>
      </w:r>
      <w:r>
        <w:rPr>
          <w:noProof/>
        </w:rPr>
        <w:t>10</w:t>
      </w:r>
      <w:r>
        <w:rPr>
          <w:noProof/>
        </w:rPr>
        <w:fldChar w:fldCharType="end"/>
      </w:r>
    </w:p>
    <w:p w:rsidR="002346B0" w:rsidRPr="00522AC0" w:rsidRDefault="00217739" w:rsidP="00C23324">
      <w:r w:rsidRPr="00522AC0">
        <w:rPr>
          <w:b/>
        </w:rPr>
        <w:fldChar w:fldCharType="end"/>
      </w:r>
    </w:p>
    <w:p w:rsidR="00793EA9" w:rsidRPr="00522AC0" w:rsidRDefault="00217739">
      <w:pPr>
        <w:pStyle w:val="PageHeading"/>
      </w:pPr>
      <w:r w:rsidRPr="00522AC0">
        <w:br w:type="page"/>
      </w:r>
      <w:r w:rsidRPr="00522AC0">
        <w:br w:type="page"/>
      </w:r>
      <w:bookmarkStart w:id="0" w:name="_Toc115448477"/>
      <w:r w:rsidRPr="00522AC0">
        <w:t>PROJEKT REZOLUCJI USTAWODAWCZEJ PARLAMENTU EUROPEJSKIEGO</w:t>
      </w:r>
      <w:bookmarkEnd w:id="0"/>
    </w:p>
    <w:p w:rsidR="00793EA9" w:rsidRPr="00522AC0" w:rsidRDefault="00217739">
      <w:pPr>
        <w:pStyle w:val="NormalBold"/>
      </w:pPr>
      <w:r w:rsidRPr="00522AC0">
        <w:t>w sprawie wniosku dotyczącego rozporządzenia Parlamentu Europejskiego i Rady zmieniającego rozporządzenie (UE) 2018/1806 wymieni</w:t>
      </w:r>
      <w:r w:rsidRPr="00522AC0">
        <w:t>ające państwa trzecie, których obywatele muszą posiadać wizy podczas przekraczania granic zewnętrznych, oraz te, których obywatele są zwolnieni z tego wymogu (Kuwejt, Katar)</w:t>
      </w:r>
    </w:p>
    <w:p w:rsidR="00793EA9" w:rsidRPr="00522AC0" w:rsidRDefault="00217739">
      <w:pPr>
        <w:pStyle w:val="NormalBold12a"/>
      </w:pPr>
      <w:r w:rsidRPr="00522AC0">
        <w:t>(COM(2022)0189 – C9</w:t>
      </w:r>
      <w:r w:rsidRPr="00522AC0">
        <w:noBreakHyphen/>
        <w:t>0160/2022 – 2022/0135(COD))</w:t>
      </w:r>
    </w:p>
    <w:p w:rsidR="00793EA9" w:rsidRPr="00522AC0" w:rsidRDefault="00217739" w:rsidP="00A910C9">
      <w:pPr>
        <w:pStyle w:val="NormalBold"/>
      </w:pPr>
      <w:r w:rsidRPr="00522AC0">
        <w:t>(Zwykła procedura ustawodawcza: pi</w:t>
      </w:r>
      <w:r w:rsidRPr="00522AC0">
        <w:t>erwsze czytanie)</w:t>
      </w:r>
    </w:p>
    <w:p w:rsidR="00793EA9" w:rsidRPr="00522AC0" w:rsidRDefault="00217739" w:rsidP="00A910C9">
      <w:pPr>
        <w:pStyle w:val="EPComma"/>
      </w:pPr>
      <w:r w:rsidRPr="00522AC0">
        <w:rPr>
          <w:i/>
        </w:rPr>
        <w:t>Parlament Europejski</w:t>
      </w:r>
      <w:r w:rsidRPr="00522AC0">
        <w:t>,</w:t>
      </w:r>
    </w:p>
    <w:p w:rsidR="00793EA9" w:rsidRPr="00522AC0" w:rsidRDefault="00217739">
      <w:pPr>
        <w:pStyle w:val="NormalHanging12a"/>
      </w:pPr>
      <w:r w:rsidRPr="00522AC0">
        <w:t>–</w:t>
      </w:r>
      <w:r w:rsidRPr="00522AC0">
        <w:tab/>
        <w:t>uwzględniając wniosek Komisji przedstawiony Parlamentowi Europejskiemu i Radzie (COM(2022)0189),</w:t>
      </w:r>
    </w:p>
    <w:p w:rsidR="00793EA9" w:rsidRPr="00522AC0" w:rsidRDefault="00217739">
      <w:pPr>
        <w:pStyle w:val="NormalHanging12a"/>
      </w:pPr>
      <w:r w:rsidRPr="00522AC0">
        <w:t>–</w:t>
      </w:r>
      <w:r w:rsidRPr="00522AC0">
        <w:tab/>
        <w:t>uwzględniając art. 294 ust. 2 oraz art. 77 ust. 2 lit. a) Traktatu o funkcjonowaniu Unii Europejskiej, zgodnie z któ</w:t>
      </w:r>
      <w:r w:rsidRPr="00522AC0">
        <w:t>rymi wniosek został przedstawiony Parlamentowi przez Komisję (C9-0160/2022),</w:t>
      </w:r>
    </w:p>
    <w:p w:rsidR="00A26F46" w:rsidRPr="00522AC0" w:rsidRDefault="00217739" w:rsidP="00A26F46">
      <w:pPr>
        <w:pStyle w:val="NormalHanging12a"/>
      </w:pPr>
      <w:r w:rsidRPr="00522AC0">
        <w:t>–</w:t>
      </w:r>
      <w:r w:rsidRPr="00522AC0">
        <w:tab/>
        <w:t>uwzględniając art. 294 ust. 3 Traktatu o funkcjonowaniu Unii Europejskiej,</w:t>
      </w:r>
    </w:p>
    <w:p w:rsidR="00793EA9" w:rsidRPr="00522AC0" w:rsidRDefault="00217739">
      <w:pPr>
        <w:pStyle w:val="NormalHanging12a"/>
      </w:pPr>
      <w:r w:rsidRPr="00522AC0">
        <w:t>–</w:t>
      </w:r>
      <w:r w:rsidRPr="00522AC0">
        <w:tab/>
        <w:t>uwzględniając art. 59 Regulaminu,</w:t>
      </w:r>
    </w:p>
    <w:p w:rsidR="006A2F5D" w:rsidRPr="00522AC0" w:rsidRDefault="00217739" w:rsidP="006A2F5D">
      <w:pPr>
        <w:pStyle w:val="NormalHanging12a"/>
      </w:pPr>
      <w:r w:rsidRPr="00522AC0">
        <w:t>–</w:t>
      </w:r>
      <w:r w:rsidRPr="00522AC0">
        <w:tab/>
        <w:t>uwzględniając sprawozdanie Komisji Wolności Obywatelskich, Spraw</w:t>
      </w:r>
      <w:r w:rsidRPr="00522AC0">
        <w:t>iedliwości i Spraw Wewnętrznych (A9-0000/2022),</w:t>
      </w:r>
    </w:p>
    <w:p w:rsidR="009F6C2F" w:rsidRPr="00522AC0" w:rsidRDefault="00217739" w:rsidP="009F6C2F">
      <w:pPr>
        <w:pStyle w:val="NormalHanging12a"/>
      </w:pPr>
      <w:r w:rsidRPr="00522AC0">
        <w:t>1.</w:t>
      </w:r>
      <w:r w:rsidRPr="00522AC0">
        <w:tab/>
        <w:t>przyjmuje poniższe stanowisko w pierwszym czytaniu;</w:t>
      </w:r>
    </w:p>
    <w:p w:rsidR="009F6C2F" w:rsidRPr="00522AC0" w:rsidRDefault="00217739" w:rsidP="009F6C2F">
      <w:pPr>
        <w:pStyle w:val="NormalHanging12a"/>
      </w:pPr>
      <w:r w:rsidRPr="00522AC0">
        <w:t>2.</w:t>
      </w:r>
      <w:r w:rsidRPr="00522AC0">
        <w:tab/>
        <w:t>zwraca się do Komisji o ponowne przekazanie mu sprawy, jeśli zastąpi ona pierwotny wniosek, wprowadzi w nim istotne zmiany lub planuje ich wprowadzeni</w:t>
      </w:r>
      <w:r w:rsidRPr="00522AC0">
        <w:t>e;</w:t>
      </w:r>
    </w:p>
    <w:p w:rsidR="009F6C2F" w:rsidRPr="00522AC0" w:rsidRDefault="00217739" w:rsidP="009F6C2F">
      <w:pPr>
        <w:pStyle w:val="NormalHanging12a"/>
      </w:pPr>
      <w:r w:rsidRPr="00522AC0">
        <w:t>3.</w:t>
      </w:r>
      <w:r w:rsidRPr="00522AC0">
        <w:tab/>
        <w:t>zobowiązuje swoją przewodniczącą do przekazania stanowiska Parlamentu Radzie i Komisji oraz parlamentom narodowym.</w:t>
      </w:r>
    </w:p>
    <w:p w:rsidR="00D30DE2" w:rsidRPr="00522AC0" w:rsidRDefault="00D30DE2" w:rsidP="00D30DE2"/>
    <w:p w:rsidR="002669B6" w:rsidRPr="00522AC0" w:rsidRDefault="00217739" w:rsidP="00212B84">
      <w:pPr>
        <w:pStyle w:val="AmNumberTabs"/>
        <w:keepNext/>
      </w:pPr>
      <w:r w:rsidRPr="00522AC0">
        <w:rPr>
          <w:rStyle w:val="HideTWBExt"/>
          <w:b w:val="0"/>
          <w:noProof w:val="0"/>
        </w:rPr>
        <w:t>&lt;RepeatBlock-Amend&gt;</w:t>
      </w:r>
      <w:bookmarkStart w:id="1" w:name="restart"/>
      <w:r w:rsidRPr="00522AC0">
        <w:rPr>
          <w:rStyle w:val="HideTWBExt"/>
          <w:b w:val="0"/>
          <w:noProof w:val="0"/>
        </w:rPr>
        <w:t>&lt;Amend&gt;</w:t>
      </w:r>
      <w:r w:rsidRPr="00522AC0">
        <w:t>Poprawka</w:t>
      </w:r>
      <w:r w:rsidRPr="00522AC0">
        <w:tab/>
      </w:r>
      <w:r w:rsidRPr="00522AC0">
        <w:tab/>
      </w:r>
      <w:r w:rsidRPr="00522AC0">
        <w:rPr>
          <w:rStyle w:val="HideTWBExt"/>
          <w:b w:val="0"/>
          <w:noProof w:val="0"/>
        </w:rPr>
        <w:t>&lt;NumAm&gt;</w:t>
      </w:r>
      <w:r w:rsidRPr="00522AC0">
        <w:t>1</w:t>
      </w:r>
      <w:r w:rsidRPr="00522AC0">
        <w:rPr>
          <w:rStyle w:val="HideTWBExt"/>
          <w:b w:val="0"/>
          <w:noProof w:val="0"/>
        </w:rPr>
        <w:t>&lt;/NumAm&gt;</w:t>
      </w:r>
    </w:p>
    <w:bookmarkEnd w:id="1"/>
    <w:p w:rsidR="00797A79" w:rsidRPr="00522AC0" w:rsidRDefault="00217739" w:rsidP="00797A79">
      <w:pPr>
        <w:pStyle w:val="NormalBold12b"/>
        <w:keepNext/>
      </w:pPr>
      <w:r w:rsidRPr="00522AC0">
        <w:rPr>
          <w:rStyle w:val="HideTWBExt"/>
          <w:b w:val="0"/>
          <w:noProof w:val="0"/>
        </w:rPr>
        <w:t>&lt;DocAmend&gt;</w:t>
      </w:r>
      <w:r w:rsidRPr="00522AC0">
        <w:t>Wniosek dotyczący rozporządzenia</w:t>
      </w:r>
      <w:r w:rsidRPr="00522AC0">
        <w:rPr>
          <w:rStyle w:val="HideTWBExt"/>
          <w:b w:val="0"/>
          <w:noProof w:val="0"/>
        </w:rPr>
        <w:t>&lt;/DocAmend&gt;</w:t>
      </w:r>
    </w:p>
    <w:p w:rsidR="00797A79" w:rsidRPr="00522AC0" w:rsidRDefault="00217739" w:rsidP="00797A79">
      <w:pPr>
        <w:pStyle w:val="NormalBold"/>
      </w:pPr>
      <w:r w:rsidRPr="00522AC0">
        <w:rPr>
          <w:rStyle w:val="HideTWBExt"/>
          <w:b w:val="0"/>
          <w:noProof w:val="0"/>
        </w:rPr>
        <w:t>&lt;Article&gt;</w:t>
      </w:r>
      <w:r w:rsidRPr="00522AC0">
        <w:t>Motyw 3</w:t>
      </w:r>
      <w:r w:rsidRPr="00522AC0">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850A4A" w:rsidRPr="00522AC0" w:rsidTr="002E3887">
        <w:trPr>
          <w:jc w:val="center"/>
        </w:trPr>
        <w:tc>
          <w:tcPr>
            <w:tcW w:w="9752" w:type="dxa"/>
            <w:gridSpan w:val="2"/>
          </w:tcPr>
          <w:p w:rsidR="00797A79" w:rsidRPr="00522AC0" w:rsidRDefault="00797A79" w:rsidP="002E3887">
            <w:pPr>
              <w:keepNext/>
            </w:pPr>
          </w:p>
        </w:tc>
      </w:tr>
      <w:tr w:rsidR="00850A4A" w:rsidRPr="00522AC0" w:rsidTr="002E3887">
        <w:trPr>
          <w:jc w:val="center"/>
        </w:trPr>
        <w:tc>
          <w:tcPr>
            <w:tcW w:w="4876" w:type="dxa"/>
          </w:tcPr>
          <w:p w:rsidR="00797A79" w:rsidRPr="00522AC0" w:rsidRDefault="00217739" w:rsidP="002E3887">
            <w:pPr>
              <w:pStyle w:val="ColumnHeading"/>
              <w:keepNext/>
            </w:pPr>
            <w:r w:rsidRPr="00522AC0">
              <w:t>Tekst proponowany przez Komisję</w:t>
            </w:r>
          </w:p>
        </w:tc>
        <w:tc>
          <w:tcPr>
            <w:tcW w:w="4876" w:type="dxa"/>
          </w:tcPr>
          <w:p w:rsidR="00797A79" w:rsidRPr="00522AC0" w:rsidRDefault="00217739" w:rsidP="002E3887">
            <w:pPr>
              <w:pStyle w:val="ColumnHeading"/>
              <w:keepNext/>
            </w:pPr>
            <w:r w:rsidRPr="00522AC0">
              <w:t>Poprawka</w:t>
            </w:r>
          </w:p>
        </w:tc>
      </w:tr>
      <w:tr w:rsidR="00850A4A" w:rsidRPr="00522AC0" w:rsidTr="002E3887">
        <w:trPr>
          <w:jc w:val="center"/>
        </w:trPr>
        <w:tc>
          <w:tcPr>
            <w:tcW w:w="4876" w:type="dxa"/>
          </w:tcPr>
          <w:p w:rsidR="00797A79" w:rsidRPr="00522AC0" w:rsidRDefault="00217739" w:rsidP="002E3887">
            <w:pPr>
              <w:pStyle w:val="Normal6"/>
            </w:pPr>
            <w:r w:rsidRPr="00522AC0">
              <w:t>(3)</w:t>
            </w:r>
            <w:r w:rsidRPr="00522AC0">
              <w:tab/>
            </w:r>
            <w:r w:rsidRPr="00522AC0">
              <w:rPr>
                <w:b/>
                <w:i/>
              </w:rPr>
              <w:t>Ryzyko nielegalnej migracji z Kuwejtu</w:t>
            </w:r>
            <w:r w:rsidRPr="00522AC0">
              <w:t xml:space="preserve"> i</w:t>
            </w:r>
            <w:r w:rsidRPr="00522AC0">
              <w:rPr>
                <w:b/>
                <w:i/>
              </w:rPr>
              <w:t> Kataru do Unii jest niskie</w:t>
            </w:r>
            <w:r w:rsidRPr="00522AC0">
              <w:t xml:space="preserve">, </w:t>
            </w:r>
            <w:r w:rsidRPr="00522AC0">
              <w:rPr>
                <w:b/>
                <w:i/>
              </w:rPr>
              <w:t>kraje te</w:t>
            </w:r>
            <w:r w:rsidRPr="00522AC0">
              <w:t xml:space="preserve"> wydają paszporty biometryczne, które są zgodne z normami Organizacji Międzynarodowego Lotnictwa Cywilnego. </w:t>
            </w:r>
            <w:r w:rsidRPr="00522AC0">
              <w:rPr>
                <w:b/>
                <w:i/>
              </w:rPr>
              <w:t xml:space="preserve">W ostatnich latach </w:t>
            </w:r>
            <w:r w:rsidRPr="00522AC0">
              <w:rPr>
                <w:b/>
                <w:i/>
              </w:rPr>
              <w:t>zacieśniono współpracę z tymi krajami w zakresie bezpieczeństwa. Jeżeli chodzi o interesy gospodarcze</w:t>
            </w:r>
            <w:r w:rsidRPr="00522AC0">
              <w:t xml:space="preserve">, </w:t>
            </w:r>
            <w:r w:rsidRPr="00522AC0">
              <w:rPr>
                <w:b/>
                <w:i/>
              </w:rPr>
              <w:t>Kuwejt</w:t>
            </w:r>
            <w:r w:rsidRPr="00522AC0">
              <w:t xml:space="preserve"> i</w:t>
            </w:r>
            <w:r w:rsidRPr="00522AC0">
              <w:rPr>
                <w:b/>
                <w:i/>
              </w:rPr>
              <w:t> Katar są ważnymi partnerami gospodarczymi dla Unii, przede wszystkim</w:t>
            </w:r>
            <w:r w:rsidRPr="00522AC0">
              <w:t xml:space="preserve"> w</w:t>
            </w:r>
            <w:r w:rsidRPr="00522AC0">
              <w:rPr>
                <w:b/>
                <w:i/>
              </w:rPr>
              <w:t> obszarze energii. Chociaż</w:t>
            </w:r>
            <w:r w:rsidRPr="00522AC0">
              <w:t xml:space="preserve"> nadal </w:t>
            </w:r>
            <w:r w:rsidRPr="00522AC0">
              <w:rPr>
                <w:b/>
                <w:i/>
              </w:rPr>
              <w:t>utrzymują</w:t>
            </w:r>
            <w:r w:rsidRPr="00522AC0">
              <w:t xml:space="preserve"> się </w:t>
            </w:r>
            <w:r w:rsidRPr="00522AC0">
              <w:rPr>
                <w:b/>
                <w:i/>
              </w:rPr>
              <w:t>wyzwania</w:t>
            </w:r>
            <w:r w:rsidRPr="00522AC0">
              <w:t xml:space="preserve"> w</w:t>
            </w:r>
            <w:r w:rsidRPr="00522AC0">
              <w:rPr>
                <w:b/>
                <w:i/>
              </w:rPr>
              <w:t> </w:t>
            </w:r>
            <w:r w:rsidRPr="00522AC0">
              <w:t>obszarze praw cz</w:t>
            </w:r>
            <w:r w:rsidRPr="00522AC0">
              <w:t>łowieka i</w:t>
            </w:r>
            <w:r w:rsidRPr="00522AC0">
              <w:rPr>
                <w:b/>
                <w:i/>
              </w:rPr>
              <w:t> </w:t>
            </w:r>
            <w:r w:rsidRPr="00522AC0">
              <w:t>podstawowych wolności</w:t>
            </w:r>
            <w:r w:rsidRPr="00522AC0">
              <w:rPr>
                <w:b/>
                <w:i/>
              </w:rPr>
              <w:t>, to w Kuwejcie</w:t>
            </w:r>
            <w:r w:rsidRPr="00522AC0">
              <w:t xml:space="preserve"> i</w:t>
            </w:r>
            <w:r w:rsidRPr="00522AC0">
              <w:rPr>
                <w:b/>
                <w:i/>
              </w:rPr>
              <w:t> Katarze dokonuje się proces</w:t>
            </w:r>
            <w:r w:rsidRPr="00522AC0">
              <w:t xml:space="preserve"> przemian społecznych i</w:t>
            </w:r>
            <w:r w:rsidRPr="00522AC0">
              <w:rPr>
                <w:b/>
                <w:i/>
              </w:rPr>
              <w:t> nastąpiła poprawa, jeżeli chodzi o prawa kobiet, prawa pracownicze, wolność religii</w:t>
            </w:r>
            <w:r w:rsidRPr="00522AC0">
              <w:t xml:space="preserve"> i</w:t>
            </w:r>
            <w:r w:rsidRPr="00522AC0">
              <w:rPr>
                <w:b/>
                <w:i/>
              </w:rPr>
              <w:t> dialog międzywyznaniowy. Oczekuje się</w:t>
            </w:r>
            <w:r w:rsidRPr="00522AC0">
              <w:t xml:space="preserve">, </w:t>
            </w:r>
            <w:r w:rsidRPr="00522AC0">
              <w:rPr>
                <w:b/>
                <w:i/>
              </w:rPr>
              <w:t xml:space="preserve">że państwa te będą kontynuować </w:t>
            </w:r>
            <w:r w:rsidRPr="00522AC0">
              <w:rPr>
                <w:b/>
                <w:i/>
              </w:rPr>
              <w:t>reformy i notować dalsze postępy. Długoterminowe korzyści płynące</w:t>
            </w:r>
            <w:r w:rsidRPr="00522AC0">
              <w:t xml:space="preserve"> z</w:t>
            </w:r>
            <w:r w:rsidRPr="00522AC0">
              <w:rPr>
                <w:b/>
                <w:i/>
              </w:rPr>
              <w:t> </w:t>
            </w:r>
            <w:r w:rsidRPr="00522AC0">
              <w:t xml:space="preserve">ruchu bezwizowego do UE </w:t>
            </w:r>
            <w:r w:rsidRPr="00522AC0">
              <w:rPr>
                <w:b/>
                <w:i/>
              </w:rPr>
              <w:t>mogą wzmocnić pozytywne tendencje</w:t>
            </w:r>
            <w:r w:rsidRPr="00522AC0">
              <w:t xml:space="preserve">, </w:t>
            </w:r>
            <w:r w:rsidRPr="00522AC0">
              <w:rPr>
                <w:b/>
                <w:i/>
              </w:rPr>
              <w:t>jakie obserwuje się</w:t>
            </w:r>
            <w:r w:rsidRPr="00522AC0">
              <w:t xml:space="preserve"> w</w:t>
            </w:r>
            <w:r w:rsidRPr="00522AC0">
              <w:rPr>
                <w:b/>
                <w:i/>
              </w:rPr>
              <w:t> tych obszarach</w:t>
            </w:r>
            <w:r w:rsidRPr="00522AC0">
              <w:t>.</w:t>
            </w:r>
          </w:p>
        </w:tc>
        <w:tc>
          <w:tcPr>
            <w:tcW w:w="4876" w:type="dxa"/>
          </w:tcPr>
          <w:p w:rsidR="00797A79" w:rsidRPr="00522AC0" w:rsidRDefault="00217739" w:rsidP="00FE7349">
            <w:pPr>
              <w:pStyle w:val="Normal6"/>
              <w:rPr>
                <w:szCs w:val="24"/>
              </w:rPr>
            </w:pPr>
            <w:r w:rsidRPr="00522AC0">
              <w:t>(3)</w:t>
            </w:r>
            <w:r w:rsidRPr="00522AC0">
              <w:tab/>
            </w:r>
            <w:r w:rsidRPr="00522AC0">
              <w:rPr>
                <w:b/>
                <w:i/>
              </w:rPr>
              <w:t>Z oceny Komisji wynika, że Kuwejt</w:t>
            </w:r>
            <w:r w:rsidRPr="00522AC0">
              <w:t xml:space="preserve"> i</w:t>
            </w:r>
            <w:r w:rsidRPr="00522AC0">
              <w:rPr>
                <w:b/>
                <w:i/>
              </w:rPr>
              <w:t xml:space="preserve"> Katar spełniają kryteria określone w rozporządzeniu</w:t>
            </w:r>
            <w:r w:rsidRPr="00522AC0">
              <w:rPr>
                <w:b/>
                <w:i/>
              </w:rPr>
              <w:t xml:space="preserve"> (UE) 2018/1806, co umożliwia umieszczenie ich w wykazie państw</w:t>
            </w:r>
            <w:r w:rsidRPr="00522AC0">
              <w:t xml:space="preserve">, </w:t>
            </w:r>
            <w:r w:rsidRPr="00522AC0">
              <w:rPr>
                <w:b/>
                <w:i/>
              </w:rPr>
              <w:t>których obywatele są zwolnieni z obowiązku wizowego. Oba państwa</w:t>
            </w:r>
            <w:r w:rsidRPr="00522AC0">
              <w:t xml:space="preserve"> wydają</w:t>
            </w:r>
            <w:r w:rsidRPr="00522AC0">
              <w:rPr>
                <w:b/>
                <w:i/>
              </w:rPr>
              <w:t xml:space="preserve"> również</w:t>
            </w:r>
            <w:r w:rsidRPr="00522AC0">
              <w:t xml:space="preserve"> paszporty biometryczne, które są zgodne z normami Organizacji Międzynarodowego Lotnictwa Cywilnego. </w:t>
            </w:r>
            <w:r w:rsidRPr="00522AC0">
              <w:rPr>
                <w:b/>
                <w:i/>
              </w:rPr>
              <w:t xml:space="preserve">Jak jednak </w:t>
            </w:r>
            <w:r w:rsidRPr="00522AC0">
              <w:rPr>
                <w:b/>
                <w:i/>
              </w:rPr>
              <w:t xml:space="preserve">wskazano </w:t>
            </w:r>
            <w:r w:rsidRPr="00522AC0">
              <w:t>w</w:t>
            </w:r>
            <w:r w:rsidRPr="00522AC0">
              <w:rPr>
                <w:b/>
                <w:i/>
              </w:rPr>
              <w:t xml:space="preserve"> ocenie Komisji (dokument roboczy służb Komisji w sprawie spełnienia przez Kuwejt i Katar kryteriów wymienionych</w:t>
            </w:r>
            <w:r w:rsidRPr="00522AC0">
              <w:t xml:space="preserve"> w</w:t>
            </w:r>
            <w:r w:rsidRPr="00522AC0">
              <w:rPr>
                <w:b/>
                <w:i/>
              </w:rPr>
              <w:t xml:space="preserve"> art</w:t>
            </w:r>
            <w:r w:rsidRPr="00522AC0">
              <w:t xml:space="preserve">. </w:t>
            </w:r>
            <w:r w:rsidRPr="00522AC0">
              <w:rPr>
                <w:b/>
                <w:i/>
              </w:rPr>
              <w:t>1 rozporządzenia (UE) 2018/1806)</w:t>
            </w:r>
            <w:r w:rsidRPr="00522AC0">
              <w:t xml:space="preserve">, </w:t>
            </w:r>
            <w:r w:rsidRPr="00522AC0">
              <w:rPr>
                <w:b/>
                <w:i/>
              </w:rPr>
              <w:t>w rocznym sprawozdaniu ESDZ na temat praw człowieka</w:t>
            </w:r>
            <w:r w:rsidRPr="00522AC0">
              <w:t xml:space="preserve"> i</w:t>
            </w:r>
            <w:r w:rsidRPr="00522AC0">
              <w:rPr>
                <w:b/>
                <w:i/>
              </w:rPr>
              <w:t xml:space="preserve"> demokracji na świecie za 2021 r. (spra</w:t>
            </w:r>
            <w:r w:rsidRPr="00522AC0">
              <w:rPr>
                <w:b/>
                <w:i/>
              </w:rPr>
              <w:t>wozdania krajowe) oraz</w:t>
            </w:r>
            <w:r w:rsidRPr="00522AC0">
              <w:t xml:space="preserve"> w</w:t>
            </w:r>
            <w:r w:rsidRPr="00522AC0">
              <w:rPr>
                <w:b/>
                <w:i/>
              </w:rPr>
              <w:t xml:space="preserve"> różnych sprawozdaniach organizacji pozarządowych, w Kuwejcie i Katarze</w:t>
            </w:r>
            <w:r w:rsidRPr="00522AC0">
              <w:t xml:space="preserve"> nadal </w:t>
            </w:r>
            <w:r w:rsidRPr="00522AC0">
              <w:rPr>
                <w:b/>
                <w:i/>
              </w:rPr>
              <w:t>występują poważne problemy i utrzymuje</w:t>
            </w:r>
            <w:r w:rsidRPr="00522AC0">
              <w:t xml:space="preserve"> się </w:t>
            </w:r>
            <w:r w:rsidRPr="00522AC0">
              <w:rPr>
                <w:b/>
                <w:i/>
              </w:rPr>
              <w:t>wiele wyzwań</w:t>
            </w:r>
            <w:r w:rsidRPr="00522AC0">
              <w:t xml:space="preserve"> w</w:t>
            </w:r>
            <w:r w:rsidRPr="00522AC0">
              <w:rPr>
                <w:b/>
                <w:i/>
              </w:rPr>
              <w:t xml:space="preserve"> </w:t>
            </w:r>
            <w:r w:rsidRPr="00522AC0">
              <w:t>obszarze praw człowieka i</w:t>
            </w:r>
            <w:r w:rsidRPr="00522AC0">
              <w:rPr>
                <w:b/>
                <w:i/>
              </w:rPr>
              <w:t xml:space="preserve"> </w:t>
            </w:r>
            <w:r w:rsidRPr="00522AC0">
              <w:t>podstawowych wolności</w:t>
            </w:r>
            <w:r w:rsidRPr="00522AC0">
              <w:rPr>
                <w:b/>
                <w:i/>
              </w:rPr>
              <w:t xml:space="preserve"> pomimo niedawnych</w:t>
            </w:r>
            <w:r w:rsidRPr="00522AC0">
              <w:t xml:space="preserve"> i</w:t>
            </w:r>
            <w:r w:rsidRPr="00522AC0">
              <w:rPr>
                <w:b/>
                <w:i/>
              </w:rPr>
              <w:t xml:space="preserve"> trwających nadal</w:t>
            </w:r>
            <w:r w:rsidRPr="00522AC0">
              <w:t xml:space="preserve"> przemian sp</w:t>
            </w:r>
            <w:r w:rsidRPr="00522AC0">
              <w:t>ołecznych i</w:t>
            </w:r>
            <w:r w:rsidRPr="00522AC0">
              <w:rPr>
                <w:b/>
                <w:i/>
              </w:rPr>
              <w:t xml:space="preserve"> zmian legislacyjnych. Aby zagwarantować skuteczność zwolnienia z obowiązku wizowego</w:t>
            </w:r>
            <w:r w:rsidRPr="00522AC0">
              <w:t xml:space="preserve"> i</w:t>
            </w:r>
            <w:r w:rsidRPr="00522AC0">
              <w:rPr>
                <w:b/>
                <w:i/>
              </w:rPr>
              <w:t xml:space="preserve"> jego pełną wzajemność</w:t>
            </w:r>
            <w:r w:rsidRPr="00522AC0">
              <w:t xml:space="preserve">, </w:t>
            </w:r>
            <w:r w:rsidRPr="00522AC0">
              <w:rPr>
                <w:b/>
                <w:i/>
              </w:rPr>
              <w:t>umowa w sprawie zniesienia wiz powinna zapewniać usunięcie wszelkich przeszkód uniemożliwiających korzystanie</w:t>
            </w:r>
            <w:r w:rsidRPr="00522AC0">
              <w:t xml:space="preserve"> z</w:t>
            </w:r>
            <w:r w:rsidRPr="00522AC0">
              <w:rPr>
                <w:b/>
                <w:i/>
              </w:rPr>
              <w:t xml:space="preserve"> </w:t>
            </w:r>
            <w:r w:rsidRPr="00522AC0">
              <w:t xml:space="preserve">ruchu bezwizowego </w:t>
            </w:r>
            <w:r w:rsidRPr="00522AC0">
              <w:rPr>
                <w:b/>
                <w:i/>
              </w:rPr>
              <w:t>podcz</w:t>
            </w:r>
            <w:r w:rsidRPr="00522AC0">
              <w:rPr>
                <w:b/>
                <w:i/>
              </w:rPr>
              <w:t xml:space="preserve">as przekraczania granic zewnętrznych państw członkowskich poprzez umożliwienie beneficjentom wjazdu </w:t>
            </w:r>
            <w:r w:rsidRPr="00522AC0">
              <w:t xml:space="preserve">do UE </w:t>
            </w:r>
            <w:r w:rsidRPr="00522AC0">
              <w:rPr>
                <w:b/>
                <w:i/>
              </w:rPr>
              <w:t>na niedyskryminacyjnych zasadach, a w szczególności powinna umożliwić niezależną podróż kobietom</w:t>
            </w:r>
            <w:r w:rsidRPr="00522AC0">
              <w:t xml:space="preserve">, </w:t>
            </w:r>
            <w:r w:rsidRPr="00522AC0">
              <w:rPr>
                <w:b/>
                <w:i/>
              </w:rPr>
              <w:t>członkom społeczności LGBTQ+ i bezpaństwowcom.</w:t>
            </w:r>
            <w:r w:rsidRPr="00522AC0">
              <w:t xml:space="preserve"> </w:t>
            </w:r>
            <w:r w:rsidRPr="00522AC0">
              <w:rPr>
                <w:b/>
                <w:i/>
              </w:rPr>
              <w:t>Warunki te powinny znaleźć odzwierciedlenie w umowach dwustronnych dotyczących zniesienia wiz, które mają zostać zawarte między Unią a tymi państwami.</w:t>
            </w:r>
          </w:p>
        </w:tc>
      </w:tr>
    </w:tbl>
    <w:p w:rsidR="00797A79" w:rsidRPr="00522AC0" w:rsidRDefault="00217739" w:rsidP="00797A79">
      <w:pPr>
        <w:pStyle w:val="Olang"/>
        <w:rPr>
          <w:sz w:val="24"/>
          <w:szCs w:val="24"/>
        </w:rPr>
      </w:pPr>
      <w:r w:rsidRPr="00522AC0">
        <w:rPr>
          <w:sz w:val="24"/>
          <w:szCs w:val="24"/>
        </w:rPr>
        <w:t xml:space="preserve">Or. </w:t>
      </w:r>
      <w:r w:rsidRPr="00522AC0">
        <w:rPr>
          <w:rStyle w:val="HideTWBExt"/>
          <w:noProof w:val="0"/>
        </w:rPr>
        <w:t>&lt;Original&gt;</w:t>
      </w:r>
      <w:r w:rsidRPr="00522AC0">
        <w:rPr>
          <w:rStyle w:val="HideTWBInt"/>
          <w:sz w:val="24"/>
          <w:szCs w:val="24"/>
        </w:rPr>
        <w:t>{EN}</w:t>
      </w:r>
      <w:r w:rsidRPr="00522AC0">
        <w:rPr>
          <w:sz w:val="24"/>
          <w:szCs w:val="24"/>
        </w:rPr>
        <w:t>en</w:t>
      </w:r>
      <w:r w:rsidRPr="00522AC0">
        <w:rPr>
          <w:rStyle w:val="HideTWBExt"/>
          <w:noProof w:val="0"/>
        </w:rPr>
        <w:t>&lt;/Original&gt;</w:t>
      </w:r>
    </w:p>
    <w:p w:rsidR="00797A79" w:rsidRPr="00522AC0" w:rsidRDefault="00217739" w:rsidP="00797A79">
      <w:r w:rsidRPr="00522AC0">
        <w:rPr>
          <w:rStyle w:val="HideTWBExt"/>
          <w:noProof w:val="0"/>
        </w:rPr>
        <w:t>&lt;/Amend&gt;</w:t>
      </w:r>
    </w:p>
    <w:p w:rsidR="00797A79" w:rsidRPr="00522AC0" w:rsidRDefault="00217739" w:rsidP="00797A79">
      <w:pPr>
        <w:pStyle w:val="AMNumberTabs0"/>
        <w:keepNext/>
      </w:pPr>
      <w:r w:rsidRPr="00522AC0">
        <w:rPr>
          <w:rStyle w:val="HideTWBExt"/>
          <w:b w:val="0"/>
          <w:noProof w:val="0"/>
        </w:rPr>
        <w:t>&lt;Amend&gt;</w:t>
      </w:r>
      <w:r w:rsidRPr="00522AC0">
        <w:t>Poprawka</w:t>
      </w:r>
      <w:r w:rsidRPr="00522AC0">
        <w:tab/>
      </w:r>
      <w:r w:rsidRPr="00522AC0">
        <w:tab/>
      </w:r>
      <w:r w:rsidRPr="00522AC0">
        <w:rPr>
          <w:rStyle w:val="HideTWBExt"/>
          <w:b w:val="0"/>
          <w:noProof w:val="0"/>
        </w:rPr>
        <w:t>&lt;NumAm&gt;</w:t>
      </w:r>
      <w:r w:rsidRPr="00522AC0">
        <w:t>2</w:t>
      </w:r>
      <w:r w:rsidRPr="00522AC0">
        <w:rPr>
          <w:rStyle w:val="HideTWBExt"/>
          <w:b w:val="0"/>
          <w:noProof w:val="0"/>
        </w:rPr>
        <w:t>&lt;/NumAm&gt;</w:t>
      </w:r>
    </w:p>
    <w:p w:rsidR="00797A79" w:rsidRPr="00522AC0" w:rsidRDefault="00217739" w:rsidP="00797A79">
      <w:pPr>
        <w:pStyle w:val="NormalBold12b"/>
        <w:keepNext/>
      </w:pPr>
      <w:r w:rsidRPr="00522AC0">
        <w:rPr>
          <w:rStyle w:val="HideTWBExt"/>
          <w:b w:val="0"/>
          <w:noProof w:val="0"/>
        </w:rPr>
        <w:t>&lt;DocAmend&gt;</w:t>
      </w:r>
      <w:r w:rsidRPr="00522AC0">
        <w:t>Wniosek dotyczący r</w:t>
      </w:r>
      <w:r w:rsidRPr="00522AC0">
        <w:t>ozporządzenia</w:t>
      </w:r>
      <w:r w:rsidRPr="00522AC0">
        <w:rPr>
          <w:rStyle w:val="HideTWBExt"/>
          <w:b w:val="0"/>
          <w:noProof w:val="0"/>
        </w:rPr>
        <w:t>&lt;/DocAmend&gt;</w:t>
      </w:r>
    </w:p>
    <w:p w:rsidR="00797A79" w:rsidRPr="00522AC0" w:rsidRDefault="00217739" w:rsidP="00797A79">
      <w:pPr>
        <w:pStyle w:val="NormalBold"/>
      </w:pPr>
      <w:r w:rsidRPr="00522AC0">
        <w:rPr>
          <w:rStyle w:val="HideTWBExt"/>
          <w:b w:val="0"/>
          <w:noProof w:val="0"/>
        </w:rPr>
        <w:t>&lt;Article&gt;</w:t>
      </w:r>
      <w:r w:rsidRPr="00522AC0">
        <w:t>Motyw 3 a (nowy)</w:t>
      </w:r>
      <w:r w:rsidRPr="00522AC0">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850A4A" w:rsidRPr="00522AC0" w:rsidTr="002E3887">
        <w:trPr>
          <w:jc w:val="center"/>
        </w:trPr>
        <w:tc>
          <w:tcPr>
            <w:tcW w:w="9752" w:type="dxa"/>
            <w:gridSpan w:val="2"/>
          </w:tcPr>
          <w:p w:rsidR="00797A79" w:rsidRPr="00522AC0" w:rsidRDefault="00797A79" w:rsidP="002E3887">
            <w:pPr>
              <w:keepNext/>
            </w:pPr>
          </w:p>
        </w:tc>
      </w:tr>
      <w:tr w:rsidR="00850A4A" w:rsidRPr="00522AC0" w:rsidTr="002E3887">
        <w:trPr>
          <w:jc w:val="center"/>
        </w:trPr>
        <w:tc>
          <w:tcPr>
            <w:tcW w:w="4876" w:type="dxa"/>
          </w:tcPr>
          <w:p w:rsidR="00797A79" w:rsidRPr="00522AC0" w:rsidRDefault="00217739" w:rsidP="002E3887">
            <w:pPr>
              <w:pStyle w:val="ColumnHeading"/>
              <w:keepNext/>
            </w:pPr>
            <w:r w:rsidRPr="00522AC0">
              <w:t>Tekst proponowany przez Komisję</w:t>
            </w:r>
          </w:p>
        </w:tc>
        <w:tc>
          <w:tcPr>
            <w:tcW w:w="4876" w:type="dxa"/>
          </w:tcPr>
          <w:p w:rsidR="00797A79" w:rsidRPr="00522AC0" w:rsidRDefault="00217739" w:rsidP="002E3887">
            <w:pPr>
              <w:pStyle w:val="ColumnHeading"/>
              <w:keepNext/>
            </w:pPr>
            <w:r w:rsidRPr="00522AC0">
              <w:t>Poprawka</w:t>
            </w:r>
          </w:p>
        </w:tc>
      </w:tr>
      <w:tr w:rsidR="00850A4A" w:rsidRPr="00522AC0" w:rsidTr="002E3887">
        <w:trPr>
          <w:jc w:val="center"/>
        </w:trPr>
        <w:tc>
          <w:tcPr>
            <w:tcW w:w="4876" w:type="dxa"/>
          </w:tcPr>
          <w:p w:rsidR="00797A79" w:rsidRPr="00522AC0" w:rsidRDefault="00797A79" w:rsidP="002E3887">
            <w:pPr>
              <w:pStyle w:val="Normal6"/>
            </w:pPr>
          </w:p>
        </w:tc>
        <w:tc>
          <w:tcPr>
            <w:tcW w:w="4876" w:type="dxa"/>
          </w:tcPr>
          <w:p w:rsidR="00797A79" w:rsidRPr="00522AC0" w:rsidRDefault="00217739" w:rsidP="00FE7349">
            <w:pPr>
              <w:pStyle w:val="Normal6"/>
              <w:rPr>
                <w:szCs w:val="24"/>
              </w:rPr>
            </w:pPr>
            <w:r w:rsidRPr="00522AC0">
              <w:rPr>
                <w:b/>
                <w:i/>
              </w:rPr>
              <w:t>(3a)</w:t>
            </w:r>
            <w:r w:rsidRPr="00522AC0">
              <w:rPr>
                <w:b/>
                <w:i/>
              </w:rPr>
              <w:tab/>
              <w:t xml:space="preserve">Ponadto należy prowadzić z Kuwejtem i Katarem pełnoprawny, oficjalny dialog na temat praw człowieka, prowadzący do widocznej poprawy i osiągnięć </w:t>
            </w:r>
            <w:r w:rsidRPr="00522AC0">
              <w:rPr>
                <w:b/>
                <w:i/>
              </w:rPr>
              <w:t>w zakresie m.in. warunków pracy i praw pracowniczych, w tym w odniesieniu do praw pracowników migrujących, praw kobiet, praw osób LGBTQ+, wolności religii, zakazu tortur, wolności słowa, prawa do zgromadzeń oraz zakazu wykonywania kary śmierci. Umowy dwust</w:t>
            </w:r>
            <w:r w:rsidRPr="00522AC0">
              <w:rPr>
                <w:b/>
                <w:i/>
              </w:rPr>
              <w:t>ronne w sprawie zniesienia wiz między Unią a Kuwejtem oraz Unią a Katarem powinny zawierać wyraźne i konkretne zobowiązania w tym zakresie.</w:t>
            </w:r>
          </w:p>
        </w:tc>
      </w:tr>
    </w:tbl>
    <w:p w:rsidR="00797A79" w:rsidRPr="00522AC0" w:rsidRDefault="00217739" w:rsidP="00797A79">
      <w:pPr>
        <w:pStyle w:val="Olang"/>
        <w:rPr>
          <w:sz w:val="24"/>
          <w:szCs w:val="24"/>
        </w:rPr>
      </w:pPr>
      <w:r w:rsidRPr="00522AC0">
        <w:rPr>
          <w:sz w:val="24"/>
          <w:szCs w:val="24"/>
        </w:rPr>
        <w:t xml:space="preserve">Or. </w:t>
      </w:r>
      <w:r w:rsidRPr="00522AC0">
        <w:rPr>
          <w:rStyle w:val="HideTWBExt"/>
          <w:noProof w:val="0"/>
        </w:rPr>
        <w:t>&lt;Original&gt;</w:t>
      </w:r>
      <w:r w:rsidRPr="00522AC0">
        <w:rPr>
          <w:rStyle w:val="HideTWBInt"/>
          <w:sz w:val="24"/>
          <w:szCs w:val="24"/>
        </w:rPr>
        <w:t>{EN}</w:t>
      </w:r>
      <w:r w:rsidRPr="00522AC0">
        <w:rPr>
          <w:sz w:val="24"/>
          <w:szCs w:val="24"/>
        </w:rPr>
        <w:t>en</w:t>
      </w:r>
      <w:r w:rsidRPr="00522AC0">
        <w:rPr>
          <w:rStyle w:val="HideTWBExt"/>
          <w:noProof w:val="0"/>
        </w:rPr>
        <w:t>&lt;/Original&gt;</w:t>
      </w:r>
    </w:p>
    <w:p w:rsidR="00797A79" w:rsidRPr="00522AC0" w:rsidRDefault="00217739" w:rsidP="00797A79">
      <w:r w:rsidRPr="00522AC0">
        <w:rPr>
          <w:rStyle w:val="HideTWBExt"/>
          <w:noProof w:val="0"/>
        </w:rPr>
        <w:t>&lt;/Amend&gt;</w:t>
      </w:r>
    </w:p>
    <w:p w:rsidR="00797A79" w:rsidRPr="00522AC0" w:rsidRDefault="00217739" w:rsidP="00797A79">
      <w:pPr>
        <w:pStyle w:val="AMNumberTabs0"/>
        <w:keepNext/>
      </w:pPr>
      <w:r w:rsidRPr="00522AC0">
        <w:rPr>
          <w:rStyle w:val="HideTWBExt"/>
          <w:b w:val="0"/>
          <w:noProof w:val="0"/>
        </w:rPr>
        <w:t>&lt;Amend&gt;</w:t>
      </w:r>
      <w:r w:rsidRPr="00522AC0">
        <w:t>Poprawka</w:t>
      </w:r>
      <w:r w:rsidRPr="00522AC0">
        <w:tab/>
      </w:r>
      <w:r w:rsidRPr="00522AC0">
        <w:tab/>
      </w:r>
      <w:r w:rsidRPr="00522AC0">
        <w:rPr>
          <w:rStyle w:val="HideTWBExt"/>
          <w:b w:val="0"/>
          <w:noProof w:val="0"/>
        </w:rPr>
        <w:t>&lt;NumAm&gt;</w:t>
      </w:r>
      <w:r w:rsidRPr="00522AC0">
        <w:t>3</w:t>
      </w:r>
      <w:r w:rsidRPr="00522AC0">
        <w:rPr>
          <w:rStyle w:val="HideTWBExt"/>
          <w:b w:val="0"/>
          <w:noProof w:val="0"/>
        </w:rPr>
        <w:t>&lt;/NumAm&gt;</w:t>
      </w:r>
    </w:p>
    <w:p w:rsidR="00797A79" w:rsidRPr="00522AC0" w:rsidRDefault="00217739" w:rsidP="00797A79">
      <w:pPr>
        <w:pStyle w:val="NormalBold12b"/>
        <w:keepNext/>
      </w:pPr>
      <w:r w:rsidRPr="00522AC0">
        <w:rPr>
          <w:rStyle w:val="HideTWBExt"/>
          <w:b w:val="0"/>
          <w:noProof w:val="0"/>
        </w:rPr>
        <w:t>&lt;DocAmend&gt;</w:t>
      </w:r>
      <w:r w:rsidRPr="00522AC0">
        <w:t xml:space="preserve">Wniosek dotyczący </w:t>
      </w:r>
      <w:r w:rsidRPr="00522AC0">
        <w:t>rozporządzenia</w:t>
      </w:r>
      <w:r w:rsidRPr="00522AC0">
        <w:rPr>
          <w:rStyle w:val="HideTWBExt"/>
          <w:b w:val="0"/>
          <w:noProof w:val="0"/>
        </w:rPr>
        <w:t>&lt;/DocAmend&gt;</w:t>
      </w:r>
    </w:p>
    <w:p w:rsidR="00797A79" w:rsidRPr="00522AC0" w:rsidRDefault="00217739" w:rsidP="00797A79">
      <w:pPr>
        <w:pStyle w:val="NormalBold"/>
      </w:pPr>
      <w:r w:rsidRPr="00522AC0">
        <w:rPr>
          <w:rStyle w:val="HideTWBExt"/>
          <w:b w:val="0"/>
          <w:noProof w:val="0"/>
        </w:rPr>
        <w:t>&lt;Article&gt;</w:t>
      </w:r>
      <w:r w:rsidRPr="00522AC0">
        <w:t>Motyw 4</w:t>
      </w:r>
      <w:r w:rsidRPr="00522AC0">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850A4A" w:rsidRPr="00522AC0" w:rsidTr="002E3887">
        <w:trPr>
          <w:jc w:val="center"/>
        </w:trPr>
        <w:tc>
          <w:tcPr>
            <w:tcW w:w="9752" w:type="dxa"/>
            <w:gridSpan w:val="2"/>
          </w:tcPr>
          <w:p w:rsidR="00797A79" w:rsidRPr="00522AC0" w:rsidRDefault="00797A79" w:rsidP="002E3887">
            <w:pPr>
              <w:keepNext/>
            </w:pPr>
          </w:p>
        </w:tc>
      </w:tr>
      <w:tr w:rsidR="00850A4A" w:rsidRPr="00522AC0" w:rsidTr="002E3887">
        <w:trPr>
          <w:jc w:val="center"/>
        </w:trPr>
        <w:tc>
          <w:tcPr>
            <w:tcW w:w="4876" w:type="dxa"/>
          </w:tcPr>
          <w:p w:rsidR="00797A79" w:rsidRPr="00522AC0" w:rsidRDefault="00217739" w:rsidP="002E3887">
            <w:pPr>
              <w:pStyle w:val="ColumnHeading"/>
              <w:keepNext/>
            </w:pPr>
            <w:r w:rsidRPr="00522AC0">
              <w:t>Tekst proponowany przez Komisję</w:t>
            </w:r>
          </w:p>
        </w:tc>
        <w:tc>
          <w:tcPr>
            <w:tcW w:w="4876" w:type="dxa"/>
          </w:tcPr>
          <w:p w:rsidR="00797A79" w:rsidRPr="00522AC0" w:rsidRDefault="00217739" w:rsidP="002E3887">
            <w:pPr>
              <w:pStyle w:val="ColumnHeading"/>
              <w:keepNext/>
            </w:pPr>
            <w:r w:rsidRPr="00522AC0">
              <w:t>Poprawka</w:t>
            </w:r>
          </w:p>
        </w:tc>
      </w:tr>
      <w:tr w:rsidR="00850A4A" w:rsidRPr="00522AC0" w:rsidTr="002E3887">
        <w:trPr>
          <w:jc w:val="center"/>
        </w:trPr>
        <w:tc>
          <w:tcPr>
            <w:tcW w:w="4876" w:type="dxa"/>
          </w:tcPr>
          <w:p w:rsidR="00797A79" w:rsidRPr="00217739" w:rsidRDefault="00217739" w:rsidP="00217739">
            <w:pPr>
              <w:pStyle w:val="Normal6"/>
              <w:rPr>
                <w:b/>
                <w:i/>
              </w:rPr>
            </w:pPr>
            <w:r w:rsidRPr="00217739">
              <w:t>(4)</w:t>
            </w:r>
            <w:r w:rsidRPr="00217739">
              <w:rPr>
                <w:b/>
                <w:i/>
              </w:rPr>
              <w:tab/>
            </w:r>
            <w:r w:rsidRPr="00217739">
              <w:t>W</w:t>
            </w:r>
            <w:r w:rsidRPr="00217739">
              <w:rPr>
                <w:b/>
                <w:i/>
              </w:rPr>
              <w:t xml:space="preserve"> związku</w:t>
            </w:r>
            <w:r w:rsidRPr="00217739">
              <w:rPr>
                <w:b/>
                <w:i/>
              </w:rPr>
              <w:t xml:space="preserve"> z</w:t>
            </w:r>
            <w:r w:rsidRPr="00217739">
              <w:rPr>
                <w:b/>
                <w:i/>
              </w:rPr>
              <w:t> powyższym</w:t>
            </w:r>
            <w:r w:rsidRPr="00217739">
              <w:t xml:space="preserve"> obywatele tych państw powinni zostać zwolnieni z obowiązku wizowego w przypadku całkowitego pobytu nieprzekraczającego 90 dni w ciągu każdego 180-dniowego okresu, zaś odwołania do tych państw powinny zostać przeniesione do załącznika II do rozporządzenia</w:t>
            </w:r>
            <w:r w:rsidRPr="00217739">
              <w:rPr>
                <w:b/>
                <w:i/>
              </w:rPr>
              <w:t xml:space="preserve"> </w:t>
            </w:r>
            <w:r w:rsidRPr="00217739">
              <w:t>(</w:t>
            </w:r>
            <w:r w:rsidRPr="00217739">
              <w:rPr>
                <w:b/>
                <w:i/>
              </w:rPr>
              <w:t>WE) nr</w:t>
            </w:r>
            <w:r w:rsidRPr="00217739">
              <w:t xml:space="preserve"> </w:t>
            </w:r>
            <w:bookmarkStart w:id="2" w:name="_GoBack"/>
            <w:bookmarkEnd w:id="2"/>
            <w:r w:rsidRPr="00217739">
              <w:t>2018/1806.</w:t>
            </w:r>
          </w:p>
        </w:tc>
        <w:tc>
          <w:tcPr>
            <w:tcW w:w="4876" w:type="dxa"/>
          </w:tcPr>
          <w:p w:rsidR="00797A79" w:rsidRPr="00217739" w:rsidRDefault="00217739" w:rsidP="00885C34">
            <w:pPr>
              <w:pStyle w:val="Normal6"/>
              <w:rPr>
                <w:b/>
                <w:i/>
                <w:szCs w:val="24"/>
              </w:rPr>
            </w:pPr>
            <w:r w:rsidRPr="00217739">
              <w:t>(</w:t>
            </w:r>
            <w:r w:rsidRPr="00217739">
              <w:t>4)</w:t>
            </w:r>
            <w:r w:rsidRPr="00217739">
              <w:rPr>
                <w:b/>
                <w:i/>
              </w:rPr>
              <w:tab/>
            </w:r>
            <w:r w:rsidRPr="00217739">
              <w:rPr>
                <w:b/>
                <w:i/>
              </w:rPr>
              <w:t>Mając na uwadze, że długoterminowe korzyści płynące</w:t>
            </w:r>
            <w:r w:rsidRPr="00217739">
              <w:rPr>
                <w:b/>
                <w:i/>
              </w:rPr>
              <w:t xml:space="preserve"> z</w:t>
            </w:r>
            <w:r w:rsidRPr="00217739">
              <w:rPr>
                <w:b/>
                <w:i/>
              </w:rPr>
              <w:t xml:space="preserve"> ruchu bezwizowego i wzajemnej wymiany z UE mogą wzmocnić pozytywne tendencje również</w:t>
            </w:r>
            <w:r w:rsidRPr="00217739">
              <w:t xml:space="preserve"> w</w:t>
            </w:r>
            <w:r w:rsidRPr="00217739">
              <w:rPr>
                <w:b/>
                <w:i/>
              </w:rPr>
              <w:t xml:space="preserve"> dziedzinie praw człowieka i podstawowych wolności,</w:t>
            </w:r>
            <w:r w:rsidRPr="00217739">
              <w:t xml:space="preserve"> obywatele tych państw powinni zostać zwol</w:t>
            </w:r>
            <w:r w:rsidRPr="00217739">
              <w:t>nieni z obowiązku wizowego w przypadku całkowitego pobytu nieprzekraczającego 90 dni w ciągu każdego 180-dniowego okresu, zaś odwołania do tych państw powinny zostać przeniesione do załącznika II do rozporządzenia</w:t>
            </w:r>
            <w:r w:rsidRPr="00217739">
              <w:rPr>
                <w:b/>
                <w:i/>
              </w:rPr>
              <w:t xml:space="preserve"> </w:t>
            </w:r>
            <w:r w:rsidRPr="00217739">
              <w:t>(</w:t>
            </w:r>
            <w:r w:rsidRPr="00217739">
              <w:rPr>
                <w:b/>
                <w:i/>
              </w:rPr>
              <w:t>UE)</w:t>
            </w:r>
            <w:r w:rsidRPr="00217739">
              <w:t xml:space="preserve"> 2018/1806.</w:t>
            </w:r>
          </w:p>
        </w:tc>
      </w:tr>
    </w:tbl>
    <w:p w:rsidR="00797A79" w:rsidRPr="00522AC0" w:rsidRDefault="00217739" w:rsidP="00797A79">
      <w:pPr>
        <w:pStyle w:val="Olang"/>
        <w:rPr>
          <w:sz w:val="24"/>
          <w:szCs w:val="24"/>
        </w:rPr>
      </w:pPr>
      <w:r w:rsidRPr="00522AC0">
        <w:rPr>
          <w:sz w:val="24"/>
          <w:szCs w:val="24"/>
        </w:rPr>
        <w:t xml:space="preserve">Or. </w:t>
      </w:r>
      <w:r w:rsidRPr="00522AC0">
        <w:rPr>
          <w:rStyle w:val="HideTWBExt"/>
          <w:noProof w:val="0"/>
        </w:rPr>
        <w:t>&lt;Original&gt;</w:t>
      </w:r>
      <w:r w:rsidRPr="00522AC0">
        <w:rPr>
          <w:rStyle w:val="HideTWBInt"/>
          <w:sz w:val="24"/>
          <w:szCs w:val="24"/>
        </w:rPr>
        <w:t>{EN}</w:t>
      </w:r>
      <w:r w:rsidRPr="00522AC0">
        <w:rPr>
          <w:sz w:val="24"/>
          <w:szCs w:val="24"/>
        </w:rPr>
        <w:t>en</w:t>
      </w:r>
      <w:r w:rsidRPr="00522AC0">
        <w:rPr>
          <w:rStyle w:val="HideTWBExt"/>
          <w:noProof w:val="0"/>
        </w:rPr>
        <w:t>&lt;/Ori</w:t>
      </w:r>
      <w:r w:rsidRPr="00522AC0">
        <w:rPr>
          <w:rStyle w:val="HideTWBExt"/>
          <w:noProof w:val="0"/>
        </w:rPr>
        <w:t>ginal&gt;</w:t>
      </w:r>
    </w:p>
    <w:p w:rsidR="00797A79" w:rsidRPr="00522AC0" w:rsidRDefault="00217739" w:rsidP="00797A79">
      <w:r w:rsidRPr="00522AC0">
        <w:rPr>
          <w:rStyle w:val="HideTWBExt"/>
          <w:noProof w:val="0"/>
        </w:rPr>
        <w:t>&lt;/Amend&gt;</w:t>
      </w:r>
    </w:p>
    <w:p w:rsidR="00797A79" w:rsidRPr="00522AC0" w:rsidRDefault="00217739" w:rsidP="00797A79">
      <w:pPr>
        <w:pStyle w:val="AMNumberTabs0"/>
        <w:keepNext/>
      </w:pPr>
      <w:r w:rsidRPr="00522AC0">
        <w:rPr>
          <w:rStyle w:val="HideTWBExt"/>
          <w:b w:val="0"/>
          <w:noProof w:val="0"/>
        </w:rPr>
        <w:t>&lt;Amend&gt;</w:t>
      </w:r>
      <w:r w:rsidRPr="00522AC0">
        <w:t>Poprawka</w:t>
      </w:r>
      <w:r w:rsidRPr="00522AC0">
        <w:tab/>
      </w:r>
      <w:r w:rsidRPr="00522AC0">
        <w:tab/>
      </w:r>
      <w:r w:rsidRPr="00522AC0">
        <w:rPr>
          <w:rStyle w:val="HideTWBExt"/>
          <w:b w:val="0"/>
          <w:noProof w:val="0"/>
        </w:rPr>
        <w:t>&lt;NumAm&gt;</w:t>
      </w:r>
      <w:r w:rsidRPr="00522AC0">
        <w:t>4</w:t>
      </w:r>
      <w:r w:rsidRPr="00522AC0">
        <w:rPr>
          <w:rStyle w:val="HideTWBExt"/>
          <w:b w:val="0"/>
          <w:noProof w:val="0"/>
        </w:rPr>
        <w:t>&lt;/NumAm&gt;</w:t>
      </w:r>
    </w:p>
    <w:p w:rsidR="00797A79" w:rsidRPr="00522AC0" w:rsidRDefault="00217739" w:rsidP="00797A79">
      <w:pPr>
        <w:pStyle w:val="NormalBold12b"/>
        <w:keepNext/>
      </w:pPr>
      <w:r w:rsidRPr="00522AC0">
        <w:rPr>
          <w:rStyle w:val="HideTWBExt"/>
          <w:b w:val="0"/>
          <w:noProof w:val="0"/>
        </w:rPr>
        <w:t>&lt;DocAmend&gt;</w:t>
      </w:r>
      <w:r w:rsidRPr="00522AC0">
        <w:t>Wniosek dotyczący rozporządzenia</w:t>
      </w:r>
      <w:r w:rsidRPr="00522AC0">
        <w:rPr>
          <w:rStyle w:val="HideTWBExt"/>
          <w:b w:val="0"/>
          <w:noProof w:val="0"/>
        </w:rPr>
        <w:t>&lt;/DocAmend&gt;</w:t>
      </w:r>
    </w:p>
    <w:p w:rsidR="00797A79" w:rsidRPr="00522AC0" w:rsidRDefault="00217739" w:rsidP="00797A79">
      <w:pPr>
        <w:pStyle w:val="NormalBold"/>
      </w:pPr>
      <w:r w:rsidRPr="00522AC0">
        <w:rPr>
          <w:rStyle w:val="HideTWBExt"/>
          <w:b w:val="0"/>
          <w:noProof w:val="0"/>
        </w:rPr>
        <w:t>&lt;Article&gt;</w:t>
      </w:r>
      <w:r w:rsidRPr="00522AC0">
        <w:t>Motyw 4 a (nowy)</w:t>
      </w:r>
      <w:r w:rsidRPr="00522AC0">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850A4A" w:rsidRPr="00522AC0" w:rsidTr="002E3887">
        <w:trPr>
          <w:jc w:val="center"/>
        </w:trPr>
        <w:tc>
          <w:tcPr>
            <w:tcW w:w="9752" w:type="dxa"/>
            <w:gridSpan w:val="2"/>
          </w:tcPr>
          <w:p w:rsidR="00797A79" w:rsidRPr="00522AC0" w:rsidRDefault="00797A79" w:rsidP="002E3887">
            <w:pPr>
              <w:keepNext/>
            </w:pPr>
          </w:p>
        </w:tc>
      </w:tr>
      <w:tr w:rsidR="00850A4A" w:rsidRPr="00522AC0" w:rsidTr="002E3887">
        <w:trPr>
          <w:jc w:val="center"/>
        </w:trPr>
        <w:tc>
          <w:tcPr>
            <w:tcW w:w="4876" w:type="dxa"/>
          </w:tcPr>
          <w:p w:rsidR="00797A79" w:rsidRPr="00522AC0" w:rsidRDefault="00217739" w:rsidP="002E3887">
            <w:pPr>
              <w:pStyle w:val="ColumnHeading"/>
              <w:keepNext/>
            </w:pPr>
            <w:r w:rsidRPr="00522AC0">
              <w:t>Tekst proponowany przez Komisję</w:t>
            </w:r>
          </w:p>
        </w:tc>
        <w:tc>
          <w:tcPr>
            <w:tcW w:w="4876" w:type="dxa"/>
          </w:tcPr>
          <w:p w:rsidR="00797A79" w:rsidRPr="00522AC0" w:rsidRDefault="00217739" w:rsidP="002E3887">
            <w:pPr>
              <w:pStyle w:val="ColumnHeading"/>
              <w:keepNext/>
            </w:pPr>
            <w:r w:rsidRPr="00522AC0">
              <w:t>Poprawka</w:t>
            </w:r>
          </w:p>
        </w:tc>
      </w:tr>
      <w:tr w:rsidR="00850A4A" w:rsidRPr="00522AC0" w:rsidTr="002E3887">
        <w:trPr>
          <w:jc w:val="center"/>
        </w:trPr>
        <w:tc>
          <w:tcPr>
            <w:tcW w:w="4876" w:type="dxa"/>
          </w:tcPr>
          <w:p w:rsidR="00797A79" w:rsidRPr="00522AC0" w:rsidRDefault="00797A79" w:rsidP="002E3887">
            <w:pPr>
              <w:pStyle w:val="Normal6"/>
            </w:pPr>
          </w:p>
        </w:tc>
        <w:tc>
          <w:tcPr>
            <w:tcW w:w="4876" w:type="dxa"/>
          </w:tcPr>
          <w:p w:rsidR="00797A79" w:rsidRPr="00522AC0" w:rsidRDefault="00217739" w:rsidP="0012324A">
            <w:pPr>
              <w:pStyle w:val="Normal6"/>
              <w:rPr>
                <w:szCs w:val="24"/>
              </w:rPr>
            </w:pPr>
            <w:r w:rsidRPr="00522AC0">
              <w:rPr>
                <w:b/>
                <w:i/>
              </w:rPr>
              <w:t>(4a)</w:t>
            </w:r>
            <w:r w:rsidRPr="00522AC0">
              <w:rPr>
                <w:b/>
                <w:i/>
              </w:rPr>
              <w:tab/>
              <w:t xml:space="preserve">Aby ocenić korzyści, osiągnięcia i potencjalne usprawnienia </w:t>
            </w:r>
            <w:r w:rsidRPr="00522AC0">
              <w:rPr>
                <w:b/>
                <w:i/>
              </w:rPr>
              <w:t>związane z wzajemnym zwolnieniem z obowiązku wizowego, umowy dwustronne w sprawie zniesienia wiz między Unią a Kuwejtem oraz Unią a Katarem powinny przewidywać prowadzoną przez Komisję okresową ocenę wdrażania ich postanowień, w tym ich wymiaru dotyczącego</w:t>
            </w:r>
            <w:r w:rsidRPr="00522AC0">
              <w:rPr>
                <w:b/>
                <w:i/>
              </w:rPr>
              <w:t xml:space="preserve"> praw człowieka.</w:t>
            </w:r>
          </w:p>
        </w:tc>
      </w:tr>
    </w:tbl>
    <w:p w:rsidR="00797A79" w:rsidRPr="00522AC0" w:rsidRDefault="00217739" w:rsidP="00797A79">
      <w:pPr>
        <w:pStyle w:val="Olang"/>
        <w:rPr>
          <w:sz w:val="24"/>
          <w:szCs w:val="24"/>
        </w:rPr>
      </w:pPr>
      <w:r w:rsidRPr="00522AC0">
        <w:rPr>
          <w:sz w:val="24"/>
          <w:szCs w:val="24"/>
        </w:rPr>
        <w:t xml:space="preserve">Or. </w:t>
      </w:r>
      <w:r w:rsidRPr="00522AC0">
        <w:rPr>
          <w:rStyle w:val="HideTWBExt"/>
          <w:noProof w:val="0"/>
        </w:rPr>
        <w:t>&lt;Original&gt;</w:t>
      </w:r>
      <w:r w:rsidRPr="00522AC0">
        <w:rPr>
          <w:rStyle w:val="HideTWBInt"/>
          <w:sz w:val="24"/>
          <w:szCs w:val="24"/>
        </w:rPr>
        <w:t>{EN}</w:t>
      </w:r>
      <w:r w:rsidRPr="00522AC0">
        <w:rPr>
          <w:sz w:val="24"/>
          <w:szCs w:val="24"/>
        </w:rPr>
        <w:t>en</w:t>
      </w:r>
      <w:r w:rsidRPr="00522AC0">
        <w:rPr>
          <w:rStyle w:val="HideTWBExt"/>
          <w:noProof w:val="0"/>
        </w:rPr>
        <w:t>&lt;/Original&gt;</w:t>
      </w:r>
    </w:p>
    <w:p w:rsidR="00797A79" w:rsidRPr="00522AC0" w:rsidRDefault="00217739" w:rsidP="00797A79">
      <w:r w:rsidRPr="00522AC0">
        <w:rPr>
          <w:rStyle w:val="HideTWBExt"/>
          <w:noProof w:val="0"/>
        </w:rPr>
        <w:t>&lt;/Amend&gt;</w:t>
      </w:r>
    </w:p>
    <w:p w:rsidR="00797A79" w:rsidRPr="00522AC0" w:rsidRDefault="00217739" w:rsidP="00797A79">
      <w:pPr>
        <w:pStyle w:val="AMNumberTabs0"/>
        <w:keepNext/>
      </w:pPr>
      <w:r w:rsidRPr="00522AC0">
        <w:rPr>
          <w:rStyle w:val="HideTWBExt"/>
          <w:b w:val="0"/>
          <w:noProof w:val="0"/>
        </w:rPr>
        <w:t>&lt;Amend&gt;</w:t>
      </w:r>
      <w:r w:rsidRPr="00522AC0">
        <w:t>Poprawka</w:t>
      </w:r>
      <w:r w:rsidRPr="00522AC0">
        <w:tab/>
      </w:r>
      <w:r w:rsidRPr="00522AC0">
        <w:tab/>
      </w:r>
      <w:r w:rsidRPr="00522AC0">
        <w:rPr>
          <w:rStyle w:val="HideTWBExt"/>
          <w:b w:val="0"/>
          <w:noProof w:val="0"/>
        </w:rPr>
        <w:t>&lt;NumAm&gt;</w:t>
      </w:r>
      <w:r w:rsidRPr="00522AC0">
        <w:t>5</w:t>
      </w:r>
      <w:r w:rsidRPr="00522AC0">
        <w:rPr>
          <w:rStyle w:val="HideTWBExt"/>
          <w:b w:val="0"/>
          <w:noProof w:val="0"/>
        </w:rPr>
        <w:t>&lt;/NumAm&gt;</w:t>
      </w:r>
    </w:p>
    <w:p w:rsidR="00797A79" w:rsidRPr="00522AC0" w:rsidRDefault="00217739" w:rsidP="00797A79">
      <w:pPr>
        <w:pStyle w:val="NormalBold12b"/>
        <w:keepNext/>
      </w:pPr>
      <w:r w:rsidRPr="00522AC0">
        <w:rPr>
          <w:rStyle w:val="HideTWBExt"/>
          <w:b w:val="0"/>
          <w:noProof w:val="0"/>
        </w:rPr>
        <w:t>&lt;DocAmend&gt;</w:t>
      </w:r>
      <w:r w:rsidRPr="00522AC0">
        <w:t>Wniosek dotyczący rozporządzenia</w:t>
      </w:r>
      <w:r w:rsidRPr="00522AC0">
        <w:rPr>
          <w:rStyle w:val="HideTWBExt"/>
          <w:b w:val="0"/>
          <w:noProof w:val="0"/>
        </w:rPr>
        <w:t>&lt;/DocAmend&gt;</w:t>
      </w:r>
    </w:p>
    <w:p w:rsidR="00797A79" w:rsidRPr="00522AC0" w:rsidRDefault="00217739" w:rsidP="00797A79">
      <w:pPr>
        <w:pStyle w:val="NormalBold"/>
      </w:pPr>
      <w:r w:rsidRPr="00522AC0">
        <w:rPr>
          <w:rStyle w:val="HideTWBExt"/>
          <w:b w:val="0"/>
          <w:noProof w:val="0"/>
        </w:rPr>
        <w:t>&lt;Article&gt;</w:t>
      </w:r>
      <w:r w:rsidRPr="00522AC0">
        <w:t>Motyw 6</w:t>
      </w:r>
      <w:r w:rsidRPr="00522AC0">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850A4A" w:rsidRPr="00522AC0" w:rsidTr="002E3887">
        <w:trPr>
          <w:jc w:val="center"/>
        </w:trPr>
        <w:tc>
          <w:tcPr>
            <w:tcW w:w="9752" w:type="dxa"/>
            <w:gridSpan w:val="2"/>
          </w:tcPr>
          <w:p w:rsidR="00797A79" w:rsidRPr="00522AC0" w:rsidRDefault="00797A79" w:rsidP="002E3887">
            <w:pPr>
              <w:keepNext/>
            </w:pPr>
          </w:p>
        </w:tc>
      </w:tr>
      <w:tr w:rsidR="00850A4A" w:rsidRPr="00522AC0" w:rsidTr="002E3887">
        <w:trPr>
          <w:jc w:val="center"/>
        </w:trPr>
        <w:tc>
          <w:tcPr>
            <w:tcW w:w="4876" w:type="dxa"/>
          </w:tcPr>
          <w:p w:rsidR="00797A79" w:rsidRPr="00522AC0" w:rsidRDefault="00217739" w:rsidP="002E3887">
            <w:pPr>
              <w:pStyle w:val="ColumnHeading"/>
              <w:keepNext/>
            </w:pPr>
            <w:r w:rsidRPr="00522AC0">
              <w:t>Tekst proponowany przez Komisję</w:t>
            </w:r>
          </w:p>
        </w:tc>
        <w:tc>
          <w:tcPr>
            <w:tcW w:w="4876" w:type="dxa"/>
          </w:tcPr>
          <w:p w:rsidR="00797A79" w:rsidRPr="00522AC0" w:rsidRDefault="00217739" w:rsidP="002E3887">
            <w:pPr>
              <w:pStyle w:val="ColumnHeading"/>
              <w:keepNext/>
            </w:pPr>
            <w:r w:rsidRPr="00522AC0">
              <w:t>Poprawka</w:t>
            </w:r>
          </w:p>
        </w:tc>
      </w:tr>
      <w:tr w:rsidR="00850A4A" w:rsidRPr="00522AC0" w:rsidTr="002E3887">
        <w:trPr>
          <w:jc w:val="center"/>
        </w:trPr>
        <w:tc>
          <w:tcPr>
            <w:tcW w:w="4876" w:type="dxa"/>
          </w:tcPr>
          <w:p w:rsidR="00797A79" w:rsidRPr="00522AC0" w:rsidRDefault="00217739" w:rsidP="002E3887">
            <w:pPr>
              <w:pStyle w:val="Normal6"/>
            </w:pPr>
            <w:r w:rsidRPr="00522AC0">
              <w:t>(6)</w:t>
            </w:r>
            <w:r w:rsidRPr="00522AC0">
              <w:tab/>
              <w:t xml:space="preserve">Zwolnienie z obowiązku wizowego </w:t>
            </w:r>
            <w:r w:rsidRPr="00522AC0">
              <w:t>obywateli Kuwejtu i Kataru nie powinno mieć zastosowania przed zawarciem umów dwustronnych o zwolnieniu z obowiązku wizowego między Unią a Kuwejtem i Katarem, co w szczególności pozwoli zapewnić utrzymanie pełnej wzajemności.</w:t>
            </w:r>
          </w:p>
        </w:tc>
        <w:tc>
          <w:tcPr>
            <w:tcW w:w="4876" w:type="dxa"/>
          </w:tcPr>
          <w:p w:rsidR="00797A79" w:rsidRPr="00522AC0" w:rsidRDefault="00217739" w:rsidP="00885C34">
            <w:pPr>
              <w:pStyle w:val="Normal6"/>
              <w:rPr>
                <w:szCs w:val="24"/>
              </w:rPr>
            </w:pPr>
            <w:r w:rsidRPr="00522AC0">
              <w:t>(6)</w:t>
            </w:r>
            <w:r w:rsidRPr="00522AC0">
              <w:tab/>
              <w:t xml:space="preserve">Zwolnienie z obowiązku </w:t>
            </w:r>
            <w:r w:rsidRPr="00522AC0">
              <w:t xml:space="preserve">wizowego obywateli Kuwejtu i Kataru nie powinno mieć zastosowania przed zawarciem umów dwustronnych o zwolnieniu z obowiązku wizowego między Unią a Kuwejtem i Katarem, co w szczególności pozwoli zapewnić utrzymanie pełnej wzajemności. </w:t>
            </w:r>
            <w:r w:rsidRPr="00522AC0">
              <w:rPr>
                <w:b/>
                <w:i/>
              </w:rPr>
              <w:t>Zawarcie umów dwustro</w:t>
            </w:r>
            <w:r w:rsidRPr="00522AC0">
              <w:rPr>
                <w:b/>
                <w:i/>
              </w:rPr>
              <w:t>nnych o zniesieniu wiz między Unią a Kuwejtem oraz Unią a Katarem nie powinno być uzależnione od zawierania umów dwustronnych dotyczących innych obszarów polityki, takich jak powroty lub readmisja, ani w żaden inny sposób z nimi powiązane.</w:t>
            </w:r>
          </w:p>
        </w:tc>
      </w:tr>
    </w:tbl>
    <w:p w:rsidR="00797A79" w:rsidRPr="00522AC0" w:rsidRDefault="00217739" w:rsidP="00797A79">
      <w:pPr>
        <w:pStyle w:val="Olang"/>
        <w:rPr>
          <w:sz w:val="24"/>
          <w:szCs w:val="24"/>
        </w:rPr>
      </w:pPr>
      <w:r w:rsidRPr="00522AC0">
        <w:rPr>
          <w:sz w:val="24"/>
          <w:szCs w:val="24"/>
        </w:rPr>
        <w:t xml:space="preserve">Or. </w:t>
      </w:r>
      <w:r w:rsidRPr="00522AC0">
        <w:rPr>
          <w:rStyle w:val="HideTWBExt"/>
          <w:noProof w:val="0"/>
        </w:rPr>
        <w:t>&lt;Original&gt;</w:t>
      </w:r>
      <w:r w:rsidRPr="00522AC0">
        <w:rPr>
          <w:rStyle w:val="HideTWBInt"/>
          <w:sz w:val="24"/>
          <w:szCs w:val="24"/>
        </w:rPr>
        <w:t>{</w:t>
      </w:r>
      <w:r w:rsidRPr="00522AC0">
        <w:rPr>
          <w:rStyle w:val="HideTWBInt"/>
          <w:sz w:val="24"/>
          <w:szCs w:val="24"/>
        </w:rPr>
        <w:t>EN}</w:t>
      </w:r>
      <w:r w:rsidRPr="00522AC0">
        <w:rPr>
          <w:sz w:val="24"/>
          <w:szCs w:val="24"/>
        </w:rPr>
        <w:t>en</w:t>
      </w:r>
      <w:r w:rsidRPr="00522AC0">
        <w:rPr>
          <w:rStyle w:val="HideTWBExt"/>
          <w:noProof w:val="0"/>
        </w:rPr>
        <w:t>&lt;/Original&gt;</w:t>
      </w:r>
    </w:p>
    <w:p w:rsidR="00797A79" w:rsidRPr="00522AC0" w:rsidRDefault="00217739" w:rsidP="00797A79">
      <w:r w:rsidRPr="00522AC0">
        <w:rPr>
          <w:rStyle w:val="HideTWBExt"/>
          <w:noProof w:val="0"/>
        </w:rPr>
        <w:t>&lt;/Amend&gt;</w:t>
      </w:r>
    </w:p>
    <w:p w:rsidR="00797A79" w:rsidRPr="00522AC0" w:rsidRDefault="00217739" w:rsidP="00797A79">
      <w:pPr>
        <w:pStyle w:val="AMNumberTabs0"/>
        <w:keepNext/>
      </w:pPr>
      <w:r w:rsidRPr="00522AC0">
        <w:rPr>
          <w:rStyle w:val="HideTWBExt"/>
          <w:b w:val="0"/>
          <w:noProof w:val="0"/>
        </w:rPr>
        <w:t>&lt;Amend&gt;</w:t>
      </w:r>
      <w:r w:rsidRPr="00522AC0">
        <w:t>Poprawka</w:t>
      </w:r>
      <w:r w:rsidRPr="00522AC0">
        <w:tab/>
      </w:r>
      <w:r w:rsidRPr="00522AC0">
        <w:tab/>
      </w:r>
      <w:r w:rsidRPr="00522AC0">
        <w:rPr>
          <w:rStyle w:val="HideTWBExt"/>
          <w:b w:val="0"/>
          <w:noProof w:val="0"/>
        </w:rPr>
        <w:t>&lt;NumAm&gt;</w:t>
      </w:r>
      <w:r w:rsidRPr="00522AC0">
        <w:t>6</w:t>
      </w:r>
      <w:r w:rsidRPr="00522AC0">
        <w:rPr>
          <w:rStyle w:val="HideTWBExt"/>
          <w:b w:val="0"/>
          <w:noProof w:val="0"/>
        </w:rPr>
        <w:t>&lt;/NumAm&gt;</w:t>
      </w:r>
    </w:p>
    <w:p w:rsidR="00797A79" w:rsidRPr="00522AC0" w:rsidRDefault="00217739" w:rsidP="00797A79">
      <w:pPr>
        <w:pStyle w:val="NormalBold12b"/>
        <w:keepNext/>
      </w:pPr>
      <w:r w:rsidRPr="00522AC0">
        <w:rPr>
          <w:rStyle w:val="HideTWBExt"/>
          <w:b w:val="0"/>
          <w:noProof w:val="0"/>
        </w:rPr>
        <w:t>&lt;DocAmend&gt;</w:t>
      </w:r>
      <w:r w:rsidRPr="00522AC0">
        <w:t>Wniosek dotyczący rozporządzenia</w:t>
      </w:r>
      <w:r w:rsidRPr="00522AC0">
        <w:rPr>
          <w:rStyle w:val="HideTWBExt"/>
          <w:b w:val="0"/>
          <w:noProof w:val="0"/>
        </w:rPr>
        <w:t>&lt;/DocAmend&gt;</w:t>
      </w:r>
    </w:p>
    <w:p w:rsidR="00797A79" w:rsidRPr="00522AC0" w:rsidRDefault="00217739" w:rsidP="00797A79">
      <w:pPr>
        <w:pStyle w:val="NormalBold"/>
      </w:pPr>
      <w:r w:rsidRPr="00522AC0">
        <w:rPr>
          <w:rStyle w:val="HideTWBExt"/>
          <w:b w:val="0"/>
          <w:noProof w:val="0"/>
        </w:rPr>
        <w:t>&lt;Article&gt;</w:t>
      </w:r>
      <w:r w:rsidRPr="00522AC0">
        <w:t>Motyw 6 a (nowy)</w:t>
      </w:r>
      <w:r w:rsidRPr="00522AC0">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850A4A" w:rsidRPr="00522AC0" w:rsidTr="002E3887">
        <w:trPr>
          <w:jc w:val="center"/>
        </w:trPr>
        <w:tc>
          <w:tcPr>
            <w:tcW w:w="9752" w:type="dxa"/>
            <w:gridSpan w:val="2"/>
          </w:tcPr>
          <w:p w:rsidR="00797A79" w:rsidRPr="00522AC0" w:rsidRDefault="00797A79" w:rsidP="002E3887">
            <w:pPr>
              <w:keepNext/>
            </w:pPr>
          </w:p>
        </w:tc>
      </w:tr>
      <w:tr w:rsidR="00850A4A" w:rsidRPr="00522AC0" w:rsidTr="002E3887">
        <w:trPr>
          <w:jc w:val="center"/>
        </w:trPr>
        <w:tc>
          <w:tcPr>
            <w:tcW w:w="4876" w:type="dxa"/>
          </w:tcPr>
          <w:p w:rsidR="00797A79" w:rsidRPr="00522AC0" w:rsidRDefault="00217739" w:rsidP="002E3887">
            <w:pPr>
              <w:pStyle w:val="ColumnHeading"/>
              <w:keepNext/>
            </w:pPr>
            <w:r w:rsidRPr="00522AC0">
              <w:t>Tekst proponowany przez Komisję</w:t>
            </w:r>
          </w:p>
        </w:tc>
        <w:tc>
          <w:tcPr>
            <w:tcW w:w="4876" w:type="dxa"/>
          </w:tcPr>
          <w:p w:rsidR="00797A79" w:rsidRPr="00522AC0" w:rsidRDefault="00217739" w:rsidP="002E3887">
            <w:pPr>
              <w:pStyle w:val="ColumnHeading"/>
              <w:keepNext/>
            </w:pPr>
            <w:r w:rsidRPr="00522AC0">
              <w:t>Poprawka</w:t>
            </w:r>
          </w:p>
        </w:tc>
      </w:tr>
      <w:tr w:rsidR="00850A4A" w:rsidRPr="00522AC0" w:rsidTr="002E3887">
        <w:trPr>
          <w:jc w:val="center"/>
        </w:trPr>
        <w:tc>
          <w:tcPr>
            <w:tcW w:w="4876" w:type="dxa"/>
          </w:tcPr>
          <w:p w:rsidR="00797A79" w:rsidRPr="00522AC0" w:rsidRDefault="00797A79" w:rsidP="002E3887">
            <w:pPr>
              <w:pStyle w:val="Normal6"/>
            </w:pPr>
          </w:p>
        </w:tc>
        <w:tc>
          <w:tcPr>
            <w:tcW w:w="4876" w:type="dxa"/>
          </w:tcPr>
          <w:p w:rsidR="00797A79" w:rsidRPr="00522AC0" w:rsidRDefault="00217739" w:rsidP="00885C34">
            <w:pPr>
              <w:pStyle w:val="Normal6"/>
              <w:rPr>
                <w:szCs w:val="24"/>
              </w:rPr>
            </w:pPr>
            <w:r w:rsidRPr="00522AC0">
              <w:rPr>
                <w:b/>
                <w:i/>
              </w:rPr>
              <w:t>(6a)</w:t>
            </w:r>
            <w:r w:rsidRPr="00522AC0">
              <w:rPr>
                <w:b/>
                <w:i/>
              </w:rPr>
              <w:tab/>
              <w:t xml:space="preserve">Na wzór obecnego procesu obejmującego Kuwejt i Katar </w:t>
            </w:r>
            <w:r w:rsidRPr="00522AC0">
              <w:rPr>
                <w:b/>
                <w:i/>
              </w:rPr>
              <w:t>umowami nowej generacji na mocy rozporządzenia (UE) 2018/1806 Komisja powinna niezwłocznie ocenić sytuację innych państw trzecich potencjalnie kwalifikujących się do zwolnienia z obowiązku wizowego, w szczególności Omanu i Ekwadoru, z uwzględnieniem odpowi</w:t>
            </w:r>
            <w:r w:rsidRPr="00522AC0">
              <w:rPr>
                <w:b/>
                <w:i/>
              </w:rPr>
              <w:t>edniej spójności regionalnej.</w:t>
            </w:r>
          </w:p>
        </w:tc>
      </w:tr>
    </w:tbl>
    <w:p w:rsidR="00797A79" w:rsidRPr="00522AC0" w:rsidRDefault="00217739" w:rsidP="00797A79">
      <w:pPr>
        <w:pStyle w:val="Olang"/>
        <w:rPr>
          <w:sz w:val="24"/>
          <w:szCs w:val="24"/>
        </w:rPr>
      </w:pPr>
      <w:r w:rsidRPr="00522AC0">
        <w:rPr>
          <w:sz w:val="24"/>
          <w:szCs w:val="24"/>
        </w:rPr>
        <w:t xml:space="preserve">Or. </w:t>
      </w:r>
      <w:r w:rsidRPr="00522AC0">
        <w:rPr>
          <w:rStyle w:val="HideTWBExt"/>
          <w:noProof w:val="0"/>
        </w:rPr>
        <w:t>&lt;Original&gt;</w:t>
      </w:r>
      <w:r w:rsidRPr="00522AC0">
        <w:rPr>
          <w:rStyle w:val="HideTWBInt"/>
          <w:sz w:val="24"/>
          <w:szCs w:val="24"/>
        </w:rPr>
        <w:t>{EN}</w:t>
      </w:r>
      <w:r w:rsidRPr="00522AC0">
        <w:rPr>
          <w:sz w:val="24"/>
          <w:szCs w:val="24"/>
        </w:rPr>
        <w:t>en</w:t>
      </w:r>
      <w:r w:rsidRPr="00522AC0">
        <w:rPr>
          <w:rStyle w:val="HideTWBExt"/>
          <w:noProof w:val="0"/>
        </w:rPr>
        <w:t>&lt;/Original&gt;</w:t>
      </w:r>
    </w:p>
    <w:p w:rsidR="00797A79" w:rsidRPr="00522AC0" w:rsidRDefault="00217739" w:rsidP="00797A79">
      <w:r w:rsidRPr="00522AC0">
        <w:rPr>
          <w:rStyle w:val="HideTWBExt"/>
          <w:noProof w:val="0"/>
        </w:rPr>
        <w:t>&lt;/Amend&gt;&lt;/RepeatBlock-Amend&gt;</w:t>
      </w:r>
    </w:p>
    <w:p w:rsidR="00CA3F76" w:rsidRPr="00522AC0" w:rsidRDefault="00CA3F76" w:rsidP="002669B6">
      <w:pPr>
        <w:sectPr w:rsidR="00CA3F76" w:rsidRPr="00522AC0" w:rsidSect="00522AC0">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pPr>
    </w:p>
    <w:p w:rsidR="002669B6" w:rsidRPr="00522AC0" w:rsidRDefault="00217739" w:rsidP="00CA3F76">
      <w:pPr>
        <w:pStyle w:val="PageHeading"/>
      </w:pPr>
      <w:bookmarkStart w:id="3" w:name="_Toc115448478"/>
      <w:r w:rsidRPr="00522AC0">
        <w:t>UZASADNIENIE</w:t>
      </w:r>
      <w:bookmarkEnd w:id="3"/>
    </w:p>
    <w:p w:rsidR="009F13DC" w:rsidRPr="00522AC0" w:rsidRDefault="00217739" w:rsidP="00531D7A">
      <w:pPr>
        <w:spacing w:before="100" w:beforeAutospacing="1" w:after="240"/>
        <w:jc w:val="both"/>
        <w:rPr>
          <w:rFonts w:eastAsia="Calibri"/>
        </w:rPr>
      </w:pPr>
      <w:r w:rsidRPr="00522AC0">
        <w:t xml:space="preserve">Celem wniosku Komisji Europejskiej jest zmiana rozporządzenia (UE) 2018/1806, aby zwolnić obywateli Kuwejtu i Kataru </w:t>
      </w:r>
      <w:r w:rsidRPr="00522AC0">
        <w:t xml:space="preserve">z obowiązku posiadania wizy podczas przekraczania granic zewnętrznych państw członkowskich, gdy ich całkowity pobyt nie przekracza 90 dni w ciągu każdego 180-dniowego okresu. Podstawę prawną wniosku stanowi art. 77 ust. 2 lit. a) Traktatu o funkcjonowaniu </w:t>
      </w:r>
      <w:r w:rsidRPr="00522AC0">
        <w:t>Unii Europejskiej (TFUE). Proponowane rozporządzenie będzie stanowiło rozwinięcie dorobku Schengen.</w:t>
      </w:r>
    </w:p>
    <w:p w:rsidR="009F13DC" w:rsidRPr="00522AC0" w:rsidRDefault="00217739" w:rsidP="00531D7A">
      <w:pPr>
        <w:spacing w:before="100" w:beforeAutospacing="1" w:after="240"/>
        <w:jc w:val="both"/>
        <w:rPr>
          <w:rFonts w:eastAsia="Calibri"/>
        </w:rPr>
      </w:pPr>
      <w:r w:rsidRPr="00522AC0">
        <w:t>Państwa trzecie, których obywatele są zwolnieni z obowiązku wizowego, określa się na podstawie indywidualnej oceny szeregu kryteriów określonych w art. 1 ro</w:t>
      </w:r>
      <w:r w:rsidRPr="00522AC0">
        <w:t>zporządzenia (UE) 2018/1806. Kryteria te odnoszą się między innymi do „nielegalnej imigracji, porządku oraz bezpieczeństwa publicznego, korzyści gospodarczych, w szczególności w zakresie turystyki i handlu zagranicznego, oraz do stosunków Unii z danymi pań</w:t>
      </w:r>
      <w:r w:rsidRPr="00522AC0">
        <w:t>stwami trzecimi, w tym w szczególności w zakresie poszanowania praw człowieka i podstawowych wolności, a także do skutków spójności regionalnej i wzajemności”.</w:t>
      </w:r>
    </w:p>
    <w:p w:rsidR="009F13DC" w:rsidRPr="00522AC0" w:rsidRDefault="00217739" w:rsidP="00531D7A">
      <w:pPr>
        <w:spacing w:before="100" w:beforeAutospacing="1" w:after="240"/>
        <w:jc w:val="both"/>
        <w:rPr>
          <w:rFonts w:eastAsia="Calibri"/>
        </w:rPr>
      </w:pPr>
      <w:r w:rsidRPr="00522AC0">
        <w:t>Aby zwolnienie z obowiązku wizowego stało się skuteczne, konieczne będzie zawarcie umowy w spraw</w:t>
      </w:r>
      <w:r w:rsidRPr="00522AC0">
        <w:t>ie zniesienia obowiązku wizowego między każdym z obu państw a UE. W umowach tych zawarte będą zabezpieczenia odnoszące się do kryteriów rozporządzenia (UE) 2018/1806 uzasadniających zwolnienie z obowiązku wizowego. Jeżeli zwolnienie z obowiązku wizowego we</w:t>
      </w:r>
      <w:r w:rsidRPr="00522AC0">
        <w:t>jdzie w życie, możliwe będzie zastosowanie mechanizmów wzajemności i zawieszenia przewidzianych w rozporządzeniu (UE) 2018/1806w przypadku, gdy nie zostanie zapewniona pełna wzajemność wizowa, gdy system bezwizowy będzie nadużywany lub gdy wystąpi nadużyci</w:t>
      </w:r>
      <w:r w:rsidRPr="00522AC0">
        <w:t>e wynikające ze zwolnienia z obowiązku wizowego.</w:t>
      </w:r>
    </w:p>
    <w:p w:rsidR="009F13DC" w:rsidRPr="00522AC0" w:rsidRDefault="00217739" w:rsidP="00531D7A">
      <w:pPr>
        <w:spacing w:before="100" w:beforeAutospacing="1" w:after="240"/>
        <w:jc w:val="both"/>
        <w:rPr>
          <w:rFonts w:eastAsia="Calibri"/>
        </w:rPr>
      </w:pPr>
      <w:r w:rsidRPr="00522AC0">
        <w:t>Osoby podróżujące zwolnione z obowiązku wizowego będą nadal podlegały kontroli na granicach zewnętrznych UE – w tym w drodze weryfikacji Systemu Informacyjnego Schengen i krajowych baz danych państw członkow</w:t>
      </w:r>
      <w:r w:rsidRPr="00522AC0">
        <w:t>skich – pozwalającej stwierdzić, czy spełniają wymogi wjazdu. Ponadto osoby zwolnione z obowiązku wizowego odwiedzające strefę Schengen będą podlegać unijnemu systemowi wjazdu/wyjazdu (EES) oraz europejskiemu systemowi informacji o podróży oraz zezwoleń na</w:t>
      </w:r>
      <w:r w:rsidRPr="00522AC0">
        <w:t xml:space="preserve"> podróż (ETIAS), gdy tylko systemy te będą w pełni operacyjne.</w:t>
      </w:r>
    </w:p>
    <w:p w:rsidR="009F13DC" w:rsidRPr="00522AC0" w:rsidRDefault="00217739" w:rsidP="00531D7A">
      <w:pPr>
        <w:spacing w:before="100" w:beforeAutospacing="1" w:after="240"/>
        <w:jc w:val="both"/>
        <w:rPr>
          <w:rFonts w:eastAsia="Calibri"/>
        </w:rPr>
      </w:pPr>
      <w:r w:rsidRPr="00522AC0">
        <w:t>Zarówno Kuwejt, jak i Katar są ważnymi partnerami gospodarczymi Unii, w szczególności w dziedzinie energii i w świetle unijnego celu, jakim jest dywersyfikacja dostaw energii. W ostatnich latac</w:t>
      </w:r>
      <w:r w:rsidRPr="00522AC0">
        <w:t xml:space="preserve">h zacieśniła się również współpraca między UE a Kuwejtem i Katarem w kilku dziedzinach polityki, np. w dziedzinie bezpieczeństwa zarówno na szczeblu dwustronnym, jak i za pośrednictwem Rady Współpracy Państw Zatoki. Ponadto Kuwejt i Katar wydają paszporty </w:t>
      </w:r>
      <w:r w:rsidRPr="00522AC0">
        <w:t>biometryczne.</w:t>
      </w:r>
    </w:p>
    <w:p w:rsidR="00CA3F76" w:rsidRPr="00522AC0" w:rsidRDefault="00217739" w:rsidP="00531D7A">
      <w:pPr>
        <w:spacing w:before="100" w:beforeAutospacing="1" w:after="240"/>
        <w:jc w:val="both"/>
        <w:rPr>
          <w:rFonts w:eastAsia="Calibri"/>
        </w:rPr>
      </w:pPr>
      <w:r w:rsidRPr="00522AC0">
        <w:t>Nadal występują jednak poważne problemy i braki w dziedzinie praw człowieka i podstawowych wolności. Niezależnie od niedawnych reform ustawodawczych i inicjatyw politycznych nadal występuje wiele wyzwań w licznych obszarach, a także w egzekwo</w:t>
      </w:r>
      <w:r w:rsidRPr="00522AC0">
        <w:t>waniu nowo przyjętych przepisów, jak wskazano m.in. ocenie przeprowadzonej przez Komisję, w dorocznym sprawozdaniu ESDZ na temat praw człowieka za 2021 r. oraz w rocznych sprawozdaniach Amnesty International i Human Rights Watch. W tym kontekście szczególn</w:t>
      </w:r>
      <w:r w:rsidRPr="00522AC0">
        <w:t>ą uwagę poświęcono warunkom pracy pracowników migrujących w związku ze zbliżającymi się Mistrzostwami Świata w Piłce Nożnej organizowanymi przez FIFA. Inne problematyczne obszary dotyczą praw kobiet, praw osób LGBTQ+, wolności religii, zakazu tortur, wolno</w:t>
      </w:r>
      <w:r w:rsidRPr="00522AC0">
        <w:t>ści słowa, prawa do zgromadzeń oraz zakazu wykonywania kary śmierci.</w:t>
      </w:r>
    </w:p>
    <w:p w:rsidR="009F13DC" w:rsidRPr="00522AC0" w:rsidRDefault="00217739" w:rsidP="00531D7A">
      <w:pPr>
        <w:spacing w:after="240"/>
        <w:jc w:val="both"/>
      </w:pPr>
      <w:r w:rsidRPr="00522AC0">
        <w:t>Status bezwizowy może odegrać decydującą rolę w promowaniu partnerstwa między obydwoma regionami i przyczynić się do wzmocnienia dialogu politycznego oraz wymiany gospodarczej, badawczej,</w:t>
      </w:r>
      <w:r w:rsidRPr="00522AC0">
        <w:t xml:space="preserve"> edukacyjnej, kulturalnej i społecznej. Prowadzenie oficjalnych dialogów dotyczących praw człowieka ma stanowić integralną część zobowiązań wynikających z umów dwustronnych, które mają zostać zawarte między Unią a Katarem i Kuwejtem. Należy także przewidzi</w:t>
      </w:r>
      <w:r w:rsidRPr="00522AC0">
        <w:t>eć ciągłą ocenę takich dialogów. Biorąc pod uwagę, że te umowy dwustronne będą pierwszymi umowami przyjętymi w ramach nowego systemu przewidzianego w rozporządzeniu (UE) 2018/1806, sprawozdawca uważa, że wprowadzenie takich klauzul będzie pozytywnym wzorem</w:t>
      </w:r>
      <w:r w:rsidRPr="00522AC0">
        <w:t xml:space="preserve"> do naśladowania i wywrze korzystny wpływ na przyszłe umowy tego rodzaju.</w:t>
      </w:r>
    </w:p>
    <w:p w:rsidR="009F13DC" w:rsidRPr="00522AC0" w:rsidRDefault="00217739" w:rsidP="00531D7A">
      <w:pPr>
        <w:spacing w:after="240"/>
        <w:jc w:val="both"/>
      </w:pPr>
      <w:r w:rsidRPr="00522AC0">
        <w:t>Wprowadzenie ruchu bezwizowego ma istotne znaczenie dla obywateli Kataru i Kuwejtu, a także dla obywateli UE, przyczyni się do pogłębienia kontaktów międzyludzkich i wymiany międzylu</w:t>
      </w:r>
      <w:r w:rsidRPr="00522AC0">
        <w:t>dzkiej oraz do zacieśnienia stosunków społecznych i kulturalnych. W związku z tym zasadnicze będzie zapewnienie wszystkim obywatelom obu stron umowy równego i wolnego od dyskryminacji dostępu do korzyści związanych z ruchem bezwizowym.</w:t>
      </w:r>
    </w:p>
    <w:p w:rsidR="009F13DC" w:rsidRPr="00522AC0" w:rsidRDefault="00217739" w:rsidP="00531D7A">
      <w:pPr>
        <w:spacing w:after="240"/>
        <w:jc w:val="both"/>
      </w:pPr>
      <w:r w:rsidRPr="00522AC0">
        <w:t xml:space="preserve">Sprawozdawca uważa, </w:t>
      </w:r>
      <w:r w:rsidRPr="00522AC0">
        <w:t>że aby ocenić rzeczywiste korzyści i osiągnięcia wynikające z ruchu bezwizowego oraz ewentualną potrzebę wprowadzenia usprawnień, należy prowadzić okresową ocenę takiego systemu poprzez włączenie do wszystkich przyszłych umów dwustronnych w sprawie zniesie</w:t>
      </w:r>
      <w:r w:rsidRPr="00522AC0">
        <w:t>nia wiz wyraźnego przepisu dotyczącego oceny i sprawozdawczości prowadzonej przez Komisję.</w:t>
      </w:r>
    </w:p>
    <w:p w:rsidR="009F13DC" w:rsidRPr="00522AC0" w:rsidRDefault="00217739" w:rsidP="00531D7A">
      <w:pPr>
        <w:spacing w:after="240"/>
        <w:jc w:val="both"/>
      </w:pPr>
      <w:r w:rsidRPr="00522AC0">
        <w:t>Z uwagi na korzyści, jakie system bezwizowy mógłby przynieść zainteresowanym stronom, UE powinna zintensyfikować wysiłki na rzecz współpracy z innymi państwami trzec</w:t>
      </w:r>
      <w:r w:rsidRPr="00522AC0">
        <w:t>imi, które są zainteresowane ruchem bezwizowym do UE. Proponowane zwolnienia z obowiązku wizowego dla obywateli Kataru i Kuwejtu powinny dać Komisji impuls do rozpoczęcia konkretnego dialogu z innymi państwami w oparciu o kryteria i procedurę ustanowione w</w:t>
      </w:r>
      <w:r w:rsidRPr="00522AC0">
        <w:t xml:space="preserve"> rozporządzeniu (UE) 2018/1806 oraz do przeprowadzenia w odpowiednim czasie oceny innych potencjalnie kwalifikujących się i zainteresowanych państw.</w:t>
      </w:r>
    </w:p>
    <w:p w:rsidR="00CA3F76" w:rsidRPr="00522AC0" w:rsidRDefault="00217739" w:rsidP="00531D7A">
      <w:pPr>
        <w:spacing w:after="240"/>
        <w:jc w:val="both"/>
      </w:pPr>
      <w:r w:rsidRPr="00522AC0">
        <w:t>Ponadto sprawozdawca uważa, że przyjmując przedmiotowy wniosek Komisji Europejskiej, Parlament Europejski p</w:t>
      </w:r>
      <w:r w:rsidRPr="00522AC0">
        <w:t>otwierdzi swoje zaangażowanie na rzecz wzmocnienia stosunków międzyludzkich i wymiany społecznej z Kuwejtem i Katarem. W związku z powyższym, a także uwzględniając znaczenie liberalizacji reżimu wizowego dla obywateli wszystkich zainteresowanych stron, spr</w:t>
      </w:r>
      <w:r w:rsidRPr="00522AC0">
        <w:t>awozdawca zaleca członkom Komisji Wolności Obywatelskich, Sprawiedliwości i Spraw Wewnętrznych poparcie tego sprawozdania.</w:t>
      </w:r>
    </w:p>
    <w:p w:rsidR="00CA3F76" w:rsidRPr="00522AC0" w:rsidRDefault="00CA3F76" w:rsidP="002669B6"/>
    <w:sectPr w:rsidR="00CA3F76" w:rsidRPr="00522AC0" w:rsidSect="00CA3F76">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Pr="00522AC0" w:rsidRDefault="00217739">
      <w:r w:rsidRPr="00522AC0">
        <w:separator/>
      </w:r>
    </w:p>
  </w:endnote>
  <w:endnote w:type="continuationSeparator" w:id="0">
    <w:p w:rsidR="00000000" w:rsidRPr="00522AC0" w:rsidRDefault="00217739">
      <w:r w:rsidRPr="00522AC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2AC0" w:rsidRPr="00522AC0" w:rsidRDefault="00522AC0" w:rsidP="00522AC0">
    <w:pPr>
      <w:pStyle w:val="EPFooter"/>
    </w:pPr>
    <w:r w:rsidRPr="00522AC0">
      <w:t>PE</w:t>
    </w:r>
    <w:r w:rsidRPr="00522AC0">
      <w:rPr>
        <w:rStyle w:val="HideTWBExt"/>
        <w:noProof w:val="0"/>
      </w:rPr>
      <w:t>&lt;NoPE&gt;</w:t>
    </w:r>
    <w:r w:rsidRPr="00522AC0">
      <w:t>736.470</w:t>
    </w:r>
    <w:r w:rsidRPr="00522AC0">
      <w:rPr>
        <w:rStyle w:val="HideTWBExt"/>
        <w:noProof w:val="0"/>
      </w:rPr>
      <w:t>&lt;/NoPE&gt;&lt;Version&gt;</w:t>
    </w:r>
    <w:r w:rsidRPr="00522AC0">
      <w:t>v01-00</w:t>
    </w:r>
    <w:r w:rsidRPr="00522AC0">
      <w:rPr>
        <w:rStyle w:val="HideTWBExt"/>
        <w:noProof w:val="0"/>
      </w:rPr>
      <w:t>&lt;/Version&gt;</w:t>
    </w:r>
    <w:r w:rsidRPr="00522AC0">
      <w:tab/>
    </w:r>
    <w:r w:rsidRPr="00522AC0">
      <w:fldChar w:fldCharType="begin"/>
    </w:r>
    <w:r w:rsidRPr="00522AC0">
      <w:instrText xml:space="preserve"> PAGE  \* MERGEFORMAT </w:instrText>
    </w:r>
    <w:r w:rsidRPr="00522AC0">
      <w:fldChar w:fldCharType="separate"/>
    </w:r>
    <w:r w:rsidR="00217739">
      <w:rPr>
        <w:noProof/>
      </w:rPr>
      <w:t>8</w:t>
    </w:r>
    <w:r w:rsidRPr="00522AC0">
      <w:fldChar w:fldCharType="end"/>
    </w:r>
    <w:r w:rsidRPr="00522AC0">
      <w:t>/</w:t>
    </w:r>
    <w:fldSimple w:instr=" NUMPAGES  \* MERGEFORMAT ">
      <w:r w:rsidR="00217739">
        <w:rPr>
          <w:noProof/>
        </w:rPr>
        <w:t>11</w:t>
      </w:r>
    </w:fldSimple>
    <w:r w:rsidRPr="00522AC0">
      <w:tab/>
    </w:r>
    <w:r w:rsidRPr="00522AC0">
      <w:rPr>
        <w:rStyle w:val="HideTWBExt"/>
        <w:noProof w:val="0"/>
      </w:rPr>
      <w:t>&lt;PathFdR&gt;</w:t>
    </w:r>
    <w:r w:rsidRPr="00522AC0">
      <w:t>PR\1263011PL.docx</w:t>
    </w:r>
    <w:r w:rsidRPr="00522AC0">
      <w:rPr>
        <w:rStyle w:val="HideTWBExt"/>
        <w:noProof w:val="0"/>
      </w:rPr>
      <w:t>&lt;/PathFdR&gt;</w:t>
    </w:r>
  </w:p>
  <w:p w:rsidR="00FB52FE" w:rsidRPr="00522AC0" w:rsidRDefault="00522AC0" w:rsidP="00522AC0">
    <w:pPr>
      <w:pStyle w:val="EPFooter2"/>
    </w:pPr>
    <w:r w:rsidRPr="00522AC0">
      <w:t>PL</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2AC0" w:rsidRPr="00522AC0" w:rsidRDefault="00522AC0" w:rsidP="00522AC0">
    <w:pPr>
      <w:pStyle w:val="EPFooter"/>
    </w:pPr>
    <w:r w:rsidRPr="00522AC0">
      <w:rPr>
        <w:rStyle w:val="HideTWBExt"/>
        <w:noProof w:val="0"/>
      </w:rPr>
      <w:t>&lt;PathFdR&gt;</w:t>
    </w:r>
    <w:r w:rsidRPr="00522AC0">
      <w:t>PR\1263011PL.docx</w:t>
    </w:r>
    <w:r w:rsidRPr="00522AC0">
      <w:rPr>
        <w:rStyle w:val="HideTWBExt"/>
        <w:noProof w:val="0"/>
      </w:rPr>
      <w:t>&lt;/PathFdR&gt;</w:t>
    </w:r>
    <w:r w:rsidRPr="00522AC0">
      <w:tab/>
    </w:r>
    <w:r w:rsidRPr="00522AC0">
      <w:fldChar w:fldCharType="begin"/>
    </w:r>
    <w:r w:rsidRPr="00522AC0">
      <w:instrText xml:space="preserve"> PAGE  \* MERGEFORMAT </w:instrText>
    </w:r>
    <w:r w:rsidRPr="00522AC0">
      <w:fldChar w:fldCharType="separate"/>
    </w:r>
    <w:r w:rsidR="00217739">
      <w:rPr>
        <w:noProof/>
      </w:rPr>
      <w:t>7</w:t>
    </w:r>
    <w:r w:rsidRPr="00522AC0">
      <w:fldChar w:fldCharType="end"/>
    </w:r>
    <w:r w:rsidRPr="00522AC0">
      <w:t>/</w:t>
    </w:r>
    <w:fldSimple w:instr=" NUMPAGES  \* MERGEFORMAT ">
      <w:r w:rsidR="00217739">
        <w:rPr>
          <w:noProof/>
        </w:rPr>
        <w:t>11</w:t>
      </w:r>
    </w:fldSimple>
    <w:r w:rsidRPr="00522AC0">
      <w:tab/>
      <w:t>PE</w:t>
    </w:r>
    <w:r w:rsidRPr="00522AC0">
      <w:rPr>
        <w:rStyle w:val="HideTWBExt"/>
        <w:noProof w:val="0"/>
      </w:rPr>
      <w:t>&lt;NoPE&gt;</w:t>
    </w:r>
    <w:r w:rsidRPr="00522AC0">
      <w:t>736.470</w:t>
    </w:r>
    <w:r w:rsidRPr="00522AC0">
      <w:rPr>
        <w:rStyle w:val="HideTWBExt"/>
        <w:noProof w:val="0"/>
      </w:rPr>
      <w:t>&lt;/NoPE&gt;&lt;Version&gt;</w:t>
    </w:r>
    <w:r w:rsidRPr="00522AC0">
      <w:t>v01-00</w:t>
    </w:r>
    <w:r w:rsidRPr="00522AC0">
      <w:rPr>
        <w:rStyle w:val="HideTWBExt"/>
        <w:noProof w:val="0"/>
      </w:rPr>
      <w:t>&lt;/Version&gt;</w:t>
    </w:r>
  </w:p>
  <w:p w:rsidR="00FB52FE" w:rsidRPr="00522AC0" w:rsidRDefault="00522AC0" w:rsidP="00522AC0">
    <w:pPr>
      <w:pStyle w:val="EPFooter2"/>
    </w:pPr>
    <w:r w:rsidRPr="00522AC0">
      <w:tab/>
    </w:r>
    <w:r w:rsidRPr="00522AC0">
      <w:tab/>
      <w:t>PL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2AC0" w:rsidRPr="00522AC0" w:rsidRDefault="00522AC0" w:rsidP="00522AC0">
    <w:pPr>
      <w:pStyle w:val="EPFooter"/>
    </w:pPr>
    <w:r w:rsidRPr="00522AC0">
      <w:rPr>
        <w:rStyle w:val="HideTWBExt"/>
        <w:noProof w:val="0"/>
      </w:rPr>
      <w:t>&lt;PathFdR&gt;</w:t>
    </w:r>
    <w:r w:rsidRPr="00522AC0">
      <w:t>PR\1263011PL.docx</w:t>
    </w:r>
    <w:r w:rsidRPr="00522AC0">
      <w:rPr>
        <w:rStyle w:val="HideTWBExt"/>
        <w:noProof w:val="0"/>
      </w:rPr>
      <w:t>&lt;/PathFdR&gt;</w:t>
    </w:r>
    <w:r w:rsidRPr="00522AC0">
      <w:tab/>
    </w:r>
    <w:r w:rsidRPr="00522AC0">
      <w:tab/>
      <w:t>PE</w:t>
    </w:r>
    <w:r w:rsidRPr="00522AC0">
      <w:rPr>
        <w:rStyle w:val="HideTWBExt"/>
        <w:noProof w:val="0"/>
      </w:rPr>
      <w:t>&lt;NoPE&gt;</w:t>
    </w:r>
    <w:r w:rsidRPr="00522AC0">
      <w:t>736.470</w:t>
    </w:r>
    <w:r w:rsidRPr="00522AC0">
      <w:rPr>
        <w:rStyle w:val="HideTWBExt"/>
        <w:noProof w:val="0"/>
      </w:rPr>
      <w:t>&lt;/NoPE&gt;&lt;Version&gt;</w:t>
    </w:r>
    <w:r w:rsidRPr="00522AC0">
      <w:t>v01-00</w:t>
    </w:r>
    <w:r w:rsidRPr="00522AC0">
      <w:rPr>
        <w:rStyle w:val="HideTWBExt"/>
        <w:noProof w:val="0"/>
      </w:rPr>
      <w:t>&lt;/Version&gt;</w:t>
    </w:r>
  </w:p>
  <w:p w:rsidR="00FB52FE" w:rsidRPr="00522AC0" w:rsidRDefault="00522AC0" w:rsidP="00522AC0">
    <w:pPr>
      <w:pStyle w:val="EPFooter2"/>
    </w:pPr>
    <w:r w:rsidRPr="00522AC0">
      <w:t>PL</w:t>
    </w:r>
    <w:r w:rsidRPr="00522AC0">
      <w:tab/>
    </w:r>
    <w:r w:rsidRPr="00522AC0">
      <w:rPr>
        <w:b w:val="0"/>
        <w:i/>
        <w:color w:val="C0C0C0"/>
        <w:sz w:val="22"/>
      </w:rPr>
      <w:t>Zjednoczona w różnorodności</w:t>
    </w:r>
    <w:r w:rsidRPr="00522AC0">
      <w:tab/>
      <w:t>PL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Pr="00522AC0" w:rsidRDefault="00217739">
      <w:r w:rsidRPr="00522AC0">
        <w:separator/>
      </w:r>
    </w:p>
  </w:footnote>
  <w:footnote w:type="continuationSeparator" w:id="0">
    <w:p w:rsidR="00000000" w:rsidRPr="00522AC0" w:rsidRDefault="00217739">
      <w:r w:rsidRPr="00522AC0">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7739" w:rsidRDefault="0021773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7739" w:rsidRDefault="0021773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7739" w:rsidRDefault="002177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ACTMNU" w:val=" 2"/>
    <w:docVar w:name="CJMNU" w:val="1"/>
    <w:docVar w:name="COMKEY" w:val="LIBE"/>
    <w:docVar w:name="CopyToNetwork" w:val="-1"/>
    <w:docVar w:name="CVar" w:val="1"/>
    <w:docVar w:name="DOCMNU" w:val=" 1"/>
    <w:docVar w:name="EPSTATMNU" w:val=" 5"/>
    <w:docVar w:name="iNoAmend" w:val="1"/>
    <w:docVar w:name="INSTITUTIONSMNU" w:val=" 2"/>
    <w:docVar w:name="JURI1MNU" w:val=" 2"/>
    <w:docVar w:name="JURI2MNU" w:val=" 2"/>
    <w:docVar w:name="LastEditedSection" w:val=" 1"/>
    <w:docVar w:name="OTHERSTATMNU" w:val=" 4"/>
    <w:docVar w:name="PARLIAMENTSMNU" w:val=" 2"/>
    <w:docVar w:name="RECONSULTMNU" w:val=" 1"/>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2\fbidi \froman\fcharset238\fprq2 Times New Roman CE;}{\f303\fbidi \froman\fcharset204\fprq2 Times New Roman Cyr;}_x000d__x000a_{\f305\fbidi \froman\fcharset161\fprq2 Times New Roman Greek;}{\f306\fbidi \froman\fcharset162\fprq2 Times New Roman Tur;}{\f307\fbidi \froman\fcharset177\fprq2 Times New Roman (Hebrew);}{\f308\fbidi \froman\fcharset178\fprq2 Times New Roman (Arabic);}_x000d__x000a_{\f309\fbidi \froman\fcharset186\fprq2 Times New Roman Baltic;}{\f310\fbidi \froman\fcharset163\fprq2 Times New Roman (Vietnamese);}{\f312\fbidi \fswiss\fcharset238\fprq2 Arial CE;}{\f313\fbidi \fswiss\fcharset204\fprq2 Arial Cyr;}_x000d__x000a_{\f315\fbidi \fswiss\fcharset161\fprq2 Arial Greek;}{\f316\fbidi \fswiss\fcharset162\fprq2 Arial Tur;}{\f317\fbidi \fswiss\fcharset177\fprq2 Arial (Hebrew);}{\f318\fbidi \fswiss\fcharset178\fprq2 Arial (Arabic);}_x000d__x000a_{\f319\fbidi \fswiss\fcharset186\fprq2 Arial Baltic;}{\f320\fbidi \fswiss\fcharset163\fprq2 Arial (Vietnamese);}{\f642\fbidi \froman\fcharset238\fprq2 Cambria Math CE;}{\f643\fbidi \froman\fcharset204\fprq2 Cambria Math Cyr;}_x000d__x000a_{\f645\fbidi \froman\fcharset161\fprq2 Cambria Math Greek;}{\f646\fbidi \froman\fcharset162\fprq2 Cambria Math Tur;}{\f649\fbidi \froman\fcharset186\fprq2 Cambria Math Baltic;}{\f65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7747959 HideTWBExt;}{\*\cs18 \additive \v\f1\fs20\cf15 _x000d__x000a_\spriority0 \styrsid7747959 HideTWBInt;}{\s19\ql \li0\ri0\sa120\nowidctlpar\wrapdefault\aspalpha\aspnum\faauto\adjustright\rin0\lin0\itap0 \rtlch\fcs1 \af0\afs20\alang1025 \ltrch\fcs0 \fs24\lang2057\langfe2057\cgrid\langnp2057\langfenp2057 _x000d__x000a_\sbasedon0 \snext19 \spriority0 \styrsid7747959 Normal6a;}{\s20\ql \li0\ri0\nowidctlpar\wrapdefault\aspalpha\aspnum\faauto\adjustright\rin0\lin0\itap0 \rtlch\fcs1 \af0\afs20\alang1025 \ltrch\fcs0 \b\fs24\lang2057\langfe2057\cgrid\langnp2057\langfenp2057 _x000d__x000a_\sbasedon0 \snext20 \spriority0 \styrsid7747959 NormalBold;}{\s21\ql \li0\ri0\sa240\nowidctlpar\wrapdefault\aspalpha\aspnum\faauto\adjustright\rin0\lin0\itap0 \rtlch\fcs1 \af0\afs20\alang1025 \ltrch\fcs0 _x000d__x000a_\i\fs24\lang2057\langfe2057\cgrid\langnp2057\langfenp2057 \sbasedon0 \snext21 \spriority0 \styrsid7747959 AmJustText;}{\s22\qc \li0\ri0\sb240\sa240\nowidctlpar\wrapdefault\aspalpha\aspnum\faauto\adjustright\rin0\lin0\itap0 \rtlch\fcs1 _x000d__x000a_\af0\afs20\alang1025 \ltrch\fcs0 \i\fs24\lang2057\langfe2057\cgrid\langnp2057\langfenp2057 \sbasedon0 \snext22 \spriority0 \styrsid7747959 AmCrossRef;}{_x000d__x000a_\s23\qc \li0\ri0\sb240\sa240\keepn\nowidctlpar\wrapdefault\aspalpha\aspnum\faauto\adjustright\rin0\lin0\itap0 \rtlch\fcs1 \af0\afs20\alang1025 \ltrch\fcs0 \i\fs24\lang2057\langfe2057\cgrid\langnp2057\langfenp2057 _x000d__x000a_\sbasedon0 \snext21 \spriority0 \styrsid7747959 AmJustTitle;}{\s24\qr \li0\ri0\sb240\sa240\nowidctlpar\wrapdefault\aspalpha\aspnum\faauto\adjustright\rin0\lin0\itap0 \rtlch\fcs1 \af0\afs20\alang1025 \ltrch\fcs0 _x000d__x000a_\fs24\lang2057\langfe2057\cgrid\langnp2057\langfenp2057 \sbasedon0 \snext24 \spriority0 \styrsid7747959 AmOrLang;}{\s25\qc \li0\ri0\sa240\nowidctlpar\wrapdefault\aspalpha\aspnum\faauto\adjustright\rin0\lin0\itap0 \rtlch\fcs1 \af0\afs20\alang1025 _x000d__x000a_\ltrch\fcs0 \i\fs24\lang2057\langfe2057\cgrid\langnp2057\langfenp2057 \sbasedon0 \snext25 \spriority0 \styrsid7747959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7747959 AmNumberTabs;}{\s27\ql \li0\ri0\sb240\nowidctlpar\wrapdefault\aspalpha\aspnum\faauto\adjustright\rin0\lin0\itap0 \rtlch\fcs1 _x000d__x000a_\af0\afs20\alang1025 \ltrch\fcs0 \b\fs24\lang2057\langfe2057\cgrid\langnp2057\langfenp2057 \sbasedon0 \snext27 \spriority0 \styrsid7747959 NormalBold12b;}}{\*\rsidtbl \rsid24658\rsid223860\rsid735077\rsid1718133\rsid2754035\rsid2892074\rsid3565327_x000d__x000a_\rsid4666813\rsid6641733\rsid7747959\rsid7823322\rsid9636012\rsid10377208\rsid11215221\rsid11549030\rsid12154954\rsid14382809\rsid14424199\rsid15204470\rsid15285974\rsid15950462\rsid16324206\rsid16662270}{\mmathPr\mmathFont34\mbrkBin0\mbrkBinSub0_x000d__x000a_\msmallFrac0\mdispDef1\mlMargin0\mrMargin0\mdefJc1\mwrapIndent1440\mintLim0\mnaryLim1}{\info{\author TOADER Maria}{\operator TOADER Maria}{\creatim\yr2022\mo9\dy13\hr10\min5}{\revtim\yr2022\mo9\dy13\hr10\min5}{\version1}{\edmins0}{\nofpages1}_x000d__x000a_{\nofwords104}{\nofchars596}{\nofcharsws699}{\vern10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7747959\newtblstyruls\nogrowautofit\usenormstyforlist\noindnmbrts\felnbrelev\nocxsptable\indrlsweleven\noafcnsttbl\afelev\utinl\hwelev\spltpgpar\notcvasp\notbrkcnstfrctbl\notvatxbx\krnprsnet\cachedcolbal _x000d__x000a_\nouicompat \fet0{\*\wgrffmtfilter 013f}\nofeaturethrottle1\ilfomacatclnup0{\*\template C:\\Users\\mtoader\\AppData\\Local\\Temp\\Blank1.dotx}{\*\ftnsep \ltrpar \pard\plain \ltrpar_x000d__x000a_\ql \li0\ri0\widctlpar\wrapdefault\aspalpha\aspnum\faauto\adjustright\rin0\lin0\itap0 \rtlch\fcs1 \af0\afs20\alang1025 \ltrch\fcs0 \fs24\lang2057\langfe2057\cgrid\langnp2057\langfenp2057 {\rtlch\fcs1 \af0 \ltrch\fcs0 \insrsid2754035 \chftnsep _x000d__x000a_\par }}{\*\ftnsepc \ltrpar \pard\plain \ltrpar\ql \li0\ri0\widctlpar\wrapdefault\aspalpha\aspnum\faauto\adjustright\rin0\lin0\itap0 \rtlch\fcs1 \af0\afs20\alang1025 \ltrch\fcs0 \fs24\lang2057\langfe2057\cgrid\langnp2057\langfenp2057 {\rtlch\fcs1 \af0 _x000d__x000a_\ltrch\fcs0 \insrsid2754035 \chftnsepc _x000d__x000a_\par }}{\*\aftnsep \ltrpar \pard\plain \ltrpar\ql \li0\ri0\widctlpar\wrapdefault\aspalpha\aspnum\faauto\adjustright\rin0\lin0\itap0 \rtlch\fcs1 \af0\afs20\alang1025 \ltrch\fcs0 \fs24\lang2057\langfe2057\cgrid\langnp2057\langfenp2057 {\rtlch\fcs1 \af0 _x000d__x000a_\ltrch\fcs0 \insrsid2754035 \chftnsep _x000d__x000a_\par }}{\*\aftnsepc \ltrpar \pard\plain \ltrpar\ql \li0\ri0\widctlpar\wrapdefault\aspalpha\aspnum\faauto\adjustright\rin0\lin0\itap0 \rtlch\fcs1 \af0\afs20\alang1025 \ltrch\fcs0 \fs24\lang2057\langfe2057\cgrid\langnp2057\langfenp2057 {\rtlch\fcs1 \af0 _x000d__x000a_\ltrch\fcs0 \insrsid275403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7747959 \rtlch\fcs1 _x000d__x000a_\af0\afs20\alang1025 \ltrch\fcs0 \b\fs24\lang2057\langfe2057\cgrid\langnp2057\langfenp2057 {\rtlch\fcs1 \af0 \ltrch\fcs0 \cs17\b0\v\fs20\cf9\loch\af1\hich\af1\dbch\af31501\insrsid7747959\charrsid13639606 {\*\bkmkstart restart}_x000d__x000a_\hich\af1\dbch\af31501\loch\f1 &lt;Amend&gt;}{\rtlch\fcs1 \af0 \ltrch\fcs0 \insrsid7747959\charrsid13639606 Amendment\tab \tab }{\rtlch\fcs1 \af0 \ltrch\fcs0 \cs17\b0\v\fs20\cf9\loch\af1\hich\af1\dbch\af31501\insrsid7747959\charrsid13639606 _x000d__x000a_\hich\af1\dbch\af31501\loch\f1 &lt;NumAm&gt;}{\rtlch\fcs1 \af0 \ltrch\fcs0 \insrsid7747959\charrsid13639606 #}{\rtlch\fcs1 \af1 \ltrch\fcs0 \cs18\v\f1\fs20\cf15\insrsid7747959\charrsid13639606 ENMIENDA@NRAM@}{\rtlch\fcs1 \af0 \ltrch\fcs0 _x000d__x000a_\insrsid7747959\charrsid13639606 #}{\rtlch\fcs1 \af0 \ltrch\fcs0 \cs17\b0\v\fs20\cf9\loch\af1\hich\af1\dbch\af31501\insrsid7747959\charrsid13639606 \hich\af1\dbch\af31501\loch\f1 &lt;/NumAm&gt;}{\rtlch\fcs1 \af0 \ltrch\fcs0 \insrsid7747959\charrsid13639606 _x000d__x000a__x000d__x000a_\par }\pard\plain \ltrpar\s27\ql \li0\ri0\sb240\keepn\nowidctlpar\wrapdefault\aspalpha\aspnum\faauto\adjustright\rin0\lin0\itap0\pararsid7747959 \rtlch\fcs1 \af0\afs20\alang1025 \ltrch\fcs0 \b\fs24\lang2057\langfe2057\cgrid\langnp2057\langfenp2057 {_x000d__x000a_\rtlch\fcs1 \af0 \ltrch\fcs0 \cs17\b0\v\fs20\cf9\loch\af1\hich\af1\dbch\af31501\insrsid7747959\charrsid13639606 \hich\af1\dbch\af31501\loch\f1 &lt;DocAmend&gt;}{\rtlch\fcs1 \af0 \ltrch\fcs0 \insrsid7747959\charrsid13639606 Proposal for a #}{\rtlch\fcs1 \af1 _x000d__x000a_\ltrch\fcs0 \cs18\v\f1\fs20\cf15\insrsid7747959\charrsid13639606 MNU[DOC1][DOC2][DOC3]@DOCMSG@DOCMNU}{\rtlch\fcs1 \af0 \ltrch\fcs0 \insrsid7747959\charrsid13639606 ##}{\rtlch\fcs1 \af1 \ltrch\fcs0 \cs18\v\f1\fs20\cf15\insrsid7747959\charrsid13639606 _x000d__x000a_MNU[AMACTYES][NOTAPP]@CHOICE@AMACTMNU}{\rtlch\fcs1 \af0 \ltrch\fcs0 \insrsid7747959\charrsid13639606 #}{\rtlch\fcs1 \af0 \ltrch\fcs0 \cs17\b0\v\fs20\cf9\loch\af1\hich\af1\dbch\af31501\insrsid7747959\charrsid13639606 \hich\af1\dbch\af31501\loch\f1 _x000d__x000a_&lt;/DocAmend&gt;}{\rtlch\fcs1 \af0 \ltrch\fcs0 \insrsid7747959\charrsid13639606 _x000d__x000a_\par }\pard\plain \ltrpar\s20\ql \li0\ri0\keepn\nowidctlpar\wrapdefault\aspalpha\aspnum\faauto\adjustright\rin0\lin0\itap0\pararsid7747959 \rtlch\fcs1 \af0\afs20\alang1025 \ltrch\fcs0 \b\fs24\lang2057\langfe2057\cgrid\langnp2057\langfenp2057 {\rtlch\fcs1 \af0 _x000d__x000a_\ltrch\fcs0 \cs17\b0\v\fs20\cf9\loch\af1\hich\af1\dbch\af31501\insrsid7747959\charrsid13639606 \hich\af1\dbch\af31501\loch\f1 &lt;Article&gt;}{\rtlch\fcs1 \af0 \ltrch\fcs0 \insrsid7747959\charrsid13639606 #}{\rtlch\fcs1 \af1 \ltrch\fcs0 _x000d__x000a_\cs18\v\f1\fs20\cf15\insrsid7747959\charrsid13639606 MNU[AMACTPARTYES][AMACTPARTNO]@CHOICE@AMACTMNU}{\rtlch\fcs1 \af0 \ltrch\fcs0 \insrsid7747959\charrsid13639606 #}{\rtlch\fcs1 \af0 \ltrch\fcs0 _x000d__x000a_\cs17\b0\v\fs20\cf9\loch\af1\hich\af1\dbch\af31501\insrsid7747959\charrsid13639606 \hich\af1\dbch\af31501\loch\f1 &lt;/Article&gt;}{\rtlch\fcs1 \af0 \ltrch\fcs0 \insrsid7747959\charrsid13639606 _x000d__x000a_\par }\pard\plain \ltrpar\ql \li0\ri0\keepn\widctlpar\wrapdefault\aspalpha\aspnum\faauto\adjustright\rin0\lin0\itap0\pararsid7747959 \rtlch\fcs1 \af0\afs20\alang1025 \ltrch\fcs0 \fs24\lang2057\langfe2057\cgrid\langnp2057\langfenp2057 {\rtlch\fcs1 \af0 _x000d__x000a_\ltrch\fcs0 \cs17\v\fs20\cf9\loch\af1\hich\af1\dbch\af31501\insrsid7747959\charrsid13639606 \hich\af1\dbch\af31501\loch\f1 &lt;DocAmend2&gt;&lt;OptDel&gt;}{\rtlch\fcs1 \af0 \ltrch\fcs0 \insrsid7747959\charrsid13639606 #}{\rtlch\fcs1 \af1 \ltrch\fcs0 _x000d__x000a_\cs18\v\f1\fs20\cf15\insrsid7747959\charrsid13639606 MNU[OPTNRACTYES][NOTAPP]@CHOICE@AMACTMNU}{\rtlch\fcs1 \af0 \ltrch\fcs0 \insrsid7747959\charrsid13639606 #}{\rtlch\fcs1 \af0 \ltrch\fcs0 _x000d__x000a_\cs17\v\fs20\cf9\loch\af1\hich\af1\dbch\af31501\insrsid7747959\charrsid13639606 \hich\af1\dbch\af31501\loch\f1 &lt;/OptDel&gt;&lt;/DocAmend2&gt;}{\rtlch\fcs1 \af0 \ltrch\fcs0 \insrsid7747959\charrsid13639606 _x000d__x000a_\par }\pard \ltrpar\ql \li0\ri0\widctlpar\wrapdefault\aspalpha\aspnum\faauto\adjustright\rin0\lin0\itap0\pararsid7747959 {\rtlch\fcs1 \af0 \ltrch\fcs0 \cs17\v\fs20\cf9\loch\af1\hich\af1\dbch\af31501\insrsid7747959\charrsid13639606 _x000d__x000a_\hich\af1\dbch\af31501\loch\f1 &lt;Article2&gt;&lt;OptDel&gt;}{\rtlch\fcs1 \af0 \ltrch\fcs0 \insrsid7747959\charrsid13639606 #}{\rtlch\fcs1 \af1 \ltrch\fcs0 \cs18\v\f1\fs20\cf15\insrsid7747959\charrsid13639606 MNU[OPTACTPARTYES][NOTAPP]@CHOICE@AMACTMNU}{\rtlch\fcs1 _x000d__x000a_\af0 \ltrch\fcs0 \insrsid7747959\charrsid13639606 #}{\rtlch\fcs1 \af0 \ltrch\fcs0 \cs17\v\fs20\cf9\loch\af1\hich\af1\dbch\af31501\insrsid7747959\charrsid13639606 \hich\af1\dbch\af31501\loch\f1 &lt;/OptDel&gt;&lt;/Article2&gt;}{\rtlch\fcs1 \af0 \ltrch\fcs0 _x000d__x000a_\insrsid7747959\charrsid13639606 _x000d__x000a_\par \ltrrow}\trowd \irow0\irowband0\ltrrow\ts11\trqc\trgaph340\trleft-340\trftsWidth3\trwWidth9752\trftsWidthB3\trpaddl340\trpaddr340\trpaddfl3\trpaddft3\trpaddfb3\trpaddfr3\tblrsid2517430\tblind0\tblindtype3 \clvertalt\clbrdrt\brdrtbl \clbrdrl\brdrtbl _x000d__x000a_\clbrdrb\brdrtbl \clbrdrr\brdrtbl \cltxlrtb\clftsWidth3\clwWidth9752\clshdrawnil \cellx9412\pard\plain \ltrpar\ql \li0\ri0\keepn\widctlpar\intbl\wrapdefault\aspalpha\aspnum\faauto\adjustright\rin0\lin0\pararsid14315216 \rtlch\fcs1 \af0\afs20\alang1025 _x000d__x000a_\ltrch\fcs0 \fs24\lang2057\langfe2057\cgrid\langnp2057\langfenp2057 {\rtlch\fcs1 \af0 \ltrch\fcs0 \insrsid7747959\charrsid13639606 \cell }\pard\plain \ltrpar\ql \li0\ri0\widctlpar\intbl\wrapdefault\aspalpha\aspnum\faauto\adjustright\rin0\lin0 \rtlch\fcs1 _x000d__x000a_\af0\afs20\alang1025 \ltrch\fcs0 \fs24\lang2057\langfe2057\cgrid\langnp2057\langfenp2057 {\rtlch\fcs1 \af0 \ltrch\fcs0 \insrsid7747959\charrsid13639606 \trowd \irow0\irowband0\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5\qc \li0\ri0\sa240\keepn\nowidctlpar\intbl\wrapdefault\aspalpha\aspnum\faauto\adjustright\rin0\lin0\pararsid14315216 \rtlch\fcs1 \af0\afs20\alang1025 \ltrch\fcs0 \i\fs24\lang2057\langfe2057\cgrid\langnp2057\langfenp2057 {\rtlch\fcs1 \af0 \ltrch\fcs0 _x000d__x000a_\insrsid7747959\charrsid13639606 #}{\rtlch\fcs1 \af1 \ltrch\fcs0 \cs18\v\f1\fs20\cf15\insrsid7747959\charrsid13639606 MNU[OPTLEFTAMACT][LEFTPROP]@CHOICE@AMACTMNU}{\rtlch\fcs1 \af0 \ltrch\fcs0 \insrsid7747959\charrsid13639606 #\cell Amendment\cell _x000d__x000a_}\pard\plain \ltrpar\ql \li0\ri0\widctlpar\intbl\wrapdefault\aspalpha\aspnum\faauto\adjustright\rin0\lin0 \rtlch\fcs1 \af0\afs20\alang1025 \ltrch\fcs0 \fs24\lang2057\langfe2057\cgrid\langnp2057\langfenp2057 {\rtlch\fcs1 \af0 \ltrch\fcs0 _x000d__x000a_\insrsid7747959\charrsid13639606 \trowd \irow1\irowband1\ltrrow\ts11\trqc\trgaph340\trleft-340\trftsWidth3\trwWidth9752\trftsWidthB3\trpaddl340\trpaddr340\trpaddfl3\trpaddft3\trpaddfb3\trpaddfr3\tblrsid2517430\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row \ltrrow}\pard\plain \ltrpar\s19\ql \li0\ri0\sa120\nowidctlpar\intbl\wrapdefault\aspalpha\aspnum\faauto\adjustright\rin0\lin0\pararsid2517430 \rtlch\fcs1 \af0\afs20\alang1025 \ltrch\fcs0 \fs24\lang2057\langfe2057\cgrid\langnp2057\langfenp2057 {_x000d__x000a_\rtlch\fcs1 \af0 \ltrch\fcs0 \insrsid7747959\charrsid13639606 ##\cell ##}{\rtlch\fcs1 \af0\afs24 \ltrch\fcs0 \insrsid7747959\charrsid13639606 \cell }\pard\plain \ltrpar\ql \li0\ri0\widctlpar\intbl\wrapdefault\aspalpha\aspnum\faauto\adjustright\rin0\lin0 _x000d__x000a_\rtlch\fcs1 \af0\afs20\alang1025 \ltrch\fcs0 \fs24\lang2057\langfe2057\cgrid\langnp2057\langfenp2057 {\rtlch\fcs1 \af0 \ltrch\fcs0 \insrsid7747959\charrsid13639606 \trowd \irow2\irowband2\lastrow \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4\qr \li0\ri0\sb240\sa240\nowidctlpar\wrapdefault\aspalpha\aspnum\faauto\adjustright\rin0\lin0\itap0\pararsid7747959 \rtlch\fcs1 \af0\afs20\alang1025 \ltrch\fcs0 \fs24\lang2057\langfe2057\cgrid\langnp2057\langfenp2057 {\rtlch\fcs1 \af0 \ltrch\fcs0 _x000d__x000a_\insrsid7747959\charrsid13639606 Or. }{\rtlch\fcs1 \af0 \ltrch\fcs0 \cs17\v\fs20\cf9\loch\af1\hich\af1\dbch\af31501\insrsid7747959\charrsid13639606 \hich\af1\dbch\af31501\loch\f1 &lt;Original&gt;}{\rtlch\fcs1 \af0 \ltrch\fcs0 \insrsid7747959\charrsid13639606 #}_x000d__x000a_{\rtlch\fcs1 \af1 \ltrch\fcs0 \cs18\v\f1\fs20\cf15\insrsid7747959\charrsid13639606 MNU[ORLANGONE][ORLANGMORE]@CHOICE@ORLANGMNU}{\rtlch\fcs1 \af0 \ltrch\fcs0 \insrsid7747959\charrsid13639606 #}{\rtlch\fcs1 \af0 \ltrch\fcs0 _x000d__x000a_\cs17\v\fs20\cf9\loch\af1\hich\af1\dbch\af31501\insrsid7747959\charrsid13639606 \hich\af1\dbch\af31501\loch\f1 &lt;/Original&gt;}{\rtlch\fcs1 \af0 \ltrch\fcs0 \insrsid7747959\charrsid13639606 _x000d__x000a_\par }\pard\plain \ltrpar\s22\qc \li0\ri0\sb240\sa240\nowidctlpar\wrapdefault\aspalpha\aspnum\faauto\adjustright\rin0\lin0\itap0\pararsid7747959 \rtlch\fcs1 \af0\afs20\alang1025 \ltrch\fcs0 \i\fs24\lang2057\langfe2057\cgrid\langnp2057\langfenp2057 {_x000d__x000a_\rtlch\fcs1 \af0 \ltrch\fcs0 \cs17\i0\v\fs20\cf9\loch\af1\hich\af1\dbch\af31501\insrsid7747959\charrsid13639606 \hich\af1\dbch\af31501\loch\f1 &lt;OptDel&gt;}{\rtlch\fcs1 \af0 \ltrch\fcs0 \insrsid7747959\charrsid13639606 #}{\rtlch\fcs1 \af1 \ltrch\fcs0 _x000d__x000a_\cs18\v\f1\fs20\cf15\insrsid7747959\charrsid13639606 MNU[CROSSREFNO][CROSSREFYES]@CHOICE@}{\rtlch\fcs1 \af0 \ltrch\fcs0 \insrsid7747959\charrsid13639606 #}{\rtlch\fcs1 \af0 \ltrch\fcs0 _x000d__x000a_\cs17\i0\v\fs20\cf9\loch\af1\hich\af1\dbch\af31501\insrsid7747959\charrsid13639606 \hich\af1\dbch\af31501\loch\f1 &lt;/OptDel&gt;}{\rtlch\fcs1 \af0 \ltrch\fcs0 \insrsid7747959\charrsid13639606 _x000d__x000a_\par }\pard\plain \ltrpar\s23\qc \li0\ri0\sb240\sa240\keepn\nowidctlpar\wrapdefault\aspalpha\aspnum\faauto\adjustright\rin0\lin0\itap0\pararsid7747959 \rtlch\fcs1 \af0\afs20\alang1025 \ltrch\fcs0 \i\fs24\lang2057\langfe2057\cgrid\langnp2057\langfenp2057 {_x000d__x000a_\rtlch\fcs1 \af0 \ltrch\fcs0 \cs17\i0\v\fs20\cf9\loch\af1\hich\af1\dbch\af31501\insrsid7747959\charrsid13639606 \hich\af1\dbch\af31501\loch\f1 &lt;TitreJust&gt;}{\rtlch\fcs1 \af0 \ltrch\fcs0 \insrsid7747959\charrsid13639606 Justification}{\rtlch\fcs1 \af0 _x000d__x000a_\ltrch\fcs0 \cs17\i0\v\fs20\cf9\loch\af1\hich\af1\dbch\af31501\insrsid7747959\charrsid13639606 \hich\af1\dbch\af31501\loch\f1 &lt;/TitreJust&gt;}{\rtlch\fcs1 \af0 \ltrch\fcs0 \insrsid7747959\charrsid13639606 _x000d__x000a_\par }\pard\plain \ltrpar\s21\ql \li0\ri0\sa240\nowidctlpar\wrapdefault\aspalpha\aspnum\faauto\adjustright\rin0\lin0\itap0\pararsid7747959 \rtlch\fcs1 \af0\afs20\alang1025 \ltrch\fcs0 \i\fs24\lang2057\langfe2057\cgrid\langnp2057\langfenp2057 {\rtlch\fcs1 \af0 _x000d__x000a_\ltrch\fcs0 \cs17\i0\v\fs20\cf9\loch\af1\hich\af1\dbch\af31501\insrsid7747959\charrsid13639606 \hich\af1\dbch\af31501\loch\f1 &lt;OptDelPrev&gt;}{\rtlch\fcs1 \af0 \ltrch\fcs0 \insrsid7747959\charrsid13639606 #}{\rtlch\fcs1 \af1 \ltrch\fcs0 _x000d__x000a_\cs18\v\f1\fs20\cf15\insrsid7747959\charrsid13639606 MNU[TEXTJUSTYES][TEXTJUSTNO]@CHOICE@}{\rtlch\fcs1 \af0 \ltrch\fcs0 \insrsid7747959\charrsid13639606 #}{\rtlch\fcs1 \af0 \ltrch\fcs0 _x000d__x000a_\cs17\i0\v\fs20\cf9\loch\af1\hich\af1\dbch\af31501\insrsid7747959\charrsid13639606 \hich\af1\dbch\af31501\loch\f1 &lt;/OptDelPrev&gt;}{\rtlch\fcs1 \af0 \ltrch\fcs0 \insrsid7747959\charrsid13639606 _x000d__x000a_\par }\pard\plain \ltrpar\ql \li0\ri0\widctlpar\wrapdefault\aspalpha\aspnum\faauto\adjustright\rin0\lin0\itap0\pararsid7747959 \rtlch\fcs1 \af0\afs20\alang1025 \ltrch\fcs0 \fs24\lang2057\langfe2057\cgrid\langnp2057\langfenp2057 {\rtlch\fcs1 \af0 \ltrch\fcs0 _x000d__x000a_\cs17\v\fs20\cf9\loch\af1\hich\af1\dbch\af31501\insrsid7747959\charrsid13639606 \hich\af1\dbch\af31501\loch\f1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1f_x000d__x000a_1ca147c7d8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615661 HideTWBExt;}{\s16\ql \li0\ri0\sa120\nowidctlpar\wrapdefault\aspalpha\aspnum\faauto\adjustright\rin0\lin0\itap0 \rtlch\fcs1 \af0\afs20\alang1025 \ltrch\fcs0 _x000d__x000a_\fs24\lang2057\langfe2057\cgrid\langnp2057\langfenp2057 \sbasedon0 \snext16 \spriority0 \styrsid11615661 Normal6a;}{\s17\ql \li0\ri0\nowidctlpar\wrapdefault\aspalpha\aspnum\faauto\adjustright\rin0\lin0\itap0 \rtlch\fcs1 \af0\afs20\alang1025 \ltrch\fcs0 _x000d__x000a_\b\fs24\lang2057\langfe2057\cgrid\langnp2057\langfenp2057 \sbasedon0 \snext17 \spriority0 \styrsid11615661 NormalBold;}{\s18\ql \li0\ri0\sa240\nowidctlpar\wrapdefault\aspalpha\aspnum\faauto\adjustright\rin0\lin0\itap0 \rtlch\fcs1 \af0\afs20\alang1025 _x000d__x000a_\ltrch\fcs0 \i\fs24\lang2057\langfe2057\cgrid\langnp2057\langfenp2057 \sbasedon0 \snext18 \spriority0 \styrsid11615661 AmJustText;}{\s19\qc \li0\ri0\sb240\sa240\nowidctlpar\wrapdefault\aspalpha\aspnum\faauto\adjustright\rin0\lin0\itap0 \rtlch\fcs1 _x000d__x000a_\af0\afs20\alang1025 \ltrch\fcs0 \i\fs24\lang2057\langfe2057\cgrid\langnp2057\langfenp2057 \sbasedon0 \snext19 \spriority0 \styrsid11615661 AmCrossRef;}{_x000d__x000a_\s20\qc \li0\ri0\sb240\sa240\keepn\nowidctlpar\wrapdefault\aspalpha\aspnum\faauto\adjustright\rin0\lin0\itap0 \rtlch\fcs1 \af0\afs20\alang1025 \ltrch\fcs0 \i\fs24\lang2057\langfe2057\cgrid\langnp2057\langfenp2057 _x000d__x000a_\sbasedon0 \snext18 \spriority0 \styrsid11615661 AmJustTitle;}{\s21\qr \li0\ri0\sb240\sa240\nowidctlpar\wrapdefault\aspalpha\aspnum\faauto\adjustright\rin0\lin0\itap0 \rtlch\fcs1 \af0\afs20\alang1025 \ltrch\fcs0 _x000d__x000a_\fs24\lang2057\langfe2057\cgrid\langnp2057\langfenp2057 \sbasedon0 \snext21 \spriority0 \styrsid11615661 AmOrLang;}{\s22\qc \li0\ri0\sa240\nowidctlpar\wrapdefault\aspalpha\aspnum\faauto\adjustright\rin0\lin0\itap0 \rtlch\fcs1 \af0\afs20\alang1025 _x000d__x000a_\ltrch\fcs0 \i\fs24\lang2057\langfe2057\cgrid\langnp2057\langfenp2057 \sbasedon0 \snext22 \spriority0 \styrsid11615661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1615661 AmNumberTabs;}{\s24\ql \li0\ri0\sb240\nowidctlpar\wrapdefault\aspalpha\aspnum\faauto\adjustright\rin0\lin0\itap0 \rtlch\fcs1 _x000d__x000a_\af0\afs20\alang1025 \ltrch\fcs0 \b\fs24\lang2057\langfe2057\cgrid\langnp2057\langfenp2057 \sbasedon0 \snext24 \spriority0 \styrsid11615661 NormalBold12b;}}{\*\rsidtbl \rsid24658\rsid358857\rsid735077\rsid787282\rsid2101837\rsid2892074\rsid3622648_x000d__x000a_\rsid4666813\rsid5708216\rsid6641733\rsid7553164\rsid8465581\rsid8681905\rsid8724649\rsid9636012\rsid9862312\rsid11215221\rsid11370291\rsid11434737\rsid11607138\rsid11615661\rsid11824949\rsid12154954\rsid14424199\rsid15204470\rsid15285974\rsid15535219_x000d__x000a_\rsid15950462\rsid16324206\rsid16662270}{\mmathPr\mmathFont34\mbrkBin0\mbrkBinSub0\msmallFrac0\mdispDef1\mlMargin0\mrMargin0\mdefJc1\mwrapIndent1440\mintLim0\mnaryLim1}{\info{\author FELIX Karina}{\operator FELIX Karina}_x000d__x000a_{\creatim\yr2019\mo7\dy3\hr20\min19}{\revtim\yr2019\mo7\dy3\hr20\min19}{\version1}{\edmins0}{\nofpages1}{\nofwords32}{\nofchars369}{\*\company European Parliament}{\nofcharsws373}{\vern97}}{\*\xmlnstbl {\xmlns1 http://schemas.microsoft.com/office/word/200_x000d__x000a_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61566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10183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101837 \chftnsepc _x000d__x000a_\par }}{\*\aftnsep \ltrpar \pard\plain \ltrpar\ql \li0\ri0\widctlpar\wrapdefault\aspalpha\aspnum\faauto\adjustright\rin0\lin0\itap0 \rtlch\fcs1 \af0\afs20\alang1025 \ltrch\fcs0 \fs24\lang2057\langfe2057\cgrid\langnp2057\langfenp2057 {\rtlch\fcs1 \af0 _x000d__x000a_\ltrch\fcs0 \insrsid2101837 \chftnsep _x000d__x000a_\par }}{\*\aftnsepc \ltrpar \pard\plain \ltrpar\ql \li0\ri0\widctlpar\wrapdefault\aspalpha\aspnum\faauto\adjustright\rin0\lin0\itap0 \rtlch\fcs1 \af0\afs20\alang1025 \ltrch\fcs0 \fs24\lang2057\langfe2057\cgrid\langnp2057\langfenp2057 {\rtlch\fcs1 \af0 _x000d__x000a_\ltrch\fcs0 \insrsid210183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11615661 \rtlch\fcs1 \af0\afs20\alang1025 \ltrch\fcs0 \b\fs24\lang2057\langfe2057\cgrid\langnp2057\langfenp2057 {\rtlch\fcs1 \af0 \ltrch\fcs0 \cs15\b0\v\f1\fs20\cf9\lang1030\langfe2057\langnp1030\insrsid11615661\charrsid5141309 _x000d__x000a_{\*\bkmkstart restart}&lt;Amend&gt;}{\rtlch\fcs1 \af0 \ltrch\fcs0 \lang1030\langfe2057\langnp1030\insrsid11615661\charrsid5141309 [ZAMENDMENT]\tab \tab }{\rtlch\fcs1 \af0 \ltrch\fcs0 _x000d__x000a_\cs15\b0\v\f1\fs20\cf9\lang1030\langfe2057\langnp1030\insrsid11615661\charrsid5141309 &lt;NumAm&gt;}{\rtlch\fcs1 \af0 \ltrch\fcs0 \lang1030\langfe2057\langnp1030\insrsid11615661\charrsid5141309 [ZNRAM]}{\rtlch\fcs1 \af0 \ltrch\fcs0 _x000d__x000a_\cs15\b0\v\f1\fs20\cf9\lang1030\langfe2057\langnp1030\insrsid11615661\charrsid5141309 &lt;/NumAm&gt;}{\rtlch\fcs1 \af0 \ltrch\fcs0 \lang1030\langfe2057\langnp1030\insrsid11615661\charrsid5141309 _x000d__x000a_\par }\pard\plain \ltrpar\s24\ql \li0\ri0\sb240\keepn\nowidctlpar\wrapdefault\aspalpha\aspnum\faauto\adjustright\rin0\lin0\itap0\pararsid11615661 \rtlch\fcs1 \af0\afs20\alang1025 \ltrch\fcs0 \b\fs24\lang2057\langfe2057\cgrid\langnp2057\langfenp2057 {_x000d__x000a_\rtlch\fcs1 \af0 \ltrch\fcs0 \cs15\b0\v\f1\fs20\cf9\lang1030\langfe2057\langnp1030\insrsid11615661\charrsid5141309 &lt;DocAmend&gt;}{\rtlch\fcs1 \af0 \ltrch\fcs0 \lang1030\langfe2057\langnp1030\insrsid11615661\charrsid5141309 [ZPROPOSAL][ZAMACT]}{\rtlch\fcs1 _x000d__x000a_\af0 \ltrch\fcs0 \cs15\b0\v\f1\fs20\cf9\lang1030\langfe2057\langnp1030\insrsid11615661\charrsid5141309 &lt;/DocAmend&gt;}{\rtlch\fcs1 \af0 \ltrch\fcs0 \lang1030\langfe2057\langnp1030\insrsid11615661\charrsid5141309 _x000d__x000a_\par }\pard\plain \ltrpar\s17\ql \li0\ri0\keepn\nowidctlpar\wrapdefault\aspalpha\aspnum\faauto\adjustright\rin0\lin0\itap0\pararsid11615661 \rtlch\fcs1 \af0\afs20\alang1025 \ltrch\fcs0 \b\fs24\lang2057\langfe2057\cgrid\langnp2057\langfenp2057 {\rtlch\fcs1 _x000d__x000a_\af0 \ltrch\fcs0 \cs15\b0\v\f1\fs20\cf9\lang1030\langfe2057\langnp1030\insrsid11615661\charrsid5141309 &lt;Article&gt;}{\rtlch\fcs1 \af0 \ltrch\fcs0 \lang1030\langfe2057\langnp1030\insrsid11615661\charrsid5141309 [ZAMPART]}{\rtlch\fcs1 \af0 \ltrch\fcs0 _x000d__x000a_\cs15\b0\v\f1\fs20\cf9\lang1030\langfe2057\langnp1030\insrsid11615661\charrsid5141309 &lt;/Article&gt;}{\rtlch\fcs1 \af0 \ltrch\fcs0 \lang1030\langfe2057\langnp1030\insrsid11615661\charrsid5141309 _x000d__x000a_\par }\pard\plain \ltrpar\ql \li0\ri0\keepn\widctlpar\wrapdefault\aspalpha\aspnum\faauto\adjustright\rin0\lin0\itap0\pararsid11615661 \rtlch\fcs1 \af0\afs20\alang1025 \ltrch\fcs0 \fs24\lang2057\langfe2057\cgrid\langnp2057\langfenp2057 {\rtlch\fcs1 \af0 _x000d__x000a_\ltrch\fcs0 \cs15\v\f1\fs20\cf9\lang1043\langfe2057\langnp1043\insrsid11615661\charrsid5141309 &lt;DocAmend2&gt;&lt;OptDel&gt;}{\rtlch\fcs1 \af0 \ltrch\fcs0 \lang1043\langfe2057\langnp1043\insrsid11615661\charrsid5141309 [ZNRACT]}{\rtlch\fcs1 \af0 \ltrch\fcs0 _x000d__x000a_\cs15\v\f1\fs20\cf9\lang1043\langfe2057\langnp1043\insrsid11615661\charrsid5141309 &lt;/OptDel&gt;&lt;/DocAmend2&gt;}{\rtlch\fcs1 \af0 \ltrch\fcs0 \lang1043\langfe2057\langnp1043\insrsid11615661\charrsid5141309 _x000d__x000a_\par }\pard \ltrpar\ql \li0\ri0\widctlpar\wrapdefault\aspalpha\aspnum\faauto\adjustright\rin0\lin0\itap0\pararsid11615661 {\rtlch\fcs1 \af0 \ltrch\fcs0 \cs15\v\f1\fs20\cf9\lang1036\langfe2057\langnp1036\insrsid11615661\charrsid5141309 &lt;Article2&gt;&lt;OptDel&gt;}{_x000d__x000a_\rtlch\fcs1 \af0 \ltrch\fcs0 \lang1036\langfe2057\langnp1036\insrsid11615661\charrsid5141309 [ZACTPART]}{\rtlch\fcs1 \af0 \ltrch\fcs0 \cs15\v\f1\fs20\cf9\lang1036\langfe2057\langnp1036\insrsid11615661\charrsid5141309 &lt;/OptDel&gt;&lt;/Article2&gt;}{\rtlch\fcs1 _x000d__x000a_\af0 \ltrch\fcs0 \lang1036\langfe2057\langnp1036\insrsid11615661\charrsid5141309 _x000d__x000a_\par \ltrrow}\trowd \irow0\irowband0\ltrrow\ts11\trqc\trgaph340\trleft-340\trftsWidth3\trwWidth9752\trftsWidthB3\trpaddl340\trpaddr340\trpaddfl3\trpaddft3\trpaddfb3\trpaddfr3\tblrsid2517430\tblind0\tblindtype3 \clvertalt\clbrdrt\brdrtbl \clbrdrl\brdrtbl _x000d__x000a_\clbrdrb\brdrtbl \clbrdrr\brdrtbl \cltxlrtb\clftsWidth3\clwWidth9752\clshdrawnil \cellx9412\pard\plain \ltrpar\ql \li0\ri0\keepn\widctlpar\intbl\wrapdefault\aspalpha\aspnum\faauto\adjustright\rin0\lin0\pararsid14315216 \rtlch\fcs1 \af0\afs20\alang1025 _x000d__x000a_\ltrch\fcs0 \fs24\lang2057\langfe2057\cgrid\langnp2057\langfenp2057 {\rtlch\fcs1 \af0 \ltrch\fcs0 \lang1036\langfe2057\langnp1036\insrsid11615661\charrsid5141309 \cell }\pard\plain \ltrpar_x000d__x000a_\ql \li0\ri0\widctlpar\intbl\wrapdefault\aspalpha\aspnum\faauto\adjustright\rin0\lin0 \rtlch\fcs1 \af0\afs20\alang1025 \ltrch\fcs0 \fs24\lang2057\langfe2057\cgrid\langnp2057\langfenp2057 {\rtlch\fcs1 \af0 \ltrch\fcs0 \insrsid11615661\charrsid6040559 _x000d__x000a_\trowd \irow0\irowband0\ltrrow\ts11\trqc\trgaph340\trleft-340\trftsWidth3\trwWidth9752\trftsWidthB3\trpaddl340\trpaddr340\trpaddfl3\trpaddft3\trpaddfb3\trpaddfr3\tblrsid2517430\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4315216 \rtlch\fcs1 \af0\afs20\alang1025 \ltrch\fcs0 \i\fs24\lang2057\langfe2057\cgrid\langnp2057\langfenp2057 {\rtlch\fcs1 \af0 \ltrch\fcs0 _x000d__x000a_\insrsid11615661\charrsid4593153 [ZLEFT]\cell [ZRIGHT]\cell }\pard\plain \ltrpar\ql \li0\ri0\widctlpar\intbl\wrapdefault\aspalpha\aspnum\faauto\adjustright\rin0\lin0 \rtlch\fcs1 \af0\afs20\alang1025 \ltrch\fcs0 _x000d__x000a_\fs24\lang2057\langfe2057\cgrid\langnp2057\langfenp2057 {\rtlch\fcs1 \af0 \ltrch\fcs0 \insrsid11615661\charrsid4593153 \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2517430 \rtlch\fcs1 \af0\afs20\alang1025 \ltrch\fcs0 \fs24\lang2057\langfe2057\cgrid\langnp2057\langfenp2057 {\rtlch\fcs1 \af0 \ltrch\fcs0 _x000d__x000a_\insrsid11615661\charrsid4593153 [ZTEXTL]\cell [ZTEXTR]}{\rtlch\fcs1 \af0\afs24 \ltrch\fcs0 \insrsid11615661\charrsid4593153 \cell }\pard\plain \ltrpar\ql \li0\ri0\widctlpar\intbl\wrapdefault\aspalpha\aspnum\faauto\adjustright\rin0\lin0 \rtlch\fcs1 _x000d__x000a_\af0\afs20\alang1025 \ltrch\fcs0 \fs24\lang2057\langfe2057\cgrid\langnp2057\langfenp2057 {\rtlch\fcs1 \af0 \ltrch\fcs0 \insrsid11615661\charrsid4593153 \trowd \irow2\irowband2\lastrow \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11615661 \rtlch\fcs1 \af0\afs20\alang1025 \ltrch\fcs0 \fs24\lang2057\langfe2057\cgrid\langnp2057\langfenp2057 {\rtlch\fcs1 \af0 \ltrch\fcs0 _x000d__x000a_\insrsid11615661\charrsid4593153 Or. }{\rtlch\fcs1 \af0 \ltrch\fcs0 \cs15\v\f1\fs20\cf9\insrsid11615661\charrsid4593153 &lt;Original&gt;}{\rtlch\fcs1 \af0 \ltrch\fcs0 \insrsid11615661\charrsid4593153 [ZORLANG]}{\rtlch\fcs1 \af0 \ltrch\fcs0 _x000d__x000a_\cs15\v\f1\fs20\cf9\insrsid11615661\charrsid4593153 &lt;/Original&gt;}{\rtlch\fcs1 \af0 \ltrch\fcs0 \insrsid11615661\charrsid4593153 _x000d__x000a_\par }\pard\plain \ltrpar\s19\qc \li0\ri0\sb240\sa240\nowidctlpar\wrapdefault\aspalpha\aspnum\faauto\adjustright\rin0\lin0\itap0\pararsid11615661 \rtlch\fcs1 \af0\afs20\alang1025 \ltrch\fcs0 \i\fs24\lang2057\langfe2057\cgrid\langnp2057\langfenp2057 {_x000d__x000a_\rtlch\fcs1 \af0 \ltrch\fcs0 \cs15\i0\v\f1\fs20\cf9\insrsid11615661\charrsid4593153 &lt;OptDel&gt;}{\rtlch\fcs1 \af0 \ltrch\fcs0 \insrsid11615661\charrsid4593153 [ZCROSSREF]}{\rtlch\fcs1 \af0 \ltrch\fcs0 \cs15\i0\v\f1\fs20\cf9\insrsid11615661\charrsid4593153 _x000d__x000a_&lt;/OptDel&gt;}{\rtlch\fcs1 \af0 \ltrch\fcs0 \insrsid11615661\charrsid4593153 _x000d__x000a_\par }\pard\plain \ltrpar\s20\qc \li0\ri0\sb240\sa240\keepn\nowidctlpar\wrapdefault\aspalpha\aspnum\faauto\adjustright\rin0\lin0\itap0\pararsid11615661 \rtlch\fcs1 \af0\afs20\alang1025 \ltrch\fcs0 \i\fs24\lang2057\langfe2057\cgrid\langnp2057\langfenp2057 {_x000d__x000a_\rtlch\fcs1 \af0 \ltrch\fcs0 \cs15\i0\v\f1\fs20\cf9\insrsid11615661\charrsid4593153 &lt;TitreJust&gt;}{\rtlch\fcs1 \af0 \ltrch\fcs0 \insrsid11615661\charrsid4593153 [ZJUSTIFICATION]}{\rtlch\fcs1 \af0 \ltrch\fcs0 _x000d__x000a_\cs15\i0\v\f1\fs20\cf9\insrsid11615661\charrsid4593153 &lt;/TitreJust&gt;}{\rtlch\fcs1 \af0 \ltrch\fcs0 \insrsid11615661\charrsid4593153 _x000d__x000a_\par }\pard\plain \ltrpar\s18\ql \li0\ri0\sa240\nowidctlpar\wrapdefault\aspalpha\aspnum\faauto\adjustright\rin0\lin0\itap0\pararsid11615661 \rtlch\fcs1 \af0\afs20\alang1025 \ltrch\fcs0 \i\fs24\lang2057\langfe2057\cgrid\langnp2057\langfenp2057 {\rtlch\fcs1 _x000d__x000a_\af0 \ltrch\fcs0 \cs15\i0\v\f1\fs20\cf9\insrsid11615661\charrsid4593153 &lt;OptDelPrev&gt;}{\rtlch\fcs1 \af0 \ltrch\fcs0 \insrsid11615661\charrsid4593153 [ZTEXTJUST]}{\rtlch\fcs1 \af0 \ltrch\fcs0 \cs15\i0\v\f1\fs20\cf9\insrsid11615661\charrsid4593153 _x000d__x000a_&lt;/OptDelPrev&gt;}{\rtlch\fcs1 \af0 \ltrch\fcs0 \insrsid11615661\charrsid4593153 _x000d__x000a_\par }\pard\plain \ltrpar\ql \li0\ri0\widctlpar\wrapdefault\aspalpha\aspnum\faauto\adjustright\rin0\lin0\itap0\pararsid11615661 \rtlch\fcs1 \af0\afs20\alang1025 \ltrch\fcs0 \fs24\lang2057\langfe2057\cgrid\langnp2057\langfenp2057 {\rtlch\fcs1 \af0 \ltrch\fcs0 _x000d__x000a_\cs15\v\f1\fs20\cf9\insrsid11615661\charrsid4593153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70_x000d__x000a_25cecb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R_COD_1amCom"/>
    <w:docVar w:name="strSubDir" w:val="1263"/>
    <w:docVar w:name="TXTAUTHOR" w:val="Erik Marquardt"/>
    <w:docVar w:name="TXTLANGUE" w:val="PL"/>
    <w:docVar w:name="TXTLANGUEMIN" w:val="pl"/>
    <w:docVar w:name="TXTNRC" w:val="0160/2022"/>
    <w:docVar w:name="TXTNRCOD" w:val="2022/0135"/>
    <w:docVar w:name="TXTNRCOM" w:val="(2022)0189"/>
    <w:docVar w:name="TXTNRFIRSTAM" w:val="1"/>
    <w:docVar w:name="TXTNRLASTAM" w:val="1"/>
    <w:docVar w:name="TXTNRPE" w:val="736.470"/>
    <w:docVar w:name="TXTPEorAP" w:val="PE"/>
    <w:docVar w:name="TXTROUTE" w:val="PR\1263011PL.docx"/>
    <w:docVar w:name="TXTTITLE" w:val="amending Regulation (EU) 2018/1806, listing the third countries whose nationals must be in possession of visas when crossing the external borders and those whose nationals are exempt from that requirement (Kuwait, Qatar)"/>
    <w:docVar w:name="TXTVERSION" w:val="01-00"/>
  </w:docVars>
  <w:rsids>
    <w:rsidRoot w:val="00307279"/>
    <w:rsid w:val="00011AAB"/>
    <w:rsid w:val="00012351"/>
    <w:rsid w:val="000139E5"/>
    <w:rsid w:val="00084DD2"/>
    <w:rsid w:val="00084E89"/>
    <w:rsid w:val="000B7489"/>
    <w:rsid w:val="000F1096"/>
    <w:rsid w:val="00120948"/>
    <w:rsid w:val="0012324A"/>
    <w:rsid w:val="00123DD5"/>
    <w:rsid w:val="001257CF"/>
    <w:rsid w:val="001277AE"/>
    <w:rsid w:val="0013710F"/>
    <w:rsid w:val="00142215"/>
    <w:rsid w:val="001767E2"/>
    <w:rsid w:val="00187008"/>
    <w:rsid w:val="001B1316"/>
    <w:rsid w:val="001B3829"/>
    <w:rsid w:val="001C5592"/>
    <w:rsid w:val="001C5B44"/>
    <w:rsid w:val="001C6FFC"/>
    <w:rsid w:val="001F7C7C"/>
    <w:rsid w:val="00212B84"/>
    <w:rsid w:val="00217739"/>
    <w:rsid w:val="002346B0"/>
    <w:rsid w:val="002667C3"/>
    <w:rsid w:val="002669B6"/>
    <w:rsid w:val="002767EC"/>
    <w:rsid w:val="00290BED"/>
    <w:rsid w:val="00293D90"/>
    <w:rsid w:val="002D13EE"/>
    <w:rsid w:val="002E33EE"/>
    <w:rsid w:val="002E3887"/>
    <w:rsid w:val="002F40BB"/>
    <w:rsid w:val="002F4B02"/>
    <w:rsid w:val="00307279"/>
    <w:rsid w:val="00312067"/>
    <w:rsid w:val="00323EF8"/>
    <w:rsid w:val="003316DD"/>
    <w:rsid w:val="003506ED"/>
    <w:rsid w:val="00366A46"/>
    <w:rsid w:val="00370AC3"/>
    <w:rsid w:val="003824EE"/>
    <w:rsid w:val="003B4689"/>
    <w:rsid w:val="003C2068"/>
    <w:rsid w:val="003C37CF"/>
    <w:rsid w:val="004100B1"/>
    <w:rsid w:val="00411957"/>
    <w:rsid w:val="00426E47"/>
    <w:rsid w:val="00455743"/>
    <w:rsid w:val="00461601"/>
    <w:rsid w:val="004B32B6"/>
    <w:rsid w:val="004B38C6"/>
    <w:rsid w:val="004C0915"/>
    <w:rsid w:val="004D424E"/>
    <w:rsid w:val="004D5661"/>
    <w:rsid w:val="004E42C8"/>
    <w:rsid w:val="004E5825"/>
    <w:rsid w:val="004E733D"/>
    <w:rsid w:val="004F3FA5"/>
    <w:rsid w:val="0051271F"/>
    <w:rsid w:val="00521F46"/>
    <w:rsid w:val="00522AC0"/>
    <w:rsid w:val="00531D7A"/>
    <w:rsid w:val="00551111"/>
    <w:rsid w:val="00551123"/>
    <w:rsid w:val="00552BBF"/>
    <w:rsid w:val="0057089C"/>
    <w:rsid w:val="00570A6A"/>
    <w:rsid w:val="00586E50"/>
    <w:rsid w:val="0059583D"/>
    <w:rsid w:val="005A42D9"/>
    <w:rsid w:val="005C2BEF"/>
    <w:rsid w:val="005D1A99"/>
    <w:rsid w:val="005D7609"/>
    <w:rsid w:val="005D7EE8"/>
    <w:rsid w:val="006305D6"/>
    <w:rsid w:val="00642325"/>
    <w:rsid w:val="006456F0"/>
    <w:rsid w:val="00646926"/>
    <w:rsid w:val="0069092A"/>
    <w:rsid w:val="006A04ED"/>
    <w:rsid w:val="006A2F5D"/>
    <w:rsid w:val="006F7907"/>
    <w:rsid w:val="00743189"/>
    <w:rsid w:val="00743D33"/>
    <w:rsid w:val="007932B3"/>
    <w:rsid w:val="00793EA9"/>
    <w:rsid w:val="00797A79"/>
    <w:rsid w:val="007D6F68"/>
    <w:rsid w:val="00823E6B"/>
    <w:rsid w:val="00826780"/>
    <w:rsid w:val="00837CCD"/>
    <w:rsid w:val="00850A4A"/>
    <w:rsid w:val="008633CC"/>
    <w:rsid w:val="00865190"/>
    <w:rsid w:val="008719B9"/>
    <w:rsid w:val="00885C34"/>
    <w:rsid w:val="00894923"/>
    <w:rsid w:val="00894ECE"/>
    <w:rsid w:val="00896BB4"/>
    <w:rsid w:val="008A323A"/>
    <w:rsid w:val="008A7FB8"/>
    <w:rsid w:val="008B4F2E"/>
    <w:rsid w:val="009022B8"/>
    <w:rsid w:val="00914537"/>
    <w:rsid w:val="00917CC4"/>
    <w:rsid w:val="00923B7C"/>
    <w:rsid w:val="009763DA"/>
    <w:rsid w:val="0099206A"/>
    <w:rsid w:val="009975B3"/>
    <w:rsid w:val="009A216D"/>
    <w:rsid w:val="009B4B93"/>
    <w:rsid w:val="009D3E42"/>
    <w:rsid w:val="009F13DC"/>
    <w:rsid w:val="009F24BE"/>
    <w:rsid w:val="009F6C2F"/>
    <w:rsid w:val="009F767A"/>
    <w:rsid w:val="00A22533"/>
    <w:rsid w:val="00A26F46"/>
    <w:rsid w:val="00A34FD3"/>
    <w:rsid w:val="00A36929"/>
    <w:rsid w:val="00A50548"/>
    <w:rsid w:val="00A60EE7"/>
    <w:rsid w:val="00A910C9"/>
    <w:rsid w:val="00AA35B0"/>
    <w:rsid w:val="00AD18C8"/>
    <w:rsid w:val="00AD7FA6"/>
    <w:rsid w:val="00AE4643"/>
    <w:rsid w:val="00AF0416"/>
    <w:rsid w:val="00B10CB4"/>
    <w:rsid w:val="00B13D6F"/>
    <w:rsid w:val="00B153D5"/>
    <w:rsid w:val="00B23B72"/>
    <w:rsid w:val="00B42702"/>
    <w:rsid w:val="00B54EAF"/>
    <w:rsid w:val="00B57B8B"/>
    <w:rsid w:val="00B63AB5"/>
    <w:rsid w:val="00B85407"/>
    <w:rsid w:val="00B95702"/>
    <w:rsid w:val="00BC6489"/>
    <w:rsid w:val="00BD480C"/>
    <w:rsid w:val="00C13A6F"/>
    <w:rsid w:val="00C20954"/>
    <w:rsid w:val="00C23324"/>
    <w:rsid w:val="00C42A41"/>
    <w:rsid w:val="00C47E74"/>
    <w:rsid w:val="00C57A72"/>
    <w:rsid w:val="00C73602"/>
    <w:rsid w:val="00C85D0F"/>
    <w:rsid w:val="00C945E5"/>
    <w:rsid w:val="00CA3F76"/>
    <w:rsid w:val="00CE332D"/>
    <w:rsid w:val="00CF60C8"/>
    <w:rsid w:val="00D30DE2"/>
    <w:rsid w:val="00D32924"/>
    <w:rsid w:val="00D503A3"/>
    <w:rsid w:val="00DA436D"/>
    <w:rsid w:val="00DA6ED0"/>
    <w:rsid w:val="00DC5011"/>
    <w:rsid w:val="00E12821"/>
    <w:rsid w:val="00E171B6"/>
    <w:rsid w:val="00E72695"/>
    <w:rsid w:val="00EB1753"/>
    <w:rsid w:val="00EB6CFF"/>
    <w:rsid w:val="00EE3996"/>
    <w:rsid w:val="00F07062"/>
    <w:rsid w:val="00F23CFC"/>
    <w:rsid w:val="00F433E2"/>
    <w:rsid w:val="00F904AE"/>
    <w:rsid w:val="00F934F8"/>
    <w:rsid w:val="00FB52FE"/>
    <w:rsid w:val="00FC0A34"/>
    <w:rsid w:val="00FD1DEF"/>
    <w:rsid w:val="00FE062E"/>
    <w:rsid w:val="00FE3B3F"/>
    <w:rsid w:val="00FE7349"/>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D4AD77"/>
  <w15:chartTrackingRefBased/>
  <w15:docId w15:val="{11F50E51-5574-4F15-B47F-373EC435F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annotation text" w:uiPriority="99"/>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3FA5"/>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uiPriority w:val="39"/>
    <w:rsid w:val="00C23324"/>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link w:val="NormalBoldChar"/>
    <w:rPr>
      <w:b/>
    </w:rPr>
  </w:style>
  <w:style w:type="paragraph" w:customStyle="1" w:styleId="NormalBold12a">
    <w:name w:val="NormalBold12a"/>
    <w:basedOn w:val="Normal"/>
    <w:pPr>
      <w:spacing w:after="240"/>
    </w:pPr>
    <w:rPr>
      <w:b/>
    </w:rPr>
  </w:style>
  <w:style w:type="paragraph" w:customStyle="1" w:styleId="AmJustText">
    <w:name w:val="AmJustText"/>
    <w:basedOn w:val="Normal"/>
    <w:pPr>
      <w:spacing w:after="240"/>
    </w:pPr>
    <w:rPr>
      <w:i/>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6F7907"/>
    <w:pPr>
      <w:spacing w:before="80" w:after="80"/>
    </w:pPr>
    <w:rPr>
      <w:rFonts w:ascii="Arial Narrow" w:hAnsi="Arial Narrow" w:cs="Arial"/>
      <w:b/>
      <w:sz w:val="32"/>
      <w:szCs w:val="22"/>
    </w:rPr>
  </w:style>
  <w:style w:type="paragraph" w:customStyle="1" w:styleId="CoverNormal24a">
    <w:name w:val="CoverNormal24a"/>
    <w:basedOn w:val="Normal"/>
    <w:rsid w:val="00F07062"/>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DA6ED0"/>
    <w:pPr>
      <w:spacing w:before="240" w:after="240"/>
      <w:jc w:val="center"/>
    </w:pPr>
    <w:rPr>
      <w:i/>
    </w:rPr>
  </w:style>
  <w:style w:type="paragraph" w:customStyle="1" w:styleId="AmJustTitle">
    <w:name w:val="AmJustTitle"/>
    <w:basedOn w:val="Normal"/>
    <w:next w:val="AmJustText"/>
    <w:pPr>
      <w:keepNext/>
      <w:spacing w:before="240" w:after="240"/>
      <w:jc w:val="center"/>
    </w:pPr>
    <w:rPr>
      <w:i/>
    </w:rPr>
  </w:style>
  <w:style w:type="paragraph" w:customStyle="1" w:styleId="CoverReference">
    <w:name w:val="CoverReference"/>
    <w:basedOn w:val="Normal"/>
    <w:rsid w:val="004E733D"/>
    <w:pPr>
      <w:spacing w:before="1080"/>
      <w:jc w:val="right"/>
    </w:pPr>
    <w:rPr>
      <w:rFonts w:ascii="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ocType24a">
    <w:name w:val="CoverDocType24a"/>
    <w:basedOn w:val="Normal"/>
    <w:rsid w:val="00F07062"/>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F23CFC"/>
    <w:pPr>
      <w:tabs>
        <w:tab w:val="center" w:pos="4513"/>
        <w:tab w:val="right" w:pos="9026"/>
      </w:tabs>
    </w:pPr>
  </w:style>
  <w:style w:type="paragraph" w:customStyle="1" w:styleId="AmOrLang">
    <w:name w:val="AmOrLang"/>
    <w:basedOn w:val="Normal"/>
    <w:rsid w:val="002669B6"/>
    <w:pPr>
      <w:spacing w:before="240" w:after="240"/>
      <w:jc w:val="right"/>
    </w:pPr>
  </w:style>
  <w:style w:type="paragraph" w:customStyle="1" w:styleId="AmColumnHeading">
    <w:name w:val="AmColumnHeading"/>
    <w:basedOn w:val="Normal"/>
    <w:rsid w:val="002669B6"/>
    <w:pPr>
      <w:spacing w:after="240"/>
      <w:jc w:val="center"/>
    </w:pPr>
    <w:rPr>
      <w:i/>
    </w:rPr>
  </w:style>
  <w:style w:type="table" w:styleId="TableGrid">
    <w:name w:val="Table Grid"/>
    <w:basedOn w:val="TableNormal"/>
    <w:rsid w:val="004616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mNumberTabs">
    <w:name w:val="AmNumberTabs"/>
    <w:basedOn w:val="Normal"/>
    <w:rsid w:val="004C0915"/>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4C0915"/>
    <w:pPr>
      <w:spacing w:before="240"/>
    </w:pPr>
    <w:rPr>
      <w:b/>
    </w:rPr>
  </w:style>
  <w:style w:type="paragraph" w:customStyle="1" w:styleId="EPBody">
    <w:name w:val="EPBody"/>
    <w:basedOn w:val="Normal"/>
    <w:rsid w:val="00461601"/>
    <w:pPr>
      <w:jc w:val="center"/>
    </w:pPr>
    <w:rPr>
      <w:rFonts w:ascii="Arial" w:hAnsi="Arial" w:cs="Arial"/>
      <w:i/>
      <w:sz w:val="22"/>
      <w:szCs w:val="22"/>
    </w:rPr>
  </w:style>
  <w:style w:type="paragraph" w:customStyle="1" w:styleId="LineTop">
    <w:name w:val="LineTop"/>
    <w:basedOn w:val="Normal"/>
    <w:next w:val="Normal"/>
    <w:rsid w:val="00461601"/>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461601"/>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6F7907"/>
    <w:pPr>
      <w:spacing w:after="80"/>
    </w:pPr>
    <w:rPr>
      <w:rFonts w:ascii="Arial" w:hAnsi="Arial" w:cs="Arial"/>
      <w:sz w:val="20"/>
      <w:szCs w:val="22"/>
    </w:rPr>
  </w:style>
  <w:style w:type="paragraph" w:customStyle="1" w:styleId="EPLogo">
    <w:name w:val="EPLogo"/>
    <w:basedOn w:val="Normal"/>
    <w:qFormat/>
    <w:rsid w:val="006F7907"/>
    <w:pPr>
      <w:jc w:val="right"/>
    </w:pPr>
  </w:style>
  <w:style w:type="paragraph" w:customStyle="1" w:styleId="EPFooter">
    <w:name w:val="EPFooter"/>
    <w:basedOn w:val="Normal"/>
    <w:rsid w:val="00F07062"/>
    <w:pPr>
      <w:tabs>
        <w:tab w:val="center" w:pos="4535"/>
        <w:tab w:val="right" w:pos="9071"/>
      </w:tabs>
      <w:spacing w:before="240" w:after="240"/>
    </w:pPr>
    <w:rPr>
      <w:color w:val="010000"/>
      <w:sz w:val="22"/>
    </w:rPr>
  </w:style>
  <w:style w:type="character" w:styleId="PageNumber">
    <w:name w:val="page number"/>
    <w:basedOn w:val="DefaultParagraphFont"/>
    <w:semiHidden/>
    <w:rsid w:val="00914537"/>
  </w:style>
  <w:style w:type="character" w:customStyle="1" w:styleId="HeaderChar">
    <w:name w:val="Header Char"/>
    <w:basedOn w:val="DefaultParagraphFont"/>
    <w:link w:val="Header"/>
    <w:semiHidden/>
    <w:rsid w:val="00F23CFC"/>
    <w:rPr>
      <w:sz w:val="24"/>
    </w:rPr>
  </w:style>
  <w:style w:type="paragraph" w:customStyle="1" w:styleId="EPComma">
    <w:name w:val="EPComma"/>
    <w:basedOn w:val="Normal"/>
    <w:rsid w:val="00A910C9"/>
    <w:pPr>
      <w:spacing w:before="480" w:after="240"/>
    </w:pPr>
  </w:style>
  <w:style w:type="paragraph" w:customStyle="1" w:styleId="Lgendesigne">
    <w:name w:val="Légende signe"/>
    <w:basedOn w:val="Normal"/>
    <w:rsid w:val="001257CF"/>
    <w:pPr>
      <w:tabs>
        <w:tab w:val="right" w:pos="454"/>
        <w:tab w:val="left" w:pos="737"/>
      </w:tabs>
      <w:ind w:left="737" w:hanging="737"/>
    </w:pPr>
    <w:rPr>
      <w:snapToGrid w:val="0"/>
      <w:sz w:val="18"/>
      <w:lang w:eastAsia="en-US"/>
    </w:rPr>
  </w:style>
  <w:style w:type="paragraph" w:customStyle="1" w:styleId="Lgendetitre">
    <w:name w:val="Légende titre"/>
    <w:basedOn w:val="Normal"/>
    <w:rsid w:val="001257CF"/>
    <w:pPr>
      <w:spacing w:before="240" w:after="240"/>
    </w:pPr>
    <w:rPr>
      <w:b/>
      <w:i/>
      <w:snapToGrid w:val="0"/>
      <w:lang w:eastAsia="en-US"/>
    </w:rPr>
  </w:style>
  <w:style w:type="paragraph" w:customStyle="1" w:styleId="Lgendestandard">
    <w:name w:val="Légende standard"/>
    <w:basedOn w:val="Normal"/>
    <w:rsid w:val="001257CF"/>
    <w:rPr>
      <w:sz w:val="18"/>
    </w:rPr>
  </w:style>
  <w:style w:type="paragraph" w:customStyle="1" w:styleId="Normal6">
    <w:name w:val="Normal6"/>
    <w:basedOn w:val="Normal"/>
    <w:link w:val="Normal6Char"/>
    <w:rsid w:val="00797A79"/>
    <w:pPr>
      <w:spacing w:after="120"/>
    </w:pPr>
  </w:style>
  <w:style w:type="character" w:customStyle="1" w:styleId="NormalBoldChar">
    <w:name w:val="NormalBold Char"/>
    <w:link w:val="NormalBold"/>
    <w:rsid w:val="00797A79"/>
    <w:rPr>
      <w:b/>
      <w:sz w:val="24"/>
    </w:rPr>
  </w:style>
  <w:style w:type="character" w:customStyle="1" w:styleId="Normal6Char">
    <w:name w:val="Normal6 Char"/>
    <w:link w:val="Normal6"/>
    <w:rsid w:val="00797A79"/>
    <w:rPr>
      <w:sz w:val="24"/>
      <w:lang w:val="pl-PL"/>
    </w:rPr>
  </w:style>
  <w:style w:type="paragraph" w:customStyle="1" w:styleId="ColumnHeading">
    <w:name w:val="ColumnHeading"/>
    <w:basedOn w:val="Normal"/>
    <w:rsid w:val="00797A79"/>
    <w:pPr>
      <w:spacing w:after="240"/>
      <w:jc w:val="center"/>
    </w:pPr>
    <w:rPr>
      <w:i/>
    </w:rPr>
  </w:style>
  <w:style w:type="paragraph" w:customStyle="1" w:styleId="AMNumberTabs0">
    <w:name w:val="AMNumberTabs"/>
    <w:basedOn w:val="Normal"/>
    <w:rsid w:val="00797A7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Olang">
    <w:name w:val="Olang"/>
    <w:rsid w:val="00797A79"/>
    <w:pPr>
      <w:jc w:val="right"/>
    </w:pPr>
  </w:style>
  <w:style w:type="paragraph" w:styleId="Footer">
    <w:name w:val="footer"/>
    <w:basedOn w:val="Normal"/>
    <w:link w:val="FooterChar"/>
    <w:semiHidden/>
    <w:rsid w:val="004E5825"/>
    <w:pPr>
      <w:tabs>
        <w:tab w:val="center" w:pos="4513"/>
        <w:tab w:val="right" w:pos="9026"/>
      </w:tabs>
    </w:pPr>
  </w:style>
  <w:style w:type="character" w:customStyle="1" w:styleId="FooterChar">
    <w:name w:val="Footer Char"/>
    <w:basedOn w:val="DefaultParagraphFont"/>
    <w:link w:val="Footer"/>
    <w:semiHidden/>
    <w:rsid w:val="004E5825"/>
    <w:rPr>
      <w:sz w:val="24"/>
    </w:rPr>
  </w:style>
  <w:style w:type="paragraph" w:styleId="BalloonText">
    <w:name w:val="Balloon Text"/>
    <w:basedOn w:val="Normal"/>
    <w:link w:val="BalloonTextChar"/>
    <w:semiHidden/>
    <w:unhideWhenUsed/>
    <w:rsid w:val="0012324A"/>
    <w:rPr>
      <w:rFonts w:ascii="Segoe UI" w:hAnsi="Segoe UI" w:cs="Segoe UI"/>
      <w:sz w:val="18"/>
      <w:szCs w:val="18"/>
    </w:rPr>
  </w:style>
  <w:style w:type="character" w:customStyle="1" w:styleId="BalloonTextChar">
    <w:name w:val="Balloon Text Char"/>
    <w:basedOn w:val="DefaultParagraphFont"/>
    <w:link w:val="BalloonText"/>
    <w:semiHidden/>
    <w:rsid w:val="0012324A"/>
    <w:rPr>
      <w:rFonts w:ascii="Segoe UI" w:hAnsi="Segoe UI" w:cs="Segoe UI"/>
      <w:sz w:val="18"/>
      <w:szCs w:val="18"/>
    </w:rPr>
  </w:style>
  <w:style w:type="character" w:styleId="CommentReference">
    <w:name w:val="annotation reference"/>
    <w:basedOn w:val="DefaultParagraphFont"/>
    <w:rsid w:val="0012324A"/>
    <w:rPr>
      <w:sz w:val="16"/>
      <w:szCs w:val="16"/>
    </w:rPr>
  </w:style>
  <w:style w:type="paragraph" w:styleId="CommentText">
    <w:name w:val="annotation text"/>
    <w:basedOn w:val="Normal"/>
    <w:link w:val="CommentTextChar"/>
    <w:uiPriority w:val="99"/>
    <w:rsid w:val="0012324A"/>
    <w:rPr>
      <w:sz w:val="20"/>
    </w:rPr>
  </w:style>
  <w:style w:type="character" w:customStyle="1" w:styleId="CommentTextChar">
    <w:name w:val="Comment Text Char"/>
    <w:basedOn w:val="DefaultParagraphFont"/>
    <w:link w:val="CommentText"/>
    <w:uiPriority w:val="99"/>
    <w:rsid w:val="0012324A"/>
  </w:style>
  <w:style w:type="paragraph" w:styleId="CommentSubject">
    <w:name w:val="annotation subject"/>
    <w:basedOn w:val="CommentText"/>
    <w:next w:val="CommentText"/>
    <w:link w:val="CommentSubjectChar"/>
    <w:semiHidden/>
    <w:unhideWhenUsed/>
    <w:rsid w:val="0012324A"/>
    <w:rPr>
      <w:b/>
      <w:bCs/>
    </w:rPr>
  </w:style>
  <w:style w:type="character" w:customStyle="1" w:styleId="CommentSubjectChar">
    <w:name w:val="Comment Subject Char"/>
    <w:basedOn w:val="CommentTextChar"/>
    <w:link w:val="CommentSubject"/>
    <w:semiHidden/>
    <w:rsid w:val="0012324A"/>
    <w:rPr>
      <w:b/>
      <w:bCs/>
    </w:rPr>
  </w:style>
  <w:style w:type="paragraph" w:customStyle="1" w:styleId="Text1">
    <w:name w:val="Text 1"/>
    <w:basedOn w:val="Normal"/>
    <w:rsid w:val="0012324A"/>
    <w:pPr>
      <w:widowControl/>
      <w:spacing w:before="120" w:after="120"/>
      <w:ind w:left="850"/>
      <w:jc w:val="both"/>
    </w:pPr>
    <w:rPr>
      <w:rFonts w:eastAsiaTheme="minorHAnsi"/>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C68D7A-316D-44E6-B6D2-EDC9909B96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2145</Words>
  <Characters>14336</Characters>
  <Application>Microsoft Office Word</Application>
  <DocSecurity>0</DocSecurity>
  <Lines>398</Lines>
  <Paragraphs>122</Paragraphs>
  <ScaleCrop>false</ScaleCrop>
  <HeadingPairs>
    <vt:vector size="2" baseType="variant">
      <vt:variant>
        <vt:lpstr>Title</vt:lpstr>
      </vt:variant>
      <vt:variant>
        <vt:i4>1</vt:i4>
      </vt:variant>
    </vt:vector>
  </HeadingPairs>
  <TitlesOfParts>
    <vt:vector size="1" baseType="lpstr">
      <vt:lpstr>PR_COD_1amCom</vt:lpstr>
    </vt:vector>
  </TitlesOfParts>
  <Company/>
  <LinksUpToDate>false</LinksUpToDate>
  <CharactersWithSpaces>16359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PR_COD_1amCom</dc:title>
  <dc:creator>TOADER Maria</dc:creator>
  <cp:lastModifiedBy>WOJCIECHOWSKA Joanna</cp:lastModifiedBy>
  <cp:revision>2</cp:revision>
  <cp:lastPrinted>2004-11-04T09:41:00Z</cp:lastPrinted>
  <dcterms:created xsi:type="dcterms:W3CDTF">2022-09-30T14:41:00Z</dcterms:created>
  <dcterms:modified xsi:type="dcterms:W3CDTF">2022-09-30T14:41:00Z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PL</vt:lpwstr>
  </property>
  <property fmtid="{D5CDD505-2E9C-101B-9397-08002B2CF9AE}" pid="3" name="&lt;FdR&gt;">
    <vt:lpwstr>1263011</vt:lpwstr>
  </property>
  <property fmtid="{D5CDD505-2E9C-101B-9397-08002B2CF9AE}" pid="4" name="&lt;Model&gt;">
    <vt:lpwstr>PR_COD_1amCom</vt:lpwstr>
  </property>
  <property fmtid="{D5CDD505-2E9C-101B-9397-08002B2CF9AE}" pid="5" name="&lt;ModelCod&gt;">
    <vt:lpwstr>\\eiciBRUpr1\pdocep$\DocEP\DOCS\General\PR\PR_Leg\COD\COD_1st\PR_COD_1amCom.dotx(17/04/2020 19:27:09)</vt:lpwstr>
  </property>
  <property fmtid="{D5CDD505-2E9C-101B-9397-08002B2CF9AE}" pid="6" name="&lt;ModelTra&gt;">
    <vt:lpwstr>\\eiciBRUpr1\pdocep$\DocEP\TRANSFIL\EN\PR_COD_1amCom.EN(29/06/2022 10:21:37)</vt:lpwstr>
  </property>
  <property fmtid="{D5CDD505-2E9C-101B-9397-08002B2CF9AE}" pid="7" name="&lt;Type&gt;">
    <vt:lpwstr>PR</vt:lpwstr>
  </property>
  <property fmtid="{D5CDD505-2E9C-101B-9397-08002B2CF9AE}" pid="8" name="Created with">
    <vt:lpwstr>9.13.0 Build [20220701]</vt:lpwstr>
  </property>
  <property fmtid="{D5CDD505-2E9C-101B-9397-08002B2CF9AE}" pid="9" name="FooterPath">
    <vt:lpwstr>PR\1263011PL.docx</vt:lpwstr>
  </property>
  <property fmtid="{D5CDD505-2E9C-101B-9397-08002B2CF9AE}" pid="10" name="LastEdited with">
    <vt:lpwstr>9.11.0 Build [20211103]</vt:lpwstr>
  </property>
  <property fmtid="{D5CDD505-2E9C-101B-9397-08002B2CF9AE}" pid="11" name="PE number">
    <vt:lpwstr>736.470</vt:lpwstr>
  </property>
  <property fmtid="{D5CDD505-2E9C-101B-9397-08002B2CF9AE}" pid="12" name="SDLStudio">
    <vt:lpwstr/>
  </property>
  <property fmtid="{D5CDD505-2E9C-101B-9397-08002B2CF9AE}" pid="13" name="SendToEpades">
    <vt:lpwstr>OK - 2022/09/16 13:13</vt:lpwstr>
  </property>
  <property fmtid="{D5CDD505-2E9C-101B-9397-08002B2CF9AE}" pid="14" name="Bookout">
    <vt:lpwstr>OK - 2022/09/30 16:41</vt:lpwstr>
  </property>
</Properties>
</file>