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C1550" w:rsidRPr="00FF574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F5741" w:rsidRDefault="006B5501" w:rsidP="00C85D0F">
            <w:pPr>
              <w:pStyle w:val="EPName"/>
            </w:pPr>
            <w:bookmarkStart w:id="0" w:name="_GoBack"/>
            <w:bookmarkEnd w:id="0"/>
            <w:r w:rsidRPr="00FF5741">
              <w:t>Európsky parlament</w:t>
            </w:r>
          </w:p>
          <w:p w:rsidR="00B13D6F" w:rsidRPr="00FF5741" w:rsidRDefault="006B5501" w:rsidP="001257CF">
            <w:pPr>
              <w:pStyle w:val="EPTerm"/>
            </w:pPr>
            <w:r w:rsidRPr="00FF574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F5741" w:rsidRDefault="006B5501" w:rsidP="00C85D0F">
            <w:pPr>
              <w:pStyle w:val="EPLogo"/>
            </w:pPr>
            <w:r w:rsidRPr="00FF5741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807589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F5741" w:rsidRDefault="00461601" w:rsidP="00461601">
      <w:pPr>
        <w:pStyle w:val="LineTop"/>
      </w:pPr>
    </w:p>
    <w:p w:rsidR="00461601" w:rsidRPr="00FF5741" w:rsidRDefault="006B5501" w:rsidP="00461601">
      <w:pPr>
        <w:pStyle w:val="EPBody"/>
      </w:pPr>
      <w:r w:rsidRPr="00FF5741">
        <w:rPr>
          <w:rStyle w:val="HideTWBExt"/>
          <w:noProof w:val="0"/>
        </w:rPr>
        <w:t>&lt;</w:t>
      </w:r>
      <w:r w:rsidRPr="00FF5741">
        <w:rPr>
          <w:rStyle w:val="HideTWBExt"/>
          <w:i w:val="0"/>
          <w:noProof w:val="0"/>
        </w:rPr>
        <w:t>Commission</w:t>
      </w:r>
      <w:r w:rsidRPr="00FF5741">
        <w:rPr>
          <w:rStyle w:val="HideTWBExt"/>
          <w:noProof w:val="0"/>
        </w:rPr>
        <w:t>&gt;</w:t>
      </w:r>
      <w:r w:rsidRPr="00FF5741">
        <w:rPr>
          <w:rStyle w:val="HideTWBInt"/>
          <w:color w:val="auto"/>
        </w:rPr>
        <w:t>{LIBE}</w:t>
      </w:r>
      <w:r w:rsidRPr="00FF5741">
        <w:t>Výbor pre občianske slobody, spravodlivosť a vnútorné veci</w:t>
      </w:r>
      <w:r w:rsidRPr="00FF5741">
        <w:rPr>
          <w:rStyle w:val="HideTWBExt"/>
          <w:noProof w:val="0"/>
        </w:rPr>
        <w:t>&lt;/</w:t>
      </w:r>
      <w:r w:rsidRPr="00FF5741">
        <w:rPr>
          <w:rStyle w:val="HideTWBExt"/>
          <w:i w:val="0"/>
          <w:noProof w:val="0"/>
        </w:rPr>
        <w:t>Commission</w:t>
      </w:r>
      <w:r w:rsidRPr="00FF5741">
        <w:rPr>
          <w:rStyle w:val="HideTWBExt"/>
          <w:noProof w:val="0"/>
        </w:rPr>
        <w:t>&gt;</w:t>
      </w:r>
    </w:p>
    <w:p w:rsidR="00461601" w:rsidRPr="00FF5741" w:rsidRDefault="00461601" w:rsidP="00461601">
      <w:pPr>
        <w:pStyle w:val="LineBottom"/>
      </w:pPr>
    </w:p>
    <w:p w:rsidR="00793EA9" w:rsidRPr="00FF5741" w:rsidRDefault="006B5501">
      <w:pPr>
        <w:pStyle w:val="CoverReference"/>
      </w:pPr>
      <w:r w:rsidRPr="00FF5741">
        <w:rPr>
          <w:rStyle w:val="HideTWBExt"/>
          <w:b w:val="0"/>
          <w:noProof w:val="0"/>
        </w:rPr>
        <w:t>&lt;RefProc&gt;</w:t>
      </w:r>
      <w:r w:rsidRPr="00FF5741">
        <w:t>2022/0135</w:t>
      </w:r>
      <w:r w:rsidRPr="00FF5741">
        <w:rPr>
          <w:rStyle w:val="HideTWBExt"/>
          <w:b w:val="0"/>
          <w:noProof w:val="0"/>
        </w:rPr>
        <w:t>&lt;/RefProc&gt;&lt;RefTypeProc&gt;</w:t>
      </w:r>
      <w:r w:rsidRPr="00FF5741">
        <w:t>(COD)</w:t>
      </w:r>
      <w:r w:rsidRPr="00FF5741">
        <w:rPr>
          <w:rStyle w:val="HideTWBExt"/>
          <w:b w:val="0"/>
          <w:noProof w:val="0"/>
        </w:rPr>
        <w:t>&lt;/RefTypeProc&gt;</w:t>
      </w:r>
    </w:p>
    <w:p w:rsidR="00793EA9" w:rsidRPr="00FF5741" w:rsidRDefault="006B5501">
      <w:pPr>
        <w:pStyle w:val="CoverDate"/>
      </w:pPr>
      <w:r w:rsidRPr="00FF5741">
        <w:rPr>
          <w:rStyle w:val="HideTWBExt"/>
          <w:noProof w:val="0"/>
        </w:rPr>
        <w:t>&lt;Date&gt;</w:t>
      </w:r>
      <w:r w:rsidRPr="00FF5741">
        <w:rPr>
          <w:rStyle w:val="HideTWBInt"/>
          <w:color w:val="auto"/>
        </w:rPr>
        <w:t>{16/09/2022}</w:t>
      </w:r>
      <w:r w:rsidRPr="00FF5741">
        <w:t>16.9.2022</w:t>
      </w:r>
      <w:r w:rsidRPr="00FF5741">
        <w:rPr>
          <w:rStyle w:val="HideTWBExt"/>
          <w:noProof w:val="0"/>
        </w:rPr>
        <w:t>&lt;/Date&gt;</w:t>
      </w:r>
    </w:p>
    <w:p w:rsidR="00793EA9" w:rsidRPr="00FF5741" w:rsidRDefault="006B5501">
      <w:pPr>
        <w:pStyle w:val="CoverDocType"/>
      </w:pPr>
      <w:r w:rsidRPr="00FF5741">
        <w:rPr>
          <w:rStyle w:val="HideTWBExt"/>
          <w:b w:val="0"/>
          <w:noProof w:val="0"/>
        </w:rPr>
        <w:t>&lt;RefProcLect&gt;</w:t>
      </w:r>
      <w:r w:rsidRPr="00FF5741">
        <w:t>***I</w:t>
      </w:r>
      <w:r w:rsidRPr="00FF5741">
        <w:rPr>
          <w:rStyle w:val="HideTWBExt"/>
          <w:b w:val="0"/>
          <w:noProof w:val="0"/>
        </w:rPr>
        <w:t>&lt;/RefProcLect&gt;</w:t>
      </w:r>
    </w:p>
    <w:p w:rsidR="00793EA9" w:rsidRPr="00FF5741" w:rsidRDefault="006B5501">
      <w:pPr>
        <w:pStyle w:val="CoverDocType24a"/>
      </w:pPr>
      <w:r w:rsidRPr="00FF5741">
        <w:rPr>
          <w:rStyle w:val="HideTWBExt"/>
          <w:b w:val="0"/>
          <w:noProof w:val="0"/>
        </w:rPr>
        <w:t>&lt;TitreType&gt;</w:t>
      </w:r>
      <w:r w:rsidRPr="00FF5741">
        <w:t>NÁVRH SPRÁVY</w:t>
      </w:r>
      <w:r w:rsidRPr="00FF5741">
        <w:rPr>
          <w:rStyle w:val="HideTWBExt"/>
          <w:b w:val="0"/>
          <w:noProof w:val="0"/>
        </w:rPr>
        <w:t>&lt;/TitreType&gt;</w:t>
      </w:r>
    </w:p>
    <w:p w:rsidR="00793EA9" w:rsidRPr="00FF5741" w:rsidRDefault="006B5501">
      <w:pPr>
        <w:pStyle w:val="CoverNormal"/>
      </w:pPr>
      <w:r w:rsidRPr="00FF5741">
        <w:rPr>
          <w:rStyle w:val="HideTWBExt"/>
          <w:noProof w:val="0"/>
        </w:rPr>
        <w:t>&lt;Titre&gt;</w:t>
      </w:r>
      <w:r w:rsidRPr="00FF5741">
        <w:t>o návrhu nariadenia Európskeho parlamentu a Rady, ktorým sa mení nariadenie (EÚ) 2018/1806 uvádzajúce zoznam tretích krajín, ktorých štátni príslušníci musia mať víza pri prekračovaní vonkajších hraníc členských š</w:t>
      </w:r>
      <w:r w:rsidRPr="00FF5741">
        <w:t>tátov, a krajín, ktorých štátni príslušníci sú od tejto povinnosti oslobodení (Kuvajt, Katar)</w:t>
      </w:r>
      <w:r w:rsidRPr="00FF5741">
        <w:rPr>
          <w:rStyle w:val="HideTWBExt"/>
          <w:noProof w:val="0"/>
        </w:rPr>
        <w:t>&lt;/Titre&gt;</w:t>
      </w:r>
    </w:p>
    <w:p w:rsidR="00793EA9" w:rsidRPr="00FF5741" w:rsidRDefault="006B5501">
      <w:pPr>
        <w:pStyle w:val="CoverNormal24a"/>
      </w:pPr>
      <w:r w:rsidRPr="00FF5741">
        <w:rPr>
          <w:rStyle w:val="HideTWBExt"/>
          <w:noProof w:val="0"/>
        </w:rPr>
        <w:t>&lt;DocRef&gt;</w:t>
      </w:r>
      <w:r w:rsidRPr="00FF5741">
        <w:t>(COM(2022)0189 – C9</w:t>
      </w:r>
      <w:r w:rsidRPr="00FF5741">
        <w:noBreakHyphen/>
        <w:t>0160/2022 – 2022/0135(COD))</w:t>
      </w:r>
      <w:r w:rsidRPr="00FF5741">
        <w:rPr>
          <w:rStyle w:val="HideTWBExt"/>
          <w:noProof w:val="0"/>
        </w:rPr>
        <w:t>&lt;/DocRef&gt;</w:t>
      </w:r>
    </w:p>
    <w:p w:rsidR="00793EA9" w:rsidRPr="00FF5741" w:rsidRDefault="006B5501">
      <w:pPr>
        <w:pStyle w:val="CoverNormal24a"/>
      </w:pPr>
      <w:r w:rsidRPr="00FF5741">
        <w:rPr>
          <w:rStyle w:val="HideTWBExt"/>
          <w:noProof w:val="0"/>
        </w:rPr>
        <w:t>&lt;Commission&gt;</w:t>
      </w:r>
      <w:r w:rsidRPr="00FF5741">
        <w:rPr>
          <w:rStyle w:val="HideTWBInt"/>
          <w:color w:val="auto"/>
        </w:rPr>
        <w:t>{LIBE}</w:t>
      </w:r>
      <w:r w:rsidRPr="00FF5741">
        <w:t>Výbor pre občianske slobody, spravodlivosť a vnútorné veci</w:t>
      </w:r>
      <w:r w:rsidRPr="00FF5741">
        <w:rPr>
          <w:rStyle w:val="HideTWBExt"/>
          <w:noProof w:val="0"/>
        </w:rPr>
        <w:t>&lt;/Commission&gt;</w:t>
      </w:r>
    </w:p>
    <w:p w:rsidR="00793EA9" w:rsidRPr="00FF5741" w:rsidRDefault="006B5501">
      <w:pPr>
        <w:pStyle w:val="CoverNormal24a"/>
      </w:pPr>
      <w:r w:rsidRPr="00FF5741">
        <w:t xml:space="preserve">Spravodajca: </w:t>
      </w:r>
      <w:r w:rsidRPr="00FF5741">
        <w:rPr>
          <w:rStyle w:val="HideTWBExt"/>
          <w:noProof w:val="0"/>
        </w:rPr>
        <w:t>&lt;Depute&gt;</w:t>
      </w:r>
      <w:r w:rsidRPr="00FF5741">
        <w:t>Erik Marquardt</w:t>
      </w:r>
      <w:r w:rsidRPr="00FF5741">
        <w:rPr>
          <w:rStyle w:val="HideTWBExt"/>
          <w:noProof w:val="0"/>
        </w:rPr>
        <w:t>&lt;/Depute&gt;</w:t>
      </w:r>
    </w:p>
    <w:p w:rsidR="001C5B44" w:rsidRPr="00FF5741" w:rsidRDefault="001C5B44" w:rsidP="001C5B44">
      <w:pPr>
        <w:pStyle w:val="CoverNormal"/>
      </w:pPr>
    </w:p>
    <w:p w:rsidR="001257CF" w:rsidRPr="00FF5741" w:rsidRDefault="006B5501" w:rsidP="00894923">
      <w:r w:rsidRPr="00FF5741">
        <w:br w:type="page"/>
      </w:r>
      <w:r w:rsidRPr="00FF5741">
        <w:lastRenderedPageBreak/>
        <w:fldChar w:fldCharType="begin"/>
      </w:r>
      <w:r w:rsidRPr="00FF5741">
        <w:instrText xml:space="preserve"> TITLE  \* MERGEFORMAT </w:instrText>
      </w:r>
      <w:r w:rsidRPr="00FF5741">
        <w:fldChar w:fldCharType="separate"/>
      </w:r>
      <w:r>
        <w:t>PR_COD_1amCom</w:t>
      </w:r>
      <w:r w:rsidRPr="00FF5741">
        <w:fldChar w:fldCharType="end"/>
      </w:r>
    </w:p>
    <w:p w:rsidR="001257CF" w:rsidRPr="00FF5741" w:rsidRDefault="001257CF" w:rsidP="00894923"/>
    <w:p w:rsidR="001257CF" w:rsidRPr="00FF5741" w:rsidRDefault="001257CF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C1550" w:rsidRPr="00FF5741">
        <w:tc>
          <w:tcPr>
            <w:tcW w:w="5811" w:type="dxa"/>
          </w:tcPr>
          <w:p w:rsidR="001257CF" w:rsidRPr="00FF5741" w:rsidRDefault="006B5501" w:rsidP="00894923">
            <w:pPr>
              <w:pStyle w:val="Lgendetitre"/>
            </w:pPr>
            <w:r w:rsidRPr="00FF5741">
              <w:t>Označenie postupov</w:t>
            </w:r>
          </w:p>
        </w:tc>
      </w:tr>
      <w:tr w:rsidR="00CC1550" w:rsidRPr="00FF5741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1257CF" w:rsidRPr="00FF5741" w:rsidRDefault="006B5501" w:rsidP="003506ED">
            <w:pPr>
              <w:pStyle w:val="Lgendesigne"/>
            </w:pPr>
            <w:r w:rsidRPr="00FF5741">
              <w:tab/>
              <w:t>*</w:t>
            </w:r>
            <w:r w:rsidRPr="00FF5741">
              <w:tab/>
              <w:t>Konzultácia</w:t>
            </w:r>
          </w:p>
          <w:p w:rsidR="001257CF" w:rsidRPr="00FF5741" w:rsidRDefault="006B5501" w:rsidP="003506ED">
            <w:pPr>
              <w:pStyle w:val="Lgendesigne"/>
            </w:pPr>
            <w:r w:rsidRPr="00FF5741">
              <w:tab/>
              <w:t>***</w:t>
            </w:r>
            <w:r w:rsidRPr="00FF5741">
              <w:tab/>
              <w:t>Súhlas</w:t>
            </w:r>
          </w:p>
          <w:p w:rsidR="001257CF" w:rsidRPr="00FF5741" w:rsidRDefault="006B5501" w:rsidP="003506ED">
            <w:pPr>
              <w:pStyle w:val="Lgendesigne"/>
            </w:pPr>
            <w:r w:rsidRPr="00FF5741">
              <w:tab/>
              <w:t>***I</w:t>
            </w:r>
            <w:r w:rsidRPr="00FF5741">
              <w:tab/>
              <w:t>Riadny legislatívny postup (prvé čítanie)</w:t>
            </w:r>
          </w:p>
          <w:p w:rsidR="001257CF" w:rsidRPr="00FF5741" w:rsidRDefault="006B5501" w:rsidP="003506ED">
            <w:pPr>
              <w:pStyle w:val="Lgendesigne"/>
            </w:pPr>
            <w:r w:rsidRPr="00FF5741">
              <w:tab/>
              <w:t>***II</w:t>
            </w:r>
            <w:r w:rsidRPr="00FF5741">
              <w:tab/>
              <w:t>Riadny legislatívny postup (druhé čítanie)</w:t>
            </w:r>
          </w:p>
          <w:p w:rsidR="001257CF" w:rsidRPr="00FF5741" w:rsidRDefault="006B5501" w:rsidP="003506ED">
            <w:pPr>
              <w:pStyle w:val="Lgendesigne"/>
            </w:pPr>
            <w:r w:rsidRPr="00FF5741">
              <w:tab/>
              <w:t>***III</w:t>
            </w:r>
            <w:r w:rsidRPr="00FF5741">
              <w:tab/>
              <w:t xml:space="preserve">Riadny </w:t>
            </w:r>
            <w:r w:rsidRPr="00FF5741">
              <w:t>legislatívny postup (tretie čítanie)</w:t>
            </w:r>
          </w:p>
          <w:p w:rsidR="001257CF" w:rsidRPr="00FF5741" w:rsidRDefault="001257CF" w:rsidP="003506ED">
            <w:pPr>
              <w:pStyle w:val="Lgendestandard"/>
            </w:pPr>
          </w:p>
          <w:p w:rsidR="001257CF" w:rsidRPr="00FF5741" w:rsidRDefault="006B5501" w:rsidP="003506ED">
            <w:pPr>
              <w:pStyle w:val="Lgendestandard"/>
            </w:pPr>
            <w:r w:rsidRPr="00FF5741">
              <w:t>(Typ postupu závisí od právneho základu navrhnutého v návrhu aktu.)</w:t>
            </w:r>
          </w:p>
          <w:p w:rsidR="001257CF" w:rsidRPr="00FF5741" w:rsidRDefault="001257CF" w:rsidP="00B54EAF">
            <w:pPr>
              <w:pStyle w:val="Lgendestandard"/>
            </w:pPr>
          </w:p>
        </w:tc>
      </w:tr>
    </w:tbl>
    <w:p w:rsidR="001257CF" w:rsidRPr="00FF5741" w:rsidRDefault="001257CF" w:rsidP="00894923"/>
    <w:p w:rsidR="001257CF" w:rsidRPr="00FF5741" w:rsidRDefault="001257CF" w:rsidP="00894923"/>
    <w:p w:rsidR="001257CF" w:rsidRPr="00FF5741" w:rsidRDefault="001257CF" w:rsidP="00894923"/>
    <w:p w:rsidR="001257CF" w:rsidRPr="00FF5741" w:rsidRDefault="001257CF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CC1550" w:rsidRPr="00FF5741">
        <w:tc>
          <w:tcPr>
            <w:tcW w:w="5811" w:type="dxa"/>
          </w:tcPr>
          <w:p w:rsidR="001257CF" w:rsidRPr="00FF5741" w:rsidRDefault="006B5501" w:rsidP="00894923">
            <w:pPr>
              <w:pStyle w:val="Lgendetitre"/>
            </w:pPr>
            <w:r w:rsidRPr="00FF5741">
              <w:t>Pozmeňujúce návrhy k návrhu aktu</w:t>
            </w:r>
          </w:p>
        </w:tc>
      </w:tr>
      <w:tr w:rsidR="00CC1550" w:rsidRPr="00FF5741" w:rsidTr="00554250">
        <w:trPr>
          <w:trHeight w:val="4496"/>
        </w:trPr>
        <w:tc>
          <w:tcPr>
            <w:tcW w:w="5811" w:type="dxa"/>
          </w:tcPr>
          <w:p w:rsidR="001257CF" w:rsidRPr="00FF5741" w:rsidRDefault="006B5501" w:rsidP="003506ED">
            <w:pPr>
              <w:pStyle w:val="Lgendestandard"/>
              <w:rPr>
                <w:szCs w:val="24"/>
              </w:rPr>
            </w:pPr>
            <w:r w:rsidRPr="00FF5741">
              <w:rPr>
                <w:b/>
              </w:rPr>
              <w:t>Pozmeňujúce návrhy Európskeho parlamentu v dvoch stĺpcoch</w:t>
            </w:r>
          </w:p>
          <w:p w:rsidR="001257CF" w:rsidRPr="00FF5741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FF5741" w:rsidRDefault="006B5501" w:rsidP="003506ED">
            <w:pPr>
              <w:pStyle w:val="Lgendestandard"/>
              <w:rPr>
                <w:szCs w:val="24"/>
              </w:rPr>
            </w:pPr>
            <w:r w:rsidRPr="00FF5741">
              <w:t xml:space="preserve">Vypustenia sa označujú </w:t>
            </w:r>
            <w:r w:rsidRPr="00FF5741">
              <w:rPr>
                <w:b/>
                <w:bCs/>
                <w:i/>
                <w:iCs/>
              </w:rPr>
              <w:t>hrubou kurzívou</w:t>
            </w:r>
            <w:r w:rsidRPr="00FF5741">
              <w:t xml:space="preserve"> v ľavom stĺpci. Nahradenia sa označujú </w:t>
            </w:r>
            <w:r w:rsidRPr="00FF5741">
              <w:rPr>
                <w:b/>
                <w:bCs/>
                <w:i/>
                <w:iCs/>
              </w:rPr>
              <w:t>hrubou kurzívou</w:t>
            </w:r>
            <w:r w:rsidRPr="00FF5741">
              <w:t xml:space="preserve"> v oboch stĺpcoch. Nový text sa označuje </w:t>
            </w:r>
            <w:r w:rsidRPr="00FF5741">
              <w:rPr>
                <w:b/>
                <w:bCs/>
                <w:i/>
                <w:iCs/>
              </w:rPr>
              <w:t>hrubou kurzívou</w:t>
            </w:r>
            <w:r w:rsidRPr="00FF5741">
              <w:t xml:space="preserve"> v pravom stĺpci.</w:t>
            </w:r>
          </w:p>
          <w:p w:rsidR="001257CF" w:rsidRPr="00FF5741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FF5741" w:rsidRDefault="006B5501" w:rsidP="003506ED">
            <w:pPr>
              <w:pStyle w:val="Lgendestandard"/>
              <w:rPr>
                <w:szCs w:val="24"/>
              </w:rPr>
            </w:pPr>
            <w:r w:rsidRPr="00FF5741">
              <w:t>Prvý a druhý riadok záhlavia každého pozmeňujúceho návrhu vymedzujú príslušnú časť v návrhu aktu predloženého na prerokovanie.</w:t>
            </w:r>
            <w:r w:rsidRPr="00FF5741">
              <w:t xml:space="preserve"> Ak sa pozmeňujúci návrh týka platného aktu, ktorý sa má návrhom aktu zmeniť, záhlavie navyše obsahuje tretí riadok uvádzajúci platný akt a štvrtý riadok uvádzajúci príslušné ustanovenie tohto aktu.</w:t>
            </w:r>
          </w:p>
          <w:p w:rsidR="001257CF" w:rsidRPr="00FF5741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FF5741" w:rsidRDefault="006B5501" w:rsidP="003506ED">
            <w:pPr>
              <w:pStyle w:val="Lgendestandard"/>
              <w:rPr>
                <w:b/>
                <w:szCs w:val="24"/>
              </w:rPr>
            </w:pPr>
            <w:r w:rsidRPr="00FF5741">
              <w:rPr>
                <w:b/>
              </w:rPr>
              <w:t>Pozmeňujúce návrhy Európskeho parlamentu v podobe konsol</w:t>
            </w:r>
            <w:r w:rsidRPr="00FF5741">
              <w:rPr>
                <w:b/>
              </w:rPr>
              <w:t>idovaného textu</w:t>
            </w:r>
          </w:p>
          <w:p w:rsidR="001257CF" w:rsidRPr="00FF5741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FF5741" w:rsidRDefault="006B5501" w:rsidP="003506ED">
            <w:pPr>
              <w:pStyle w:val="Lgendestandard"/>
              <w:rPr>
                <w:szCs w:val="24"/>
              </w:rPr>
            </w:pPr>
            <w:r w:rsidRPr="00FF5741">
              <w:t xml:space="preserve">Nové časti textov sa označujú </w:t>
            </w:r>
            <w:r w:rsidRPr="00FF5741">
              <w:rPr>
                <w:b/>
                <w:bCs/>
                <w:i/>
                <w:iCs/>
              </w:rPr>
              <w:t>hrubou kurzívou</w:t>
            </w:r>
            <w:r w:rsidRPr="00FF5741">
              <w:t xml:space="preserve">. Vypustené časti textu sa označujú symbolom ▌ alebo sa prečiarkujú. V prípade nahradenia sa nový text vyznačí </w:t>
            </w:r>
            <w:r w:rsidRPr="00FF5741">
              <w:rPr>
                <w:b/>
                <w:bCs/>
                <w:i/>
                <w:iCs/>
              </w:rPr>
              <w:t>hrubou kurzívou</w:t>
            </w:r>
            <w:r w:rsidRPr="00FF5741">
              <w:t xml:space="preserve"> a nahradený text sa vymaže alebo sa prečiarkne. </w:t>
            </w:r>
          </w:p>
          <w:p w:rsidR="001257CF" w:rsidRPr="00FF5741" w:rsidRDefault="006B5501" w:rsidP="003506ED">
            <w:pPr>
              <w:pStyle w:val="Lgendestandard"/>
            </w:pPr>
            <w:r w:rsidRPr="00FF5741">
              <w:t>Čisto technické zm</w:t>
            </w:r>
            <w:r w:rsidRPr="00FF5741">
              <w:t>eny, ktoré vykonávajú útvary s cieľom vypracovať konečný text, sa však nevyznačujú.</w:t>
            </w:r>
          </w:p>
          <w:p w:rsidR="001257CF" w:rsidRPr="00FF5741" w:rsidRDefault="001257CF" w:rsidP="0069092A">
            <w:pPr>
              <w:pStyle w:val="Lgendestandard"/>
            </w:pPr>
          </w:p>
        </w:tc>
      </w:tr>
    </w:tbl>
    <w:p w:rsidR="001257CF" w:rsidRPr="00FF5741" w:rsidRDefault="001257CF" w:rsidP="00894923"/>
    <w:p w:rsidR="00793EA9" w:rsidRPr="00FF5741" w:rsidRDefault="00793EA9" w:rsidP="00012351">
      <w:pPr>
        <w:widowControl/>
        <w:tabs>
          <w:tab w:val="center" w:pos="4677"/>
        </w:tabs>
      </w:pPr>
    </w:p>
    <w:p w:rsidR="00793EA9" w:rsidRPr="00FF5741" w:rsidRDefault="006B5501">
      <w:pPr>
        <w:pStyle w:val="TOCHeading"/>
      </w:pPr>
      <w:r w:rsidRPr="00FF5741">
        <w:br w:type="page"/>
      </w:r>
      <w:r w:rsidRPr="00FF5741">
        <w:lastRenderedPageBreak/>
        <w:t>OBSAH</w:t>
      </w:r>
    </w:p>
    <w:p w:rsidR="00793EA9" w:rsidRPr="00FF5741" w:rsidRDefault="006B5501">
      <w:pPr>
        <w:pStyle w:val="TOCPage"/>
      </w:pPr>
      <w:r w:rsidRPr="00FF5741">
        <w:t>strana</w:t>
      </w:r>
    </w:p>
    <w:p w:rsidR="006B5501" w:rsidRDefault="006B550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F5741">
        <w:rPr>
          <w:b/>
        </w:rPr>
        <w:fldChar w:fldCharType="begin"/>
      </w:r>
      <w:r w:rsidRPr="00FF5741">
        <w:rPr>
          <w:b/>
        </w:rPr>
        <w:instrText xml:space="preserve"> TOC \t "PageHeading</w:instrText>
      </w:r>
      <w:r w:rsidR="006456F0" w:rsidRPr="00FF5741">
        <w:rPr>
          <w:b/>
        </w:rPr>
        <w:instrText>;</w:instrText>
      </w:r>
      <w:r w:rsidRPr="00FF5741">
        <w:rPr>
          <w:b/>
        </w:rPr>
        <w:instrText xml:space="preserve">1" </w:instrText>
      </w:r>
      <w:r w:rsidRPr="00FF5741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_Toc115444347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501" w:rsidRDefault="006B550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DÔVODOVÁ SPRÁVA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_Toc115444348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46B0" w:rsidRPr="00FF5741" w:rsidRDefault="006B5501" w:rsidP="00C23324">
      <w:r w:rsidRPr="00FF5741">
        <w:rPr>
          <w:b/>
        </w:rPr>
        <w:fldChar w:fldCharType="end"/>
      </w:r>
    </w:p>
    <w:p w:rsidR="00793EA9" w:rsidRPr="00FF5741" w:rsidRDefault="006B5501">
      <w:pPr>
        <w:pStyle w:val="PageHeading"/>
      </w:pPr>
      <w:r w:rsidRPr="00FF5741">
        <w:br w:type="page"/>
      </w:r>
      <w:r w:rsidRPr="00FF5741">
        <w:lastRenderedPageBreak/>
        <w:br w:type="page"/>
      </w:r>
      <w:bookmarkStart w:id="1" w:name="_Toc115444347"/>
      <w:r w:rsidRPr="00FF5741">
        <w:lastRenderedPageBreak/>
        <w:t>NÁVRH LEGISLATÍVNEHO UZNESENIA EURÓPSKEHO PARLAMENTU</w:t>
      </w:r>
      <w:bookmarkEnd w:id="1"/>
    </w:p>
    <w:p w:rsidR="00793EA9" w:rsidRPr="00FF5741" w:rsidRDefault="006B5501">
      <w:pPr>
        <w:pStyle w:val="NormalBold"/>
      </w:pPr>
      <w:r w:rsidRPr="00FF5741">
        <w:t>o návrhu nariadenia Európskeho parlamentu a Rady, ktorým sa mení nariadenie (EÚ) 2018/1806 uvádzajúce zoznam tretích krajín, ktorých</w:t>
      </w:r>
      <w:r w:rsidRPr="00FF5741">
        <w:t xml:space="preserve"> štátni príslušníci musia mať víza pri prekračovaní vonkajších hraníc členských štátov, a krajín, ktorých štátni príslušníci sú od tejto povinnosti oslobodení (Kuvajt, Katar)</w:t>
      </w:r>
    </w:p>
    <w:p w:rsidR="00793EA9" w:rsidRPr="00FF5741" w:rsidRDefault="006B5501">
      <w:pPr>
        <w:pStyle w:val="NormalBold12a"/>
      </w:pPr>
      <w:r w:rsidRPr="00FF5741">
        <w:t>(COM(2022)0189 – C9</w:t>
      </w:r>
      <w:r w:rsidRPr="00FF5741">
        <w:noBreakHyphen/>
        <w:t>0160/2022 – 2022/0135(COD))</w:t>
      </w:r>
    </w:p>
    <w:p w:rsidR="00793EA9" w:rsidRPr="00FF5741" w:rsidRDefault="006B5501" w:rsidP="00A910C9">
      <w:pPr>
        <w:pStyle w:val="NormalBold"/>
      </w:pPr>
      <w:r w:rsidRPr="00FF5741">
        <w:t>(Riadny legislatívny postup: prvé</w:t>
      </w:r>
      <w:r w:rsidRPr="00FF5741">
        <w:t xml:space="preserve"> čítanie)</w:t>
      </w:r>
    </w:p>
    <w:p w:rsidR="00793EA9" w:rsidRPr="00FF5741" w:rsidRDefault="006B5501" w:rsidP="00A910C9">
      <w:pPr>
        <w:pStyle w:val="EPComma"/>
      </w:pPr>
      <w:r w:rsidRPr="00FF5741">
        <w:rPr>
          <w:i/>
          <w:iCs/>
        </w:rPr>
        <w:t>Európsky parlament,</w:t>
      </w:r>
    </w:p>
    <w:p w:rsidR="00793EA9" w:rsidRPr="00FF5741" w:rsidRDefault="006B5501">
      <w:pPr>
        <w:pStyle w:val="NormalHanging12a"/>
      </w:pPr>
      <w:r w:rsidRPr="00FF5741">
        <w:t>–</w:t>
      </w:r>
      <w:r w:rsidRPr="00FF5741">
        <w:tab/>
        <w:t>so zreteľom na návrh Komisie pre Európsky parlament a Radu (COM(2022)0189),</w:t>
      </w:r>
    </w:p>
    <w:p w:rsidR="00793EA9" w:rsidRPr="00FF5741" w:rsidRDefault="006B5501">
      <w:pPr>
        <w:pStyle w:val="NormalHanging12a"/>
      </w:pPr>
      <w:r w:rsidRPr="00FF5741">
        <w:t>–</w:t>
      </w:r>
      <w:r w:rsidRPr="00FF5741">
        <w:tab/>
        <w:t>so zreteľom na článok 294 ods. 2 a článok 77 ods. 2 písm. a) Zmluvy o fungovaní Európskej únie, v súlade s ktorými Komisia predložila návrh Európs</w:t>
      </w:r>
      <w:r w:rsidRPr="00FF5741">
        <w:t>kemu parlamentu (C9</w:t>
      </w:r>
      <w:r w:rsidRPr="00FF5741">
        <w:noBreakHyphen/>
        <w:t>0160/2022),</w:t>
      </w:r>
    </w:p>
    <w:p w:rsidR="00A26F46" w:rsidRPr="00FF5741" w:rsidRDefault="006B5501" w:rsidP="00A26F46">
      <w:pPr>
        <w:pStyle w:val="NormalHanging12a"/>
      </w:pPr>
      <w:r w:rsidRPr="00FF5741">
        <w:t>–</w:t>
      </w:r>
      <w:r w:rsidRPr="00FF5741">
        <w:tab/>
        <w:t>so zreteľom na článok 294 ods. 3 Zmluvy o fungovaní Európskej únie,</w:t>
      </w:r>
    </w:p>
    <w:p w:rsidR="00793EA9" w:rsidRPr="00FF5741" w:rsidRDefault="006B5501">
      <w:pPr>
        <w:pStyle w:val="NormalHanging12a"/>
      </w:pPr>
      <w:r w:rsidRPr="00FF5741">
        <w:t>–</w:t>
      </w:r>
      <w:r w:rsidRPr="00FF5741">
        <w:tab/>
        <w:t>so zreteľom na článok 59 rokovacieho poriadku,</w:t>
      </w:r>
    </w:p>
    <w:p w:rsidR="006A2F5D" w:rsidRPr="00FF5741" w:rsidRDefault="006B5501" w:rsidP="006A2F5D">
      <w:pPr>
        <w:pStyle w:val="NormalHanging12a"/>
      </w:pPr>
      <w:r w:rsidRPr="00FF5741">
        <w:t>–</w:t>
      </w:r>
      <w:r w:rsidRPr="00FF5741">
        <w:tab/>
        <w:t>so zreteľom na správu Výboru pre občianske slobody, spravodlivosť a vnútorné veci (A9</w:t>
      </w:r>
      <w:r w:rsidRPr="00FF5741">
        <w:noBreakHyphen/>
        <w:t>0000/2022),</w:t>
      </w:r>
    </w:p>
    <w:p w:rsidR="009F6C2F" w:rsidRPr="00FF5741" w:rsidRDefault="006B5501" w:rsidP="009F6C2F">
      <w:pPr>
        <w:pStyle w:val="NormalHanging12a"/>
      </w:pPr>
      <w:r w:rsidRPr="00FF5741">
        <w:t>1.</w:t>
      </w:r>
      <w:r w:rsidRPr="00FF5741">
        <w:tab/>
        <w:t>pr</w:t>
      </w:r>
      <w:r w:rsidRPr="00FF5741">
        <w:t>ijíma nasledujúcu pozíciu v prvom čítaní;</w:t>
      </w:r>
    </w:p>
    <w:p w:rsidR="009F6C2F" w:rsidRPr="00FF5741" w:rsidRDefault="006B5501" w:rsidP="009F6C2F">
      <w:pPr>
        <w:pStyle w:val="NormalHanging12a"/>
      </w:pPr>
      <w:r w:rsidRPr="00FF5741">
        <w:t>2.</w:t>
      </w:r>
      <w:r w:rsidRPr="00FF5741">
        <w:tab/>
        <w:t>žiada Komisiu, aby mu vec znovu predložila, ak nahrádza, podstatne mení alebo má v úmysle podstatne zmeniť svoj návrh;</w:t>
      </w:r>
    </w:p>
    <w:p w:rsidR="009F6C2F" w:rsidRPr="00FF5741" w:rsidRDefault="006B5501" w:rsidP="009F6C2F">
      <w:pPr>
        <w:pStyle w:val="NormalHanging12a"/>
      </w:pPr>
      <w:r w:rsidRPr="00FF5741">
        <w:t>3.</w:t>
      </w:r>
      <w:r w:rsidRPr="00FF5741">
        <w:tab/>
        <w:t>poveruje svoju predsedníčku, aby postúpila túto pozíciu Rade, Komisii a národným parlamen</w:t>
      </w:r>
      <w:r w:rsidRPr="00FF5741">
        <w:t>tom.</w:t>
      </w:r>
    </w:p>
    <w:p w:rsidR="00D30DE2" w:rsidRPr="00FF5741" w:rsidRDefault="00D30DE2" w:rsidP="00D30DE2"/>
    <w:p w:rsidR="002669B6" w:rsidRPr="00FF5741" w:rsidRDefault="006B5501" w:rsidP="00212B84">
      <w:pPr>
        <w:pStyle w:val="AmNumberTabs"/>
        <w:keepNext/>
      </w:pPr>
      <w:r w:rsidRPr="00FF5741">
        <w:rPr>
          <w:rStyle w:val="HideTWBExt"/>
          <w:b w:val="0"/>
          <w:noProof w:val="0"/>
        </w:rPr>
        <w:t>&lt;RepeatBlock-Amend&gt;</w:t>
      </w:r>
      <w:bookmarkStart w:id="2" w:name="restart"/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1</w:t>
      </w:r>
      <w:r w:rsidRPr="00FF5741">
        <w:rPr>
          <w:rStyle w:val="HideTWBExt"/>
          <w:b w:val="0"/>
          <w:noProof w:val="0"/>
        </w:rPr>
        <w:t>&lt;/NumAm&gt;</w:t>
      </w:r>
    </w:p>
    <w:bookmarkEnd w:id="2"/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>Odôvodnenie 3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Normal6"/>
            </w:pPr>
            <w:r w:rsidRPr="00FF5741">
              <w:t>(3)</w:t>
            </w:r>
            <w:r w:rsidRPr="00FF5741">
              <w:tab/>
            </w:r>
            <w:r w:rsidRPr="00FF5741">
              <w:rPr>
                <w:b/>
                <w:i/>
              </w:rPr>
              <w:t>Kuvajt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> </w:t>
            </w:r>
            <w:r w:rsidRPr="00FF5741">
              <w:t xml:space="preserve">Katar </w:t>
            </w:r>
            <w:r w:rsidRPr="00FF5741">
              <w:rPr>
                <w:b/>
                <w:i/>
              </w:rPr>
              <w:t xml:space="preserve">predstavujú malé riziko z hľadiska neregulárnej </w:t>
            </w:r>
            <w:r w:rsidRPr="00FF5741">
              <w:rPr>
                <w:b/>
                <w:i/>
              </w:rPr>
              <w:t>migrácie</w:t>
            </w:r>
            <w:r w:rsidRPr="00FF5741">
              <w:t xml:space="preserve"> do </w:t>
            </w:r>
            <w:r w:rsidRPr="00FF5741">
              <w:rPr>
                <w:b/>
                <w:i/>
              </w:rPr>
              <w:t>Únie a </w:t>
            </w:r>
            <w:r w:rsidRPr="00FF5741">
              <w:t>vydávajú biometrické pasy v</w:t>
            </w:r>
            <w:r w:rsidRPr="00FF5741">
              <w:rPr>
                <w:b/>
                <w:i/>
              </w:rPr>
              <w:t> </w:t>
            </w:r>
            <w:r w:rsidRPr="00FF5741">
              <w:t>súlade s</w:t>
            </w:r>
            <w:r w:rsidRPr="00FF5741">
              <w:rPr>
                <w:b/>
                <w:i/>
              </w:rPr>
              <w:t> </w:t>
            </w:r>
            <w:r w:rsidRPr="00FF5741">
              <w:t xml:space="preserve">normami Medzinárodnej organizácie civilného letectva. </w:t>
            </w:r>
            <w:r w:rsidRPr="00FF5741">
              <w:rPr>
                <w:b/>
                <w:i/>
              </w:rPr>
              <w:t xml:space="preserve">Bezpečnostná spolupráca s týmito krajinami sa v posledných rokoch </w:t>
            </w:r>
            <w:r w:rsidRPr="00FF5741">
              <w:rPr>
                <w:b/>
                <w:i/>
              </w:rPr>
              <w:lastRenderedPageBreak/>
              <w:t>zintenzívnila. Pokiaľ ide o hospodárske záujmy</w:t>
            </w:r>
            <w:r w:rsidRPr="00FF5741">
              <w:t xml:space="preserve">, </w:t>
            </w:r>
            <w:r w:rsidRPr="00FF5741">
              <w:rPr>
                <w:b/>
                <w:i/>
              </w:rPr>
              <w:t>Kuvajt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> Katar sú dôležitými hos</w:t>
            </w:r>
            <w:r w:rsidRPr="00FF5741">
              <w:rPr>
                <w:b/>
                <w:i/>
              </w:rPr>
              <w:t>podárskymi partnermi Únie</w:t>
            </w:r>
            <w:r w:rsidRPr="00FF5741">
              <w:t>, a</w:t>
            </w:r>
            <w:r w:rsidRPr="00FF5741">
              <w:rPr>
                <w:b/>
                <w:i/>
              </w:rPr>
              <w:t> to najmä v oblasti energetiky. Hoci</w:t>
            </w:r>
            <w:r w:rsidRPr="00FF5741">
              <w:t xml:space="preserve"> v</w:t>
            </w:r>
            <w:r w:rsidRPr="00FF5741">
              <w:rPr>
                <w:b/>
                <w:i/>
              </w:rPr>
              <w:t> </w:t>
            </w:r>
            <w:r w:rsidRPr="00FF5741">
              <w:t>oblasti ľudských práv a</w:t>
            </w:r>
            <w:r w:rsidRPr="00FF5741">
              <w:rPr>
                <w:b/>
                <w:i/>
              </w:rPr>
              <w:t> </w:t>
            </w:r>
            <w:r w:rsidRPr="00FF5741">
              <w:t xml:space="preserve">základných slobôd </w:t>
            </w:r>
            <w:r w:rsidRPr="00FF5741">
              <w:rPr>
                <w:b/>
                <w:i/>
              </w:rPr>
              <w:t>pretrvávajú výzvy, Kuvajt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> Katar prešli procesom</w:t>
            </w:r>
            <w:r w:rsidRPr="00FF5741">
              <w:t xml:space="preserve"> spoločenskej </w:t>
            </w:r>
            <w:r w:rsidRPr="00FF5741">
              <w:rPr>
                <w:b/>
                <w:i/>
              </w:rPr>
              <w:t>transformácie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> došlo k zlepšeniam v oblasti práv žien, pracovných práv, slobody náb</w:t>
            </w:r>
            <w:r w:rsidRPr="00FF5741">
              <w:rPr>
                <w:b/>
                <w:i/>
              </w:rPr>
              <w:t>oženského vyznania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> medzináboženského dialógu a očakáva</w:t>
            </w:r>
            <w:r w:rsidRPr="00FF5741">
              <w:t xml:space="preserve"> sa, že </w:t>
            </w:r>
            <w:r w:rsidRPr="00FF5741">
              <w:rPr>
                <w:b/>
                <w:i/>
              </w:rPr>
              <w:t>budú pokračovať v dosahovaní pokroku a reformách. Dlhodobé výhody bezvízového styku s EÚ môžu posilniť pozitívne trendy v týchto oblastiach</w:t>
            </w:r>
            <w:r w:rsidRPr="00FF5741">
              <w:t>.</w:t>
            </w:r>
          </w:p>
        </w:tc>
        <w:tc>
          <w:tcPr>
            <w:tcW w:w="4876" w:type="dxa"/>
          </w:tcPr>
          <w:p w:rsidR="00797A79" w:rsidRPr="00FF5741" w:rsidRDefault="006B5501" w:rsidP="00FE7349">
            <w:pPr>
              <w:pStyle w:val="Normal6"/>
              <w:rPr>
                <w:szCs w:val="24"/>
              </w:rPr>
            </w:pPr>
            <w:r w:rsidRPr="00FF5741">
              <w:lastRenderedPageBreak/>
              <w:t>(3)</w:t>
            </w:r>
            <w:r w:rsidRPr="00FF5741">
              <w:tab/>
            </w:r>
            <w:r w:rsidRPr="00FF5741">
              <w:rPr>
                <w:b/>
                <w:i/>
              </w:rPr>
              <w:t>Na základe posúdenia Komisie Kuvajt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 xml:space="preserve"> </w:t>
            </w:r>
            <w:r w:rsidRPr="00FF5741">
              <w:t xml:space="preserve">Katar </w:t>
            </w:r>
            <w:r w:rsidRPr="00FF5741">
              <w:rPr>
                <w:b/>
                <w:i/>
              </w:rPr>
              <w:t>spĺ</w:t>
            </w:r>
            <w:r w:rsidRPr="00FF5741">
              <w:rPr>
                <w:b/>
                <w:i/>
              </w:rPr>
              <w:t>ňajú kritériá stanovené v nariadení (EÚ) 2018/1806, ktoré umožňujú ich zaradenie</w:t>
            </w:r>
            <w:r w:rsidRPr="00FF5741">
              <w:t xml:space="preserve"> do </w:t>
            </w:r>
            <w:r w:rsidRPr="00FF5741">
              <w:rPr>
                <w:b/>
                <w:i/>
              </w:rPr>
              <w:t xml:space="preserve">zoznamu krajín, ktorých štátni príslušníci sú oslobodení od vízovej povinnosti. Obe krajiny tiež </w:t>
            </w:r>
            <w:r w:rsidRPr="00FF5741">
              <w:t>vydávajú biometrické pasy v</w:t>
            </w:r>
            <w:r w:rsidRPr="00FF5741">
              <w:rPr>
                <w:b/>
                <w:i/>
              </w:rPr>
              <w:t xml:space="preserve"> </w:t>
            </w:r>
            <w:r w:rsidRPr="00FF5741">
              <w:lastRenderedPageBreak/>
              <w:t>súlade s</w:t>
            </w:r>
            <w:r w:rsidRPr="00FF5741">
              <w:rPr>
                <w:b/>
                <w:i/>
              </w:rPr>
              <w:t xml:space="preserve"> </w:t>
            </w:r>
            <w:r w:rsidRPr="00FF5741">
              <w:t>normami Medzinárodnej organizácie civi</w:t>
            </w:r>
            <w:r w:rsidRPr="00FF5741">
              <w:t xml:space="preserve">lného letectva. </w:t>
            </w:r>
            <w:r w:rsidRPr="00FF5741">
              <w:rPr>
                <w:b/>
                <w:i/>
              </w:rPr>
              <w:t>Ako sa však uvádza v posúdení Komisie [pracovný dokument útvarov Komisie o splnení kritérií uvedených</w:t>
            </w:r>
            <w:r w:rsidRPr="00FF5741">
              <w:t xml:space="preserve"> v</w:t>
            </w:r>
            <w:r w:rsidRPr="00FF5741">
              <w:rPr>
                <w:b/>
                <w:i/>
              </w:rPr>
              <w:t xml:space="preserve"> článku 1 nariadenia (EÚ) 2018/1806 Kuvajtom a Katarom]</w:t>
            </w:r>
            <w:r w:rsidRPr="00FF5741">
              <w:t xml:space="preserve">, </w:t>
            </w:r>
            <w:r w:rsidRPr="00FF5741">
              <w:rPr>
                <w:b/>
                <w:i/>
              </w:rPr>
              <w:t>vo výročnej správe EÚ o ľudských právach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 xml:space="preserve"> demokracii vo svete za rok 2021 (sprá</w:t>
            </w:r>
            <w:r w:rsidRPr="00FF5741">
              <w:rPr>
                <w:b/>
                <w:i/>
              </w:rPr>
              <w:t>vy o jednotlivých krajinách), ktorú vypracovala ESVČ</w:t>
            </w:r>
            <w:r w:rsidRPr="00FF5741">
              <w:t>, a</w:t>
            </w:r>
            <w:r w:rsidRPr="00FF5741">
              <w:rPr>
                <w:b/>
                <w:i/>
              </w:rPr>
              <w:t xml:space="preserve"> v rôznych správach mimovládnych organizácií, pretrvávajú vážne obavy a mnohé výzvy</w:t>
            </w:r>
            <w:r w:rsidRPr="00FF5741">
              <w:t xml:space="preserve"> v</w:t>
            </w:r>
            <w:r w:rsidRPr="00FF5741">
              <w:rPr>
                <w:b/>
                <w:i/>
              </w:rPr>
              <w:t xml:space="preserve"> </w:t>
            </w:r>
            <w:r w:rsidRPr="00FF5741">
              <w:t>oblasti ľudských práv a</w:t>
            </w:r>
            <w:r w:rsidRPr="00FF5741">
              <w:rPr>
                <w:b/>
                <w:i/>
              </w:rPr>
              <w:t xml:space="preserve"> </w:t>
            </w:r>
            <w:r w:rsidRPr="00FF5741">
              <w:t xml:space="preserve">základných slobôd </w:t>
            </w:r>
            <w:r w:rsidRPr="00FF5741">
              <w:rPr>
                <w:b/>
                <w:i/>
              </w:rPr>
              <w:t>v Kuvajte a Katare,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 xml:space="preserve"> to aj napriek nedávnej a prebiehajúcej</w:t>
            </w:r>
            <w:r w:rsidRPr="00FF5741">
              <w:t xml:space="preserve"> spoločenskej</w:t>
            </w:r>
            <w:r w:rsidRPr="00FF5741">
              <w:t xml:space="preserve"> </w:t>
            </w:r>
            <w:r w:rsidRPr="00FF5741">
              <w:rPr>
                <w:b/>
                <w:i/>
              </w:rPr>
              <w:t>transformácii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 xml:space="preserve"> legislatívnym zmenám. S cieľom zaručiť účinnosť oslobodenia od vízovej povinnosti</w:t>
            </w:r>
            <w:r w:rsidRPr="00FF5741">
              <w:t xml:space="preserve"> a</w:t>
            </w:r>
            <w:r w:rsidRPr="00FF5741">
              <w:rPr>
                <w:b/>
                <w:i/>
              </w:rPr>
              <w:t xml:space="preserve"> jeho úplnú reciprocitu by dohoda o zrušení vízovej povinnosti mala zabezpečiť, aby</w:t>
            </w:r>
            <w:r w:rsidRPr="00FF5741">
              <w:t xml:space="preserve"> sa</w:t>
            </w:r>
            <w:r w:rsidRPr="00FF5741">
              <w:rPr>
                <w:b/>
                <w:i/>
              </w:rPr>
              <w:t xml:space="preserve"> odstránili všetky prekážky brániace využívaniu výhod bezvízového styk</w:t>
            </w:r>
            <w:r w:rsidRPr="00FF5741">
              <w:rPr>
                <w:b/>
                <w:i/>
              </w:rPr>
              <w:t>u pri prekračovaní vonkajších hraníc členských štátov tým</w:t>
            </w:r>
            <w:r w:rsidRPr="00FF5741">
              <w:t xml:space="preserve">, že </w:t>
            </w:r>
            <w:r w:rsidRPr="00FF5741">
              <w:rPr>
                <w:b/>
                <w:i/>
              </w:rPr>
              <w:t>sa oprávneným osobám umožní prístup na nediskriminačnom základe, najmä nezávislý prístup k cestovaniu pre ženy, členov komunity LGBTIQ+ a osoby bez štátnej príslušnosti</w:t>
            </w:r>
            <w:r w:rsidRPr="00FF5741">
              <w:t xml:space="preserve">. </w:t>
            </w:r>
            <w:r w:rsidRPr="00FF5741">
              <w:rPr>
                <w:b/>
                <w:i/>
              </w:rPr>
              <w:t>Tieto podmienky by sa ma</w:t>
            </w:r>
            <w:r w:rsidRPr="00FF5741">
              <w:rPr>
                <w:b/>
                <w:i/>
              </w:rPr>
              <w:t>li zohľadniť v dvojstranných dohodách o zrušení vízovej povinnosti, ktoré sa majú uzatvoriť medzi Úniou a týmito krajinami.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lastRenderedPageBreak/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</w:t>
      </w:r>
    </w:p>
    <w:p w:rsidR="00797A79" w:rsidRPr="00FF5741" w:rsidRDefault="006B5501" w:rsidP="00797A79">
      <w:pPr>
        <w:pStyle w:val="AMNumberTabs0"/>
        <w:keepNext/>
      </w:pPr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2</w:t>
      </w:r>
      <w:r w:rsidRPr="00FF5741">
        <w:rPr>
          <w:rStyle w:val="HideTWBExt"/>
          <w:b w:val="0"/>
          <w:noProof w:val="0"/>
        </w:rPr>
        <w:t>&lt;/NumAm&gt;</w:t>
      </w:r>
    </w:p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>Odôvodnenie 3 a (nové)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FF5741" w:rsidRDefault="006B5501" w:rsidP="00FE7349">
            <w:pPr>
              <w:pStyle w:val="Normal6"/>
              <w:rPr>
                <w:szCs w:val="24"/>
              </w:rPr>
            </w:pPr>
            <w:r w:rsidRPr="00FF5741">
              <w:rPr>
                <w:b/>
                <w:i/>
              </w:rPr>
              <w:t>(3a)</w:t>
            </w:r>
            <w:r w:rsidRPr="00FF5741">
              <w:rPr>
                <w:b/>
                <w:i/>
              </w:rPr>
              <w:tab/>
              <w:t xml:space="preserve">Okrem toho by sa s Kuvajtom a Katarom mal viesť plnohodnotný oficiálny dialóg o ľudských právach, ktorý by viedol k hmatateľným zlepšeniam a úspechom, okrem iného aj v </w:t>
            </w:r>
            <w:r w:rsidRPr="00FF5741">
              <w:rPr>
                <w:b/>
                <w:i/>
              </w:rPr>
              <w:t xml:space="preserve">oblasti pracovných práv a práv pracovníkov vrátane práv migrujúcich pracovníkov, </w:t>
            </w:r>
            <w:r w:rsidRPr="00FF5741">
              <w:rPr>
                <w:b/>
                <w:i/>
              </w:rPr>
              <w:lastRenderedPageBreak/>
              <w:t>práv žien, LGBTIQ+ osôb, slobody náboženského vyznania, zákazu mučenia, slobody slova, práva na zhromažďovanie a zákazu trestu smrti. Dvojstranné dohody o zrušení vízovej povi</w:t>
            </w:r>
            <w:r w:rsidRPr="00FF5741">
              <w:rPr>
                <w:b/>
                <w:i/>
              </w:rPr>
              <w:t>nnosti medzi Úniou a Kuvajtom a Úniou a Katarom by mali obsahovať výslovné a konkrétne záväzky v záujme splnenia tohto cieľa.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lastRenderedPageBreak/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</w:t>
      </w:r>
    </w:p>
    <w:p w:rsidR="00797A79" w:rsidRPr="00FF5741" w:rsidRDefault="006B5501" w:rsidP="00797A79">
      <w:pPr>
        <w:pStyle w:val="AMNumberTabs0"/>
        <w:keepNext/>
      </w:pPr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3</w:t>
      </w:r>
      <w:r w:rsidRPr="00FF5741">
        <w:rPr>
          <w:rStyle w:val="HideTWBExt"/>
          <w:b w:val="0"/>
          <w:noProof w:val="0"/>
        </w:rPr>
        <w:t>&lt;/NumAm&gt;</w:t>
      </w:r>
    </w:p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>Odôvodnenie 4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Normal6"/>
            </w:pPr>
            <w:r w:rsidRPr="00FF5741">
              <w:t>(4)</w:t>
            </w:r>
            <w:r w:rsidRPr="00FF5741">
              <w:tab/>
            </w:r>
            <w:r w:rsidRPr="00FF5741">
              <w:rPr>
                <w:b/>
                <w:i/>
              </w:rPr>
              <w:t>Štátni</w:t>
            </w:r>
            <w:r w:rsidRPr="00FF5741">
              <w:t xml:space="preserve"> príslušníci týchto krajín by</w:t>
            </w:r>
            <w:r w:rsidRPr="00FF5741">
              <w:rPr>
                <w:b/>
                <w:i/>
              </w:rPr>
              <w:t xml:space="preserve"> preto</w:t>
            </w:r>
            <w:r w:rsidRPr="00FF5741">
              <w:t xml:space="preserve"> mali byť oslobodení od vízovej povinnosti pre pobyty nepresahujúce spolu 90 dní v rámci akéhokoľvek 180-dňového obdobia, a odkazy na tieto krajiny by sa mali presunúť do prílohy II k nariadeniu (EÚ) 2018/1806.</w:t>
            </w:r>
          </w:p>
        </w:tc>
        <w:tc>
          <w:tcPr>
            <w:tcW w:w="4876" w:type="dxa"/>
          </w:tcPr>
          <w:p w:rsidR="00797A79" w:rsidRPr="00FF5741" w:rsidRDefault="006B5501" w:rsidP="00885C34">
            <w:pPr>
              <w:pStyle w:val="Normal6"/>
              <w:rPr>
                <w:szCs w:val="24"/>
              </w:rPr>
            </w:pPr>
            <w:r w:rsidRPr="00FF5741">
              <w:t>(4)</w:t>
            </w:r>
            <w:r w:rsidRPr="00FF5741">
              <w:tab/>
            </w:r>
            <w:r w:rsidRPr="00FF5741">
              <w:rPr>
                <w:b/>
                <w:i/>
              </w:rPr>
              <w:t>Vzhľadom na to, že dlhodobé výhody bezvíz</w:t>
            </w:r>
            <w:r w:rsidRPr="00FF5741">
              <w:rPr>
                <w:b/>
                <w:i/>
              </w:rPr>
              <w:t>ového styku a vzájomnej výmeny s EÚ môžu posilniť pozitívne trendy aj v oblasti ľudských práv a základných slobôd, štátni</w:t>
            </w:r>
            <w:r w:rsidRPr="00FF5741">
              <w:t xml:space="preserve"> príslušníci týchto krajín by mali byť oslobodení od vízovej povinnosti pre pobyty nepresahujúce spolu 90 dní v rámci akéhokoľvek 180-d</w:t>
            </w:r>
            <w:r w:rsidRPr="00FF5741">
              <w:t>ňového obdobia, a odkazy na tieto krajiny by sa mali presunúť do prílohy II k nariadeniu (EÚ) 2018/1806.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</w:t>
      </w:r>
    </w:p>
    <w:p w:rsidR="00797A79" w:rsidRPr="00FF5741" w:rsidRDefault="006B5501" w:rsidP="00797A79">
      <w:pPr>
        <w:pStyle w:val="AMNumberTabs0"/>
        <w:keepNext/>
      </w:pPr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4</w:t>
      </w:r>
      <w:r w:rsidRPr="00FF5741">
        <w:rPr>
          <w:rStyle w:val="HideTWBExt"/>
          <w:b w:val="0"/>
          <w:noProof w:val="0"/>
        </w:rPr>
        <w:t>&lt;/NumAm&gt;</w:t>
      </w:r>
    </w:p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 xml:space="preserve">Odôvodnenie 4 a </w:t>
      </w:r>
      <w:r w:rsidRPr="00FF5741">
        <w:t>(nové)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FF5741" w:rsidRDefault="006B5501" w:rsidP="0012324A">
            <w:pPr>
              <w:pStyle w:val="Normal6"/>
              <w:rPr>
                <w:szCs w:val="24"/>
              </w:rPr>
            </w:pPr>
            <w:r w:rsidRPr="00FF5741">
              <w:rPr>
                <w:b/>
                <w:i/>
              </w:rPr>
              <w:t>(4a)</w:t>
            </w:r>
            <w:r w:rsidRPr="00FF5741">
              <w:rPr>
                <w:b/>
                <w:i/>
              </w:rPr>
              <w:tab/>
              <w:t>S cieľom posúdiť výhody, úspechy a možné zlepšenia spojené so vzájomným oslobodením od vízovej povinnosti by sa v dvojstranných dohodách o zrušení vízovej povinnosti medzi Úniou a Kuvajto</w:t>
            </w:r>
            <w:r w:rsidRPr="00FF5741">
              <w:rPr>
                <w:b/>
                <w:i/>
              </w:rPr>
              <w:t>m a Úniou a Katarom mala stanoviť povinnosť Komisie pravidelne hodnotiť vykonávanie ich ustanovení vrátane ich rozmeru ľudských práv.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</w:t>
      </w:r>
    </w:p>
    <w:p w:rsidR="00797A79" w:rsidRPr="00FF5741" w:rsidRDefault="006B5501" w:rsidP="00797A79">
      <w:pPr>
        <w:pStyle w:val="AMNumberTabs0"/>
        <w:keepNext/>
      </w:pPr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5</w:t>
      </w:r>
      <w:r w:rsidRPr="00FF5741">
        <w:rPr>
          <w:rStyle w:val="HideTWBExt"/>
          <w:b w:val="0"/>
          <w:noProof w:val="0"/>
        </w:rPr>
        <w:t>&lt;/NumAm&gt;</w:t>
      </w:r>
    </w:p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>Odôvodnenie 6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Normal6"/>
            </w:pPr>
            <w:r w:rsidRPr="00FF5741">
              <w:t>(6)</w:t>
            </w:r>
            <w:r w:rsidRPr="00FF5741">
              <w:tab/>
              <w:t xml:space="preserve">Najmä v záujme zabezpečenia zachovania úplnej reciprocity by sa oslobodenie štátnych príslušníkov Kuvajtu a Kataru od vízovej povinnosti malo uplatňovať až po uzavretí </w:t>
            </w:r>
            <w:r w:rsidRPr="00FF5741">
              <w:t>dvojstranných dohôd medzi Úniou a Kuvajtom a Katarom o zrušení vízovej povinnosti.</w:t>
            </w:r>
          </w:p>
        </w:tc>
        <w:tc>
          <w:tcPr>
            <w:tcW w:w="4876" w:type="dxa"/>
          </w:tcPr>
          <w:p w:rsidR="00797A79" w:rsidRPr="00FF5741" w:rsidRDefault="006B5501" w:rsidP="00885C34">
            <w:pPr>
              <w:pStyle w:val="Normal6"/>
              <w:rPr>
                <w:szCs w:val="24"/>
              </w:rPr>
            </w:pPr>
            <w:r w:rsidRPr="00FF5741">
              <w:t>(6)</w:t>
            </w:r>
            <w:r w:rsidRPr="00FF5741">
              <w:tab/>
              <w:t xml:space="preserve">Najmä v záujme zabezpečenia zachovania úplnej reciprocity by sa oslobodenie štátnych príslušníkov Kuvajtu a Kataru od vízovej povinnosti malo uplatňovať až po uzavretí </w:t>
            </w:r>
            <w:r w:rsidRPr="00FF5741">
              <w:t xml:space="preserve">dvojstranných dohôd medzi Úniou a Kuvajtom a Katarom o zrušení vízovej povinnosti. </w:t>
            </w:r>
            <w:r w:rsidRPr="00FF5741">
              <w:rPr>
                <w:b/>
                <w:i/>
              </w:rPr>
              <w:t>Uzavretie dvojstranných dohôd o zrušení vízovej povinnosti medzi Úniou a Kuvajtom a Úniou a Katarom by nemalo závisieť od uzavretia dvojstranných dohôd týkajúcich sa iných o</w:t>
            </w:r>
            <w:r w:rsidRPr="00FF5741">
              <w:rPr>
                <w:b/>
                <w:i/>
              </w:rPr>
              <w:t>blastí politiky, ako je návrat alebo readmisia, ani by s ním nemalo byť inak prepojené.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</w:t>
      </w:r>
    </w:p>
    <w:p w:rsidR="00797A79" w:rsidRPr="00FF5741" w:rsidRDefault="006B5501" w:rsidP="00797A79">
      <w:pPr>
        <w:pStyle w:val="AMNumberTabs0"/>
        <w:keepNext/>
      </w:pPr>
      <w:r w:rsidRPr="00FF5741">
        <w:rPr>
          <w:rStyle w:val="HideTWBExt"/>
          <w:b w:val="0"/>
          <w:noProof w:val="0"/>
        </w:rPr>
        <w:t>&lt;Amend&gt;</w:t>
      </w:r>
      <w:r w:rsidRPr="00FF5741">
        <w:t>Pozmeňujúci návrh</w:t>
      </w:r>
      <w:r w:rsidRPr="00FF5741">
        <w:tab/>
      </w:r>
      <w:r w:rsidRPr="00FF5741">
        <w:tab/>
      </w:r>
      <w:r w:rsidRPr="00FF5741">
        <w:rPr>
          <w:rStyle w:val="HideTWBExt"/>
          <w:b w:val="0"/>
          <w:noProof w:val="0"/>
        </w:rPr>
        <w:t>&lt;NumAm&gt;</w:t>
      </w:r>
      <w:r w:rsidRPr="00FF5741">
        <w:t>6</w:t>
      </w:r>
      <w:r w:rsidRPr="00FF5741">
        <w:rPr>
          <w:rStyle w:val="HideTWBExt"/>
          <w:b w:val="0"/>
          <w:noProof w:val="0"/>
        </w:rPr>
        <w:t>&lt;/NumAm&gt;</w:t>
      </w:r>
    </w:p>
    <w:p w:rsidR="00797A79" w:rsidRPr="00FF5741" w:rsidRDefault="006B5501" w:rsidP="00797A79">
      <w:pPr>
        <w:pStyle w:val="NormalBold12b"/>
        <w:keepNext/>
      </w:pPr>
      <w:r w:rsidRPr="00FF5741">
        <w:rPr>
          <w:rStyle w:val="HideTWBExt"/>
          <w:b w:val="0"/>
          <w:noProof w:val="0"/>
        </w:rPr>
        <w:t>&lt;DocAmend&gt;</w:t>
      </w:r>
      <w:r w:rsidRPr="00FF5741">
        <w:t>Návrh nariadenia</w:t>
      </w:r>
      <w:r w:rsidRPr="00FF5741">
        <w:rPr>
          <w:rStyle w:val="HideTWBExt"/>
          <w:b w:val="0"/>
          <w:noProof w:val="0"/>
        </w:rPr>
        <w:t>&lt;/DocAmend&gt;</w:t>
      </w:r>
    </w:p>
    <w:p w:rsidR="00797A79" w:rsidRPr="00FF5741" w:rsidRDefault="006B5501" w:rsidP="00797A79">
      <w:pPr>
        <w:pStyle w:val="NormalBold"/>
      </w:pPr>
      <w:r w:rsidRPr="00FF5741">
        <w:rPr>
          <w:rStyle w:val="HideTWBExt"/>
          <w:b w:val="0"/>
          <w:noProof w:val="0"/>
        </w:rPr>
        <w:t>&lt;Article&gt;</w:t>
      </w:r>
      <w:r w:rsidRPr="00FF5741">
        <w:t>Odôvodnenie 6 a (nové)</w:t>
      </w:r>
      <w:r w:rsidRPr="00FF5741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1550" w:rsidRPr="00FF5741" w:rsidTr="002E3887">
        <w:trPr>
          <w:jc w:val="center"/>
        </w:trPr>
        <w:tc>
          <w:tcPr>
            <w:tcW w:w="9752" w:type="dxa"/>
            <w:gridSpan w:val="2"/>
          </w:tcPr>
          <w:p w:rsidR="00797A79" w:rsidRPr="00FF5741" w:rsidRDefault="00797A79" w:rsidP="002E3887">
            <w:pPr>
              <w:keepNext/>
            </w:pP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T</w:t>
            </w:r>
            <w:r w:rsidRPr="00FF5741">
              <w:t>ext predložený Komisiou</w:t>
            </w:r>
          </w:p>
        </w:tc>
        <w:tc>
          <w:tcPr>
            <w:tcW w:w="4876" w:type="dxa"/>
          </w:tcPr>
          <w:p w:rsidR="00797A79" w:rsidRPr="00FF5741" w:rsidRDefault="006B5501" w:rsidP="002E3887">
            <w:pPr>
              <w:pStyle w:val="ColumnHeading"/>
              <w:keepNext/>
            </w:pPr>
            <w:r w:rsidRPr="00FF5741">
              <w:t>Pozmeňujúci návrh</w:t>
            </w:r>
          </w:p>
        </w:tc>
      </w:tr>
      <w:tr w:rsidR="00CC1550" w:rsidRPr="00FF5741" w:rsidTr="002E3887">
        <w:trPr>
          <w:jc w:val="center"/>
        </w:trPr>
        <w:tc>
          <w:tcPr>
            <w:tcW w:w="4876" w:type="dxa"/>
          </w:tcPr>
          <w:p w:rsidR="00797A79" w:rsidRPr="00FF5741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FF5741" w:rsidRDefault="006B5501" w:rsidP="00885C34">
            <w:pPr>
              <w:pStyle w:val="Normal6"/>
              <w:rPr>
                <w:szCs w:val="24"/>
              </w:rPr>
            </w:pPr>
            <w:r w:rsidRPr="00FF5741">
              <w:rPr>
                <w:b/>
                <w:i/>
              </w:rPr>
              <w:t>(6a)</w:t>
            </w:r>
            <w:r w:rsidRPr="00FF5741">
              <w:rPr>
                <w:b/>
                <w:i/>
              </w:rPr>
              <w:tab/>
              <w:t xml:space="preserve">Podľa vzoru súčasného procesu, ktorý sa vzťahuje na dohody s Kuvajtom a Katarom ako dohody novej generácie podľa nariadenia (EÚ) 2018/1806, by Komisia mala urýchlene posúdiť situáciu iných tretích krajín, </w:t>
            </w:r>
            <w:r w:rsidRPr="00FF5741">
              <w:rPr>
                <w:b/>
                <w:i/>
              </w:rPr>
              <w:t>ktoré by mohli byť oprávnené na oslobodenie od vízovej povinnosti, najmä Ománu a Ekvádoru, pričom by mala zohľadniť príslušnú regionálnu súdržnosť.</w:t>
            </w:r>
          </w:p>
        </w:tc>
      </w:tr>
    </w:tbl>
    <w:p w:rsidR="00797A79" w:rsidRPr="00FF5741" w:rsidRDefault="006B5501" w:rsidP="00797A79">
      <w:pPr>
        <w:pStyle w:val="Olang"/>
        <w:rPr>
          <w:sz w:val="24"/>
          <w:szCs w:val="24"/>
        </w:rPr>
      </w:pPr>
      <w:r w:rsidRPr="00FF5741">
        <w:rPr>
          <w:sz w:val="24"/>
          <w:szCs w:val="24"/>
        </w:rPr>
        <w:t xml:space="preserve">Or. </w:t>
      </w:r>
      <w:r w:rsidRPr="00FF5741">
        <w:rPr>
          <w:rStyle w:val="HideTWBExt"/>
          <w:noProof w:val="0"/>
        </w:rPr>
        <w:t>&lt;Original&gt;</w:t>
      </w:r>
      <w:r w:rsidRPr="00FF5741">
        <w:rPr>
          <w:rStyle w:val="HideTWBInt"/>
          <w:sz w:val="24"/>
          <w:szCs w:val="24"/>
        </w:rPr>
        <w:t>{EN}</w:t>
      </w:r>
      <w:r w:rsidRPr="00FF5741">
        <w:rPr>
          <w:sz w:val="24"/>
          <w:szCs w:val="24"/>
        </w:rPr>
        <w:t>en</w:t>
      </w:r>
      <w:r w:rsidRPr="00FF5741">
        <w:rPr>
          <w:rStyle w:val="HideTWBExt"/>
          <w:noProof w:val="0"/>
        </w:rPr>
        <w:t>&lt;/Original&gt;</w:t>
      </w:r>
    </w:p>
    <w:p w:rsidR="00797A79" w:rsidRPr="00FF5741" w:rsidRDefault="006B5501" w:rsidP="00797A79">
      <w:r w:rsidRPr="00FF5741">
        <w:rPr>
          <w:rStyle w:val="HideTWBExt"/>
          <w:noProof w:val="0"/>
        </w:rPr>
        <w:t>&lt;/Amend&gt;&lt;/RepeatBlock-Amend&gt;</w:t>
      </w:r>
    </w:p>
    <w:p w:rsidR="00CA3F76" w:rsidRPr="00FF5741" w:rsidRDefault="00CA3F76" w:rsidP="002669B6">
      <w:pPr>
        <w:sectPr w:rsidR="00CA3F76" w:rsidRPr="00FF5741" w:rsidSect="00FF57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669B6" w:rsidRPr="00FF5741" w:rsidRDefault="006B5501" w:rsidP="00CA3F76">
      <w:pPr>
        <w:pStyle w:val="PageHeading"/>
      </w:pPr>
      <w:bookmarkStart w:id="3" w:name="_Toc115444348"/>
      <w:r w:rsidRPr="00FF5741">
        <w:t>DÔVODOVÁ SPRÁVA</w:t>
      </w:r>
      <w:bookmarkEnd w:id="3"/>
    </w:p>
    <w:p w:rsidR="009F13DC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 xml:space="preserve">Cieľom </w:t>
      </w:r>
      <w:r w:rsidRPr="00FF5741">
        <w:t>návrhu Komisie je zmeniť nariadenie (EÚ) 2018/1806 s cieľom oslobodiť štátnych príslušníkov Kuvajtu a Kataru od povinnosti mať víza pri prekračovaní vonkajších hraníc členských štátov, pokiaľ ide o pobyty nepresahujúce spolu 90 dní v rámci akéhokoľvek 180-</w:t>
      </w:r>
      <w:r w:rsidRPr="00FF5741">
        <w:t>dňového obdobia. Právnym základom tohto návrhu je článok 77 ods. 2 písm. a) Zmluvy o fungovaní Európskej únie (ZFEÚ). Navrhované nariadenie predstavuje vývoj schengenského acquis.</w:t>
      </w:r>
    </w:p>
    <w:p w:rsidR="009F13DC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>Tretie krajiny, ktorých štátni príslušníci sú oslobodení od vízovej povinnos</w:t>
      </w:r>
      <w:r w:rsidRPr="00FF5741">
        <w:t>ti, sa majú určiť na základe hodnotenia vypracovaného zvlášť pre každý jednotlivý prípad a zameraného na rôzne kritériá stanovené v článku 1 nariadenia (EÚ) 2018/1806. Uvedené kritériá súvisia okrem iného s „nelegálnym prisťahovalectvom, verejným poriadkom</w:t>
      </w:r>
      <w:r w:rsidRPr="00FF5741">
        <w:t xml:space="preserve"> a bezpečnosťou štátu, hospodárskymi výhodami, najmä z hľadiska cestovného ruchu a zahraničného obchodu, a s vonkajšími vzťahmi Únie s príslušnými tretími krajinami, najmä vrátane rešpektovania ľudských práv a základných slobôd, ako aj dôsledkov regionálne</w:t>
      </w:r>
      <w:r w:rsidRPr="00FF5741">
        <w:t>j súdržnosti a reciprocity“.</w:t>
      </w:r>
    </w:p>
    <w:p w:rsidR="009F13DC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>Každá z týchto dvoch krajín bude musieť uzavrieť dohodu s EÚ o zrušení vízovej povinnosti, ktorá bude obsahovať záruky v súvislosti s kritériami nariadenia (EÚ) 2018/1806 odôvodňujúce oslobodenie od vízovej povinnosti, aby sa t</w:t>
      </w:r>
      <w:r w:rsidRPr="00FF5741">
        <w:t>oto oslobodenie stalo účinným. V nadväznosti na uplatňovanie navrhovaného oslobodenia od vízovej povinnosti sa môžu uplatňovať mechanizmy reciprocity a pozastavenia stanovené v nariadení (EÚ) 2018/1806, ak nie je zabezpečená úplná vízová reciprocita, alebo</w:t>
      </w:r>
      <w:r w:rsidRPr="00FF5741">
        <w:t xml:space="preserve"> ak sa bezvízový režim zneužíva, alebo v prípade zneužitia vyplývajúceho z oslobodenia od vízovej povinnosti.</w:t>
      </w:r>
    </w:p>
    <w:p w:rsidR="009F13DC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>Cestujúci oslobodení od vízovej povinnosti sa budú na vonkajších hraniciach EÚ naďalej kontrolovať s cieľom stanoviť, či spĺňajú požiadavky na vst</w:t>
      </w:r>
      <w:r w:rsidRPr="00FF5741">
        <w:t xml:space="preserve">up, a to aj prostredníctvom kontroly Schengenského informačného systému a vnútroštátnych databáz členských štátov. Okrem toho budú cestujúci oslobodení od vízovej povinnosti, ktorí budú chcieť navštíviť schengenský priestor, podliehať systému vstup/výstup </w:t>
      </w:r>
      <w:r w:rsidRPr="00FF5741">
        <w:t>EÚ (EES) a Európskemu systému pre cestovné informácie a povolenia (ETIAS), hneď ako budú plne funkčné.</w:t>
      </w:r>
    </w:p>
    <w:p w:rsidR="009F13DC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>Kuvajt a Katar sú dôležitými hospodárskymi partnermi Únie, najmä v oblasti energetiky a vzhľadom na ciele EÚ diverzifikovať svoje dodávky energie. Spolup</w:t>
      </w:r>
      <w:r w:rsidRPr="00FF5741">
        <w:t xml:space="preserve">ráca medzi EÚ a Kuvajtom a Katarom sa v posledných rokoch zintenzívnila aj v niekoľkých oblastiach politiky, napríklad v oblasti bezpečnosti, a to na bilaterálnej úrovni, ako aj prostredníctvom Rady pre spoluprácu arabských štátov v Golfskom zálive (GCC). </w:t>
      </w:r>
      <w:r w:rsidRPr="00FF5741">
        <w:t>Kuvajt a Katar navyše vydávajú biometrické pasy.</w:t>
      </w:r>
    </w:p>
    <w:p w:rsidR="00CA3F76" w:rsidRPr="00FF5741" w:rsidRDefault="006B5501" w:rsidP="00531D7A">
      <w:pPr>
        <w:spacing w:before="100" w:beforeAutospacing="1" w:after="240"/>
        <w:jc w:val="both"/>
        <w:rPr>
          <w:rFonts w:eastAsia="Calibri"/>
        </w:rPr>
      </w:pPr>
      <w:r w:rsidRPr="00FF5741">
        <w:t xml:space="preserve">V oblasti ľudských práv a základných slobôd však pretrvávajú vážne obavy a nedostatky. Napriek nedávnym legislatívnym reformám a politickým iniciatívam stále pretrvávajú mnohé výzvy vo viacerých oblastiach, </w:t>
      </w:r>
      <w:r w:rsidRPr="00FF5741">
        <w:t>ako aj pri presadzovaní novoprijatých právnych predpisov, ako sa uvádza okrem iného aj vo vlastnom posúdení Komisie, výročnej správe EÚ o ľudských právach za rok 2021, ktorú vypracovala ESVČ, a výročných správach organizácií Amnesty International a Human R</w:t>
      </w:r>
      <w:r w:rsidRPr="00FF5741">
        <w:t>ights Watch. V tejto súvislosti sa osobitná pozornosť venuje pracovným podmienkam migrujúcich pracovníkov vzhľadom na nadchádzajúce majstrovstvá sveta FIFA vo futbale. Medzi ďalšie problematické oblasti však patria práva žien, práva LGBTIQ+ osôb, sloboda n</w:t>
      </w:r>
      <w:r w:rsidRPr="00FF5741">
        <w:t>áboženského vyznania, zákaz mučenia, sloboda slova, právo na zhromažďovanie a zákaz trestu smrti.</w:t>
      </w:r>
    </w:p>
    <w:p w:rsidR="009F13DC" w:rsidRPr="00FF5741" w:rsidRDefault="006B5501" w:rsidP="00531D7A">
      <w:pPr>
        <w:spacing w:after="240"/>
        <w:jc w:val="both"/>
      </w:pPr>
      <w:r w:rsidRPr="00FF5741">
        <w:t>Bezvízový režim môže zohrávať kľúčovú úlohu pri podpore partnerstva medzi oboma regiónmi a posilňovaní politického dialógu a hospodárskych, výskumných, vzdelá</w:t>
      </w:r>
      <w:r w:rsidRPr="00FF5741">
        <w:t>vacích, kultúrnych a spoločenských výmen. Vedenie oficiálnych dialógov o ľudských právach je neoddeliteľnou súčasťou záväzkov prijatých v rámci dvojstranných dohôd, ktoré sa majú uzavrieť medzi Úniou a Katarom a Kuvajtom, a predpokladá sa aj priebežné hodn</w:t>
      </w:r>
      <w:r w:rsidRPr="00FF5741">
        <w:t>otenie takýchto dialógov. Vzhľadom na to, že tieto dvojstranné dohody budú prvými dvojstrannými dohodami prijatými v rámci nového režimu stanoveného v nariadení (EÚ) 2018/1806, sa spravodajca domnieva, že zavedenie takýchto doložiek bude predstavovať pozit</w:t>
      </w:r>
      <w:r w:rsidRPr="00FF5741">
        <w:t>ívny vzor s priaznivými reťazovými účinkami na budúce dohody tohto druhu.</w:t>
      </w:r>
    </w:p>
    <w:p w:rsidR="009F13DC" w:rsidRPr="00FF5741" w:rsidRDefault="006B5501" w:rsidP="00531D7A">
      <w:pPr>
        <w:spacing w:after="240"/>
        <w:jc w:val="both"/>
      </w:pPr>
      <w:r w:rsidRPr="00FF5741">
        <w:t>Zavedenie bezvízového režimu má veľký význam pre občanov Kataru a Kuvajtu, ako aj pre občanov EÚ, prispeje k prehĺbeniu medziľudských vzťahov a výmen a k posilneniu sociálnych a kult</w:t>
      </w:r>
      <w:r w:rsidRPr="00FF5741">
        <w:t>úrnych vzťahov. V tejto súvislosti bude nevyhnutné zabezpečiť pre všetkých občanov oboch strán rovnaký a nediskriminačný prístup k výhodám súvisiacim s bezvízovým režimom.</w:t>
      </w:r>
    </w:p>
    <w:p w:rsidR="009F13DC" w:rsidRPr="00FF5741" w:rsidRDefault="006B5501" w:rsidP="00531D7A">
      <w:pPr>
        <w:spacing w:after="240"/>
        <w:jc w:val="both"/>
      </w:pPr>
      <w:r w:rsidRPr="00FF5741">
        <w:t>S cieľom posúdiť skutočné výhody a úspechy vyplývajúce z bezvízového režimu a potenc</w:t>
      </w:r>
      <w:r w:rsidRPr="00FF5741">
        <w:t>iálnu potrebu zlepšení spravodajca považuje za vhodné pravidelne hodnotiť takýto režim tým, že sa do všetkých budúcich dvojstranných dohôd o zrušení vízovej povinnosti začlení výslovné ustanovenie o hodnotení a podávaní správ Komisiou.</w:t>
      </w:r>
    </w:p>
    <w:p w:rsidR="009F13DC" w:rsidRPr="00FF5741" w:rsidRDefault="006B5501" w:rsidP="00531D7A">
      <w:pPr>
        <w:spacing w:after="240"/>
        <w:jc w:val="both"/>
      </w:pPr>
      <w:r w:rsidRPr="00FF5741">
        <w:t xml:space="preserve">Vzhľadom na výhody, </w:t>
      </w:r>
      <w:r w:rsidRPr="00FF5741">
        <w:t>ktoré by bezvízový režim mohol priniesť zapojeným stranám, by EÚ mala zintenzívniť úsilie o spoluprácu s inými tretími krajinami, ktoré majú záujem o bezvízový styk s EÚ. Navrhované výnimky z vízovej povinnosti pre štátnych príslušníkov Kataru a Kuvajtu by</w:t>
      </w:r>
      <w:r w:rsidRPr="00FF5741">
        <w:t xml:space="preserve"> mali byť pre Komisiu podnetom na začatie konkrétneho dialógu s inými krajinami na základe kritérií a postupu stanovených v nariadení (EÚ) 2018/1806 a na včasné hodnotenie tých krajín, ktoré by mohli byť oprávnené a ktoré majú záujem.</w:t>
      </w:r>
    </w:p>
    <w:p w:rsidR="00CA3F76" w:rsidRPr="00FF5741" w:rsidRDefault="006B5501" w:rsidP="00531D7A">
      <w:pPr>
        <w:spacing w:after="240"/>
        <w:jc w:val="both"/>
      </w:pPr>
      <w:r w:rsidRPr="00FF5741">
        <w:t>Spravodajca sa napoko</w:t>
      </w:r>
      <w:r w:rsidRPr="00FF5741">
        <w:t>n domnieva, že prijatím tohto návrhu Európskej komisie Európsky parlament potvrdzuje svoj záväzok posilniť medziľudské vzťahy a spoločenské výmeny s Kuvajtom a Katarom. Spravodajca z tohto dôvodu a vzhľadom na význam liberalizácie vízového režimu pre občan</w:t>
      </w:r>
      <w:r w:rsidRPr="00FF5741">
        <w:t>ov všetkých zapojených strán odporúča členom Výboru pre občianske slobody, spravodlivosť a vnútorné veci, aby túto správu podporili.</w:t>
      </w:r>
    </w:p>
    <w:p w:rsidR="00CA3F76" w:rsidRPr="00FF5741" w:rsidRDefault="00CA3F76" w:rsidP="002669B6"/>
    <w:sectPr w:rsidR="00CA3F76" w:rsidRPr="00FF5741" w:rsidSect="00CA3F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F5741" w:rsidRDefault="006B5501">
      <w:r w:rsidRPr="00FF5741">
        <w:separator/>
      </w:r>
    </w:p>
  </w:endnote>
  <w:endnote w:type="continuationSeparator" w:id="0">
    <w:p w:rsidR="00000000" w:rsidRPr="00FF5741" w:rsidRDefault="006B5501">
      <w:r w:rsidRPr="00FF57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41" w:rsidRPr="00FF5741" w:rsidRDefault="00FF5741" w:rsidP="00FF5741">
    <w:pPr>
      <w:pStyle w:val="EPFooter"/>
    </w:pPr>
    <w:r w:rsidRPr="00FF5741">
      <w:t>PE</w:t>
    </w:r>
    <w:r w:rsidRPr="00FF5741">
      <w:rPr>
        <w:rStyle w:val="HideTWBExt"/>
        <w:noProof w:val="0"/>
      </w:rPr>
      <w:t>&lt;NoPE&gt;</w:t>
    </w:r>
    <w:r w:rsidRPr="00FF5741">
      <w:t>736.470</w:t>
    </w:r>
    <w:r w:rsidRPr="00FF5741">
      <w:rPr>
        <w:rStyle w:val="HideTWBExt"/>
        <w:noProof w:val="0"/>
      </w:rPr>
      <w:t>&lt;/NoPE&gt;&lt;Version&gt;</w:t>
    </w:r>
    <w:r w:rsidRPr="00FF5741">
      <w:t>v01-00</w:t>
    </w:r>
    <w:r w:rsidRPr="00FF5741">
      <w:rPr>
        <w:rStyle w:val="HideTWBExt"/>
        <w:noProof w:val="0"/>
      </w:rPr>
      <w:t>&lt;/Version&gt;</w:t>
    </w:r>
    <w:r w:rsidRPr="00FF5741">
      <w:tab/>
    </w:r>
    <w:r w:rsidRPr="00FF5741">
      <w:fldChar w:fldCharType="begin"/>
    </w:r>
    <w:r w:rsidRPr="00FF5741">
      <w:instrText xml:space="preserve"> PAGE  \* MERGEFORMAT </w:instrText>
    </w:r>
    <w:r w:rsidRPr="00FF5741">
      <w:fldChar w:fldCharType="separate"/>
    </w:r>
    <w:r w:rsidR="006B5501">
      <w:rPr>
        <w:noProof/>
      </w:rPr>
      <w:t>2</w:t>
    </w:r>
    <w:r w:rsidRPr="00FF5741">
      <w:fldChar w:fldCharType="end"/>
    </w:r>
    <w:r w:rsidRPr="00FF5741">
      <w:t>/</w:t>
    </w:r>
    <w:fldSimple w:instr=" NUMPAGES  \* MERGEFORMAT ">
      <w:r w:rsidR="006B5501">
        <w:rPr>
          <w:noProof/>
        </w:rPr>
        <w:t>10</w:t>
      </w:r>
    </w:fldSimple>
    <w:r w:rsidRPr="00FF5741">
      <w:tab/>
    </w:r>
    <w:r w:rsidRPr="00FF5741">
      <w:rPr>
        <w:rStyle w:val="HideTWBExt"/>
        <w:noProof w:val="0"/>
      </w:rPr>
      <w:t>&lt;PathFdR&gt;</w:t>
    </w:r>
    <w:r w:rsidRPr="00FF5741">
      <w:t>PR\1263011SK.docx</w:t>
    </w:r>
    <w:r w:rsidRPr="00FF5741">
      <w:rPr>
        <w:rStyle w:val="HideTWBExt"/>
        <w:noProof w:val="0"/>
      </w:rPr>
      <w:t>&lt;/PathFdR&gt;</w:t>
    </w:r>
  </w:p>
  <w:p w:rsidR="00FB52FE" w:rsidRPr="00FF5741" w:rsidRDefault="00FF5741" w:rsidP="00FF5741">
    <w:pPr>
      <w:pStyle w:val="EPFooter2"/>
    </w:pPr>
    <w:r w:rsidRPr="00FF5741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41" w:rsidRPr="00FF5741" w:rsidRDefault="00FF5741" w:rsidP="00FF5741">
    <w:pPr>
      <w:pStyle w:val="EPFooter"/>
    </w:pPr>
    <w:r w:rsidRPr="00FF5741">
      <w:rPr>
        <w:rStyle w:val="HideTWBExt"/>
        <w:noProof w:val="0"/>
      </w:rPr>
      <w:t>&lt;PathFdR&gt;</w:t>
    </w:r>
    <w:r w:rsidRPr="00FF5741">
      <w:t>PR\1263011SK.docx</w:t>
    </w:r>
    <w:r w:rsidRPr="00FF5741">
      <w:rPr>
        <w:rStyle w:val="HideTWBExt"/>
        <w:noProof w:val="0"/>
      </w:rPr>
      <w:t>&lt;/PathFdR&gt;</w:t>
    </w:r>
    <w:r w:rsidRPr="00FF5741">
      <w:tab/>
    </w:r>
    <w:r w:rsidRPr="00FF5741">
      <w:fldChar w:fldCharType="begin"/>
    </w:r>
    <w:r w:rsidRPr="00FF5741">
      <w:instrText xml:space="preserve"> PAGE  \* MERGEFORMAT </w:instrText>
    </w:r>
    <w:r w:rsidRPr="00FF5741">
      <w:fldChar w:fldCharType="separate"/>
    </w:r>
    <w:r w:rsidR="006B5501">
      <w:rPr>
        <w:noProof/>
      </w:rPr>
      <w:t>9</w:t>
    </w:r>
    <w:r w:rsidRPr="00FF5741">
      <w:fldChar w:fldCharType="end"/>
    </w:r>
    <w:r w:rsidRPr="00FF5741">
      <w:t>/</w:t>
    </w:r>
    <w:fldSimple w:instr=" NUMPAGES  \* MERGEFORMAT ">
      <w:r w:rsidR="006B5501">
        <w:rPr>
          <w:noProof/>
        </w:rPr>
        <w:t>10</w:t>
      </w:r>
    </w:fldSimple>
    <w:r w:rsidRPr="00FF5741">
      <w:tab/>
      <w:t>PE</w:t>
    </w:r>
    <w:r w:rsidRPr="00FF5741">
      <w:rPr>
        <w:rStyle w:val="HideTWBExt"/>
        <w:noProof w:val="0"/>
      </w:rPr>
      <w:t>&lt;NoPE&gt;</w:t>
    </w:r>
    <w:r w:rsidRPr="00FF5741">
      <w:t>736.470</w:t>
    </w:r>
    <w:r w:rsidRPr="00FF5741">
      <w:rPr>
        <w:rStyle w:val="HideTWBExt"/>
        <w:noProof w:val="0"/>
      </w:rPr>
      <w:t>&lt;/NoPE&gt;&lt;Version&gt;</w:t>
    </w:r>
    <w:r w:rsidRPr="00FF5741">
      <w:t>v01-00</w:t>
    </w:r>
    <w:r w:rsidRPr="00FF5741">
      <w:rPr>
        <w:rStyle w:val="HideTWBExt"/>
        <w:noProof w:val="0"/>
      </w:rPr>
      <w:t>&lt;/Version&gt;</w:t>
    </w:r>
  </w:p>
  <w:p w:rsidR="00FB52FE" w:rsidRPr="00FF5741" w:rsidRDefault="00FF5741" w:rsidP="00FF5741">
    <w:pPr>
      <w:pStyle w:val="EPFooter2"/>
    </w:pPr>
    <w:r w:rsidRPr="00FF5741">
      <w:tab/>
    </w:r>
    <w:r w:rsidRPr="00FF5741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41" w:rsidRPr="00FF5741" w:rsidRDefault="00FF5741" w:rsidP="00FF5741">
    <w:pPr>
      <w:pStyle w:val="EPFooter"/>
    </w:pPr>
    <w:r w:rsidRPr="00FF5741">
      <w:rPr>
        <w:rStyle w:val="HideTWBExt"/>
        <w:noProof w:val="0"/>
      </w:rPr>
      <w:t>&lt;PathFdR&gt;</w:t>
    </w:r>
    <w:r w:rsidRPr="00FF5741">
      <w:t>PR\1263011SK.docx</w:t>
    </w:r>
    <w:r w:rsidRPr="00FF5741">
      <w:rPr>
        <w:rStyle w:val="HideTWBExt"/>
        <w:noProof w:val="0"/>
      </w:rPr>
      <w:t>&lt;/PathFdR&gt;</w:t>
    </w:r>
    <w:r w:rsidRPr="00FF5741">
      <w:tab/>
    </w:r>
    <w:r w:rsidRPr="00FF5741">
      <w:tab/>
      <w:t>PE</w:t>
    </w:r>
    <w:r w:rsidRPr="00FF5741">
      <w:rPr>
        <w:rStyle w:val="HideTWBExt"/>
        <w:noProof w:val="0"/>
      </w:rPr>
      <w:t>&lt;NoPE&gt;</w:t>
    </w:r>
    <w:r w:rsidRPr="00FF5741">
      <w:t>736.470</w:t>
    </w:r>
    <w:r w:rsidRPr="00FF5741">
      <w:rPr>
        <w:rStyle w:val="HideTWBExt"/>
        <w:noProof w:val="0"/>
      </w:rPr>
      <w:t>&lt;/NoPE&gt;&lt;Version&gt;</w:t>
    </w:r>
    <w:r w:rsidRPr="00FF5741">
      <w:t>v01-00</w:t>
    </w:r>
    <w:r w:rsidRPr="00FF5741">
      <w:rPr>
        <w:rStyle w:val="HideTWBExt"/>
        <w:noProof w:val="0"/>
      </w:rPr>
      <w:t>&lt;/Version&gt;</w:t>
    </w:r>
  </w:p>
  <w:p w:rsidR="00FB52FE" w:rsidRPr="00FF5741" w:rsidRDefault="00FF5741" w:rsidP="00FF5741">
    <w:pPr>
      <w:pStyle w:val="EPFooter2"/>
    </w:pPr>
    <w:r w:rsidRPr="00FF5741">
      <w:t>SK</w:t>
    </w:r>
    <w:r w:rsidRPr="00FF5741">
      <w:tab/>
    </w:r>
    <w:r w:rsidRPr="00FF5741">
      <w:rPr>
        <w:b w:val="0"/>
        <w:i/>
        <w:color w:val="C0C0C0"/>
        <w:sz w:val="22"/>
      </w:rPr>
      <w:t>Zjednotení v rozmanitosti</w:t>
    </w:r>
    <w:r w:rsidRPr="00FF5741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FF5741" w:rsidRDefault="006B5501">
      <w:r w:rsidRPr="00FF5741">
        <w:separator/>
      </w:r>
    </w:p>
  </w:footnote>
  <w:footnote w:type="continuationSeparator" w:id="0">
    <w:p w:rsidR="00000000" w:rsidRPr="00FF5741" w:rsidRDefault="006B5501">
      <w:r w:rsidRPr="00FF57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501" w:rsidRDefault="006B55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501" w:rsidRDefault="006B5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501" w:rsidRDefault="006B5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747959 HideTWBExt;}{\*\cs18 \additive \v\f1\fs20\cf15 _x000d__x000a_\spriority0 \styrsid7747959 HideTWBInt;}{\s19\ql \li0\ri0\sa120\nowidctlpar\wrapdefault\aspalpha\aspnum\faauto\adjustright\rin0\lin0\itap0 \rtlch\fcs1 \af0\afs20\alang1025 \ltrch\fcs0 \fs24\lang2057\langfe2057\cgrid\langnp2057\langfenp2057 _x000d__x000a_\sbasedon0 \snext19 \spriority0 \styrsid7747959 Normal6a;}{\s20\ql \li0\ri0\nowidctlpar\wrapdefault\aspalpha\aspnum\faauto\adjustright\rin0\lin0\itap0 \rtlch\fcs1 \af0\afs20\alang1025 \ltrch\fcs0 \b\fs24\lang2057\langfe2057\cgrid\langnp2057\langfenp2057 _x000d__x000a_\sbasedon0 \snext20 \spriority0 \styrsid7747959 NormalBold;}{\s21\ql \li0\ri0\sa240\nowidctlpar\wrapdefault\aspalpha\aspnum\faauto\adjustright\rin0\lin0\itap0 \rtlch\fcs1 \af0\afs20\alang1025 \ltrch\fcs0 _x000d__x000a_\i\fs24\lang2057\langfe2057\cgrid\langnp2057\langfenp2057 \sbasedon0 \snext21 \spriority0 \styrsid7747959 AmJustText;}{\s22\qc \li0\ri0\sb240\sa240\nowidctlpar\wrapdefault\aspalpha\aspnum\faauto\adjustright\rin0\lin0\itap0 \rtlch\fcs1 _x000d__x000a_\af0\afs20\alang1025 \ltrch\fcs0 \i\fs24\lang2057\langfe2057\cgrid\langnp2057\langfenp2057 \sbasedon0 \snext22 \spriority0 \styrsid774795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747959 AmJustTitle;}{\s24\qr \li0\ri0\sb240\sa240\nowidctlpar\wrapdefault\aspalpha\aspnum\faauto\adjustright\rin0\lin0\itap0 \rtlch\fcs1 \af0\afs20\alang1025 \ltrch\fcs0 _x000d__x000a_\fs24\lang2057\langfe2057\cgrid\langnp2057\langfenp2057 \sbasedon0 \snext24 \spriority0 \styrsid7747959 AmOrLang;}{\s25\qc \li0\ri0\sa240\nowidctlpar\wrapdefault\aspalpha\aspnum\faauto\adjustright\rin0\lin0\itap0 \rtlch\fcs1 \af0\afs20\alang1025 _x000d__x000a_\ltrch\fcs0 \i\fs24\lang2057\langfe2057\cgrid\langnp2057\langfenp2057 \sbasedon0 \snext25 \spriority0 \styrsid774795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747959 AmNumberTabs;}{\s27\ql \li0\ri0\sb240\nowidctlpar\wrapdefault\aspalpha\aspnum\faauto\adjustright\rin0\lin0\itap0 \rtlch\fcs1 _x000d__x000a_\af0\afs20\alang1025 \ltrch\fcs0 \b\fs24\lang2057\langfe2057\cgrid\langnp2057\langfenp2057 \sbasedon0 \snext27 \spriority0 \styrsid7747959 NormalBold12b;}}{\*\rsidtbl \rsid24658\rsid223860\rsid735077\rsid1718133\rsid2754035\rsid2892074\rsid3565327_x000d__x000a_\rsid4666813\rsid6641733\rsid7747959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OADER Maria}{\operator TOADER Maria}{\creatim\yr2022\mo9\dy13\hr10\min5}{\revtim\yr2022\mo9\dy13\hr10\min5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77479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75403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747959 \rtlch\fcs1 _x000d__x000a_\af0\afs20\alang1025 \ltrch\fcs0 \b\fs24\lang2057\langfe2057\cgrid\langnp2057\langfenp2057 {\rtlch\fcs1 \af0 \ltrch\fcs0 \cs17\b0\v\fs20\cf9\loch\af1\hich\af1\dbch\af31501\insrsid7747959\charrsid13639606 {\*\bkmkstart restart}_x000d__x000a_\hich\af1\dbch\af31501\loch\f1 &lt;Amend&gt;}{\rtlch\fcs1 \af0 \ltrch\fcs0 \insrsid7747959\charrsid13639606 Amendment\tab \tab }{\rtlch\fcs1 \af0 \ltrch\fcs0 \cs17\b0\v\fs20\cf9\loch\af1\hich\af1\dbch\af31501\insrsid7747959\charrsid13639606 _x000d__x000a_\hich\af1\dbch\af31501\loch\f1 &lt;NumAm&gt;}{\rtlch\fcs1 \af0 \ltrch\fcs0 \insrsid7747959\charrsid13639606 #}{\rtlch\fcs1 \af1 \ltrch\fcs0 \cs18\v\f1\fs20\cf15\insrsid7747959\charrsid13639606 ENMIENDA@NRAM@}{\rtlch\fcs1 \af0 \ltrch\fcs0 _x000d__x000a_\insrsid7747959\charrsid13639606 #}{\rtlch\fcs1 \af0 \ltrch\fcs0 \cs17\b0\v\fs20\cf9\loch\af1\hich\af1\dbch\af31501\insrsid7747959\charrsid13639606 \hich\af1\dbch\af31501\loch\f1 &lt;/NumAm&gt;}{\rtlch\fcs1 \af0 \ltrch\fcs0 \insrsid7747959\charrsid13639606 _x000d__x000a__x000d__x000a_\par }\pard\plain \ltrpar\s27\ql \li0\ri0\sb240\keepn\nowidctlpar\wrapdefault\aspalpha\aspnum\faauto\adjustright\rin0\lin0\itap0\pararsid7747959 \rtlch\fcs1 \af0\afs20\alang1025 \ltrch\fcs0 \b\fs24\lang2057\langfe2057\cgrid\langnp2057\langfenp2057 {_x000d__x000a_\rtlch\fcs1 \af0 \ltrch\fcs0 \cs17\b0\v\fs20\cf9\loch\af1\hich\af1\dbch\af31501\insrsid7747959\charrsid13639606 \hich\af1\dbch\af31501\loch\f1 &lt;DocAmend&gt;}{\rtlch\fcs1 \af0 \ltrch\fcs0 \insrsid7747959\charrsid13639606 Proposal for a #}{\rtlch\fcs1 \af1 _x000d__x000a_\ltrch\fcs0 \cs18\v\f1\fs20\cf15\insrsid7747959\charrsid13639606 MNU[DOC1][DOC2][DOC3]@DOCMSG@DOCMNU}{\rtlch\fcs1 \af0 \ltrch\fcs0 \insrsid7747959\charrsid13639606 ##}{\rtlch\fcs1 \af1 \ltrch\fcs0 \cs18\v\f1\fs20\cf15\insrsid7747959\charrsid13639606 _x000d__x000a_MNU[AMACTYES][NOTAPP]@CHOICE@AMACTMNU}{\rtlch\fcs1 \af0 \ltrch\fcs0 \insrsid7747959\charrsid13639606 #}{\rtlch\fcs1 \af0 \ltrch\fcs0 \cs17\b0\v\fs20\cf9\loch\af1\hich\af1\dbch\af31501\insrsid7747959\charrsid13639606 \hich\af1\dbch\af31501\loch\f1 _x000d__x000a_&lt;/DocAmend&gt;}{\rtlch\fcs1 \af0 \ltrch\fcs0 \insrsid7747959\charrsid13639606 _x000d__x000a_\par }\pard\plain \ltrpar\s20\ql \li0\ri0\keepn\nowidctlpar\wrapdefault\aspalpha\aspnum\faauto\adjustright\rin0\lin0\itap0\pararsid7747959 \rtlch\fcs1 \af0\afs20\alang1025 \ltrch\fcs0 \b\fs24\lang2057\langfe2057\cgrid\langnp2057\langfenp2057 {\rtlch\fcs1 \af0 _x000d__x000a_\ltrch\fcs0 \cs17\b0\v\fs20\cf9\loch\af1\hich\af1\dbch\af31501\insrsid7747959\charrsid13639606 \hich\af1\dbch\af31501\loch\f1 &lt;Article&gt;}{\rtlch\fcs1 \af0 \ltrch\fcs0 \insrsid7747959\charrsid13639606 #}{\rtlch\fcs1 \af1 \ltrch\fcs0 _x000d__x000a_\cs18\v\f1\fs20\cf15\insrsid7747959\charrsid13639606 MNU[AMACTPARTYES][AMACTPARTNO]@CHOICE@AMACTMNU}{\rtlch\fcs1 \af0 \ltrch\fcs0 \insrsid7747959\charrsid13639606 #}{\rtlch\fcs1 \af0 \ltrch\fcs0 _x000d__x000a_\cs17\b0\v\fs20\cf9\loch\af1\hich\af1\dbch\af31501\insrsid7747959\charrsid13639606 \hich\af1\dbch\af31501\loch\f1 &lt;/Article&gt;}{\rtlch\fcs1 \af0 \ltrch\fcs0 \insrsid7747959\charrsid13639606 _x000d__x000a_\par }\pard\plain \ltrpar\ql \li0\ri0\keepn\widctlpar\wrapdefault\aspalpha\aspnum\faauto\adjustright\rin0\lin0\itap0\pararsid7747959 \rtlch\fcs1 \af0\afs20\alang1025 \ltrch\fcs0 \fs24\lang2057\langfe2057\cgrid\langnp2057\langfenp2057 {\rtlch\fcs1 \af0 _x000d__x000a_\ltrch\fcs0 \cs17\v\fs20\cf9\loch\af1\hich\af1\dbch\af31501\insrsid7747959\charrsid13639606 \hich\af1\dbch\af31501\loch\f1 &lt;DocAmend2&gt;&lt;OptDel&gt;}{\rtlch\fcs1 \af0 \ltrch\fcs0 \insrsid7747959\charrsid13639606 #}{\rtlch\fcs1 \af1 \ltrch\fcs0 _x000d__x000a_\cs18\v\f1\fs20\cf15\insrsid7747959\charrsid13639606 MNU[OPTNRACTYES][NOTAPP]@CHOICE@AMACTMNU}{\rtlch\fcs1 \af0 \ltrch\fcs0 \insrsid7747959\charrsid13639606 #}{\rtlch\fcs1 \af0 \ltrch\fcs0 _x000d__x000a_\cs17\v\fs20\cf9\loch\af1\hich\af1\dbch\af31501\insrsid7747959\charrsid13639606 \hich\af1\dbch\af31501\loch\f1 &lt;/OptDel&gt;&lt;/DocAmend2&gt;}{\rtlch\fcs1 \af0 \ltrch\fcs0 \insrsid7747959\charrsid13639606 _x000d__x000a_\par }\pard \ltrpar\ql \li0\ri0\widctlpar\wrapdefault\aspalpha\aspnum\faauto\adjustright\rin0\lin0\itap0\pararsid7747959 {\rtlch\fcs1 \af0 \ltrch\fcs0 \cs17\v\fs20\cf9\loch\af1\hich\af1\dbch\af31501\insrsid7747959\charrsid13639606 _x000d__x000a_\hich\af1\dbch\af31501\loch\f1 &lt;Article2&gt;&lt;OptDel&gt;}{\rtlch\fcs1 \af0 \ltrch\fcs0 \insrsid7747959\charrsid13639606 #}{\rtlch\fcs1 \af1 \ltrch\fcs0 \cs18\v\f1\fs20\cf15\insrsid7747959\charrsid13639606 MNU[OPTACTPARTYES][NOTAPP]@CHOICE@AMACTMNU}{\rtlch\fcs1 _x000d__x000a_\af0 \ltrch\fcs0 \insrsid7747959\charrsid13639606 #}{\rtlch\fcs1 \af0 \ltrch\fcs0 \cs17\v\fs20\cf9\loch\af1\hich\af1\dbch\af31501\insrsid7747959\charrsid13639606 \hich\af1\dbch\af31501\loch\f1 &lt;/OptDel&gt;&lt;/Article2&gt;}{\rtlch\fcs1 \af0 \ltrch\fcs0 _x000d__x000a_\insrsid7747959\charrsid1363960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747959\charrsid13639606 \cell }\pard\plain \ltrpar\ql \li0\ri0\widctlpar\intbl\wrapdefault\aspalpha\aspnum\faauto\adjustright\rin0\lin0 \rtlch\fcs1 _x000d__x000a_\af0\afs20\alang1025 \ltrch\fcs0 \fs24\lang2057\langfe2057\cgrid\langnp2057\langfenp2057 {\rtlch\fcs1 \af0 \ltrch\fcs0 \insrsid7747959\charrsid1363960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747959\charrsid13639606 #}{\rtlch\fcs1 \af1 \ltrch\fcs0 \cs18\v\f1\fs20\cf15\insrsid7747959\charrsid13639606 MNU[OPTLEFTAMACT][LEFTPROP]@CHOICE@AMACTMNU}{\rtlch\fcs1 \af0 \ltrch\fcs0 \insrsid7747959\charrsid1363960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747959\charrsid13639606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7747959\charrsid13639606 ##\cell ##}{\rtlch\fcs1 \af0\afs24 \ltrch\fcs0 \insrsid7747959\charrsid13639606 \cell }\pard\plain \ltrpar\ql \li0\ri0\widctlpar\intbl\wrapdefault\aspalpha\aspnum\faauto\adjustright\rin0\lin0 _x000d__x000a_\rtlch\fcs1 \af0\afs20\alang1025 \ltrch\fcs0 \fs24\lang2057\langfe2057\cgrid\langnp2057\langfenp2057 {\rtlch\fcs1 \af0 \ltrch\fcs0 \insrsid7747959\charrsid1363960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747959 \rtlch\fcs1 \af0\afs20\alang1025 \ltrch\fcs0 \fs24\lang2057\langfe2057\cgrid\langnp2057\langfenp2057 {\rtlch\fcs1 \af0 \ltrch\fcs0 _x000d__x000a_\insrsid7747959\charrsid13639606 Or. }{\rtlch\fcs1 \af0 \ltrch\fcs0 \cs17\v\fs20\cf9\loch\af1\hich\af1\dbch\af31501\insrsid7747959\charrsid13639606 \hich\af1\dbch\af31501\loch\f1 &lt;Original&gt;}{\rtlch\fcs1 \af0 \ltrch\fcs0 \insrsid7747959\charrsid13639606 #}_x000d__x000a_{\rtlch\fcs1 \af1 \ltrch\fcs0 \cs18\v\f1\fs20\cf15\insrsid7747959\charrsid13639606 MNU[ORLANGONE][ORLANGMORE]@CHOICE@ORLANGMNU}{\rtlch\fcs1 \af0 \ltrch\fcs0 \insrsid7747959\charrsid13639606 #}{\rtlch\fcs1 \af0 \ltrch\fcs0 _x000d__x000a_\cs17\v\fs20\cf9\loch\af1\hich\af1\dbch\af31501\insrsid7747959\charrsid13639606 \hich\af1\dbch\af31501\loch\f1 &lt;/Original&gt;}{\rtlch\fcs1 \af0 \ltrch\fcs0 \insrsid7747959\charrsid13639606 _x000d__x000a_\par }\pard\plain \ltrpar\s22\qc \li0\ri0\sb240\sa240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OptDel&gt;}{\rtlch\fcs1 \af0 \ltrch\fcs0 \insrsid7747959\charrsid13639606 #}{\rtlch\fcs1 \af1 \ltrch\fcs0 _x000d__x000a_\cs18\v\f1\fs20\cf15\insrsid7747959\charrsid13639606 MNU[CROSSREFNO][CROSSREFYES]@CHOICE@}{\rtlch\fcs1 \af0 \ltrch\fcs0 \insrsid7747959\charrsid13639606 #}{\rtlch\fcs1 \af0 \ltrch\fcs0 _x000d__x000a_\cs17\i0\v\fs20\cf9\loch\af1\hich\af1\dbch\af31501\insrsid7747959\charrsid13639606 \hich\af1\dbch\af31501\loch\f1 &lt;/OptDel&gt;}{\rtlch\fcs1 \af0 \ltrch\fcs0 \insrsid7747959\charrsid13639606 _x000d__x000a_\par }\pard\plain \ltrpar\s23\qc \li0\ri0\sb240\sa240\keepn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TitreJust&gt;}{\rtlch\fcs1 \af0 \ltrch\fcs0 \insrsid7747959\charrsid13639606 Justification}{\rtlch\fcs1 \af0 _x000d__x000a_\ltrch\fcs0 \cs17\i0\v\fs20\cf9\loch\af1\hich\af1\dbch\af31501\insrsid7747959\charrsid13639606 \hich\af1\dbch\af31501\loch\f1 &lt;/TitreJust&gt;}{\rtlch\fcs1 \af0 \ltrch\fcs0 \insrsid7747959\charrsid13639606 _x000d__x000a_\par }\pard\plain \ltrpar\s21\ql \li0\ri0\sa240\nowidctlpar\wrapdefault\aspalpha\aspnum\faauto\adjustright\rin0\lin0\itap0\pararsid7747959 \rtlch\fcs1 \af0\afs20\alang1025 \ltrch\fcs0 \i\fs24\lang2057\langfe2057\cgrid\langnp2057\langfenp2057 {\rtlch\fcs1 \af0 _x000d__x000a_\ltrch\fcs0 \cs17\i0\v\fs20\cf9\loch\af1\hich\af1\dbch\af31501\insrsid7747959\charrsid13639606 \hich\af1\dbch\af31501\loch\f1 &lt;OptDelPrev&gt;}{\rtlch\fcs1 \af0 \ltrch\fcs0 \insrsid7747959\charrsid13639606 #}{\rtlch\fcs1 \af1 \ltrch\fcs0 _x000d__x000a_\cs18\v\f1\fs20\cf15\insrsid7747959\charrsid13639606 MNU[TEXTJUSTYES][TEXTJUSTNO]@CHOICE@}{\rtlch\fcs1 \af0 \ltrch\fcs0 \insrsid7747959\charrsid13639606 #}{\rtlch\fcs1 \af0 \ltrch\fcs0 _x000d__x000a_\cs17\i0\v\fs20\cf9\loch\af1\hich\af1\dbch\af31501\insrsid7747959\charrsid13639606 \hich\af1\dbch\af31501\loch\f1 &lt;/OptDelPrev&gt;}{\rtlch\fcs1 \af0 \ltrch\fcs0 \insrsid7747959\charrsid13639606 _x000d__x000a_\par }\pard\plain \ltrpar\ql \li0\ri0\widctlpar\wrapdefault\aspalpha\aspnum\faauto\adjustright\rin0\lin0\itap0\pararsid7747959 \rtlch\fcs1 \af0\afs20\alang1025 \ltrch\fcs0 \fs24\lang2057\langfe2057\cgrid\langnp2057\langfenp2057 {\rtlch\fcs1 \af0 \ltrch\fcs0 _x000d__x000a_\cs17\v\fs20\cf9\loch\af1\hich\af1\dbch\af31501\insrsid7747959\charrsid1363960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3"/>
    <w:docVar w:name="TXTAUTHOR" w:val="Erik Marquardt"/>
    <w:docVar w:name="TXTLANGUE" w:val="EN"/>
    <w:docVar w:name="TXTLANGUEMIN" w:val="en"/>
    <w:docVar w:name="TXTNRC" w:val="0160/2022"/>
    <w:docVar w:name="TXTNRCOD" w:val="2022/0135"/>
    <w:docVar w:name="TXTNRCOM" w:val="(2022)0189"/>
    <w:docVar w:name="TXTNRFIRSTAM" w:val="1"/>
    <w:docVar w:name="TXTNRLASTAM" w:val="1"/>
    <w:docVar w:name="TXTNRPE" w:val="736.470"/>
    <w:docVar w:name="TXTPEorAP" w:val="PE"/>
    <w:docVar w:name="TXTROUTE" w:val="PR\1263011EN.docx"/>
    <w:docVar w:name="TXTTITLE" w:val="amending Regulation (EU) 2018/1806, listing the third countries whose nationals must be in possession of visas when crossing the external borders and those whose nationals are exempt from that requirement (Kuwait, Qatar)"/>
    <w:docVar w:name="TXTVERSION" w:val="01-00"/>
  </w:docVars>
  <w:rsids>
    <w:rsidRoot w:val="00307279"/>
    <w:rsid w:val="00011AAB"/>
    <w:rsid w:val="00012351"/>
    <w:rsid w:val="000139E5"/>
    <w:rsid w:val="00084DD2"/>
    <w:rsid w:val="00084E89"/>
    <w:rsid w:val="000B7489"/>
    <w:rsid w:val="000F1096"/>
    <w:rsid w:val="00120948"/>
    <w:rsid w:val="0012324A"/>
    <w:rsid w:val="00123DD5"/>
    <w:rsid w:val="001257CF"/>
    <w:rsid w:val="001277AE"/>
    <w:rsid w:val="0013710F"/>
    <w:rsid w:val="00142215"/>
    <w:rsid w:val="001767E2"/>
    <w:rsid w:val="00187008"/>
    <w:rsid w:val="001B1316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767EC"/>
    <w:rsid w:val="00290BED"/>
    <w:rsid w:val="00293D90"/>
    <w:rsid w:val="002D13EE"/>
    <w:rsid w:val="002E33EE"/>
    <w:rsid w:val="002E3887"/>
    <w:rsid w:val="002F40BB"/>
    <w:rsid w:val="002F4B02"/>
    <w:rsid w:val="00307279"/>
    <w:rsid w:val="00312067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11957"/>
    <w:rsid w:val="00426E47"/>
    <w:rsid w:val="00455743"/>
    <w:rsid w:val="00461601"/>
    <w:rsid w:val="004B32B6"/>
    <w:rsid w:val="004B38C6"/>
    <w:rsid w:val="004C0915"/>
    <w:rsid w:val="004D424E"/>
    <w:rsid w:val="004D5661"/>
    <w:rsid w:val="004E42C8"/>
    <w:rsid w:val="004E5825"/>
    <w:rsid w:val="004E733D"/>
    <w:rsid w:val="004F3FA5"/>
    <w:rsid w:val="0051271F"/>
    <w:rsid w:val="00521F46"/>
    <w:rsid w:val="00531D7A"/>
    <w:rsid w:val="00551111"/>
    <w:rsid w:val="00551123"/>
    <w:rsid w:val="00552BBF"/>
    <w:rsid w:val="0057089C"/>
    <w:rsid w:val="00570A6A"/>
    <w:rsid w:val="00586E50"/>
    <w:rsid w:val="0059583D"/>
    <w:rsid w:val="005A42D9"/>
    <w:rsid w:val="005C2BEF"/>
    <w:rsid w:val="005D1A99"/>
    <w:rsid w:val="005D7609"/>
    <w:rsid w:val="005D7EE8"/>
    <w:rsid w:val="006305D6"/>
    <w:rsid w:val="00642325"/>
    <w:rsid w:val="006456F0"/>
    <w:rsid w:val="00646926"/>
    <w:rsid w:val="0069092A"/>
    <w:rsid w:val="006A04ED"/>
    <w:rsid w:val="006A2F5D"/>
    <w:rsid w:val="006B5501"/>
    <w:rsid w:val="006F7907"/>
    <w:rsid w:val="00743189"/>
    <w:rsid w:val="00743D33"/>
    <w:rsid w:val="007932B3"/>
    <w:rsid w:val="00793EA9"/>
    <w:rsid w:val="00797A79"/>
    <w:rsid w:val="007D6F68"/>
    <w:rsid w:val="00823E6B"/>
    <w:rsid w:val="00826780"/>
    <w:rsid w:val="00837CCD"/>
    <w:rsid w:val="008633CC"/>
    <w:rsid w:val="00865190"/>
    <w:rsid w:val="008719B9"/>
    <w:rsid w:val="00885C34"/>
    <w:rsid w:val="00894923"/>
    <w:rsid w:val="00894ECE"/>
    <w:rsid w:val="00896BB4"/>
    <w:rsid w:val="008A323A"/>
    <w:rsid w:val="008A7FB8"/>
    <w:rsid w:val="008B4F2E"/>
    <w:rsid w:val="009022B8"/>
    <w:rsid w:val="00914537"/>
    <w:rsid w:val="00917CC4"/>
    <w:rsid w:val="00923B7C"/>
    <w:rsid w:val="009763DA"/>
    <w:rsid w:val="0099206A"/>
    <w:rsid w:val="009975B3"/>
    <w:rsid w:val="009A216D"/>
    <w:rsid w:val="009B4B93"/>
    <w:rsid w:val="009D3E42"/>
    <w:rsid w:val="009F13DC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63AB5"/>
    <w:rsid w:val="00B85407"/>
    <w:rsid w:val="00B95702"/>
    <w:rsid w:val="00BC6489"/>
    <w:rsid w:val="00BD480C"/>
    <w:rsid w:val="00C13A6F"/>
    <w:rsid w:val="00C20954"/>
    <w:rsid w:val="00C23324"/>
    <w:rsid w:val="00C42A41"/>
    <w:rsid w:val="00C47E74"/>
    <w:rsid w:val="00C57A72"/>
    <w:rsid w:val="00C73602"/>
    <w:rsid w:val="00C85D0F"/>
    <w:rsid w:val="00C945E5"/>
    <w:rsid w:val="00CA3F76"/>
    <w:rsid w:val="00CC1550"/>
    <w:rsid w:val="00CE332D"/>
    <w:rsid w:val="00CF60C8"/>
    <w:rsid w:val="00D30DE2"/>
    <w:rsid w:val="00D32924"/>
    <w:rsid w:val="00D503A3"/>
    <w:rsid w:val="00DA436D"/>
    <w:rsid w:val="00DA6ED0"/>
    <w:rsid w:val="00DC5011"/>
    <w:rsid w:val="00E1282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062E"/>
    <w:rsid w:val="00FE3B3F"/>
    <w:rsid w:val="00FE7349"/>
    <w:rsid w:val="00F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50E51-5574-4F15-B47F-373EC435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1257C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57C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57CF"/>
    <w:rPr>
      <w:sz w:val="18"/>
    </w:rPr>
  </w:style>
  <w:style w:type="paragraph" w:customStyle="1" w:styleId="Normal6">
    <w:name w:val="Normal6"/>
    <w:basedOn w:val="Normal"/>
    <w:link w:val="Normal6Char"/>
    <w:rsid w:val="00797A79"/>
    <w:pPr>
      <w:spacing w:after="120"/>
    </w:pPr>
  </w:style>
  <w:style w:type="character" w:customStyle="1" w:styleId="NormalBoldChar">
    <w:name w:val="NormalBold Char"/>
    <w:link w:val="NormalBold"/>
    <w:rsid w:val="00797A79"/>
    <w:rPr>
      <w:b/>
      <w:sz w:val="24"/>
    </w:rPr>
  </w:style>
  <w:style w:type="character" w:customStyle="1" w:styleId="Normal6Char">
    <w:name w:val="Normal6 Char"/>
    <w:link w:val="Normal6"/>
    <w:rsid w:val="00797A79"/>
    <w:rPr>
      <w:sz w:val="24"/>
      <w:lang w:val="sk-SK"/>
    </w:rPr>
  </w:style>
  <w:style w:type="paragraph" w:customStyle="1" w:styleId="ColumnHeading">
    <w:name w:val="ColumnHeading"/>
    <w:basedOn w:val="Normal"/>
    <w:rsid w:val="00797A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97A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97A79"/>
    <w:pPr>
      <w:jc w:val="right"/>
    </w:pPr>
  </w:style>
  <w:style w:type="paragraph" w:styleId="Footer">
    <w:name w:val="footer"/>
    <w:basedOn w:val="Normal"/>
    <w:link w:val="FooterChar"/>
    <w:semiHidden/>
    <w:rsid w:val="004E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E582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23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324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23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232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24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3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324A"/>
    <w:rPr>
      <w:b/>
      <w:bCs/>
    </w:rPr>
  </w:style>
  <w:style w:type="paragraph" w:customStyle="1" w:styleId="Text1">
    <w:name w:val="Text 1"/>
    <w:basedOn w:val="Normal"/>
    <w:rsid w:val="0012324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1B3F0-8B99-4B9E-9C63-0B809B60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2172</Words>
  <Characters>13315</Characters>
  <Application>Microsoft Office Word</Application>
  <DocSecurity>0</DocSecurity>
  <Lines>380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TOADER Maria</dc:creator>
  <cp:lastModifiedBy>VILEM Jan</cp:lastModifiedBy>
  <cp:revision>2</cp:revision>
  <cp:lastPrinted>2004-11-04T09:41:00Z</cp:lastPrinted>
  <dcterms:created xsi:type="dcterms:W3CDTF">2022-09-30T13:32:00Z</dcterms:created>
  <dcterms:modified xsi:type="dcterms:W3CDTF">2022-09-30T13:32:00Z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1263011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PR\1263011SK.docx</vt:lpwstr>
  </property>
  <property fmtid="{D5CDD505-2E9C-101B-9397-08002B2CF9AE}" pid="10" name="LastEdited with">
    <vt:lpwstr>9.13.0 Build [20220701]</vt:lpwstr>
  </property>
  <property fmtid="{D5CDD505-2E9C-101B-9397-08002B2CF9AE}" pid="11" name="PE number">
    <vt:lpwstr>736.470</vt:lpwstr>
  </property>
  <property fmtid="{D5CDD505-2E9C-101B-9397-08002B2CF9AE}" pid="12" name="SDLStudio">
    <vt:lpwstr/>
  </property>
  <property fmtid="{D5CDD505-2E9C-101B-9397-08002B2CF9AE}" pid="13" name="SendToEpades">
    <vt:lpwstr>OK - 2022/09/16 13:13</vt:lpwstr>
  </property>
  <property fmtid="{D5CDD505-2E9C-101B-9397-08002B2CF9AE}" pid="14" name="Bookout">
    <vt:lpwstr>OK - 2022/09/30 15:32</vt:lpwstr>
  </property>
</Properties>
</file>