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D1139" w:rsidRPr="007D42C5" w:rsidTr="00C85D0F">
        <w:trPr>
          <w:trHeight w:hRule="exact" w:val="1418"/>
        </w:trPr>
        <w:tc>
          <w:tcPr>
            <w:tcW w:w="6804" w:type="dxa"/>
            <w:shd w:val="clear" w:color="auto" w:fill="auto"/>
            <w:vAlign w:val="center"/>
          </w:tcPr>
          <w:p w:rsidR="00B13D6F" w:rsidRPr="007D42C5" w:rsidRDefault="007D42C5" w:rsidP="00C85D0F">
            <w:pPr>
              <w:pStyle w:val="EPName"/>
            </w:pPr>
            <w:r w:rsidRPr="007D42C5">
              <w:t>Europa-Parlamentet</w:t>
            </w:r>
          </w:p>
          <w:p w:rsidR="00B13D6F" w:rsidRPr="007D42C5" w:rsidRDefault="007D42C5" w:rsidP="004763A9">
            <w:pPr>
              <w:pStyle w:val="EPTerm"/>
            </w:pPr>
            <w:r w:rsidRPr="007D42C5">
              <w:t>2019-2024</w:t>
            </w:r>
          </w:p>
        </w:tc>
        <w:tc>
          <w:tcPr>
            <w:tcW w:w="2268" w:type="dxa"/>
            <w:shd w:val="clear" w:color="auto" w:fill="auto"/>
          </w:tcPr>
          <w:p w:rsidR="00B13D6F" w:rsidRPr="007D42C5" w:rsidRDefault="007D42C5" w:rsidP="00C85D0F">
            <w:pPr>
              <w:pStyle w:val="EPLogo"/>
            </w:pPr>
            <w:r w:rsidRPr="007D42C5">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586879"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7D42C5" w:rsidRDefault="00461601" w:rsidP="00461601">
      <w:pPr>
        <w:pStyle w:val="LineTop"/>
      </w:pPr>
    </w:p>
    <w:p w:rsidR="00461601" w:rsidRPr="007D42C5" w:rsidRDefault="007D42C5" w:rsidP="004763A9">
      <w:pPr>
        <w:pStyle w:val="EPBody"/>
      </w:pPr>
      <w:r w:rsidRPr="007D42C5">
        <w:rPr>
          <w:rStyle w:val="HideTWBExt"/>
        </w:rPr>
        <w:t>&lt;</w:t>
      </w:r>
      <w:r w:rsidRPr="007D42C5">
        <w:rPr>
          <w:rStyle w:val="HideTWBExt"/>
          <w:i w:val="0"/>
        </w:rPr>
        <w:t>Commission</w:t>
      </w:r>
      <w:r w:rsidRPr="007D42C5">
        <w:rPr>
          <w:rStyle w:val="HideTWBExt"/>
        </w:rPr>
        <w:t>&gt;</w:t>
      </w:r>
      <w:r w:rsidRPr="007D42C5">
        <w:rPr>
          <w:rStyle w:val="HideTWBInt"/>
          <w:color w:val="auto"/>
        </w:rPr>
        <w:t>{LIBE}</w:t>
      </w:r>
      <w:r w:rsidRPr="007D42C5">
        <w:t>Udvalget om Borgernes Rettigheder og Retlige og Indre Anliggender</w:t>
      </w:r>
      <w:r w:rsidRPr="007D42C5">
        <w:rPr>
          <w:rStyle w:val="HideTWBExt"/>
        </w:rPr>
        <w:t>&lt;/</w:t>
      </w:r>
      <w:r w:rsidRPr="007D42C5">
        <w:rPr>
          <w:rStyle w:val="HideTWBExt"/>
          <w:i w:val="0"/>
        </w:rPr>
        <w:t>Commission</w:t>
      </w:r>
      <w:r w:rsidRPr="007D42C5">
        <w:rPr>
          <w:rStyle w:val="HideTWBExt"/>
        </w:rPr>
        <w:t>&gt;</w:t>
      </w:r>
    </w:p>
    <w:p w:rsidR="00461601" w:rsidRPr="007D42C5" w:rsidRDefault="00461601" w:rsidP="00461601">
      <w:pPr>
        <w:pStyle w:val="LineBottom"/>
      </w:pPr>
    </w:p>
    <w:p w:rsidR="00793EA9" w:rsidRPr="007D42C5" w:rsidRDefault="007D42C5" w:rsidP="004763A9">
      <w:pPr>
        <w:pStyle w:val="CoverReference"/>
      </w:pPr>
      <w:r w:rsidRPr="007D42C5">
        <w:rPr>
          <w:rStyle w:val="HideTWBExt"/>
          <w:b w:val="0"/>
        </w:rPr>
        <w:t>&lt;RefProc&gt;</w:t>
      </w:r>
      <w:r w:rsidRPr="007D42C5">
        <w:t>2022/0132</w:t>
      </w:r>
      <w:r w:rsidRPr="007D42C5">
        <w:rPr>
          <w:rStyle w:val="HideTWBExt"/>
          <w:b w:val="0"/>
        </w:rPr>
        <w:t>&lt;/RefProc&gt;&lt;RefTypeProc&gt;</w:t>
      </w:r>
      <w:r w:rsidRPr="007D42C5">
        <w:t>(COD)</w:t>
      </w:r>
      <w:r w:rsidRPr="007D42C5">
        <w:rPr>
          <w:rStyle w:val="HideTWBExt"/>
          <w:b w:val="0"/>
        </w:rPr>
        <w:t>&lt;/RefTypeProc&gt;</w:t>
      </w:r>
    </w:p>
    <w:p w:rsidR="00793EA9" w:rsidRPr="007D42C5" w:rsidRDefault="007D42C5" w:rsidP="004763A9">
      <w:pPr>
        <w:pStyle w:val="CoverDate"/>
      </w:pPr>
      <w:r w:rsidRPr="007D42C5">
        <w:rPr>
          <w:rStyle w:val="HideTWBExt"/>
        </w:rPr>
        <w:t>&lt;Date&gt;</w:t>
      </w:r>
      <w:r w:rsidRPr="007D42C5">
        <w:rPr>
          <w:rStyle w:val="HideTWBInt"/>
          <w:color w:val="auto"/>
        </w:rPr>
        <w:t>{18/10/2022}</w:t>
      </w:r>
      <w:r w:rsidRPr="007D42C5">
        <w:t>18.10.2022</w:t>
      </w:r>
      <w:r w:rsidRPr="007D42C5">
        <w:rPr>
          <w:rStyle w:val="HideTWBExt"/>
        </w:rPr>
        <w:t>&lt;/Date&gt;</w:t>
      </w:r>
    </w:p>
    <w:p w:rsidR="00793EA9" w:rsidRPr="007D42C5" w:rsidRDefault="007D42C5">
      <w:pPr>
        <w:pStyle w:val="CoverDocType"/>
      </w:pPr>
      <w:r w:rsidRPr="007D42C5">
        <w:rPr>
          <w:rStyle w:val="HideTWBExt"/>
          <w:b w:val="0"/>
        </w:rPr>
        <w:t>&lt;RefProcLect&gt;</w:t>
      </w:r>
      <w:r w:rsidRPr="007D42C5">
        <w:t>***I</w:t>
      </w:r>
      <w:r w:rsidRPr="007D42C5">
        <w:rPr>
          <w:rStyle w:val="HideTWBExt"/>
          <w:b w:val="0"/>
        </w:rPr>
        <w:t>&lt;/RefProcLect&gt;</w:t>
      </w:r>
    </w:p>
    <w:p w:rsidR="00793EA9" w:rsidRPr="007D42C5" w:rsidRDefault="007D42C5">
      <w:pPr>
        <w:pStyle w:val="CoverDocType24a"/>
      </w:pPr>
      <w:r w:rsidRPr="007D42C5">
        <w:rPr>
          <w:rStyle w:val="HideTWBExt"/>
          <w:b w:val="0"/>
        </w:rPr>
        <w:t>&lt;TitreType&gt;</w:t>
      </w:r>
      <w:r w:rsidRPr="007D42C5">
        <w:t>UDKAST TIL BETÆNKNING</w:t>
      </w:r>
      <w:r w:rsidRPr="007D42C5">
        <w:rPr>
          <w:rStyle w:val="HideTWBExt"/>
          <w:b w:val="0"/>
        </w:rPr>
        <w:t>&lt;/TitreType&gt;</w:t>
      </w:r>
    </w:p>
    <w:p w:rsidR="004763A9" w:rsidRPr="007D42C5" w:rsidRDefault="007D42C5" w:rsidP="004763A9">
      <w:pPr>
        <w:pStyle w:val="CoverNormal"/>
      </w:pPr>
      <w:r w:rsidRPr="007D42C5">
        <w:rPr>
          <w:rStyle w:val="HideTWBExt"/>
        </w:rPr>
        <w:t>&lt;Titre&gt;</w:t>
      </w:r>
      <w:r w:rsidRPr="007D42C5">
        <w:t>om forslag til Europa-Parlamentets og Rådets forordning om ændring af Europa-Parlamentets og Rådets forordning (EF) nr. 767/2008, (EF) nr. 810/2009 og (EU) 2017/2226 og Rådets forordning (E</w:t>
      </w:r>
      <w:r w:rsidRPr="007D42C5">
        <w:t>F) nr. 1683/95, (EF) nr. 333/2002, (EF) nr. 693/2003 og (EF) nr. 694/2003 og konventionen om gennemførelse af Schengenaftalen for så vidt angår digitalisering af visumproceduren</w:t>
      </w:r>
      <w:r w:rsidRPr="007D42C5">
        <w:rPr>
          <w:rStyle w:val="HideTWBExt"/>
        </w:rPr>
        <w:t>&lt;/Titre&gt;</w:t>
      </w:r>
    </w:p>
    <w:p w:rsidR="004763A9" w:rsidRPr="007D42C5" w:rsidRDefault="007D42C5" w:rsidP="004763A9">
      <w:pPr>
        <w:pStyle w:val="CoverNormal24a"/>
      </w:pPr>
      <w:r w:rsidRPr="007D42C5">
        <w:rPr>
          <w:rStyle w:val="HideTWBExt"/>
        </w:rPr>
        <w:t>&lt;DocRef&gt;</w:t>
      </w:r>
      <w:r w:rsidRPr="007D42C5">
        <w:t>(COM(2022)0658 – C9</w:t>
      </w:r>
      <w:r w:rsidRPr="007D42C5">
        <w:noBreakHyphen/>
        <w:t>0165/2022 – 2022/0132(COD))</w:t>
      </w:r>
      <w:r w:rsidRPr="007D42C5">
        <w:rPr>
          <w:rStyle w:val="HideTWBExt"/>
        </w:rPr>
        <w:t>&lt;/DocRef&gt;</w:t>
      </w:r>
    </w:p>
    <w:p w:rsidR="00793EA9" w:rsidRPr="007D42C5" w:rsidRDefault="007D42C5" w:rsidP="004763A9">
      <w:pPr>
        <w:pStyle w:val="CoverNormal24a"/>
      </w:pPr>
      <w:r w:rsidRPr="007D42C5">
        <w:rPr>
          <w:rStyle w:val="HideTWBExt"/>
        </w:rPr>
        <w:t>&lt;Commission&gt;</w:t>
      </w:r>
      <w:r w:rsidRPr="007D42C5">
        <w:rPr>
          <w:rStyle w:val="HideTWBInt"/>
          <w:color w:val="auto"/>
        </w:rPr>
        <w:t>{LIBE}</w:t>
      </w:r>
      <w:r w:rsidRPr="007D42C5">
        <w:t>Udvalget om Borgernes Rettigheder og Retlige og Indre Anliggender</w:t>
      </w:r>
      <w:r w:rsidRPr="007D42C5">
        <w:rPr>
          <w:rStyle w:val="HideTWBExt"/>
        </w:rPr>
        <w:t>&lt;/Commission&gt;</w:t>
      </w:r>
    </w:p>
    <w:p w:rsidR="00793EA9" w:rsidRPr="007D42C5" w:rsidRDefault="007D42C5" w:rsidP="004763A9">
      <w:pPr>
        <w:pStyle w:val="CoverNormal24a"/>
      </w:pPr>
      <w:r w:rsidRPr="007D42C5">
        <w:t xml:space="preserve">Ordfører: </w:t>
      </w:r>
      <w:r w:rsidRPr="007D42C5">
        <w:rPr>
          <w:rStyle w:val="HideTWBExt"/>
        </w:rPr>
        <w:t>&lt;Depute&gt;</w:t>
      </w:r>
      <w:r w:rsidRPr="007D42C5">
        <w:t>Matjaž Nemec</w:t>
      </w:r>
      <w:r w:rsidRPr="007D42C5">
        <w:rPr>
          <w:rStyle w:val="HideTWBExt"/>
        </w:rPr>
        <w:t>&lt;/Depute&gt;</w:t>
      </w:r>
    </w:p>
    <w:p w:rsidR="001C5B44" w:rsidRPr="007D42C5" w:rsidRDefault="001C5B44" w:rsidP="001C5B44">
      <w:pPr>
        <w:pStyle w:val="CoverNormal"/>
      </w:pPr>
    </w:p>
    <w:p w:rsidR="004763A9" w:rsidRPr="007D42C5" w:rsidRDefault="007D42C5" w:rsidP="00894923">
      <w:r w:rsidRPr="007D42C5">
        <w:br w:type="page"/>
      </w:r>
      <w:r w:rsidRPr="007D42C5">
        <w:lastRenderedPageBreak/>
        <w:fldChar w:fldCharType="begin"/>
      </w:r>
      <w:r w:rsidRPr="007D42C5">
        <w:instrText xml:space="preserve"> TITLE  \* MERGEFORMAT </w:instrText>
      </w:r>
      <w:r w:rsidRPr="007D42C5">
        <w:fldChar w:fldCharType="separate"/>
      </w:r>
      <w:r>
        <w:t>PR_COD_1amCom</w:t>
      </w:r>
      <w:r w:rsidRPr="007D42C5">
        <w:fldChar w:fldCharType="end"/>
      </w:r>
    </w:p>
    <w:p w:rsidR="004763A9" w:rsidRPr="007D42C5" w:rsidRDefault="004763A9" w:rsidP="00894923"/>
    <w:p w:rsidR="004763A9" w:rsidRPr="007D42C5" w:rsidRDefault="004763A9"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9D1139" w:rsidRPr="007D42C5">
        <w:tc>
          <w:tcPr>
            <w:tcW w:w="5811" w:type="dxa"/>
          </w:tcPr>
          <w:p w:rsidR="004763A9" w:rsidRPr="007D42C5" w:rsidRDefault="007D42C5" w:rsidP="00894923">
            <w:pPr>
              <w:pStyle w:val="Lgendetitre"/>
            </w:pPr>
            <w:r w:rsidRPr="007D42C5">
              <w:t>Tegnforklaring</w:t>
            </w:r>
          </w:p>
        </w:tc>
      </w:tr>
      <w:tr w:rsidR="009D1139" w:rsidRPr="007D42C5" w:rsidTr="00C50C36">
        <w:trPr>
          <w:cantSplit/>
          <w:trHeight w:val="1944"/>
        </w:trPr>
        <w:tc>
          <w:tcPr>
            <w:tcW w:w="5811" w:type="dxa"/>
            <w:tcBorders>
              <w:bottom w:val="single" w:sz="4" w:space="0" w:color="auto"/>
            </w:tcBorders>
          </w:tcPr>
          <w:p w:rsidR="004763A9" w:rsidRPr="007D42C5" w:rsidRDefault="007D42C5" w:rsidP="00C36C9E">
            <w:pPr>
              <w:pStyle w:val="Lgendesigne"/>
              <w:rPr>
                <w:szCs w:val="24"/>
              </w:rPr>
            </w:pPr>
            <w:r w:rsidRPr="007D42C5">
              <w:tab/>
              <w:t>*</w:t>
            </w:r>
            <w:r w:rsidRPr="007D42C5">
              <w:tab/>
              <w:t>Høringsprocedure</w:t>
            </w:r>
          </w:p>
          <w:p w:rsidR="004763A9" w:rsidRPr="007D42C5" w:rsidRDefault="007D42C5" w:rsidP="00C36C9E">
            <w:pPr>
              <w:pStyle w:val="Lgendesigne"/>
              <w:rPr>
                <w:szCs w:val="24"/>
              </w:rPr>
            </w:pPr>
            <w:r w:rsidRPr="007D42C5">
              <w:tab/>
              <w:t>***</w:t>
            </w:r>
            <w:r w:rsidRPr="007D42C5">
              <w:tab/>
              <w:t>Godkendelsesprocedure</w:t>
            </w:r>
          </w:p>
          <w:p w:rsidR="004763A9" w:rsidRPr="007D42C5" w:rsidRDefault="007D42C5" w:rsidP="00C36C9E">
            <w:pPr>
              <w:pStyle w:val="Lgendesigne"/>
              <w:rPr>
                <w:szCs w:val="24"/>
              </w:rPr>
            </w:pPr>
            <w:r w:rsidRPr="007D42C5">
              <w:tab/>
              <w:t>***I</w:t>
            </w:r>
            <w:r w:rsidRPr="007D42C5">
              <w:tab/>
            </w:r>
            <w:r w:rsidRPr="007D42C5">
              <w:t>Almindelig lovgivningsprocedure (førstebehandling)</w:t>
            </w:r>
          </w:p>
          <w:p w:rsidR="004763A9" w:rsidRPr="007D42C5" w:rsidRDefault="007D42C5" w:rsidP="00C36C9E">
            <w:pPr>
              <w:pStyle w:val="Lgendesigne"/>
              <w:rPr>
                <w:szCs w:val="24"/>
              </w:rPr>
            </w:pPr>
            <w:r w:rsidRPr="007D42C5">
              <w:tab/>
              <w:t>***II</w:t>
            </w:r>
            <w:r w:rsidRPr="007D42C5">
              <w:tab/>
              <w:t>Almindelig lovgivningsprocedure (andenbehandling)</w:t>
            </w:r>
          </w:p>
          <w:p w:rsidR="004763A9" w:rsidRPr="007D42C5" w:rsidRDefault="007D42C5" w:rsidP="00C36C9E">
            <w:pPr>
              <w:pStyle w:val="Lgendesigne"/>
              <w:rPr>
                <w:szCs w:val="24"/>
              </w:rPr>
            </w:pPr>
            <w:r w:rsidRPr="007D42C5">
              <w:tab/>
              <w:t>***III</w:t>
            </w:r>
            <w:r w:rsidRPr="007D42C5">
              <w:tab/>
              <w:t>Almindelig lovgivningsprocedure (tredjebehandling)</w:t>
            </w:r>
          </w:p>
          <w:p w:rsidR="004763A9" w:rsidRPr="007D42C5" w:rsidRDefault="004763A9" w:rsidP="0069092A">
            <w:pPr>
              <w:pStyle w:val="Lgendestandard"/>
            </w:pPr>
          </w:p>
          <w:p w:rsidR="004763A9" w:rsidRPr="007D42C5" w:rsidRDefault="007D42C5" w:rsidP="0069092A">
            <w:pPr>
              <w:pStyle w:val="Lgendestandard"/>
            </w:pPr>
            <w:r w:rsidRPr="007D42C5">
              <w:t>(Proceduren afhænger af, hvilket retsgrundlag der er valgt i udkastet til retsakt)</w:t>
            </w:r>
          </w:p>
          <w:p w:rsidR="004763A9" w:rsidRPr="007D42C5" w:rsidRDefault="004763A9" w:rsidP="0031005B">
            <w:pPr>
              <w:pStyle w:val="Lgendestandard"/>
            </w:pPr>
          </w:p>
        </w:tc>
      </w:tr>
    </w:tbl>
    <w:p w:rsidR="004763A9" w:rsidRPr="007D42C5" w:rsidRDefault="004763A9" w:rsidP="00894923"/>
    <w:p w:rsidR="004763A9" w:rsidRPr="007D42C5" w:rsidRDefault="004763A9" w:rsidP="00894923"/>
    <w:p w:rsidR="004763A9" w:rsidRPr="007D42C5" w:rsidRDefault="004763A9" w:rsidP="00894923"/>
    <w:p w:rsidR="004763A9" w:rsidRPr="007D42C5" w:rsidRDefault="004763A9"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9D1139" w:rsidRPr="007D42C5">
        <w:tc>
          <w:tcPr>
            <w:tcW w:w="5811" w:type="dxa"/>
          </w:tcPr>
          <w:p w:rsidR="004763A9" w:rsidRPr="007D42C5" w:rsidRDefault="007D42C5" w:rsidP="00894923">
            <w:pPr>
              <w:pStyle w:val="Lgendetitre"/>
            </w:pPr>
            <w:r w:rsidRPr="007D42C5">
              <w:t>Ændringsforslag til et udkast til retsakt</w:t>
            </w:r>
          </w:p>
        </w:tc>
      </w:tr>
      <w:tr w:rsidR="009D1139" w:rsidRPr="007D42C5" w:rsidTr="006E3697">
        <w:trPr>
          <w:trHeight w:val="4923"/>
        </w:trPr>
        <w:tc>
          <w:tcPr>
            <w:tcW w:w="5811" w:type="dxa"/>
          </w:tcPr>
          <w:p w:rsidR="004763A9" w:rsidRPr="007D42C5" w:rsidRDefault="007D42C5" w:rsidP="00C36C9E">
            <w:pPr>
              <w:pStyle w:val="Lgendestandard"/>
              <w:rPr>
                <w:b/>
                <w:noProof/>
                <w:szCs w:val="24"/>
              </w:rPr>
            </w:pPr>
            <w:r w:rsidRPr="007D42C5">
              <w:rPr>
                <w:b/>
              </w:rPr>
              <w:t>Ændringsforslag fra Parlamentet opstillet i to kolonner</w:t>
            </w:r>
          </w:p>
          <w:p w:rsidR="004763A9" w:rsidRPr="007D42C5" w:rsidRDefault="004763A9" w:rsidP="00C36C9E">
            <w:pPr>
              <w:pStyle w:val="Lgendestandard"/>
            </w:pPr>
          </w:p>
          <w:p w:rsidR="004763A9" w:rsidRPr="007D42C5" w:rsidRDefault="007D42C5" w:rsidP="00C36C9E">
            <w:pPr>
              <w:pStyle w:val="Lgendestandard"/>
              <w:rPr>
                <w:noProof/>
              </w:rPr>
            </w:pPr>
            <w:r w:rsidRPr="007D42C5">
              <w:t xml:space="preserve">Tekst, der udgår, er markeret med </w:t>
            </w:r>
            <w:r w:rsidRPr="007D42C5">
              <w:rPr>
                <w:b/>
                <w:i/>
              </w:rPr>
              <w:t>fede typer og kursiv</w:t>
            </w:r>
            <w:r w:rsidRPr="007D42C5">
              <w:t xml:space="preserve"> i venstre kolonne. Tekst, der udskiftes, er markeret med </w:t>
            </w:r>
            <w:r w:rsidRPr="007D42C5">
              <w:rPr>
                <w:b/>
                <w:i/>
              </w:rPr>
              <w:t>fede typer og kursiv</w:t>
            </w:r>
            <w:r w:rsidRPr="007D42C5">
              <w:t xml:space="preserve"> i begge kolonner. </w:t>
            </w:r>
            <w:r w:rsidRPr="007D42C5">
              <w:t xml:space="preserve">Ny tekst er markeret med </w:t>
            </w:r>
            <w:r w:rsidRPr="007D42C5">
              <w:rPr>
                <w:b/>
                <w:i/>
              </w:rPr>
              <w:t>fede typer og kursiv</w:t>
            </w:r>
            <w:r w:rsidRPr="007D42C5">
              <w:t xml:space="preserve"> i højre kolonne.</w:t>
            </w:r>
          </w:p>
          <w:p w:rsidR="004763A9" w:rsidRPr="007D42C5" w:rsidRDefault="004763A9" w:rsidP="00C36C9E">
            <w:pPr>
              <w:pStyle w:val="Lgendestandard"/>
              <w:rPr>
                <w:noProof/>
              </w:rPr>
            </w:pPr>
          </w:p>
          <w:p w:rsidR="004763A9" w:rsidRPr="007D42C5" w:rsidRDefault="007D42C5" w:rsidP="00C36C9E">
            <w:pPr>
              <w:pStyle w:val="Lgendestandard"/>
              <w:rPr>
                <w:noProof/>
              </w:rPr>
            </w:pPr>
            <w:r w:rsidRPr="007D42C5">
              <w:t>Den første og den anden linje i informationsblokken til hvert ændringsforslag angiver den relevante passage i det pågældende udkast til retsakt. Hvis et ændringsforslag angår en eksisterende r</w:t>
            </w:r>
            <w:r w:rsidRPr="007D42C5">
              <w:t>etsakt, som udkastet til retsakt har til formål at ændre, indeholder informationsblokken tillige en tredje og en fjerde linje, hvori det er anført, hvilken eksisterende retsakt og hvilken bestemmelse heri der er berørt.</w:t>
            </w:r>
          </w:p>
          <w:p w:rsidR="004763A9" w:rsidRPr="007D42C5" w:rsidRDefault="004763A9" w:rsidP="00C36C9E">
            <w:pPr>
              <w:pStyle w:val="Lgendestandard"/>
              <w:rPr>
                <w:noProof/>
              </w:rPr>
            </w:pPr>
          </w:p>
          <w:p w:rsidR="004763A9" w:rsidRPr="007D42C5" w:rsidRDefault="007D42C5" w:rsidP="00C36C9E">
            <w:pPr>
              <w:pStyle w:val="Lgendestandard"/>
              <w:rPr>
                <w:b/>
                <w:szCs w:val="24"/>
              </w:rPr>
            </w:pPr>
            <w:r w:rsidRPr="007D42C5">
              <w:rPr>
                <w:b/>
              </w:rPr>
              <w:t>Ændringsforslag fra Parlamentet i f</w:t>
            </w:r>
            <w:r w:rsidRPr="007D42C5">
              <w:rPr>
                <w:b/>
              </w:rPr>
              <w:t>orm af en konsolideret tekst</w:t>
            </w:r>
          </w:p>
          <w:p w:rsidR="004763A9" w:rsidRPr="007D42C5" w:rsidRDefault="004763A9" w:rsidP="00C36C9E">
            <w:pPr>
              <w:pStyle w:val="Lgendestandard"/>
              <w:rPr>
                <w:szCs w:val="24"/>
              </w:rPr>
            </w:pPr>
          </w:p>
          <w:p w:rsidR="004763A9" w:rsidRPr="007D42C5" w:rsidRDefault="007D42C5" w:rsidP="00C36C9E">
            <w:pPr>
              <w:pStyle w:val="Lgendestandard"/>
            </w:pPr>
            <w:r w:rsidRPr="007D42C5">
              <w:t xml:space="preserve">Ny tekst er markeret med </w:t>
            </w:r>
            <w:r w:rsidRPr="007D42C5">
              <w:rPr>
                <w:b/>
                <w:i/>
              </w:rPr>
              <w:t>fede typer og kursiv</w:t>
            </w:r>
            <w:r w:rsidRPr="007D42C5">
              <w:t xml:space="preserve">. Tekst, som er bortfaldet, markeres med symbolet ▌eller med overstregning. Ved udskiftninger markeres den nye tekst med </w:t>
            </w:r>
            <w:r w:rsidRPr="007D42C5">
              <w:rPr>
                <w:b/>
                <w:i/>
              </w:rPr>
              <w:t>fede typer og kursiv</w:t>
            </w:r>
            <w:r w:rsidRPr="007D42C5">
              <w:t xml:space="preserve">, og den udskiftede tekst slettes eller </w:t>
            </w:r>
            <w:r w:rsidRPr="007D42C5">
              <w:t>overstreges.</w:t>
            </w:r>
          </w:p>
          <w:p w:rsidR="004763A9" w:rsidRPr="007D42C5" w:rsidRDefault="007D42C5" w:rsidP="00C36C9E">
            <w:pPr>
              <w:pStyle w:val="Lgendestandard"/>
              <w:rPr>
                <w:szCs w:val="24"/>
              </w:rPr>
            </w:pPr>
            <w:r w:rsidRPr="007D42C5">
              <w:t>Som en undtagelse bliver rent tekniske justeringer, der er foretaget af de berørte tjenestegrene med henblik på udarbejdelsen af den endelige tekst, ikke markeret.</w:t>
            </w:r>
          </w:p>
          <w:p w:rsidR="004763A9" w:rsidRPr="007D42C5" w:rsidRDefault="004763A9" w:rsidP="0069092A">
            <w:pPr>
              <w:pStyle w:val="Lgendestandard"/>
            </w:pPr>
          </w:p>
        </w:tc>
      </w:tr>
    </w:tbl>
    <w:p w:rsidR="004763A9" w:rsidRPr="007D42C5" w:rsidRDefault="004763A9" w:rsidP="00894923"/>
    <w:p w:rsidR="00793EA9" w:rsidRPr="007D42C5" w:rsidRDefault="00793EA9" w:rsidP="004763A9">
      <w:pPr>
        <w:widowControl/>
        <w:tabs>
          <w:tab w:val="center" w:pos="4677"/>
        </w:tabs>
      </w:pPr>
    </w:p>
    <w:p w:rsidR="00793EA9" w:rsidRPr="007D42C5" w:rsidRDefault="007D42C5">
      <w:pPr>
        <w:pStyle w:val="TOCHeading"/>
      </w:pPr>
      <w:r w:rsidRPr="007D42C5">
        <w:br w:type="page"/>
      </w:r>
      <w:r w:rsidRPr="007D42C5">
        <w:lastRenderedPageBreak/>
        <w:t>INDHOLD</w:t>
      </w:r>
    </w:p>
    <w:p w:rsidR="00793EA9" w:rsidRPr="007D42C5" w:rsidRDefault="007D42C5">
      <w:pPr>
        <w:pStyle w:val="TOCPage"/>
      </w:pPr>
      <w:r w:rsidRPr="007D42C5">
        <w:t>Side</w:t>
      </w:r>
    </w:p>
    <w:p w:rsidR="007D42C5" w:rsidRDefault="007D42C5">
      <w:pPr>
        <w:pStyle w:val="TOC1"/>
        <w:tabs>
          <w:tab w:val="right" w:leader="dot" w:pos="9060"/>
        </w:tabs>
        <w:rPr>
          <w:rFonts w:asciiTheme="minorHAnsi" w:eastAsiaTheme="minorEastAsia" w:hAnsiTheme="minorHAnsi" w:cstheme="minorBidi"/>
          <w:noProof/>
          <w:sz w:val="22"/>
          <w:szCs w:val="22"/>
          <w:lang w:val="en-GB"/>
        </w:rPr>
      </w:pPr>
      <w:r w:rsidRPr="007D42C5">
        <w:rPr>
          <w:b/>
        </w:rPr>
        <w:fldChar w:fldCharType="begin"/>
      </w:r>
      <w:r w:rsidRPr="007D42C5">
        <w:rPr>
          <w:b/>
        </w:rPr>
        <w:instrText xml:space="preserve"> TOC \t "PageHeading</w:instrText>
      </w:r>
      <w:r w:rsidRPr="007D42C5">
        <w:rPr>
          <w:b/>
        </w:rPr>
        <w:instrText>;</w:instrText>
      </w:r>
      <w:r w:rsidRPr="007D42C5">
        <w:rPr>
          <w:b/>
        </w:rPr>
        <w:instrText xml:space="preserve">1" </w:instrText>
      </w:r>
      <w:r w:rsidRPr="007D42C5">
        <w:rPr>
          <w:b/>
        </w:rPr>
        <w:fldChar w:fldCharType="separate"/>
      </w:r>
      <w:r>
        <w:rPr>
          <w:noProof/>
        </w:rPr>
        <w:t>FORSLAG TIL EUROPA-PARLAMENTETS LOVGIVNINGSMÆSSIGE BESLUTNING</w:t>
      </w:r>
      <w:r>
        <w:rPr>
          <w:noProof/>
        </w:rPr>
        <w:tab/>
      </w:r>
      <w:r>
        <w:rPr>
          <w:noProof/>
        </w:rPr>
        <w:fldChar w:fldCharType="begin"/>
      </w:r>
      <w:r>
        <w:rPr>
          <w:noProof/>
        </w:rPr>
        <w:instrText xml:space="preserve"> PAGEREF _Toc118726775 \h </w:instrText>
      </w:r>
      <w:r>
        <w:rPr>
          <w:noProof/>
        </w:rPr>
      </w:r>
      <w:r>
        <w:rPr>
          <w:noProof/>
        </w:rPr>
        <w:fldChar w:fldCharType="separate"/>
      </w:r>
      <w:r>
        <w:rPr>
          <w:noProof/>
        </w:rPr>
        <w:t>5</w:t>
      </w:r>
      <w:r>
        <w:rPr>
          <w:noProof/>
        </w:rPr>
        <w:fldChar w:fldCharType="end"/>
      </w:r>
    </w:p>
    <w:p w:rsidR="007D42C5" w:rsidRDefault="007D42C5">
      <w:pPr>
        <w:pStyle w:val="TOC1"/>
        <w:tabs>
          <w:tab w:val="right" w:leader="dot" w:pos="9060"/>
        </w:tabs>
        <w:rPr>
          <w:rFonts w:asciiTheme="minorHAnsi" w:eastAsiaTheme="minorEastAsia" w:hAnsiTheme="minorHAnsi" w:cstheme="minorBidi"/>
          <w:noProof/>
          <w:sz w:val="22"/>
          <w:szCs w:val="22"/>
          <w:lang w:val="en-GB"/>
        </w:rPr>
      </w:pPr>
      <w:r>
        <w:rPr>
          <w:noProof/>
        </w:rPr>
        <w:t>BEGRUNDELSE</w:t>
      </w:r>
      <w:r>
        <w:rPr>
          <w:noProof/>
        </w:rPr>
        <w:tab/>
      </w:r>
      <w:r>
        <w:rPr>
          <w:noProof/>
        </w:rPr>
        <w:fldChar w:fldCharType="begin"/>
      </w:r>
      <w:r>
        <w:rPr>
          <w:noProof/>
        </w:rPr>
        <w:instrText xml:space="preserve"> PAGEREF _Toc118726776 \h </w:instrText>
      </w:r>
      <w:r>
        <w:rPr>
          <w:noProof/>
        </w:rPr>
      </w:r>
      <w:r>
        <w:rPr>
          <w:noProof/>
        </w:rPr>
        <w:fldChar w:fldCharType="separate"/>
      </w:r>
      <w:r>
        <w:rPr>
          <w:noProof/>
        </w:rPr>
        <w:t>30</w:t>
      </w:r>
      <w:r>
        <w:rPr>
          <w:noProof/>
        </w:rPr>
        <w:fldChar w:fldCharType="end"/>
      </w:r>
    </w:p>
    <w:p w:rsidR="007D42C5" w:rsidRDefault="007D42C5">
      <w:pPr>
        <w:pStyle w:val="TOC1"/>
        <w:tabs>
          <w:tab w:val="right" w:leader="dot" w:pos="9060"/>
        </w:tabs>
        <w:rPr>
          <w:rFonts w:asciiTheme="minorHAnsi" w:eastAsiaTheme="minorEastAsia" w:hAnsiTheme="minorHAnsi" w:cstheme="minorBidi"/>
          <w:noProof/>
          <w:sz w:val="22"/>
          <w:szCs w:val="22"/>
          <w:lang w:val="en-GB"/>
        </w:rPr>
      </w:pPr>
      <w:r>
        <w:rPr>
          <w:noProof/>
        </w:rPr>
        <w:t>BILAG: OVERSIGT OVER ORGANER ELLER PERSONER, SOM ORDFØREREN HAR MODTAGET INPUT FRA</w:t>
      </w:r>
      <w:r>
        <w:rPr>
          <w:noProof/>
        </w:rPr>
        <w:tab/>
      </w:r>
      <w:r>
        <w:rPr>
          <w:noProof/>
        </w:rPr>
        <w:fldChar w:fldCharType="begin"/>
      </w:r>
      <w:r>
        <w:rPr>
          <w:noProof/>
        </w:rPr>
        <w:instrText xml:space="preserve"> PAGEREF _Toc118726777 \h </w:instrText>
      </w:r>
      <w:r>
        <w:rPr>
          <w:noProof/>
        </w:rPr>
      </w:r>
      <w:r>
        <w:rPr>
          <w:noProof/>
        </w:rPr>
        <w:fldChar w:fldCharType="separate"/>
      </w:r>
      <w:r>
        <w:rPr>
          <w:noProof/>
        </w:rPr>
        <w:t>32</w:t>
      </w:r>
      <w:r>
        <w:rPr>
          <w:noProof/>
        </w:rPr>
        <w:fldChar w:fldCharType="end"/>
      </w:r>
    </w:p>
    <w:p w:rsidR="002346B0" w:rsidRPr="007D42C5" w:rsidRDefault="007D42C5" w:rsidP="00C23324">
      <w:r w:rsidRPr="007D42C5">
        <w:rPr>
          <w:b/>
        </w:rPr>
        <w:fldChar w:fldCharType="end"/>
      </w:r>
    </w:p>
    <w:p w:rsidR="00793EA9" w:rsidRPr="007D42C5" w:rsidRDefault="007D42C5">
      <w:pPr>
        <w:pStyle w:val="PageHeading"/>
      </w:pPr>
      <w:r w:rsidRPr="007D42C5">
        <w:br w:type="page"/>
      </w:r>
      <w:r w:rsidRPr="007D42C5">
        <w:br w:type="page"/>
      </w:r>
      <w:bookmarkStart w:id="0" w:name="_Toc118726775"/>
      <w:r w:rsidRPr="007D42C5">
        <w:t>FORSLAG T</w:t>
      </w:r>
      <w:r w:rsidRPr="007D42C5">
        <w:t>IL EUROPA-PARLAMENTETS LOVGIVNINGSMÆSSIGE BESLUTNING</w:t>
      </w:r>
      <w:bookmarkEnd w:id="0"/>
    </w:p>
    <w:p w:rsidR="004763A9" w:rsidRPr="007D42C5" w:rsidRDefault="007D42C5" w:rsidP="004763A9">
      <w:pPr>
        <w:pStyle w:val="NormalBold"/>
      </w:pPr>
      <w:r w:rsidRPr="007D42C5">
        <w:t>om forslag til Europa-Parlamentets og Rådets forordning om ændring af Europa-Parlamentets og Rådets forordning (EF) nr. 767/2008, (EF) nr. 810/2009 og (EU) 2017/2226 og Rådets forordning (EF) nr. 1683/95</w:t>
      </w:r>
      <w:r w:rsidRPr="007D42C5">
        <w:t>, (EF) nr. 333/2002, (EF) nr. 693/2003 og (EF) nr. 694/2003 og konventionen om gennemførelse af Schengenaftalen for så vidt angår digitalisering af visumproceduren</w:t>
      </w:r>
    </w:p>
    <w:p w:rsidR="004763A9" w:rsidRPr="007D42C5" w:rsidRDefault="007D42C5" w:rsidP="004763A9">
      <w:pPr>
        <w:pStyle w:val="NormalBold12a"/>
      </w:pPr>
      <w:r w:rsidRPr="007D42C5">
        <w:t>(COM(2022)0658 – C9</w:t>
      </w:r>
      <w:r w:rsidRPr="007D42C5">
        <w:noBreakHyphen/>
        <w:t>0165/2022 – 2022/0132(COD))</w:t>
      </w:r>
    </w:p>
    <w:p w:rsidR="00793EA9" w:rsidRPr="007D42C5" w:rsidRDefault="007D42C5" w:rsidP="00A910C9">
      <w:pPr>
        <w:pStyle w:val="NormalBold"/>
      </w:pPr>
      <w:r w:rsidRPr="007D42C5">
        <w:t>(Almindelig lovgivningsprocedure: førstebeha</w:t>
      </w:r>
      <w:r w:rsidRPr="007D42C5">
        <w:t>ndling)</w:t>
      </w:r>
    </w:p>
    <w:p w:rsidR="00793EA9" w:rsidRPr="007D42C5" w:rsidRDefault="007D42C5" w:rsidP="00A910C9">
      <w:pPr>
        <w:pStyle w:val="EPComma"/>
      </w:pPr>
      <w:r w:rsidRPr="007D42C5">
        <w:rPr>
          <w:i/>
        </w:rPr>
        <w:t>Europa-Parlamentet</w:t>
      </w:r>
      <w:r w:rsidRPr="007D42C5">
        <w:t>,</w:t>
      </w:r>
    </w:p>
    <w:p w:rsidR="00793EA9" w:rsidRPr="007D42C5" w:rsidRDefault="007D42C5" w:rsidP="004763A9">
      <w:pPr>
        <w:pStyle w:val="NormalHanging12a"/>
      </w:pPr>
      <w:r w:rsidRPr="007D42C5">
        <w:t>–</w:t>
      </w:r>
      <w:r w:rsidRPr="007D42C5">
        <w:tab/>
        <w:t>der henviser til Kommissionens forslag til Europa-Parlamentet og Rådet (COM(2022)0658),</w:t>
      </w:r>
    </w:p>
    <w:p w:rsidR="00793EA9" w:rsidRPr="007D42C5" w:rsidRDefault="007D42C5" w:rsidP="004763A9">
      <w:pPr>
        <w:pStyle w:val="NormalHanging12a"/>
      </w:pPr>
      <w:r w:rsidRPr="007D42C5">
        <w:t>–</w:t>
      </w:r>
      <w:r w:rsidRPr="007D42C5">
        <w:tab/>
        <w:t>der henviser til artikel 294, stk. 2, artikel 77, stk. 2, litra a), og artikel 79, stk. 2, litra a), i traktaten om Den Europæiske Union</w:t>
      </w:r>
      <w:r w:rsidRPr="007D42C5">
        <w:t>s funktionsmåde, på grundlag af hvilke Kommissionen har forelagt forslaget for Parlamentet (C9</w:t>
      </w:r>
      <w:r w:rsidRPr="007D42C5">
        <w:noBreakHyphen/>
        <w:t>0165/2022),</w:t>
      </w:r>
    </w:p>
    <w:p w:rsidR="00A26F46" w:rsidRPr="007D42C5" w:rsidRDefault="007D42C5" w:rsidP="00A26F46">
      <w:pPr>
        <w:pStyle w:val="NormalHanging12a"/>
      </w:pPr>
      <w:r w:rsidRPr="007D42C5">
        <w:t>–</w:t>
      </w:r>
      <w:r w:rsidRPr="007D42C5">
        <w:tab/>
        <w:t>der henviser til artikel 294, stk. 3, i traktaten om Den Europæiske Unions funktionsmåde,</w:t>
      </w:r>
    </w:p>
    <w:p w:rsidR="00793EA9" w:rsidRPr="007D42C5" w:rsidRDefault="007D42C5" w:rsidP="004763A9">
      <w:pPr>
        <w:pStyle w:val="NormalHanging12a"/>
      </w:pPr>
      <w:r w:rsidRPr="007D42C5">
        <w:t>–</w:t>
      </w:r>
      <w:r w:rsidRPr="007D42C5">
        <w:tab/>
        <w:t>der henviser til forretningsordenens artikel 59,</w:t>
      </w:r>
    </w:p>
    <w:p w:rsidR="004763A9" w:rsidRPr="007D42C5" w:rsidRDefault="007D42C5" w:rsidP="004763A9">
      <w:pPr>
        <w:pStyle w:val="NormalHanging12a"/>
      </w:pPr>
      <w:r w:rsidRPr="007D42C5">
        <w:t>–</w:t>
      </w:r>
      <w:r w:rsidRPr="007D42C5">
        <w:tab/>
        <w:t xml:space="preserve">der </w:t>
      </w:r>
      <w:r w:rsidRPr="007D42C5">
        <w:t>henviser til skrivelse fra Budgetudvalget,</w:t>
      </w:r>
    </w:p>
    <w:p w:rsidR="006A2F5D" w:rsidRPr="007D42C5" w:rsidRDefault="007D42C5" w:rsidP="004763A9">
      <w:pPr>
        <w:pStyle w:val="NormalHanging12a"/>
      </w:pPr>
      <w:r w:rsidRPr="007D42C5">
        <w:t>–</w:t>
      </w:r>
      <w:r w:rsidRPr="007D42C5">
        <w:tab/>
        <w:t>der henviser til betænkning fra Udvalget om Borgernes Rettigheder og Retlige og Indre Anliggender (A9</w:t>
      </w:r>
      <w:r w:rsidRPr="007D42C5">
        <w:noBreakHyphen/>
        <w:t>0000/2022),</w:t>
      </w:r>
    </w:p>
    <w:p w:rsidR="009F6C2F" w:rsidRPr="007D42C5" w:rsidRDefault="007D42C5" w:rsidP="009F6C2F">
      <w:pPr>
        <w:pStyle w:val="NormalHanging12a"/>
      </w:pPr>
      <w:r w:rsidRPr="007D42C5">
        <w:t>1.</w:t>
      </w:r>
      <w:r w:rsidRPr="007D42C5">
        <w:tab/>
        <w:t>vedtager nedenstående holdning ved førstebehandling;</w:t>
      </w:r>
    </w:p>
    <w:p w:rsidR="009F6C2F" w:rsidRPr="007D42C5" w:rsidRDefault="007D42C5" w:rsidP="004763A9">
      <w:pPr>
        <w:pStyle w:val="NormalHanging12a"/>
      </w:pPr>
      <w:r w:rsidRPr="007D42C5">
        <w:t>2.</w:t>
      </w:r>
      <w:r w:rsidRPr="007D42C5">
        <w:tab/>
        <w:t xml:space="preserve">anmoder om fornyet forelæggelse, hvis </w:t>
      </w:r>
      <w:r w:rsidRPr="007D42C5">
        <w:t>Kommissionen erstatter, i væsentlig grad ændrer eller agter i væsentlig grad at ændre sit forslag;</w:t>
      </w:r>
    </w:p>
    <w:p w:rsidR="009F6C2F" w:rsidRPr="007D42C5" w:rsidRDefault="007D42C5" w:rsidP="009F6C2F">
      <w:pPr>
        <w:pStyle w:val="NormalHanging12a"/>
      </w:pPr>
      <w:r w:rsidRPr="007D42C5">
        <w:t>3.</w:t>
      </w:r>
      <w:r w:rsidRPr="007D42C5">
        <w:tab/>
        <w:t>pålægger sin formand at sende Parlamentets holdning til Rådet og Kommissionen samt til de nationale parlamenter.</w:t>
      </w:r>
    </w:p>
    <w:p w:rsidR="00D30DE2" w:rsidRPr="007D42C5" w:rsidRDefault="00D30DE2" w:rsidP="00D30DE2"/>
    <w:p w:rsidR="004763A9" w:rsidRPr="007D42C5" w:rsidRDefault="007D42C5" w:rsidP="004763A9">
      <w:pPr>
        <w:pStyle w:val="AMNumberTabs0"/>
        <w:keepNext/>
      </w:pPr>
      <w:r w:rsidRPr="007D42C5">
        <w:rPr>
          <w:rStyle w:val="HideTWBExt"/>
          <w:b w:val="0"/>
        </w:rPr>
        <w:t>&lt;RepeatBlock-Amend&gt;&lt;Amend&gt;</w:t>
      </w:r>
      <w:r w:rsidRPr="007D42C5">
        <w:t>Ændringsforslag</w:t>
      </w:r>
      <w:r w:rsidRPr="007D42C5">
        <w:tab/>
      </w:r>
      <w:r w:rsidRPr="007D42C5">
        <w:tab/>
      </w:r>
      <w:r w:rsidRPr="007D42C5">
        <w:rPr>
          <w:rStyle w:val="HideTWBExt"/>
          <w:b w:val="0"/>
        </w:rPr>
        <w:t>&lt;NumAm&gt;</w:t>
      </w:r>
      <w:r w:rsidRPr="007D42C5">
        <w:t>1</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Betragtning 8</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(8)</w:t>
            </w:r>
            <w:r w:rsidRPr="007D42C5">
              <w:tab/>
            </w:r>
            <w:r w:rsidRPr="007D42C5">
              <w:t xml:space="preserve">Visumansøgere bør kunne indgive deres ansøgning, opgive de oplysninger, der kræves i ansøgningsskemaet, indsende en </w:t>
            </w:r>
            <w:r w:rsidRPr="007D42C5">
              <w:rPr>
                <w:b/>
                <w:i/>
              </w:rPr>
              <w:t>scannet</w:t>
            </w:r>
            <w:r w:rsidRPr="007D42C5">
              <w:t xml:space="preserve"> kopi af rejsedokumentet samt anden dokumentation og bevis på rejsesygeforsikring i et digitalt format via EU-ansøgningsplatformen. O</w:t>
            </w:r>
            <w:r w:rsidRPr="007D42C5">
              <w:t xml:space="preserve">nlineansøgningsplatformen bør kunne lagre oplysninger midlertidigt, så ansøgerne kan gemme oplysninger om deres ansøgning. Når ansøgeren har indgivet onlineansøgningen, og medlemsstaterne foretager den nødvendige kontrol, overføres ansøgningsdossieret til </w:t>
            </w:r>
            <w:r w:rsidRPr="007D42C5">
              <w:t>den kompetente medlemsstats nationale system og lagres der. Konsulaterne tilgår de oplysninger, der er lagret på nationalt plan, og videresender kun de nødvendige oplysninger til det centrale VIS.</w:t>
            </w:r>
          </w:p>
        </w:tc>
        <w:tc>
          <w:tcPr>
            <w:tcW w:w="4876" w:type="dxa"/>
          </w:tcPr>
          <w:p w:rsidR="004763A9" w:rsidRPr="007D42C5" w:rsidRDefault="007D42C5" w:rsidP="00A72A8C">
            <w:pPr>
              <w:pStyle w:val="Normal6"/>
              <w:rPr>
                <w:szCs w:val="24"/>
              </w:rPr>
            </w:pPr>
            <w:r w:rsidRPr="007D42C5">
              <w:t>(8)</w:t>
            </w:r>
            <w:r w:rsidRPr="007D42C5">
              <w:tab/>
              <w:t>Visumansøgere bør kunne indgive deres ansøgning, opgive</w:t>
            </w:r>
            <w:r w:rsidRPr="007D42C5">
              <w:t xml:space="preserve"> de oplysninger, der kræves i ansøgningsskemaet, indsende en </w:t>
            </w:r>
            <w:r w:rsidRPr="007D42C5">
              <w:rPr>
                <w:b/>
                <w:i/>
              </w:rPr>
              <w:t>elektronisk</w:t>
            </w:r>
            <w:r w:rsidRPr="007D42C5">
              <w:t xml:space="preserve"> kopi af rejsedokumentet samt anden dokumentation og bevis på rejsesygeforsikring i et digitalt format via EU-ansøgningsplatformen. Onlineansøgningsplatformen bør kunne lagre oplysning</w:t>
            </w:r>
            <w:r w:rsidRPr="007D42C5">
              <w:t>er midlertidigt, så ansøgerne kan gemme oplysninger om deres ansøgning. Når ansøgeren har indgivet onlineansøgningen, og medlemsstaterne foretager den nødvendige kontrol, overføres ansøgningsdossieret til den kompetente medlemsstats nationale system og lag</w:t>
            </w:r>
            <w:r w:rsidRPr="007D42C5">
              <w:t>res der. Konsulaterne tilgår de oplysninger, der er lagret på nationalt plan, og videresender kun de nødvendige oplysninger til det centrale VIS.</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w:t>
      </w:r>
      <w:r w:rsidRPr="007D42C5">
        <w:t>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Betragtning 14</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(14)</w:t>
            </w:r>
            <w:r w:rsidRPr="007D42C5">
              <w:tab/>
              <w:t>De særlige bestemmelser, der bør finde anvendelse i individuelle tilfælde af humanitære grunde, kan omfatte spørgsmål om digital tilgængelighed.</w:t>
            </w:r>
          </w:p>
        </w:tc>
        <w:tc>
          <w:tcPr>
            <w:tcW w:w="4876" w:type="dxa"/>
          </w:tcPr>
          <w:p w:rsidR="004763A9" w:rsidRPr="007D42C5" w:rsidRDefault="007D42C5" w:rsidP="00A72A8C">
            <w:pPr>
              <w:pStyle w:val="Normal6"/>
              <w:rPr>
                <w:szCs w:val="24"/>
              </w:rPr>
            </w:pPr>
            <w:r w:rsidRPr="007D42C5">
              <w:t>(14)</w:t>
            </w:r>
            <w:r w:rsidRPr="007D42C5">
              <w:tab/>
              <w:t xml:space="preserve">De </w:t>
            </w:r>
            <w:r w:rsidRPr="007D42C5">
              <w:t>særlige bestemmelser, der bør finde anvendelse i individuelle tilfælde af humanitære grunde, kan omfatte spørgsmål om digital tilgængelighed</w:t>
            </w:r>
            <w:r w:rsidRPr="007D42C5">
              <w:rPr>
                <w:b/>
                <w:i/>
              </w:rPr>
              <w:t xml:space="preserve"> eller begrænsede digitale færdigheder. Der bør rettes særlig opmærksomhed mod personer med handicap.</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w:t>
      </w:r>
      <w:r w:rsidRPr="007D42C5">
        <w:rPr>
          <w:rStyle w:val="HideTWBExt"/>
          <w:noProof w:val="0"/>
        </w:rPr>
        <w:t>&gt;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Betragtning 16 a (ny)</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(16a)</w:t>
            </w:r>
            <w:r w:rsidRPr="007D42C5">
              <w:rPr>
                <w:b/>
                <w:i/>
              </w:rPr>
              <w:tab/>
              <w:t>I visse tredjelande er internetdækningen stadig yderst</w:t>
            </w:r>
            <w:r w:rsidRPr="007D42C5">
              <w:rPr>
                <w:b/>
                <w:i/>
              </w:rPr>
              <w:t xml:space="preserve"> begrænset. Der bør rettes særlig opmærksomhed mod omstændigheder, hvor der indgives flere ansøgninger fra samme sted og samme IP-adresse. IP-adresser med en anmærkning bør ikke automatisk føre til en udelukkelse af visumansøgningen.</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w:t>
      </w:r>
      <w:r w:rsidRPr="007D42C5">
        <w:rPr>
          <w:rStyle w:val="HideTWBExt"/>
          <w:noProof w:val="0"/>
        </w:rPr>
        <w: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4</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Betragtning 17</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(17)</w:t>
            </w:r>
            <w:r w:rsidRPr="007D42C5">
              <w:tab/>
            </w:r>
            <w:r w:rsidRPr="007D42C5">
              <w:t xml:space="preserve">Betaling af visumgebyrer bør ske ved hjælp af en tredjepartsportal, der er knyttet til </w:t>
            </w:r>
            <w:r w:rsidRPr="007D42C5">
              <w:rPr>
                <w:b/>
                <w:i/>
              </w:rPr>
              <w:t>onlineansøgningsplatformen</w:t>
            </w:r>
            <w:r w:rsidRPr="007D42C5">
              <w:t>, og betalingerne bør overføres direkte til den relevante medlemsstat. De oplysninger, der er nødvendige for at sikre den elektroniske betaling</w:t>
            </w:r>
            <w:r w:rsidRPr="007D42C5">
              <w:t>, bør ikke indgå i de oplysninger, der lagres i VIS.</w:t>
            </w:r>
          </w:p>
        </w:tc>
        <w:tc>
          <w:tcPr>
            <w:tcW w:w="4876" w:type="dxa"/>
          </w:tcPr>
          <w:p w:rsidR="004763A9" w:rsidRPr="007D42C5" w:rsidRDefault="007D42C5" w:rsidP="00A72A8C">
            <w:pPr>
              <w:pStyle w:val="Normal6"/>
              <w:rPr>
                <w:szCs w:val="24"/>
              </w:rPr>
            </w:pPr>
            <w:r w:rsidRPr="007D42C5">
              <w:t>(17)</w:t>
            </w:r>
            <w:r w:rsidRPr="007D42C5">
              <w:tab/>
              <w:t xml:space="preserve">Betaling af visumgebyrer bør ske ved hjælp af en tredjepartsportal, der er knyttet til </w:t>
            </w:r>
            <w:r w:rsidRPr="007D42C5">
              <w:rPr>
                <w:b/>
                <w:i/>
              </w:rPr>
              <w:t>EU-ansøgningsplatformen</w:t>
            </w:r>
            <w:r w:rsidRPr="007D42C5">
              <w:t>, og betalingerne bør overføres direkte til den relevante medlemsstat. De oplysninger, d</w:t>
            </w:r>
            <w:r w:rsidRPr="007D42C5">
              <w:t>er er nødvendige for at sikre den elektroniske betaling, bør ikke indgå i de oplysninger, der lagres i VIS.</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5</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 xml:space="preserve">Betragtning </w:t>
      </w:r>
      <w:r w:rsidRPr="007D42C5">
        <w:t>18 a (ny)</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(18a)</w:t>
            </w:r>
            <w:r w:rsidRPr="007D42C5">
              <w:rPr>
                <w:b/>
                <w:i/>
              </w:rPr>
              <w:tab/>
              <w:t>Det lokale Schengensamarbejde bør også i særlige tilfælde afgøre, om udbredte uofficielle sprog kan anvendes i en visumprocedure eller til oversættelse af ansøgningsskemaet. Det lokale Sch</w:t>
            </w:r>
            <w:r w:rsidRPr="007D42C5">
              <w:rPr>
                <w:b/>
                <w:i/>
              </w:rPr>
              <w:t>engensamarbejde bør også fastlægge procedurer for overførsel af elektroniske data for eksterne tjenesteydere eller repræsentanter for medlemsstater i tilfælde, hvor tredjelande i henhold til lokal lovgivning forbyder sådanne overførsler uden for deres områ</w:t>
            </w:r>
            <w:r w:rsidRPr="007D42C5">
              <w:rPr>
                <w:b/>
                <w:i/>
              </w:rPr>
              <w:t>de.</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6</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Betragtning 20</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(20)</w:t>
            </w:r>
            <w:r w:rsidRPr="007D42C5">
              <w:tab/>
              <w:t xml:space="preserve">Hvis det kompetente konsulat eller de </w:t>
            </w:r>
            <w:r w:rsidRPr="007D42C5">
              <w:t>centrale myndigheder i den kompetente medlemsstat finder, at det eller de er ansvarlige for at behandle en ansøgning, bør ansøgningen accepteres, og oplysningerne bør importeres til det nationale system fra det midlertidige lagringssted som fastsat i VIS-f</w:t>
            </w:r>
            <w:r w:rsidRPr="007D42C5">
              <w:t>orordningen og slettes fra det midlertidige lagringssted med undtagelse af kontaktoplysninger.</w:t>
            </w:r>
          </w:p>
        </w:tc>
        <w:tc>
          <w:tcPr>
            <w:tcW w:w="4876" w:type="dxa"/>
          </w:tcPr>
          <w:p w:rsidR="004763A9" w:rsidRPr="007D42C5" w:rsidRDefault="007D42C5" w:rsidP="00A72A8C">
            <w:pPr>
              <w:pStyle w:val="Normal6"/>
              <w:rPr>
                <w:szCs w:val="24"/>
              </w:rPr>
            </w:pPr>
            <w:r w:rsidRPr="007D42C5">
              <w:t>(20)</w:t>
            </w:r>
            <w:r w:rsidRPr="007D42C5">
              <w:tab/>
              <w:t xml:space="preserve">Hvis det kompetente konsulat eller de centrale myndigheder i den kompetente medlemsstat finder, at det eller de er ansvarlige for at behandle en ansøgning, </w:t>
            </w:r>
            <w:r w:rsidRPr="007D42C5">
              <w:t xml:space="preserve">bør ansøgningen accepteres, og oplysningerne bør importeres til det nationale system fra det midlertidige lagringssted som fastsat i VIS-forordningen og slettes fra det midlertidige lagringssted med undtagelse af kontaktoplysninger. </w:t>
            </w:r>
            <w:r w:rsidRPr="007D42C5">
              <w:rPr>
                <w:b/>
                <w:i/>
              </w:rPr>
              <w:t>Hver enkelt medlemsstat</w:t>
            </w:r>
            <w:r w:rsidRPr="007D42C5">
              <w:rPr>
                <w:b/>
                <w:i/>
              </w:rPr>
              <w:t xml:space="preserve"> bør udpege en kompetent myndighed, der skal betragtes som registeransvarlig, og som bør have det centrale ansvar for den pågældende medlemsstats behandling af oplysninger.</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7</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Betragtning 28</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(28)</w:t>
            </w:r>
            <w:r w:rsidRPr="007D42C5">
              <w:tab/>
              <w:t>EU-ansøgningsplatformen bør have en funktion, der gør det muligt for ansøgere at kontrollere deres digitale visa.</w:t>
            </w:r>
          </w:p>
        </w:tc>
        <w:tc>
          <w:tcPr>
            <w:tcW w:w="4876" w:type="dxa"/>
          </w:tcPr>
          <w:p w:rsidR="004763A9" w:rsidRPr="007D42C5" w:rsidRDefault="007D42C5" w:rsidP="00A72A8C">
            <w:pPr>
              <w:pStyle w:val="Normal6"/>
              <w:rPr>
                <w:szCs w:val="24"/>
              </w:rPr>
            </w:pPr>
            <w:r w:rsidRPr="007D42C5">
              <w:t>(28)</w:t>
            </w:r>
            <w:r w:rsidRPr="007D42C5">
              <w:tab/>
            </w:r>
            <w:r w:rsidRPr="007D42C5">
              <w:t xml:space="preserve">EU-ansøgningsplatformen bør have en funktion, der gør det muligt for ansøgere at kontrollere </w:t>
            </w:r>
            <w:r w:rsidRPr="007D42C5">
              <w:rPr>
                <w:b/>
                <w:i/>
              </w:rPr>
              <w:t xml:space="preserve">gyldigheden af </w:t>
            </w:r>
            <w:r w:rsidRPr="007D42C5">
              <w:t>deres digitale visa.</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8</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Betragtning 37</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(37)</w:t>
            </w:r>
            <w:r w:rsidRPr="007D42C5">
              <w:tab/>
              <w:t xml:space="preserve">For at </w:t>
            </w:r>
            <w:r w:rsidRPr="007D42C5">
              <w:rPr>
                <w:b/>
                <w:i/>
              </w:rPr>
              <w:t>sikre, at der i ansøgningsskemaet og formularerne for nægtelse</w:t>
            </w:r>
            <w:r w:rsidRPr="007D42C5">
              <w:t xml:space="preserve"> af </w:t>
            </w:r>
            <w:r w:rsidRPr="007D42C5">
              <w:rPr>
                <w:b/>
                <w:i/>
              </w:rPr>
              <w:t>indrejse tages højde for de forskellige muligheder, uanset om visumansøgeren har indgivet sin ansøgning</w:t>
            </w:r>
            <w:r w:rsidRPr="007D42C5">
              <w:rPr>
                <w:b/>
                <w:i/>
              </w:rPr>
              <w:t xml:space="preserve"> via EU-ansøgningsplatformen eller ej,</w:t>
            </w:r>
            <w:r w:rsidRPr="007D42C5">
              <w:t xml:space="preserve"> bør beføjelsen til at vedtage </w:t>
            </w:r>
            <w:r w:rsidRPr="007D42C5">
              <w:rPr>
                <w:b/>
                <w:i/>
              </w:rPr>
              <w:t xml:space="preserve">delegerede </w:t>
            </w:r>
            <w:r w:rsidRPr="007D42C5">
              <w:t xml:space="preserve">retsakter delegeres til Kommissionen i overensstemmelse med artikel 290 i traktaten om Den Europæiske Unions funktionsmåde med henblik på at ændre </w:t>
            </w:r>
            <w:r w:rsidRPr="007D42C5">
              <w:rPr>
                <w:b/>
                <w:i/>
              </w:rPr>
              <w:t>listen over de oplysninger</w:t>
            </w:r>
            <w:r w:rsidRPr="007D42C5">
              <w:t xml:space="preserve">, </w:t>
            </w:r>
            <w:r w:rsidRPr="007D42C5">
              <w:rPr>
                <w:b/>
                <w:i/>
              </w:rPr>
              <w:t>s</w:t>
            </w:r>
            <w:r w:rsidRPr="007D42C5">
              <w:rPr>
                <w:b/>
                <w:i/>
              </w:rPr>
              <w:t>om EU-ansøgningsplatformen bør omfatte,</w:t>
            </w:r>
            <w:r w:rsidRPr="007D42C5">
              <w:t xml:space="preserve"> og </w:t>
            </w:r>
            <w:r w:rsidRPr="007D42C5">
              <w:rPr>
                <w:b/>
                <w:i/>
              </w:rPr>
              <w:t>ændre</w:t>
            </w:r>
            <w:r w:rsidRPr="007D42C5">
              <w:t xml:space="preserve"> de </w:t>
            </w:r>
            <w:r w:rsidRPr="007D42C5">
              <w:rPr>
                <w:b/>
                <w:i/>
              </w:rPr>
              <w:t>relevante standardformularer</w:t>
            </w:r>
            <w:r w:rsidRPr="007D42C5">
              <w:t xml:space="preserve"> og </w:t>
            </w:r>
            <w:r w:rsidRPr="007D42C5">
              <w:rPr>
                <w:b/>
                <w:i/>
              </w:rPr>
              <w:t>-formater</w:t>
            </w:r>
            <w:r w:rsidRPr="007D42C5">
              <w:t>. Det er navnlig vigtigt, at Kommissionen gennemfører relevante høringer under sit forberedende arbejde, herunder på ekspertniveau, og at disse høringer gennemføre</w:t>
            </w:r>
            <w:r w:rsidRPr="007D42C5">
              <w:t>s i overensstemmelse med principperne i den interinstitutionelle aftale af 13. april 2016 om bedre lovgivning</w:t>
            </w:r>
            <w:r w:rsidRPr="007D42C5">
              <w:rPr>
                <w:vertAlign w:val="superscript"/>
              </w:rPr>
              <w:t>55</w:t>
            </w:r>
            <w:r w:rsidRPr="007D42C5">
              <w:t xml:space="preserve">. For at sikre lige deltagelse i forberedelsen af delegerede retsakter </w:t>
            </w:r>
            <w:r w:rsidRPr="007D42C5">
              <w:rPr>
                <w:b/>
                <w:i/>
              </w:rPr>
              <w:t>bør</w:t>
            </w:r>
            <w:r w:rsidRPr="007D42C5">
              <w:t xml:space="preserve"> Europa-Parlamentet og Rådet navnlig</w:t>
            </w:r>
            <w:r w:rsidRPr="007D42C5">
              <w:rPr>
                <w:b/>
                <w:i/>
              </w:rPr>
              <w:t xml:space="preserve"> modtage</w:t>
            </w:r>
            <w:r w:rsidRPr="007D42C5">
              <w:t xml:space="preserve"> alle dokumenter på samme t</w:t>
            </w:r>
            <w:r w:rsidRPr="007D42C5">
              <w:t xml:space="preserve">id som medlemsstaternes eksperter, og deres eksperter </w:t>
            </w:r>
            <w:r w:rsidRPr="007D42C5">
              <w:rPr>
                <w:b/>
                <w:i/>
              </w:rPr>
              <w:t>bør have</w:t>
            </w:r>
            <w:r w:rsidRPr="007D42C5">
              <w:t xml:space="preserve"> systematisk adgang til møder i de af Kommissionens ekspertgrupper, der beskæftiger sig med forberedelse af delegerede retsakter.</w:t>
            </w:r>
          </w:p>
        </w:tc>
        <w:tc>
          <w:tcPr>
            <w:tcW w:w="4876" w:type="dxa"/>
          </w:tcPr>
          <w:p w:rsidR="004763A9" w:rsidRPr="007D42C5" w:rsidRDefault="007D42C5" w:rsidP="00A72A8C">
            <w:pPr>
              <w:pStyle w:val="Normal6"/>
              <w:rPr>
                <w:szCs w:val="24"/>
              </w:rPr>
            </w:pPr>
            <w:r w:rsidRPr="007D42C5">
              <w:t>(37)</w:t>
            </w:r>
            <w:r w:rsidRPr="007D42C5">
              <w:tab/>
              <w:t xml:space="preserve">For at </w:t>
            </w:r>
            <w:r w:rsidRPr="007D42C5">
              <w:rPr>
                <w:b/>
                <w:i/>
              </w:rPr>
              <w:t>ændre visse detaljerede tekniske aspekter</w:t>
            </w:r>
            <w:r w:rsidRPr="007D42C5">
              <w:t xml:space="preserve"> af </w:t>
            </w:r>
            <w:r w:rsidRPr="007D42C5">
              <w:rPr>
                <w:b/>
                <w:i/>
              </w:rPr>
              <w:t>forordn</w:t>
            </w:r>
            <w:r w:rsidRPr="007D42C5">
              <w:rPr>
                <w:b/>
                <w:i/>
              </w:rPr>
              <w:t>ing (EF) nr. 810/2009 (EF) og for at supplere forordning (EF) nr. 767/2008</w:t>
            </w:r>
            <w:r w:rsidRPr="007D42C5">
              <w:t xml:space="preserve"> bør beføjelsen til at vedtage retsakter delegeres til Kommissionen i overensstemmelse med artikel 290 i traktaten om Den Europæiske Unions funktionsmåde med henblik på at </w:t>
            </w:r>
            <w:r w:rsidRPr="007D42C5">
              <w:rPr>
                <w:b/>
                <w:i/>
              </w:rPr>
              <w:t xml:space="preserve">ajourføre </w:t>
            </w:r>
            <w:r w:rsidRPr="007D42C5">
              <w:rPr>
                <w:b/>
                <w:i/>
              </w:rPr>
              <w:t xml:space="preserve">ansøgningsskemaet, </w:t>
            </w:r>
            <w:r w:rsidRPr="007D42C5">
              <w:t xml:space="preserve">ændre </w:t>
            </w:r>
            <w:r w:rsidRPr="007D42C5">
              <w:rPr>
                <w:b/>
                <w:i/>
              </w:rPr>
              <w:t>formularen for nægtelse af indrejse</w:t>
            </w:r>
            <w:r w:rsidRPr="007D42C5">
              <w:t xml:space="preserve">, </w:t>
            </w:r>
            <w:r w:rsidRPr="007D42C5">
              <w:rPr>
                <w:b/>
                <w:i/>
              </w:rPr>
              <w:t>definere kravene til den sikre kontotjeneste</w:t>
            </w:r>
            <w:r w:rsidRPr="007D42C5">
              <w:t xml:space="preserve"> og </w:t>
            </w:r>
            <w:r w:rsidRPr="007D42C5">
              <w:rPr>
                <w:b/>
                <w:i/>
              </w:rPr>
              <w:t>fastlægge indholdet af</w:t>
            </w:r>
            <w:r w:rsidRPr="007D42C5">
              <w:t xml:space="preserve"> de </w:t>
            </w:r>
            <w:r w:rsidRPr="007D42C5">
              <w:rPr>
                <w:b/>
                <w:i/>
              </w:rPr>
              <w:t>forenklede ansøgningsskemaer til bekræftelse af gyldigt visum i et nyt rejsedokument</w:t>
            </w:r>
            <w:r w:rsidRPr="007D42C5">
              <w:t xml:space="preserve"> og </w:t>
            </w:r>
            <w:r w:rsidRPr="007D42C5">
              <w:rPr>
                <w:b/>
                <w:i/>
              </w:rPr>
              <w:t>til forlængelse af visum</w:t>
            </w:r>
            <w:r w:rsidRPr="007D42C5">
              <w:t>. Det er</w:t>
            </w:r>
            <w:r w:rsidRPr="007D42C5">
              <w:t xml:space="preserve"> navnlig vigtigt, at Kommissionen gennemfører relevante høringer under sit forberedende arbejde, herunder på ekspertniveau, og at disse høringer gennemføres i overensstemmelse med principperne i den interinstitutionelle aftale af 13. april 2016 om bedre lo</w:t>
            </w:r>
            <w:r w:rsidRPr="007D42C5">
              <w:t>vgivning</w:t>
            </w:r>
            <w:r w:rsidRPr="007D42C5">
              <w:rPr>
                <w:vertAlign w:val="superscript"/>
              </w:rPr>
              <w:t>55</w:t>
            </w:r>
            <w:r w:rsidRPr="007D42C5">
              <w:t xml:space="preserve">. For at sikre lige deltagelse i forberedelsen af delegerede retsakter </w:t>
            </w:r>
            <w:r w:rsidRPr="007D42C5">
              <w:rPr>
                <w:b/>
                <w:i/>
              </w:rPr>
              <w:t>modtager</w:t>
            </w:r>
            <w:r w:rsidRPr="007D42C5">
              <w:t xml:space="preserve"> Europa-Parlamentet og Rådet navnlig alle dokumenter på samme tid som medlemsstaternes eksperter, og deres eksperter </w:t>
            </w:r>
            <w:r w:rsidRPr="007D42C5">
              <w:rPr>
                <w:b/>
                <w:i/>
              </w:rPr>
              <w:t>har</w:t>
            </w:r>
            <w:r w:rsidRPr="007D42C5">
              <w:t xml:space="preserve"> systematisk adgang til møder i de af Kommissio</w:t>
            </w:r>
            <w:r w:rsidRPr="007D42C5">
              <w:t>nens ekspertgrupper, der beskæftiger sig med forberedelse af delegerede retsakter.</w:t>
            </w:r>
          </w:p>
        </w:tc>
      </w:tr>
      <w:tr w:rsidR="009D1139" w:rsidRPr="007D42C5" w:rsidTr="00A72A8C">
        <w:trPr>
          <w:jc w:val="center"/>
        </w:trPr>
        <w:tc>
          <w:tcPr>
            <w:tcW w:w="4876" w:type="dxa"/>
          </w:tcPr>
          <w:p w:rsidR="004763A9" w:rsidRPr="007D42C5" w:rsidRDefault="007D42C5" w:rsidP="00A72A8C">
            <w:pPr>
              <w:pStyle w:val="Normal6"/>
            </w:pPr>
            <w:r w:rsidRPr="007D42C5">
              <w:t>__________________</w:t>
            </w:r>
          </w:p>
        </w:tc>
        <w:tc>
          <w:tcPr>
            <w:tcW w:w="4876" w:type="dxa"/>
          </w:tcPr>
          <w:p w:rsidR="004763A9" w:rsidRPr="007D42C5" w:rsidRDefault="007D42C5" w:rsidP="00A72A8C">
            <w:pPr>
              <w:pStyle w:val="Normal6"/>
              <w:rPr>
                <w:szCs w:val="24"/>
              </w:rPr>
            </w:pPr>
            <w:r w:rsidRPr="007D42C5">
              <w:t>__________________</w:t>
            </w:r>
          </w:p>
        </w:tc>
      </w:tr>
      <w:tr w:rsidR="009D1139" w:rsidRPr="007D42C5" w:rsidTr="00A72A8C">
        <w:trPr>
          <w:jc w:val="center"/>
        </w:trPr>
        <w:tc>
          <w:tcPr>
            <w:tcW w:w="4876" w:type="dxa"/>
          </w:tcPr>
          <w:p w:rsidR="004763A9" w:rsidRPr="007D42C5" w:rsidRDefault="007D42C5" w:rsidP="00A72A8C">
            <w:pPr>
              <w:pStyle w:val="Normal6"/>
            </w:pPr>
            <w:r w:rsidRPr="007D42C5">
              <w:rPr>
                <w:vertAlign w:val="superscript"/>
              </w:rPr>
              <w:t>55</w:t>
            </w:r>
            <w:r w:rsidRPr="007D42C5">
              <w:t xml:space="preserve"> EUT L 123 af 12.5.2016, s. 1.</w:t>
            </w:r>
          </w:p>
        </w:tc>
        <w:tc>
          <w:tcPr>
            <w:tcW w:w="4876" w:type="dxa"/>
          </w:tcPr>
          <w:p w:rsidR="004763A9" w:rsidRPr="007D42C5" w:rsidRDefault="007D42C5" w:rsidP="00A72A8C">
            <w:pPr>
              <w:pStyle w:val="Normal6"/>
              <w:rPr>
                <w:szCs w:val="24"/>
              </w:rPr>
            </w:pPr>
            <w:r w:rsidRPr="007D42C5">
              <w:rPr>
                <w:vertAlign w:val="superscript"/>
              </w:rPr>
              <w:t>55</w:t>
            </w:r>
            <w:r w:rsidRPr="007D42C5">
              <w:t xml:space="preserve"> EUT L 123 af 12.5.2016, s. 1.</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9</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Betragtning 37 a (ny)</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(37a)</w:t>
            </w:r>
            <w:r w:rsidRPr="007D42C5">
              <w:rPr>
                <w:b/>
                <w:i/>
              </w:rPr>
              <w:tab/>
              <w:t xml:space="preserve">For at sikre ensartede betingelser for gennemførelsen af forordning (EF) nr. 767/2008 bør Kommissionen </w:t>
            </w:r>
            <w:r w:rsidRPr="007D42C5">
              <w:rPr>
                <w:b/>
                <w:i/>
              </w:rPr>
              <w:t>tillægges gennemførelsesbeføjelser. Disse beføjelser bør udøves i overensstemmelse med Europa-Parlamentets og Rådets forordning (EU) nr. 182/2011</w:t>
            </w:r>
            <w:r w:rsidRPr="007D42C5">
              <w:rPr>
                <w:b/>
                <w:i/>
                <w:vertAlign w:val="superscript"/>
              </w:rPr>
              <w:t>1a</w:t>
            </w:r>
            <w:r w:rsidRPr="007D42C5">
              <w:rPr>
                <w:b/>
                <w:i/>
              </w:rPr>
              <w:t>.</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__________________</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vertAlign w:val="superscript"/>
              </w:rPr>
              <w:t>1a</w:t>
            </w:r>
            <w:r w:rsidRPr="007D42C5">
              <w:rPr>
                <w:b/>
                <w:i/>
              </w:rPr>
              <w:t xml:space="preserve"> Europa-Parlamentets og Rådets forordning (EU) nr. 182/2011 af 16. februar 2011 om</w:t>
            </w:r>
            <w:r w:rsidRPr="007D42C5">
              <w:rPr>
                <w:b/>
                <w:i/>
              </w:rPr>
              <w:t xml:space="preserve"> de generelle regler og principper for, hvordan medlemsstaterne skal kontrollere Kommissionens udøvelse af gennemførelsesbeføjelser, EUT L 55 af 28.2.2011, s. 13.</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10</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Betragtning 40</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(40)</w:t>
            </w:r>
            <w:r w:rsidRPr="007D42C5">
              <w:tab/>
              <w:t xml:space="preserve">I denne forordning overholdes de grundlæggende rettigheder og de principper, som er anerkendt i bl.a. Den Europæiske Unions charter </w:t>
            </w:r>
            <w:r w:rsidRPr="007D42C5">
              <w:t>om grundlæggende rettigheder. Indførelsen af en EU-ansøgningsplatform og et digitalt visum vil fuldt ud overholde retten til beskyttelse af personoplysninger, retten til respekt for privatliv og familieliv, børns rettigheder og beskyttelsen af sårbare pers</w:t>
            </w:r>
            <w:r w:rsidRPr="007D42C5">
              <w:t>oner. Alle garantier for de grundlæggende rettigheder i visuminformationsforordningen vil fortsat finde fuld anvendelse i forbindelse med den kommende EU-visumansøgningsplatform og det digitale visum, navnlig hvad angår børns rettigheder. I platformen skal</w:t>
            </w:r>
            <w:r w:rsidRPr="007D42C5">
              <w:t xml:space="preserve"> der tages hensyn til kravene i direktivet</w:t>
            </w:r>
            <w:r w:rsidRPr="007D42C5">
              <w:rPr>
                <w:vertAlign w:val="superscript"/>
              </w:rPr>
              <w:t>56</w:t>
            </w:r>
            <w:r w:rsidRPr="007D42C5">
              <w:t xml:space="preserve"> om webtilgængelighed for at sikre let adgang for personer med handicap.</w:t>
            </w:r>
          </w:p>
        </w:tc>
        <w:tc>
          <w:tcPr>
            <w:tcW w:w="4876" w:type="dxa"/>
          </w:tcPr>
          <w:p w:rsidR="004763A9" w:rsidRPr="007D42C5" w:rsidRDefault="007D42C5" w:rsidP="00A72A8C">
            <w:pPr>
              <w:pStyle w:val="Normal6"/>
              <w:rPr>
                <w:szCs w:val="24"/>
              </w:rPr>
            </w:pPr>
            <w:r w:rsidRPr="007D42C5">
              <w:t>(40)</w:t>
            </w:r>
            <w:r w:rsidRPr="007D42C5">
              <w:tab/>
              <w:t>I denne forordning overholdes de grundlæggende rettigheder og de principper, som er anerkendt i bl.a. Den Europæiske Unions charter om</w:t>
            </w:r>
            <w:r w:rsidRPr="007D42C5">
              <w:t xml:space="preserve"> grundlæggende rettigheder. Indførelsen af en EU-ansøgningsplatform og et digitalt visum vil fuldt ud overholde retten til beskyttelse af personoplysninger, retten til respekt for privatliv og familieliv, børns rettigheder og beskyttelsen af sårbare person</w:t>
            </w:r>
            <w:r w:rsidRPr="007D42C5">
              <w:t>er. Alle garantier for de grundlæggende rettigheder i visuminformationsforordningen vil fortsat finde fuld anvendelse i forbindelse med den kommende EU-visumansøgningsplatform og det digitale visum, navnlig hvad angår børns rettigheder. I platformen skal d</w:t>
            </w:r>
            <w:r w:rsidRPr="007D42C5">
              <w:t>er tages hensyn til kravene i direktivet</w:t>
            </w:r>
            <w:r w:rsidRPr="007D42C5">
              <w:rPr>
                <w:vertAlign w:val="superscript"/>
              </w:rPr>
              <w:t>56</w:t>
            </w:r>
            <w:r w:rsidRPr="007D42C5">
              <w:t xml:space="preserve"> om webtilgængelighed for at sikre let adgang for personer med handicap. </w:t>
            </w:r>
            <w:r w:rsidRPr="007D42C5">
              <w:rPr>
                <w:b/>
                <w:i/>
              </w:rPr>
              <w:t>Der bør rettes særlig opmærksomhed mod personer med begrænsede digitale færdigheder, udbredte uofficielle sprog og problemer med internetadga</w:t>
            </w:r>
            <w:r w:rsidRPr="007D42C5">
              <w:rPr>
                <w:b/>
                <w:i/>
              </w:rPr>
              <w:t>ng.</w:t>
            </w:r>
          </w:p>
        </w:tc>
      </w:tr>
      <w:tr w:rsidR="009D1139" w:rsidRPr="007D42C5" w:rsidTr="00A72A8C">
        <w:trPr>
          <w:jc w:val="center"/>
        </w:trPr>
        <w:tc>
          <w:tcPr>
            <w:tcW w:w="4876" w:type="dxa"/>
          </w:tcPr>
          <w:p w:rsidR="004763A9" w:rsidRPr="007D42C5" w:rsidRDefault="007D42C5" w:rsidP="00A72A8C">
            <w:pPr>
              <w:pStyle w:val="Normal6"/>
            </w:pPr>
            <w:r w:rsidRPr="007D42C5">
              <w:t>__________________</w:t>
            </w:r>
          </w:p>
        </w:tc>
        <w:tc>
          <w:tcPr>
            <w:tcW w:w="4876" w:type="dxa"/>
          </w:tcPr>
          <w:p w:rsidR="004763A9" w:rsidRPr="007D42C5" w:rsidRDefault="007D42C5" w:rsidP="00A72A8C">
            <w:pPr>
              <w:pStyle w:val="Normal6"/>
              <w:rPr>
                <w:szCs w:val="24"/>
              </w:rPr>
            </w:pPr>
            <w:r w:rsidRPr="007D42C5">
              <w:t>__________________</w:t>
            </w:r>
          </w:p>
        </w:tc>
      </w:tr>
      <w:tr w:rsidR="009D1139" w:rsidRPr="007D42C5" w:rsidTr="00A72A8C">
        <w:trPr>
          <w:jc w:val="center"/>
        </w:trPr>
        <w:tc>
          <w:tcPr>
            <w:tcW w:w="4876" w:type="dxa"/>
          </w:tcPr>
          <w:p w:rsidR="004763A9" w:rsidRPr="007D42C5" w:rsidRDefault="007D42C5" w:rsidP="00A72A8C">
            <w:pPr>
              <w:pStyle w:val="Normal6"/>
            </w:pPr>
            <w:r w:rsidRPr="007D42C5">
              <w:rPr>
                <w:vertAlign w:val="superscript"/>
              </w:rPr>
              <w:t>56</w:t>
            </w:r>
            <w:r w:rsidRPr="007D42C5">
              <w:t xml:space="preserve"> Europa-Parlamentets og Rådets direktiv (EU) 2016/2102 af 26. oktober 2016 om tilgængeligheden af offentlige organers websteder og mobilapplikationer (EUT L 327 af 2.12.2016, s. 1).</w:t>
            </w:r>
          </w:p>
        </w:tc>
        <w:tc>
          <w:tcPr>
            <w:tcW w:w="4876" w:type="dxa"/>
          </w:tcPr>
          <w:p w:rsidR="004763A9" w:rsidRPr="007D42C5" w:rsidRDefault="007D42C5" w:rsidP="00A72A8C">
            <w:pPr>
              <w:pStyle w:val="Normal6"/>
              <w:rPr>
                <w:szCs w:val="24"/>
              </w:rPr>
            </w:pPr>
            <w:r w:rsidRPr="007D42C5">
              <w:rPr>
                <w:vertAlign w:val="superscript"/>
              </w:rPr>
              <w:t>56</w:t>
            </w:r>
            <w:r w:rsidRPr="007D42C5">
              <w:t xml:space="preserve"> Europa-Parlamentets og Rådets direktiv (EU) 2016/2102 af 26. oktober 2016 om tilgængeligheden af offentlige organers websteder og mobilapplikationer, EUT L 327 af 2.12.2016, s. 1.</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11</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6 – litra a</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9 – stk. 1b – litra a a (nyt)</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aa)</w:t>
            </w:r>
            <w:r w:rsidRPr="007D42C5">
              <w:rPr>
                <w:b/>
                <w:i/>
              </w:rPr>
              <w:tab/>
              <w:t>tredjelandsstatsborgere med handicap</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pPr>
        <w:pStyle w:val="JustificationTitle"/>
        <w:rPr>
          <w:noProof w:val="0"/>
        </w:rPr>
      </w:pPr>
      <w:r w:rsidRPr="007D42C5">
        <w:rPr>
          <w:rStyle w:val="HideTWBExt"/>
          <w:i w:val="0"/>
        </w:rPr>
        <w:t>&lt;TitreJust&gt;</w:t>
      </w:r>
      <w:r w:rsidRPr="007D42C5">
        <w:t>Begrundelse</w:t>
      </w:r>
      <w:r w:rsidRPr="007D42C5">
        <w:rPr>
          <w:rStyle w:val="HideTWBExt"/>
          <w:i w:val="0"/>
        </w:rPr>
        <w:t>&lt;/TitreJust&gt;</w:t>
      </w:r>
    </w:p>
    <w:p w:rsidR="004763A9" w:rsidRPr="007D42C5" w:rsidRDefault="007D42C5" w:rsidP="004763A9">
      <w:pPr>
        <w:pStyle w:val="Normal12Italic"/>
        <w:rPr>
          <w:noProof w:val="0"/>
        </w:rPr>
      </w:pPr>
      <w:r w:rsidRPr="007D42C5">
        <w:t>Der bør rettes særlig opmærksomhed mod tilgængelighed for personer med handicap, bl.a. gennem en eventuel undtagelse fra anvendel</w:t>
      </w:r>
      <w:r w:rsidRPr="007D42C5">
        <w:t>sen af EU-ansøgningsplatformen.</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12</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8 – litra c a (nyt)</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11 – stk. 3 – litra b</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Gældende ordlyd</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ca)</w:t>
            </w:r>
            <w:r w:rsidRPr="007D42C5">
              <w:rPr>
                <w:b/>
                <w:i/>
              </w:rPr>
              <w:tab/>
              <w:t>stk. 3, litra b), affattes således:</w:t>
            </w:r>
          </w:p>
        </w:tc>
      </w:tr>
      <w:tr w:rsidR="009D1139" w:rsidRPr="007D42C5" w:rsidTr="00A72A8C">
        <w:trPr>
          <w:jc w:val="center"/>
        </w:trPr>
        <w:tc>
          <w:tcPr>
            <w:tcW w:w="4876" w:type="dxa"/>
          </w:tcPr>
          <w:p w:rsidR="004763A9" w:rsidRPr="007D42C5" w:rsidRDefault="007D42C5" w:rsidP="00A72A8C">
            <w:pPr>
              <w:pStyle w:val="Normal6"/>
            </w:pPr>
            <w:r w:rsidRPr="007D42C5">
              <w:rPr>
                <w:b/>
                <w:i/>
              </w:rPr>
              <w:t>b</w:t>
            </w:r>
            <w:r w:rsidRPr="007D42C5">
              <w:t xml:space="preserve">) </w:t>
            </w:r>
            <w:r w:rsidRPr="007D42C5">
              <w:rPr>
                <w:b/>
                <w:i/>
              </w:rPr>
              <w:tab/>
            </w:r>
            <w:r w:rsidRPr="007D42C5">
              <w:t>værtslandets officielle sprog</w:t>
            </w:r>
          </w:p>
        </w:tc>
        <w:tc>
          <w:tcPr>
            <w:tcW w:w="4876" w:type="dxa"/>
          </w:tcPr>
          <w:p w:rsidR="004763A9" w:rsidRPr="007D42C5" w:rsidRDefault="007D42C5" w:rsidP="00A72A8C">
            <w:pPr>
              <w:pStyle w:val="Normal6"/>
              <w:rPr>
                <w:szCs w:val="24"/>
              </w:rPr>
            </w:pPr>
            <w:r w:rsidRPr="007D42C5">
              <w:rPr>
                <w:b/>
                <w:i/>
              </w:rPr>
              <w:t>"b</w:t>
            </w:r>
            <w:r w:rsidRPr="007D42C5">
              <w:t xml:space="preserve">) </w:t>
            </w:r>
            <w:r w:rsidRPr="007D42C5">
              <w:tab/>
              <w:t>værtslandets officielle sprog</w:t>
            </w:r>
            <w:r w:rsidRPr="007D42C5">
              <w:rPr>
                <w:b/>
                <w:i/>
              </w:rPr>
              <w:t xml:space="preserve"> eller værtslandets udbredte uofficielle sprog"</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pPr>
        <w:pStyle w:val="JustificationTitle"/>
        <w:rPr>
          <w:noProof w:val="0"/>
        </w:rPr>
      </w:pPr>
      <w:r w:rsidRPr="007D42C5">
        <w:rPr>
          <w:rStyle w:val="HideTWBExt"/>
          <w:i w:val="0"/>
        </w:rPr>
        <w:t>&lt;TitreJust&gt;</w:t>
      </w:r>
      <w:r w:rsidRPr="007D42C5">
        <w:t>Begrundelse</w:t>
      </w:r>
      <w:r w:rsidRPr="007D42C5">
        <w:rPr>
          <w:rStyle w:val="HideTWBExt"/>
          <w:i w:val="0"/>
        </w:rPr>
        <w:t>&lt;/TitreJust&gt;</w:t>
      </w:r>
    </w:p>
    <w:p w:rsidR="004763A9" w:rsidRPr="007D42C5" w:rsidRDefault="007D42C5" w:rsidP="004763A9">
      <w:pPr>
        <w:pStyle w:val="Normal12Italic"/>
        <w:rPr>
          <w:noProof w:val="0"/>
        </w:rPr>
      </w:pPr>
      <w:r w:rsidRPr="007D42C5">
        <w:t>Der bør, hvis det er relevant, også sættes fokus på at tage hensyn til de udbredte uofficielle lokale sprog, og oversættelsen af EU-ansøgningsplatformen bør være tilgængelig på disse sprog.</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13</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8 – litra c b (nyt)</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11 – stk. 4</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 xml:space="preserve">Gældende ordlyd </w:t>
            </w:r>
          </w:p>
        </w:tc>
        <w:tc>
          <w:tcPr>
            <w:tcW w:w="4876" w:type="dxa"/>
          </w:tcPr>
          <w:p w:rsidR="004763A9" w:rsidRPr="007D42C5" w:rsidRDefault="007D42C5" w:rsidP="00A72A8C">
            <w:pPr>
              <w:pStyle w:val="ColumnHeading"/>
              <w:keepNext/>
            </w:pPr>
            <w:r w:rsidRPr="007D42C5">
              <w:t>Æ</w:t>
            </w:r>
            <w:r w:rsidRPr="007D42C5">
              <w:t>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cb)</w:t>
            </w:r>
            <w:r w:rsidRPr="007D42C5">
              <w:rPr>
                <w:b/>
                <w:i/>
              </w:rPr>
              <w:tab/>
              <w:t>I stk. 4 foretages følgende ændringer:</w:t>
            </w:r>
          </w:p>
        </w:tc>
      </w:tr>
      <w:tr w:rsidR="009D1139" w:rsidRPr="007D42C5" w:rsidTr="00A72A8C">
        <w:trPr>
          <w:jc w:val="center"/>
        </w:trPr>
        <w:tc>
          <w:tcPr>
            <w:tcW w:w="4876" w:type="dxa"/>
          </w:tcPr>
          <w:p w:rsidR="004763A9" w:rsidRPr="007D42C5" w:rsidRDefault="007D42C5" w:rsidP="00A72A8C">
            <w:pPr>
              <w:pStyle w:val="Normal6"/>
            </w:pPr>
            <w:r w:rsidRPr="007D42C5">
              <w:t>4.</w:t>
            </w:r>
            <w:r w:rsidRPr="007D42C5">
              <w:rPr>
                <w:b/>
                <w:i/>
              </w:rPr>
              <w:tab/>
              <w:t xml:space="preserve"> Hvis værtslandets officielle sprog ikke er indarbejdet</w:t>
            </w:r>
            <w:r w:rsidRPr="007D42C5">
              <w:t xml:space="preserve"> i </w:t>
            </w:r>
            <w:r w:rsidRPr="007D42C5">
              <w:rPr>
                <w:b/>
                <w:i/>
              </w:rPr>
              <w:t>ansøgningsskemaet</w:t>
            </w:r>
            <w:r w:rsidRPr="007D42C5">
              <w:t>, stilles en oversættelse på dette eller disse sprog særskilt til rådighed for ansøgerne.</w:t>
            </w:r>
          </w:p>
        </w:tc>
        <w:tc>
          <w:tcPr>
            <w:tcW w:w="4876" w:type="dxa"/>
          </w:tcPr>
          <w:p w:rsidR="004763A9" w:rsidRPr="007D42C5" w:rsidRDefault="007D42C5" w:rsidP="00A72A8C">
            <w:pPr>
              <w:pStyle w:val="Normal6"/>
              <w:rPr>
                <w:szCs w:val="24"/>
              </w:rPr>
            </w:pPr>
            <w:r w:rsidRPr="007D42C5">
              <w:rPr>
                <w:b/>
                <w:i/>
              </w:rPr>
              <w:t>"</w:t>
            </w:r>
            <w:r w:rsidRPr="007D42C5">
              <w:t xml:space="preserve">4. </w:t>
            </w:r>
            <w:r w:rsidRPr="007D42C5">
              <w:tab/>
            </w:r>
            <w:r w:rsidRPr="007D42C5">
              <w:rPr>
                <w:b/>
                <w:i/>
              </w:rPr>
              <w:t>Hvis ansøgningsskemaet</w:t>
            </w:r>
            <w:r w:rsidRPr="007D42C5">
              <w:rPr>
                <w:b/>
                <w:i/>
              </w:rPr>
              <w:t xml:space="preserve"> ikke findes på det eller de officielle sprog</w:t>
            </w:r>
            <w:r w:rsidRPr="007D42C5">
              <w:t xml:space="preserve"> i </w:t>
            </w:r>
            <w:r w:rsidRPr="007D42C5">
              <w:rPr>
                <w:b/>
                <w:i/>
              </w:rPr>
              <w:t>værtslandet</w:t>
            </w:r>
            <w:r w:rsidRPr="007D42C5">
              <w:t xml:space="preserve">, stilles en oversættelse </w:t>
            </w:r>
            <w:r w:rsidRPr="007D42C5">
              <w:rPr>
                <w:b/>
                <w:i/>
              </w:rPr>
              <w:t xml:space="preserve">af det </w:t>
            </w:r>
            <w:r w:rsidRPr="007D42C5">
              <w:t xml:space="preserve">på dette eller disse sprog </w:t>
            </w:r>
            <w:r w:rsidRPr="007D42C5">
              <w:rPr>
                <w:b/>
                <w:i/>
              </w:rPr>
              <w:t xml:space="preserve">eller på værtslandets udbredte uofficielle sprog </w:t>
            </w:r>
            <w:r w:rsidRPr="007D42C5">
              <w:t>særskilt til rådighed for ansøgerne.</w:t>
            </w:r>
            <w:r w:rsidRPr="007D42C5">
              <w:rPr>
                <w:b/>
                <w:i/>
              </w:rPr>
              <w:t>"</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pPr>
        <w:pStyle w:val="JustificationTitle"/>
        <w:rPr>
          <w:noProof w:val="0"/>
        </w:rPr>
      </w:pPr>
      <w:r w:rsidRPr="007D42C5">
        <w:rPr>
          <w:rStyle w:val="HideTWBExt"/>
          <w:i w:val="0"/>
        </w:rPr>
        <w:t>&lt;TitreJust&gt;</w:t>
      </w:r>
      <w:r w:rsidRPr="007D42C5">
        <w:t>Begrundelse</w:t>
      </w:r>
      <w:r w:rsidRPr="007D42C5">
        <w:rPr>
          <w:rStyle w:val="HideTWBExt"/>
          <w:i w:val="0"/>
        </w:rPr>
        <w:t>&lt;/TitreJust&gt;</w:t>
      </w:r>
    </w:p>
    <w:p w:rsidR="004763A9" w:rsidRPr="007D42C5" w:rsidRDefault="007D42C5" w:rsidP="004763A9">
      <w:pPr>
        <w:pStyle w:val="Normal12Italic"/>
        <w:rPr>
          <w:noProof w:val="0"/>
        </w:rPr>
      </w:pPr>
      <w:r w:rsidRPr="007D42C5">
        <w:t>Der bør, hvis det er relevant, også sættes særligt fokus på også at tage hensyn til de udbredte uofficielle lokale sprog, og oversættelsen af EU-ansøgningsplatformen bør også være tilgængelig på disse sprog.</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w:t>
      </w:r>
      <w:r w:rsidRPr="007D42C5">
        <w:t>forslag</w:t>
      </w:r>
      <w:r w:rsidRPr="007D42C5">
        <w:tab/>
      </w:r>
      <w:r w:rsidRPr="007D42C5">
        <w:tab/>
      </w:r>
      <w:r w:rsidRPr="007D42C5">
        <w:rPr>
          <w:rStyle w:val="HideTWBExt"/>
          <w:b w:val="0"/>
        </w:rPr>
        <w:t>&lt;NumAm&gt;</w:t>
      </w:r>
      <w:r w:rsidRPr="007D42C5">
        <w:t>14</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8 – litra c c (nyt)</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11 – stk. 5</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 xml:space="preserve">Gældende ordlyd </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cc)</w:t>
            </w:r>
            <w:r w:rsidRPr="007D42C5">
              <w:rPr>
                <w:b/>
                <w:i/>
              </w:rPr>
              <w:tab/>
              <w:t>I stk. 5 foretages følgende ændringer:</w:t>
            </w:r>
          </w:p>
        </w:tc>
      </w:tr>
      <w:tr w:rsidR="009D1139" w:rsidRPr="007D42C5" w:rsidTr="00A72A8C">
        <w:trPr>
          <w:jc w:val="center"/>
        </w:trPr>
        <w:tc>
          <w:tcPr>
            <w:tcW w:w="4876" w:type="dxa"/>
          </w:tcPr>
          <w:p w:rsidR="004763A9" w:rsidRPr="007D42C5" w:rsidRDefault="007D42C5" w:rsidP="00A72A8C">
            <w:pPr>
              <w:pStyle w:val="Normal6"/>
            </w:pPr>
            <w:r w:rsidRPr="007D42C5">
              <w:t>5.</w:t>
            </w:r>
            <w:r w:rsidRPr="007D42C5">
              <w:rPr>
                <w:b/>
                <w:i/>
              </w:rPr>
              <w:tab/>
            </w:r>
            <w:r w:rsidRPr="007D42C5">
              <w:t>Der udarbejdes en oversættelse af ansøgningsskemaet til det eller de officielle sprog i værtslandet inden for rammerne af det lokale Schengensamarbejde, jf. artikel 48.</w:t>
            </w:r>
          </w:p>
        </w:tc>
        <w:tc>
          <w:tcPr>
            <w:tcW w:w="4876" w:type="dxa"/>
          </w:tcPr>
          <w:p w:rsidR="004763A9" w:rsidRPr="007D42C5" w:rsidRDefault="007D42C5" w:rsidP="00A72A8C">
            <w:pPr>
              <w:pStyle w:val="Normal6"/>
              <w:rPr>
                <w:szCs w:val="24"/>
              </w:rPr>
            </w:pPr>
            <w:r w:rsidRPr="007D42C5">
              <w:rPr>
                <w:b/>
                <w:i/>
              </w:rPr>
              <w:t>"</w:t>
            </w:r>
            <w:r w:rsidRPr="007D42C5">
              <w:t xml:space="preserve">5. </w:t>
            </w:r>
            <w:r w:rsidRPr="007D42C5">
              <w:tab/>
              <w:t>Der udarbejdes en</w:t>
            </w:r>
            <w:r w:rsidRPr="007D42C5">
              <w:t xml:space="preserve"> oversættelse af ansøgningsskemaet til det eller de officielle</w:t>
            </w:r>
            <w:r w:rsidRPr="007D42C5">
              <w:rPr>
                <w:b/>
                <w:i/>
              </w:rPr>
              <w:t xml:space="preserve"> sprog eller det eller de udbredte uofficielle</w:t>
            </w:r>
            <w:r w:rsidRPr="007D42C5">
              <w:t xml:space="preserve"> sprog i værtslandet inden for rammerne af det lokale Schengensamarbejde, jf. artikel 48.</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pPr>
        <w:pStyle w:val="JustificationTitle"/>
        <w:rPr>
          <w:noProof w:val="0"/>
        </w:rPr>
      </w:pPr>
      <w:r w:rsidRPr="007D42C5">
        <w:rPr>
          <w:rStyle w:val="HideTWBExt"/>
          <w:i w:val="0"/>
        </w:rPr>
        <w:t>&lt;TitreJust&gt;</w:t>
      </w:r>
      <w:r w:rsidRPr="007D42C5">
        <w:t>Begrundelse</w:t>
      </w:r>
      <w:r w:rsidRPr="007D42C5">
        <w:rPr>
          <w:rStyle w:val="HideTWBExt"/>
          <w:i w:val="0"/>
        </w:rPr>
        <w:t>&lt;/TitreJust&gt;</w:t>
      </w:r>
    </w:p>
    <w:p w:rsidR="004763A9" w:rsidRPr="007D42C5" w:rsidRDefault="007D42C5" w:rsidP="004763A9">
      <w:pPr>
        <w:pStyle w:val="Normal12Italic"/>
        <w:rPr>
          <w:noProof w:val="0"/>
        </w:rPr>
      </w:pPr>
      <w:r w:rsidRPr="007D42C5">
        <w:t>Medlemsstaterne bør i særlige tilfælde inden for rammerne af det lokale Schengensamarbejde også fastlægge, hvilke uofficielle udbredte lokale sprog ansøgningen skal oversættes til.</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15</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9</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12 – stk. 4 – afsnit 1</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Hvis ansøgningen er indgivet vi</w:t>
            </w:r>
            <w:r w:rsidRPr="007D42C5">
              <w:t xml:space="preserve">a EU-ansøgningsplatformen, kontrollerer konsulatet eller den eksterne tjenesteyder, at rejsedokumentet, som fremlægges personligt i overensstemmelse med stk. 2, svarer til den </w:t>
            </w:r>
            <w:r w:rsidRPr="007D42C5">
              <w:rPr>
                <w:b/>
                <w:i/>
              </w:rPr>
              <w:t>scannede</w:t>
            </w:r>
            <w:r w:rsidRPr="007D42C5">
              <w:t xml:space="preserve"> kopi, som ansøgeren har uploadet.</w:t>
            </w:r>
          </w:p>
        </w:tc>
        <w:tc>
          <w:tcPr>
            <w:tcW w:w="4876" w:type="dxa"/>
          </w:tcPr>
          <w:p w:rsidR="004763A9" w:rsidRPr="007D42C5" w:rsidRDefault="007D42C5" w:rsidP="00A72A8C">
            <w:pPr>
              <w:pStyle w:val="Normal6"/>
              <w:rPr>
                <w:szCs w:val="24"/>
              </w:rPr>
            </w:pPr>
            <w:r w:rsidRPr="007D42C5">
              <w:t xml:space="preserve">Hvis ansøgningen er indgivet via EU-ansøgningsplatformen, kontrollerer konsulatet eller den eksterne tjenesteyder, at rejsedokumentet, som fremlægges personligt i overensstemmelse med stk. 2, svarer til den </w:t>
            </w:r>
            <w:r w:rsidRPr="007D42C5">
              <w:rPr>
                <w:b/>
                <w:i/>
              </w:rPr>
              <w:t>elektroniske</w:t>
            </w:r>
            <w:r w:rsidRPr="007D42C5">
              <w:t xml:space="preserve"> kopi, som ansøgeren har uploadet.</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16</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9</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12 – stk. 5</w:t>
      </w:r>
      <w:r w:rsidRPr="007D42C5">
        <w:rPr>
          <w:rStyle w:val="HideTWBExt"/>
        </w:rPr>
        <w:t>&lt;/</w:t>
      </w:r>
      <w:r w:rsidRPr="007D42C5">
        <w:rPr>
          <w:rStyle w:val="HideTWBExt"/>
        </w:rPr>
        <w: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5.</w:t>
            </w:r>
            <w:r w:rsidRPr="007D42C5">
              <w:tab/>
              <w:t xml:space="preserve">Hvis kvaliteten af den </w:t>
            </w:r>
            <w:r w:rsidRPr="007D42C5">
              <w:rPr>
                <w:b/>
                <w:i/>
              </w:rPr>
              <w:t>scannede</w:t>
            </w:r>
            <w:r w:rsidRPr="007D42C5">
              <w:t xml:space="preserve"> kopi i stk. 4 er utilfredsstillende, eller hvis der er tvivl, navnlig med hensyn til ægtheden, foretager det kompetente konsulat eller den eksterne tjenesteyder en ny scanning og uploader den til EU-ansøgningsplatformen.</w:t>
            </w:r>
          </w:p>
        </w:tc>
        <w:tc>
          <w:tcPr>
            <w:tcW w:w="4876" w:type="dxa"/>
          </w:tcPr>
          <w:p w:rsidR="004763A9" w:rsidRPr="007D42C5" w:rsidRDefault="007D42C5" w:rsidP="00A72A8C">
            <w:pPr>
              <w:pStyle w:val="Normal6"/>
              <w:rPr>
                <w:szCs w:val="24"/>
              </w:rPr>
            </w:pPr>
            <w:r w:rsidRPr="007D42C5">
              <w:t>5.</w:t>
            </w:r>
            <w:r w:rsidRPr="007D42C5">
              <w:tab/>
              <w:t xml:space="preserve">Hvis kvaliteten af den </w:t>
            </w:r>
            <w:r w:rsidRPr="007D42C5">
              <w:rPr>
                <w:b/>
                <w:i/>
              </w:rPr>
              <w:t>elektron</w:t>
            </w:r>
            <w:r w:rsidRPr="007D42C5">
              <w:rPr>
                <w:b/>
                <w:i/>
              </w:rPr>
              <w:t>iske</w:t>
            </w:r>
            <w:r w:rsidRPr="007D42C5">
              <w:t xml:space="preserve"> kopi i stk. 4 er utilfredsstillende, eller hvis der er tvivl, navnlig med hensyn til ægtheden, foretager det kompetente konsulat eller den eksterne tjenesteyder en ny scanning og uploader den til EU-ansøgningsplatformen.</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w:t>
      </w:r>
      <w:r w:rsidRPr="007D42C5">
        <w:rPr>
          <w:rStyle w:val="HideTWBExt"/>
          <w:noProof w:val="0"/>
        </w:rPr>
        <w:t>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17</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20</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26 a – stk. 1</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 xml:space="preserve">Kommissionens </w:t>
            </w:r>
            <w:r w:rsidRPr="007D42C5">
              <w:t>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 xml:space="preserve">Visum udstedes i digitalt format som et datasæt i VIS, herunder et unikt visumnummer.  </w:t>
            </w:r>
          </w:p>
        </w:tc>
        <w:tc>
          <w:tcPr>
            <w:tcW w:w="4876" w:type="dxa"/>
          </w:tcPr>
          <w:p w:rsidR="004763A9" w:rsidRPr="007D42C5" w:rsidRDefault="007D42C5" w:rsidP="00A72A8C">
            <w:pPr>
              <w:pStyle w:val="Normal6"/>
              <w:rPr>
                <w:szCs w:val="24"/>
              </w:rPr>
            </w:pPr>
            <w:r w:rsidRPr="007D42C5">
              <w:t xml:space="preserve">Visum udstedes i digitalt format som et datasæt i VIS, herunder et unikt </w:t>
            </w:r>
            <w:r w:rsidRPr="007D42C5">
              <w:rPr>
                <w:b/>
                <w:i/>
              </w:rPr>
              <w:t xml:space="preserve">digitalt </w:t>
            </w:r>
            <w:r w:rsidRPr="007D42C5">
              <w:t xml:space="preserve">visumnummer.  </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w:t>
      </w:r>
      <w:r w:rsidRPr="007D42C5">
        <w:rPr>
          <w:rStyle w:val="HideTWBExt"/>
          <w:b w:val="0"/>
        </w:rPr>
        <w:t>nd&gt;</w:t>
      </w:r>
      <w:r w:rsidRPr="007D42C5">
        <w:t>Ændringsforslag</w:t>
      </w:r>
      <w:r w:rsidRPr="007D42C5">
        <w:tab/>
      </w:r>
      <w:r w:rsidRPr="007D42C5">
        <w:tab/>
      </w:r>
      <w:r w:rsidRPr="007D42C5">
        <w:rPr>
          <w:rStyle w:val="HideTWBExt"/>
          <w:b w:val="0"/>
        </w:rPr>
        <w:t>&lt;NumAm&gt;</w:t>
      </w:r>
      <w:r w:rsidRPr="007D42C5">
        <w:t>18</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21 – litra a</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32 – stk. 2 – afsnit 1</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 xml:space="preserve">Når ansøgninger indgives via EU-ansøgningsplatformen, </w:t>
            </w:r>
            <w:r w:rsidRPr="007D42C5">
              <w:rPr>
                <w:b/>
                <w:i/>
              </w:rPr>
              <w:t>får</w:t>
            </w:r>
            <w:r w:rsidRPr="007D42C5">
              <w:t xml:space="preserve"> ansøgeren </w:t>
            </w:r>
            <w:r w:rsidRPr="007D42C5">
              <w:rPr>
                <w:b/>
                <w:i/>
              </w:rPr>
              <w:t>meddelelse om afgørelser</w:t>
            </w:r>
            <w:r w:rsidRPr="007D42C5">
              <w:t xml:space="preserve"> om afslag </w:t>
            </w:r>
            <w:r w:rsidRPr="007D42C5">
              <w:rPr>
                <w:b/>
                <w:i/>
              </w:rPr>
              <w:t>og de grunde</w:t>
            </w:r>
            <w:r w:rsidRPr="007D42C5">
              <w:t xml:space="preserve">, </w:t>
            </w:r>
            <w:r w:rsidRPr="007D42C5">
              <w:rPr>
                <w:b/>
                <w:i/>
              </w:rPr>
              <w:t>som afgørelsen hviler på, ad sikker elektronisk vej, jf. artikel </w:t>
            </w:r>
            <w:r w:rsidRPr="007D42C5">
              <w:t>7f, stk.</w:t>
            </w:r>
            <w:r w:rsidRPr="007D42C5">
              <w:rPr>
                <w:b/>
                <w:i/>
              </w:rPr>
              <w:t> </w:t>
            </w:r>
            <w:r w:rsidRPr="007D42C5">
              <w:t>1, i forordning (EF) nr. 7</w:t>
            </w:r>
            <w:r w:rsidRPr="007D42C5">
              <w:t>67/2008.</w:t>
            </w:r>
            <w:r w:rsidRPr="007D42C5">
              <w:rPr>
                <w:b/>
                <w:i/>
              </w:rPr>
              <w:t xml:space="preserve"> Meddelelsen skal indeholde</w:t>
            </w:r>
            <w:r w:rsidRPr="007D42C5">
              <w:t xml:space="preserve"> de </w:t>
            </w:r>
            <w:r w:rsidRPr="007D42C5">
              <w:rPr>
                <w:b/>
                <w:i/>
              </w:rPr>
              <w:t>samme oplysninger</w:t>
            </w:r>
            <w:r w:rsidRPr="007D42C5">
              <w:t xml:space="preserve"> som </w:t>
            </w:r>
            <w:r w:rsidRPr="007D42C5">
              <w:rPr>
                <w:b/>
                <w:i/>
              </w:rPr>
              <w:t>fastsat i</w:t>
            </w:r>
            <w:r w:rsidRPr="007D42C5">
              <w:t xml:space="preserve"> bilag</w:t>
            </w:r>
            <w:r w:rsidRPr="007D42C5">
              <w:rPr>
                <w:b/>
                <w:i/>
              </w:rPr>
              <w:t> </w:t>
            </w:r>
            <w:r w:rsidRPr="007D42C5">
              <w:t>VI på sproget i den medlemsstat, der har truffet den endelige afgørelse om ansøgningen, og et andet af Unionens officielle sprog.</w:t>
            </w:r>
          </w:p>
        </w:tc>
        <w:tc>
          <w:tcPr>
            <w:tcW w:w="4876" w:type="dxa"/>
          </w:tcPr>
          <w:p w:rsidR="004763A9" w:rsidRPr="007D42C5" w:rsidRDefault="007D42C5" w:rsidP="00A72A8C">
            <w:pPr>
              <w:pStyle w:val="Normal6"/>
              <w:rPr>
                <w:szCs w:val="24"/>
              </w:rPr>
            </w:pPr>
            <w:r w:rsidRPr="007D42C5">
              <w:t>Når ansøgninger indgives via EU-ansøgningsplatfor</w:t>
            </w:r>
            <w:r w:rsidRPr="007D42C5">
              <w:t xml:space="preserve">men, </w:t>
            </w:r>
            <w:r w:rsidRPr="007D42C5">
              <w:rPr>
                <w:b/>
                <w:i/>
              </w:rPr>
              <w:t>underrettes</w:t>
            </w:r>
            <w:r w:rsidRPr="007D42C5">
              <w:t xml:space="preserve"> ansøgeren </w:t>
            </w:r>
            <w:r w:rsidRPr="007D42C5">
              <w:rPr>
                <w:b/>
                <w:i/>
              </w:rPr>
              <w:t>elektronisk, så snart afgørelsen</w:t>
            </w:r>
            <w:r w:rsidRPr="007D42C5">
              <w:t xml:space="preserve"> om afslag </w:t>
            </w:r>
            <w:r w:rsidRPr="007D42C5">
              <w:rPr>
                <w:b/>
                <w:i/>
              </w:rPr>
              <w:t>foreligger</w:t>
            </w:r>
            <w:r w:rsidRPr="007D42C5">
              <w:t xml:space="preserve">, </w:t>
            </w:r>
            <w:r w:rsidRPr="007D42C5">
              <w:rPr>
                <w:b/>
                <w:i/>
              </w:rPr>
              <w:t xml:space="preserve">i overensstemmelse med artikel </w:t>
            </w:r>
            <w:r w:rsidRPr="007D42C5">
              <w:t>7f, stk.</w:t>
            </w:r>
            <w:r w:rsidRPr="007D42C5">
              <w:rPr>
                <w:b/>
                <w:i/>
              </w:rPr>
              <w:t xml:space="preserve"> </w:t>
            </w:r>
            <w:r w:rsidRPr="007D42C5">
              <w:t>1, i forordning (EF) nr. 767/2008.</w:t>
            </w:r>
            <w:r w:rsidRPr="007D42C5">
              <w:rPr>
                <w:b/>
                <w:i/>
              </w:rPr>
              <w:t xml:space="preserve"> En afgørelse om afslag og</w:t>
            </w:r>
            <w:r w:rsidRPr="007D42C5">
              <w:t xml:space="preserve"> de </w:t>
            </w:r>
            <w:r w:rsidRPr="007D42C5">
              <w:rPr>
                <w:b/>
                <w:i/>
              </w:rPr>
              <w:t>grunde,</w:t>
            </w:r>
            <w:r w:rsidRPr="007D42C5">
              <w:t xml:space="preserve"> som </w:t>
            </w:r>
            <w:r w:rsidRPr="007D42C5">
              <w:rPr>
                <w:b/>
                <w:i/>
              </w:rPr>
              <w:t>afgørelsen hviler på, jf.</w:t>
            </w:r>
            <w:r w:rsidRPr="007D42C5">
              <w:t xml:space="preserve"> bilag</w:t>
            </w:r>
            <w:r w:rsidRPr="007D42C5">
              <w:rPr>
                <w:b/>
                <w:i/>
              </w:rPr>
              <w:t xml:space="preserve"> </w:t>
            </w:r>
            <w:r w:rsidRPr="007D42C5">
              <w:t>VI</w:t>
            </w:r>
            <w:r w:rsidRPr="007D42C5">
              <w:rPr>
                <w:b/>
                <w:i/>
              </w:rPr>
              <w:t>, stilles til rådighed f</w:t>
            </w:r>
            <w:r w:rsidRPr="007D42C5">
              <w:rPr>
                <w:b/>
                <w:i/>
              </w:rPr>
              <w:t>or ansøgeren på den sikre konto. Afgørelsen om afslag formidles</w:t>
            </w:r>
            <w:r w:rsidRPr="007D42C5">
              <w:t xml:space="preserve"> på sproget i den medlemsstat, der har truffet den endelige afgørelse om ansøgningen, og et andet af Unionens officielle sprog.</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19</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21 – litra a</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32 – stk. 2 – afsnit 2</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 xml:space="preserve">Medlemsstaterne kan </w:t>
            </w:r>
            <w:r w:rsidRPr="007D42C5">
              <w:rPr>
                <w:b/>
                <w:i/>
              </w:rPr>
              <w:t>føje</w:t>
            </w:r>
            <w:r w:rsidRPr="007D42C5">
              <w:t xml:space="preserve"> yderligere dokumenter</w:t>
            </w:r>
            <w:r w:rsidRPr="007D42C5">
              <w:rPr>
                <w:b/>
                <w:i/>
              </w:rPr>
              <w:t xml:space="preserve"> til standardmeddelelsen som begrundelse for afslaget</w:t>
            </w:r>
            <w:r w:rsidRPr="007D42C5">
              <w:t>.</w:t>
            </w:r>
          </w:p>
        </w:tc>
        <w:tc>
          <w:tcPr>
            <w:tcW w:w="4876" w:type="dxa"/>
          </w:tcPr>
          <w:p w:rsidR="004763A9" w:rsidRPr="007D42C5" w:rsidRDefault="007D42C5" w:rsidP="00A72A8C">
            <w:pPr>
              <w:pStyle w:val="Normal6"/>
              <w:rPr>
                <w:szCs w:val="24"/>
              </w:rPr>
            </w:pPr>
            <w:r w:rsidRPr="007D42C5">
              <w:t xml:space="preserve">Medlemsstaterne kan </w:t>
            </w:r>
            <w:r w:rsidRPr="007D42C5">
              <w:rPr>
                <w:b/>
                <w:i/>
              </w:rPr>
              <w:t>tilføje</w:t>
            </w:r>
            <w:r w:rsidRPr="007D42C5">
              <w:t xml:space="preserve"> yderligere dokumenter</w:t>
            </w:r>
            <w:r w:rsidRPr="007D42C5">
              <w:rPr>
                <w:b/>
                <w:i/>
              </w:rPr>
              <w:t>, der underbygger afgørelsen om afslag</w:t>
            </w:r>
            <w:r w:rsidRPr="007D42C5">
              <w:t>.</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20</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21 – litra a</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32 – stk. 2 – afsnit 2 a (nyt)</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Klageperioden indledes, når visumansøgeren tilgår afgørelsen på den sikre konto på EU-ansøgningsplatformen.</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21</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 xml:space="preserve">Forslag til </w:t>
      </w:r>
      <w:r w:rsidRPr="007D42C5">
        <w:t>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21 – litra a</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32 – stk. 2 – afsnit 4</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Kommissionen vedtager delegerede</w:t>
            </w:r>
            <w:r w:rsidRPr="007D42C5">
              <w:t xml:space="preserve"> retsakter i overensstemmelse med artikel 51a med henblik på at ajourføre formularen for nægtelse af indrejse i bilag VI</w:t>
            </w:r>
            <w:r w:rsidRPr="007D42C5">
              <w:rPr>
                <w:b/>
                <w:i/>
              </w:rPr>
              <w:t xml:space="preserve"> eller meddelelsen om samme som omhandlet i kapitel Ia i forordning (EF) nr. 767/2008</w:t>
            </w:r>
            <w:r w:rsidRPr="007D42C5">
              <w:t>.</w:t>
            </w:r>
          </w:p>
        </w:tc>
        <w:tc>
          <w:tcPr>
            <w:tcW w:w="4876" w:type="dxa"/>
          </w:tcPr>
          <w:p w:rsidR="004763A9" w:rsidRPr="007D42C5" w:rsidRDefault="007D42C5" w:rsidP="00A72A8C">
            <w:pPr>
              <w:pStyle w:val="Normal6"/>
              <w:rPr>
                <w:szCs w:val="24"/>
              </w:rPr>
            </w:pPr>
            <w:r w:rsidRPr="007D42C5">
              <w:t>Kommissionen vedtager delegerede retsakter i over</w:t>
            </w:r>
            <w:r w:rsidRPr="007D42C5">
              <w:t>ensstemmelse med artikel 51a med henblik på at ajourføre formularen for nægtelse af indrejse i bilag VI.</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22</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 xml:space="preserve">Artikel 1 – </w:t>
      </w:r>
      <w:r w:rsidRPr="007D42C5">
        <w:t>stk. 1 – nr. 22</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32 a – stk. 1</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1.</w:t>
            </w:r>
            <w:r w:rsidRPr="007D42C5">
              <w:tab/>
            </w:r>
            <w:r w:rsidRPr="007D42C5">
              <w:t xml:space="preserve">Visumindehavere, hvis rejsedokument er bortkommet, blevet stjålet eller er udløbet, og hvis visum stadig er gyldigt, </w:t>
            </w:r>
            <w:r w:rsidRPr="007D42C5">
              <w:rPr>
                <w:b/>
                <w:i/>
              </w:rPr>
              <w:t>kan ansøge</w:t>
            </w:r>
            <w:r w:rsidRPr="007D42C5">
              <w:t xml:space="preserve"> om bekræftelse af visummet i tilknytning til et nyt rejsedokument.</w:t>
            </w:r>
          </w:p>
        </w:tc>
        <w:tc>
          <w:tcPr>
            <w:tcW w:w="4876" w:type="dxa"/>
          </w:tcPr>
          <w:p w:rsidR="004763A9" w:rsidRPr="007D42C5" w:rsidRDefault="007D42C5" w:rsidP="00A72A8C">
            <w:pPr>
              <w:pStyle w:val="Normal6"/>
              <w:rPr>
                <w:szCs w:val="24"/>
              </w:rPr>
            </w:pPr>
            <w:r w:rsidRPr="007D42C5">
              <w:t>1.</w:t>
            </w:r>
            <w:r w:rsidRPr="007D42C5">
              <w:tab/>
              <w:t xml:space="preserve">Visumindehavere, hvis rejsedokument er bortkommet, blevet </w:t>
            </w:r>
            <w:r w:rsidRPr="007D42C5">
              <w:t>stjålet eller er udløbet</w:t>
            </w:r>
            <w:r w:rsidRPr="007D42C5">
              <w:rPr>
                <w:b/>
                <w:i/>
              </w:rPr>
              <w:t xml:space="preserve"> eller er blevet ugyldigt</w:t>
            </w:r>
            <w:r w:rsidRPr="007D42C5">
              <w:t xml:space="preserve">, og hvis visum stadig er gyldigt, </w:t>
            </w:r>
            <w:r w:rsidRPr="007D42C5">
              <w:rPr>
                <w:b/>
                <w:i/>
              </w:rPr>
              <w:t>ansøger</w:t>
            </w:r>
            <w:r w:rsidRPr="007D42C5">
              <w:t xml:space="preserve"> om bekræftelse af visummet i tilknytning til et nyt rejsedokument</w:t>
            </w:r>
            <w:r w:rsidRPr="007D42C5">
              <w:rPr>
                <w:b/>
                <w:i/>
              </w:rPr>
              <w:t>, hvis de ønsker fortsat at anvende visummet.</w:t>
            </w:r>
            <w:r w:rsidRPr="007D42C5">
              <w:t xml:space="preserve"> </w:t>
            </w:r>
            <w:r w:rsidRPr="007D42C5">
              <w:rPr>
                <w:b/>
                <w:i/>
              </w:rPr>
              <w:t>Bekræftelsen af visummet kan i princippet ske hos den</w:t>
            </w:r>
            <w:r w:rsidRPr="007D42C5">
              <w:rPr>
                <w:b/>
                <w:i/>
              </w:rPr>
              <w:t xml:space="preserve"> myndighed, der har udstedt visummet, eller på de betingelser, som medlemsstaten har meddelt.</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Afgørelsen om visummets bekræftelse i et nyt rejsedokument meddeles ansøgeren ad elektronisk vej i overensstemmelse med artikel 7f i forordning (EF) nr. 767/200</w:t>
            </w:r>
            <w:r w:rsidRPr="007D42C5">
              <w:rPr>
                <w:b/>
                <w:i/>
              </w:rPr>
              <w:t>8.</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Afgørelsen om, hvorvidt et visum er bekræftet i et nyt rejsedokument, stilles til rådighed for ansøgeren på den sikre konto.</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23</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w:t>
      </w:r>
      <w:r w:rsidRPr="007D42C5">
        <w:rPr>
          <w:rStyle w:val="HideTWBExt"/>
          <w:b w:val="0"/>
        </w:rPr>
        <w:t>&gt;</w:t>
      </w:r>
    </w:p>
    <w:p w:rsidR="004763A9" w:rsidRPr="007D42C5" w:rsidRDefault="007D42C5" w:rsidP="004763A9">
      <w:pPr>
        <w:pStyle w:val="NormalBold"/>
      </w:pPr>
      <w:r w:rsidRPr="007D42C5">
        <w:rPr>
          <w:rStyle w:val="HideTWBExt"/>
          <w:b w:val="0"/>
        </w:rPr>
        <w:t>&lt;Article&gt;</w:t>
      </w:r>
      <w:r w:rsidRPr="007D42C5">
        <w:t>Artikel 1 – stk. 1 – nr. 22</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32 a – stk. 2 – litra b</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b)</w:t>
            </w:r>
            <w:r w:rsidRPr="007D42C5">
              <w:tab/>
            </w:r>
            <w:r w:rsidRPr="007D42C5">
              <w:rPr>
                <w:b/>
                <w:i/>
              </w:rPr>
              <w:t>visumnummer</w:t>
            </w:r>
          </w:p>
        </w:tc>
        <w:tc>
          <w:tcPr>
            <w:tcW w:w="4876" w:type="dxa"/>
          </w:tcPr>
          <w:p w:rsidR="004763A9" w:rsidRPr="007D42C5" w:rsidRDefault="007D42C5" w:rsidP="00A72A8C">
            <w:pPr>
              <w:pStyle w:val="Normal6"/>
              <w:rPr>
                <w:szCs w:val="24"/>
              </w:rPr>
            </w:pPr>
            <w:r w:rsidRPr="007D42C5">
              <w:t>b)</w:t>
            </w:r>
            <w:r w:rsidRPr="007D42C5">
              <w:tab/>
            </w:r>
            <w:r w:rsidRPr="007D42C5">
              <w:rPr>
                <w:b/>
                <w:i/>
              </w:rPr>
              <w:t>det digitale visums nummer</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24</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22</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32 a – stk. 4</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4.</w:t>
            </w:r>
            <w:r w:rsidRPr="007D42C5">
              <w:tab/>
              <w:t xml:space="preserve">Visumindehaveren møder personligt op for at fremlægge det nye rejsedokument, så det kan kontrolleres, at det stemmer overens med den </w:t>
            </w:r>
            <w:r w:rsidRPr="007D42C5">
              <w:rPr>
                <w:b/>
                <w:i/>
              </w:rPr>
              <w:t>scannede</w:t>
            </w:r>
            <w:r w:rsidRPr="007D42C5">
              <w:t xml:space="preserve"> kopi, der er uploadet via EU-ansøgningsplatformen, og at indehaveren af</w:t>
            </w:r>
            <w:r w:rsidRPr="007D42C5">
              <w:t xml:space="preserve"> rejsedokumentet er den samme person, som der er udstedt visum til.</w:t>
            </w:r>
          </w:p>
        </w:tc>
        <w:tc>
          <w:tcPr>
            <w:tcW w:w="4876" w:type="dxa"/>
          </w:tcPr>
          <w:p w:rsidR="004763A9" w:rsidRPr="007D42C5" w:rsidRDefault="007D42C5" w:rsidP="00A72A8C">
            <w:pPr>
              <w:pStyle w:val="Normal6"/>
              <w:rPr>
                <w:szCs w:val="24"/>
              </w:rPr>
            </w:pPr>
            <w:r w:rsidRPr="007D42C5">
              <w:t>4.</w:t>
            </w:r>
            <w:r w:rsidRPr="007D42C5">
              <w:tab/>
              <w:t xml:space="preserve">Visumindehaveren møder personligt op for at fremlægge det nye rejsedokument, så det kan kontrolleres, at det stemmer overens med den </w:t>
            </w:r>
            <w:r w:rsidRPr="007D42C5">
              <w:rPr>
                <w:b/>
                <w:i/>
              </w:rPr>
              <w:t>elektroniske</w:t>
            </w:r>
            <w:r w:rsidRPr="007D42C5">
              <w:t xml:space="preserve"> kopi, der er uploadet via EU-ansøgningsplatformen, og at indehaveren af rejsedokumentet er den samme person, som der er udstedt visum til.</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25</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23 – litra b</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33 – stk. 8</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8.</w:t>
            </w:r>
            <w:r w:rsidRPr="007D42C5">
              <w:tab/>
            </w:r>
            <w:r w:rsidRPr="007D42C5">
              <w:rPr>
                <w:b/>
                <w:i/>
              </w:rPr>
              <w:t xml:space="preserve">Når et visum forlænges i henhold til denne </w:t>
            </w:r>
            <w:r w:rsidRPr="007D42C5">
              <w:rPr>
                <w:b/>
                <w:i/>
              </w:rPr>
              <w:t>artikels stk. 1-7</w:t>
            </w:r>
            <w:r w:rsidRPr="007D42C5">
              <w:t xml:space="preserve"> via EU-ansøgningsplatformen, </w:t>
            </w:r>
            <w:r w:rsidRPr="007D42C5">
              <w:rPr>
                <w:b/>
                <w:i/>
              </w:rPr>
              <w:t>underrettes</w:t>
            </w:r>
            <w:r w:rsidRPr="007D42C5">
              <w:t xml:space="preserve"> ansøgeren</w:t>
            </w:r>
            <w:r w:rsidRPr="007D42C5">
              <w:rPr>
                <w:b/>
                <w:i/>
              </w:rPr>
              <w:t xml:space="preserve"> om forlængelsen</w:t>
            </w:r>
            <w:r w:rsidRPr="007D42C5">
              <w:t xml:space="preserve"> ad sikker elektronisk vej i overensstemmelse med artikel 7f i forordning (EF) nr. 767/2008.</w:t>
            </w:r>
          </w:p>
        </w:tc>
        <w:tc>
          <w:tcPr>
            <w:tcW w:w="4876" w:type="dxa"/>
          </w:tcPr>
          <w:p w:rsidR="004763A9" w:rsidRPr="007D42C5" w:rsidRDefault="007D42C5" w:rsidP="00A72A8C">
            <w:pPr>
              <w:pStyle w:val="Normal6"/>
              <w:rPr>
                <w:szCs w:val="24"/>
              </w:rPr>
            </w:pPr>
            <w:r w:rsidRPr="007D42C5">
              <w:t>8.</w:t>
            </w:r>
            <w:r w:rsidRPr="007D42C5">
              <w:tab/>
            </w:r>
            <w:r w:rsidRPr="007D42C5">
              <w:rPr>
                <w:b/>
                <w:i/>
              </w:rPr>
              <w:t>Afgørelsen om forlængelsen af det visum, der er ansøgt om</w:t>
            </w:r>
            <w:r w:rsidRPr="007D42C5">
              <w:t xml:space="preserve"> via EU-ansøgningsp</w:t>
            </w:r>
            <w:r w:rsidRPr="007D42C5">
              <w:t xml:space="preserve">latformen, </w:t>
            </w:r>
            <w:r w:rsidRPr="007D42C5">
              <w:rPr>
                <w:b/>
                <w:i/>
              </w:rPr>
              <w:t>meddeles</w:t>
            </w:r>
            <w:r w:rsidRPr="007D42C5">
              <w:t xml:space="preserve"> ansøgeren ad sikker elektronisk vej i overensstemmelse med artikel 7f i forordning (EF) nr. 767/2008.</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Afgørelsen om, hvorvidt et visum er forlænget eller ej, stilles til rådighed for ansøgeren på den sikre konto.</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26</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 – stk. 1 – nr. 24 – litra a</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810/2009</w:t>
      </w:r>
      <w:r w:rsidRPr="007D42C5">
        <w:rPr>
          <w:rStyle w:val="HideTWBExt"/>
        </w:rPr>
        <w:t>&lt;/DocAmend2&gt;</w:t>
      </w:r>
    </w:p>
    <w:p w:rsidR="004763A9" w:rsidRPr="007D42C5" w:rsidRDefault="007D42C5" w:rsidP="004763A9">
      <w:r w:rsidRPr="007D42C5">
        <w:rPr>
          <w:rStyle w:val="HideTWBExt"/>
        </w:rPr>
        <w:t>&lt;Article2&gt;</w:t>
      </w:r>
      <w:r w:rsidRPr="007D42C5">
        <w:t>Artikel 34 – stk. 6</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6.</w:t>
            </w:r>
            <w:r w:rsidRPr="007D42C5">
              <w:tab/>
            </w:r>
            <w:r w:rsidRPr="007D42C5">
              <w:rPr>
                <w:b/>
                <w:i/>
              </w:rPr>
              <w:t>En</w:t>
            </w:r>
            <w:r w:rsidRPr="007D42C5">
              <w:t xml:space="preserve"> afgørelse om annullering eller inddragelse af et visum og begrundelsen herfor</w:t>
            </w:r>
            <w:r w:rsidRPr="007D42C5">
              <w:rPr>
                <w:b/>
                <w:i/>
              </w:rPr>
              <w:t xml:space="preserve"> træffes</w:t>
            </w:r>
            <w:r w:rsidRPr="007D42C5">
              <w:t xml:space="preserve"> i digitalt format ved indlæsning af oplysningerne i VIS</w:t>
            </w:r>
            <w:r w:rsidRPr="007D42C5">
              <w:rPr>
                <w:b/>
                <w:i/>
              </w:rPr>
              <w:t xml:space="preserve">, jf. artikel 12 i forordning (EF) nr. 767/2008, og meddeles </w:t>
            </w:r>
            <w:r w:rsidRPr="007D42C5">
              <w:rPr>
                <w:b/>
                <w:i/>
              </w:rPr>
              <w:t>ansøgeren ad sikker elektronisk vej</w:t>
            </w:r>
            <w:r w:rsidRPr="007D42C5">
              <w:t xml:space="preserve"> i overensstemmelse med artikel </w:t>
            </w:r>
            <w:r w:rsidRPr="007D42C5">
              <w:rPr>
                <w:b/>
                <w:i/>
              </w:rPr>
              <w:t>7f</w:t>
            </w:r>
            <w:r w:rsidRPr="007D42C5">
              <w:t xml:space="preserve"> i forordning (EF) nr. 767/2008</w:t>
            </w:r>
            <w:r w:rsidRPr="007D42C5">
              <w:rPr>
                <w:b/>
                <w:i/>
              </w:rPr>
              <w:t xml:space="preserve"> eller ved hjælp af standardformularen i bilag VI for ansøgninger, der ikke er indgivet via EU-ansøgningsplatformen. Meddelelsen skal indeholde de oplysning</w:t>
            </w:r>
            <w:r w:rsidRPr="007D42C5">
              <w:rPr>
                <w:b/>
                <w:i/>
              </w:rPr>
              <w:t>er, der er angivet i bilag VI."</w:t>
            </w:r>
          </w:p>
        </w:tc>
        <w:tc>
          <w:tcPr>
            <w:tcW w:w="4876" w:type="dxa"/>
          </w:tcPr>
          <w:p w:rsidR="004763A9" w:rsidRPr="007D42C5" w:rsidRDefault="007D42C5" w:rsidP="00A72A8C">
            <w:pPr>
              <w:pStyle w:val="Normal6"/>
              <w:rPr>
                <w:szCs w:val="24"/>
              </w:rPr>
            </w:pPr>
            <w:r w:rsidRPr="007D42C5">
              <w:t>6.</w:t>
            </w:r>
            <w:r w:rsidRPr="007D42C5">
              <w:tab/>
            </w:r>
            <w:r w:rsidRPr="007D42C5">
              <w:rPr>
                <w:b/>
                <w:i/>
              </w:rPr>
              <w:t>Når ansøgninger indgives via EU-ansøgningsplatformen, træffes</w:t>
            </w:r>
            <w:r w:rsidRPr="007D42C5">
              <w:t xml:space="preserve"> afgørelse om annullering eller inddragelse af et visum og begrundelsen herfor i digitalt format ved indlæsning af oplysningerne i VIS i overensstemmelse med ar</w:t>
            </w:r>
            <w:r w:rsidRPr="007D42C5">
              <w:t>tikel </w:t>
            </w:r>
            <w:r w:rsidRPr="007D42C5">
              <w:rPr>
                <w:b/>
                <w:i/>
              </w:rPr>
              <w:t>13</w:t>
            </w:r>
            <w:r w:rsidRPr="007D42C5">
              <w:t xml:space="preserve"> i forordning (EF) nr. 767/2008</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Så snart afgørelsen om annullering foreligger underrettes ansøgeren ad elektronisk vej i overensstemmelse med artikel 7f, stk. 1, i forordning (EF) nr. 767/2008.</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 xml:space="preserve">En afgørelse om annullering eller inddragelse og </w:t>
            </w:r>
            <w:r w:rsidRPr="007D42C5">
              <w:rPr>
                <w:b/>
                <w:i/>
              </w:rPr>
              <w:t>de grunde, som afgørelsen hviler på, jf. bilag VI, stilles til rådighed for ansøgeren på den sikre konto.</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For ansøgninger, der ikke er indgivet via EU-ansøgningsplatformen, underrettes ansøgeren om en afgørelse om annullering eller inddragelse af et visu</w:t>
            </w:r>
            <w:r w:rsidRPr="007D42C5">
              <w:rPr>
                <w:b/>
                <w:i/>
              </w:rPr>
              <w:t>m og de grunde, den hviler på, ved hjælp af standardformularen i bilag VI.</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27</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w:t>
      </w:r>
      <w:r w:rsidRPr="007D42C5">
        <w:rPr>
          <w:rStyle w:val="HideTWBExt"/>
        </w:rPr>
        <w:t>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7a – overskrift</w:t>
      </w:r>
      <w:r w:rsidRPr="007D42C5">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Generelle oplysninger til offentligheden om EU-ansøgningsplatformen</w:t>
            </w:r>
          </w:p>
        </w:tc>
        <w:tc>
          <w:tcPr>
            <w:tcW w:w="4876" w:type="dxa"/>
          </w:tcPr>
          <w:p w:rsidR="004763A9" w:rsidRPr="007D42C5" w:rsidRDefault="007D42C5" w:rsidP="00A72A8C">
            <w:pPr>
              <w:pStyle w:val="Normal6"/>
              <w:rPr>
                <w:szCs w:val="24"/>
              </w:rPr>
            </w:pPr>
            <w:r w:rsidRPr="007D42C5">
              <w:rPr>
                <w:i/>
              </w:rPr>
              <w:t>(Vedrører ikke den danske tekst)</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28</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 xml:space="preserve">Artikel 7a – stk. 2 – afsnit 1 – </w:t>
      </w:r>
      <w:r w:rsidRPr="007D42C5">
        <w:t>indledning</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Eu-LISA er ansvarligt for at offentliggøre og ajourføre følgende generelle oplysninger til offentligheden på EU-ansøgningsplatformen, når det har modtaget oplysningerne fra Kommissionen eller m</w:t>
            </w:r>
            <w:r w:rsidRPr="007D42C5">
              <w:t>edlemsstaterne:</w:t>
            </w:r>
          </w:p>
        </w:tc>
        <w:tc>
          <w:tcPr>
            <w:tcW w:w="4876" w:type="dxa"/>
          </w:tcPr>
          <w:p w:rsidR="004763A9" w:rsidRPr="007D42C5" w:rsidRDefault="007D42C5" w:rsidP="00A72A8C">
            <w:pPr>
              <w:pStyle w:val="Normal6"/>
              <w:rPr>
                <w:szCs w:val="24"/>
              </w:rPr>
            </w:pPr>
            <w:r w:rsidRPr="007D42C5">
              <w:rPr>
                <w:i/>
              </w:rPr>
              <w:t>(Vedrører ikke den danske tekst)</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29</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 xml:space="preserve">Forordning (EF) nr. </w:t>
      </w:r>
      <w:r w:rsidRPr="007D42C5">
        <w:t>767/2008</w:t>
      </w:r>
      <w:r w:rsidRPr="007D42C5">
        <w:rPr>
          <w:rStyle w:val="HideTWBExt"/>
        </w:rPr>
        <w:t>&lt;/DocAmend2&gt;</w:t>
      </w:r>
    </w:p>
    <w:p w:rsidR="004763A9" w:rsidRPr="007D42C5" w:rsidRDefault="007D42C5" w:rsidP="004763A9">
      <w:r w:rsidRPr="007D42C5">
        <w:rPr>
          <w:rStyle w:val="HideTWBExt"/>
        </w:rPr>
        <w:t>&lt;Article2&gt;</w:t>
      </w:r>
      <w:r w:rsidRPr="007D42C5">
        <w:t>Artikel 7b – stk. 2 – afsnit 1 – indledning</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Uden at det berører artikel 7ba, opgiver ansøgeren følgende personoplysninger i ansøgningsskemaet:</w:t>
            </w:r>
          </w:p>
        </w:tc>
        <w:tc>
          <w:tcPr>
            <w:tcW w:w="4876" w:type="dxa"/>
          </w:tcPr>
          <w:p w:rsidR="004763A9" w:rsidRPr="007D42C5" w:rsidRDefault="007D42C5" w:rsidP="00A72A8C">
            <w:pPr>
              <w:pStyle w:val="Normal6"/>
              <w:rPr>
                <w:szCs w:val="24"/>
              </w:rPr>
            </w:pPr>
            <w:r w:rsidRPr="007D42C5">
              <w:t>Uden at det berører artikel 7b</w:t>
            </w:r>
            <w:r w:rsidRPr="007D42C5">
              <w:t>a, opgiver ansøgeren</w:t>
            </w:r>
            <w:r w:rsidRPr="007D42C5">
              <w:rPr>
                <w:b/>
                <w:i/>
              </w:rPr>
              <w:t>, hvis det er relevant,</w:t>
            </w:r>
            <w:r w:rsidRPr="007D42C5">
              <w:t xml:space="preserve"> følgende personoplysninger i ansøgningsskemaet:</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30</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7b – stk. 2 – afsnit 1 – indledning – nr. 28</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28)</w:t>
            </w:r>
            <w:r w:rsidRPr="007D42C5">
              <w:tab/>
              <w:t xml:space="preserve">tidligere indsamlede fingeraftryk med henblik på ansøgning om </w:t>
            </w:r>
            <w:r w:rsidRPr="007D42C5">
              <w:t xml:space="preserve">Schengenvisum; dato, hvis denne kendes; </w:t>
            </w:r>
            <w:r w:rsidRPr="007D42C5">
              <w:rPr>
                <w:b/>
                <w:i/>
              </w:rPr>
              <w:t>visumnummer</w:t>
            </w:r>
            <w:r w:rsidRPr="007D42C5">
              <w:t>, hvis det kendes</w:t>
            </w:r>
          </w:p>
        </w:tc>
        <w:tc>
          <w:tcPr>
            <w:tcW w:w="4876" w:type="dxa"/>
          </w:tcPr>
          <w:p w:rsidR="004763A9" w:rsidRPr="007D42C5" w:rsidRDefault="007D42C5" w:rsidP="00A72A8C">
            <w:pPr>
              <w:pStyle w:val="Normal6"/>
              <w:rPr>
                <w:szCs w:val="24"/>
              </w:rPr>
            </w:pPr>
            <w:r w:rsidRPr="007D42C5">
              <w:t>28)</w:t>
            </w:r>
            <w:r w:rsidRPr="007D42C5">
              <w:tab/>
              <w:t xml:space="preserve">tidligere indsamlede fingeraftryk med henblik på ansøgning om Schengenvisum; dato, hvis denne kendes; </w:t>
            </w:r>
            <w:r w:rsidRPr="007D42C5">
              <w:rPr>
                <w:b/>
                <w:i/>
              </w:rPr>
              <w:t>det digitale visums nummer</w:t>
            </w:r>
            <w:r w:rsidRPr="007D42C5">
              <w:t>, hvis det kendes</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w:t>
      </w:r>
      <w:r w:rsidRPr="007D42C5">
        <w:rPr>
          <w:rStyle w:val="HideTWBExt"/>
        </w:rPr>
        <w:t>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31</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7b – stk. 2 – afsnit 3 a (nyt)</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Med hensyn til den midlertidige dataoplagring betragtes eu-LISA som den kompetente myndighed og dataansvarlig i overensstemmelse med artikel 4, nr. 7), i forordning (EU) 2016/679 og har det centrale ansvar for databe</w:t>
            </w:r>
            <w:r w:rsidRPr="007D42C5">
              <w:rPr>
                <w:b/>
                <w:i/>
              </w:rPr>
              <w:t>handlingen.</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32</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 xml:space="preserve">Artikel </w:t>
      </w:r>
      <w:r w:rsidRPr="007D42C5">
        <w:t>7b – stk. 5 – afsnit 1 a (nyt)</w:t>
      </w:r>
      <w:r w:rsidRPr="007D42C5">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En IP-adresse med en anmærkning må ikke i sig selv automatisk føre til en udelukkelse af visumansøgningen.</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pPr>
        <w:pStyle w:val="JustificationTitle"/>
        <w:rPr>
          <w:noProof w:val="0"/>
        </w:rPr>
      </w:pPr>
      <w:r w:rsidRPr="007D42C5">
        <w:rPr>
          <w:rStyle w:val="HideTWBExt"/>
          <w:i w:val="0"/>
        </w:rPr>
        <w:t>&lt;TitreJust&gt;</w:t>
      </w:r>
      <w:r w:rsidRPr="007D42C5">
        <w:t>Begrundelse</w:t>
      </w:r>
      <w:r w:rsidRPr="007D42C5">
        <w:rPr>
          <w:rStyle w:val="HideTWBExt"/>
          <w:i w:val="0"/>
        </w:rPr>
        <w:t>&lt;/TitreJust&gt;</w:t>
      </w:r>
    </w:p>
    <w:p w:rsidR="004763A9" w:rsidRPr="007D42C5" w:rsidRDefault="007D42C5" w:rsidP="004763A9">
      <w:pPr>
        <w:pStyle w:val="Normal12Italic"/>
        <w:rPr>
          <w:noProof w:val="0"/>
        </w:rPr>
      </w:pPr>
      <w:r w:rsidRPr="007D42C5">
        <w:t>I visse tredjelande er internetdækningen stadig yderst begrænset. Der bør sættes særligt fokus på omstændigheder, hvor der indgives flere ansøgninger fra samme sted og samme IP-adresse. IP-adresser med en anmærkning bør ikke automatisk føre ti</w:t>
      </w:r>
      <w:r w:rsidRPr="007D42C5">
        <w:t>l en udelukkelse af visumansøgningen.</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33</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 xml:space="preserve">Artikel 7b – </w:t>
      </w:r>
      <w:r w:rsidRPr="007D42C5">
        <w:t>stk. 6</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6.</w:t>
            </w:r>
            <w:r w:rsidRPr="007D42C5">
              <w:tab/>
              <w:t xml:space="preserve">Kommissionen </w:t>
            </w:r>
            <w:r w:rsidRPr="007D42C5">
              <w:rPr>
                <w:b/>
                <w:i/>
              </w:rPr>
              <w:t>fastsætter ved hjælp af gennemførelsesretsakter</w:t>
            </w:r>
            <w:r w:rsidRPr="007D42C5">
              <w:t xml:space="preserve"> indholdet af et forenklet ansøgningsskema til bekræftelse af gyldigt visum i et nyt rejsedokument, jf. artikel 32a i forordning (EF) </w:t>
            </w:r>
            <w:r w:rsidRPr="007D42C5">
              <w:t xml:space="preserve">nr. 810/2009, og til forlængelse af visum, jf. artikel 33 i nævnte forordning, ved hjælp af EU-ansøgningsplatformen. </w:t>
            </w:r>
            <w:r w:rsidRPr="007D42C5">
              <w:rPr>
                <w:b/>
                <w:i/>
              </w:rPr>
              <w:t>Disse gennemførelsesretsakter vedtages efter undersøgelsesproceduren i artikel 49, stk. 2.</w:t>
            </w:r>
          </w:p>
        </w:tc>
        <w:tc>
          <w:tcPr>
            <w:tcW w:w="4876" w:type="dxa"/>
          </w:tcPr>
          <w:p w:rsidR="004763A9" w:rsidRPr="007D42C5" w:rsidRDefault="007D42C5" w:rsidP="00A72A8C">
            <w:pPr>
              <w:pStyle w:val="Normal6"/>
              <w:rPr>
                <w:szCs w:val="24"/>
              </w:rPr>
            </w:pPr>
            <w:r w:rsidRPr="007D42C5">
              <w:t>6.</w:t>
            </w:r>
            <w:r w:rsidRPr="007D42C5">
              <w:tab/>
              <w:t xml:space="preserve">Kommissionen </w:t>
            </w:r>
            <w:r w:rsidRPr="007D42C5">
              <w:rPr>
                <w:b/>
                <w:i/>
              </w:rPr>
              <w:t xml:space="preserve">vedtager delegerede retsakter i </w:t>
            </w:r>
            <w:r w:rsidRPr="007D42C5">
              <w:rPr>
                <w:b/>
                <w:i/>
              </w:rPr>
              <w:t>overensstemmelse med artikel 48a for at fastsætte</w:t>
            </w:r>
            <w:r w:rsidRPr="007D42C5">
              <w:t xml:space="preserve"> indholdet af et forenklet ansøgningsskema til bekræftelse af gyldigt visum i et nyt rejsedokument, jf. artikel 32a i forordning (EF) nr. 810/2009, og til forlængelse af visum, jf. artikel 33 i nævnte forord</w:t>
            </w:r>
            <w:r w:rsidRPr="007D42C5">
              <w:t>ning, ved hjælp af EU-ansøgningsplatformen.</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34</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 xml:space="preserve">Forordning (EF) nr. </w:t>
      </w:r>
      <w:r w:rsidRPr="007D42C5">
        <w:t>767/2008</w:t>
      </w:r>
      <w:r w:rsidRPr="007D42C5">
        <w:rPr>
          <w:rStyle w:val="HideTWBExt"/>
        </w:rPr>
        <w:t>&lt;/DocAmend2&gt;</w:t>
      </w:r>
    </w:p>
    <w:p w:rsidR="004763A9" w:rsidRPr="007D42C5" w:rsidRDefault="007D42C5" w:rsidP="004763A9">
      <w:r w:rsidRPr="007D42C5">
        <w:rPr>
          <w:rStyle w:val="HideTWBExt"/>
        </w:rPr>
        <w:t>&lt;Article2&gt;</w:t>
      </w:r>
      <w:r w:rsidRPr="007D42C5">
        <w:t>Artikel 7c – stk. 2</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2.</w:t>
            </w:r>
            <w:r w:rsidRPr="007D42C5">
              <w:tab/>
              <w:t xml:space="preserve">Ansøgere kan anvende EU-ansøgningsplatformen til at indsende en </w:t>
            </w:r>
            <w:r w:rsidRPr="007D42C5">
              <w:rPr>
                <w:b/>
                <w:i/>
              </w:rPr>
              <w:t xml:space="preserve">scannet </w:t>
            </w:r>
            <w:r w:rsidRPr="007D42C5">
              <w:t>kopi af rejsedokumentet i elektronisk format samt dokumentation og bevis for r</w:t>
            </w:r>
            <w:r w:rsidRPr="007D42C5">
              <w:t>ejsesygeforsikring i digitalt format, alt efter hvad der er relevant, i henhold til forordning (EF) nr. 810/2009 eller direktiv 2004/38/EF.</w:t>
            </w:r>
          </w:p>
        </w:tc>
        <w:tc>
          <w:tcPr>
            <w:tcW w:w="4876" w:type="dxa"/>
          </w:tcPr>
          <w:p w:rsidR="004763A9" w:rsidRPr="007D42C5" w:rsidRDefault="007D42C5" w:rsidP="00A72A8C">
            <w:pPr>
              <w:pStyle w:val="Normal6"/>
              <w:rPr>
                <w:szCs w:val="24"/>
              </w:rPr>
            </w:pPr>
            <w:r w:rsidRPr="007D42C5">
              <w:t>2.</w:t>
            </w:r>
            <w:r w:rsidRPr="007D42C5">
              <w:tab/>
              <w:t>Ansøgere kan anvende EU-ansøgningsplatformen til at indsende en kopi af rejsedokumentet i elektronisk format samt</w:t>
            </w:r>
            <w:r w:rsidRPr="007D42C5">
              <w:t xml:space="preserve"> dokumentation og bevis for rejsesygeforsikring i digitalt format, alt efter hvad der er relevant, i henhold til forordning (EF) nr. 810/2009 eller direktiv 2004/38/EF.</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35</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7c – stk. 9 – afsnit 3</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rPr>
                <w:b/>
                <w:i/>
              </w:rPr>
              <w:t>Ansøgningsplatformen</w:t>
            </w:r>
            <w:r w:rsidRPr="007D42C5">
              <w:t xml:space="preserve"> skal udformes således, at artikel 19, stk. 4 og 4a, i forordning (EF) nr. 810/2009 kan finde anvendelse, og ansøgninger kan antages.</w:t>
            </w:r>
          </w:p>
        </w:tc>
        <w:tc>
          <w:tcPr>
            <w:tcW w:w="4876" w:type="dxa"/>
          </w:tcPr>
          <w:p w:rsidR="004763A9" w:rsidRPr="007D42C5" w:rsidRDefault="007D42C5" w:rsidP="00A72A8C">
            <w:pPr>
              <w:pStyle w:val="Normal6"/>
              <w:rPr>
                <w:szCs w:val="24"/>
              </w:rPr>
            </w:pPr>
            <w:r w:rsidRPr="007D42C5">
              <w:rPr>
                <w:b/>
                <w:i/>
              </w:rPr>
              <w:t>EU-ansøgningsplatformen</w:t>
            </w:r>
            <w:r w:rsidRPr="007D42C5">
              <w:t xml:space="preserve"> skal udformes således, at artikel 19, stk. 4 og 4a, i forordning (EF) nr. 810/2009 kan finde anven</w:t>
            </w:r>
            <w:r w:rsidRPr="007D42C5">
              <w:t>delse, og ansøgninger kan antages.</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36</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7c – stk. 13 a (nyt)</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4763A9" w:rsidP="00A72A8C">
            <w:pPr>
              <w:pStyle w:val="Normal6"/>
            </w:pPr>
          </w:p>
        </w:tc>
        <w:tc>
          <w:tcPr>
            <w:tcW w:w="4876" w:type="dxa"/>
          </w:tcPr>
          <w:p w:rsidR="004763A9" w:rsidRPr="007D42C5" w:rsidRDefault="007D42C5" w:rsidP="00A72A8C">
            <w:pPr>
              <w:pStyle w:val="Normal6"/>
              <w:rPr>
                <w:szCs w:val="24"/>
              </w:rPr>
            </w:pPr>
            <w:r w:rsidRPr="007D42C5">
              <w:rPr>
                <w:b/>
                <w:i/>
              </w:rPr>
              <w:t>13a.</w:t>
            </w:r>
            <w:r w:rsidRPr="007D42C5">
              <w:rPr>
                <w:b/>
                <w:i/>
              </w:rPr>
              <w:tab/>
              <w:t xml:space="preserve">Med hensyn til den dataoverførsel, der er omhandlet i stk. 11 og 12, udpeger hver medlemsstat en kompetent myndighed, der skal betragtes som </w:t>
            </w:r>
            <w:r w:rsidRPr="007D42C5">
              <w:rPr>
                <w:b/>
                <w:i/>
              </w:rPr>
              <w:t>registeransvarlig i overensstemmelse med artikel 4, nr. 7), i forordning (EU) 2016/679, og som har det centrale ansvar for denne medlemsstats databehandling. Hver medlemsstat underretter Kommissionen om udpegningen.</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w:t>
      </w:r>
      <w:r w:rsidRPr="007D42C5">
        <w:rPr>
          <w:rStyle w:val="HideTWBExt"/>
        </w:rPr>
        <w:t>&gt;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37</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7e – stk. 1 – litra a</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 xml:space="preserve">Kommissionens </w:t>
            </w:r>
            <w:r w:rsidRPr="007D42C5">
              <w:t>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a)</w:t>
            </w:r>
            <w:r w:rsidRPr="007D42C5">
              <w:tab/>
              <w:t xml:space="preserve">kontrollere og udføre kvalitetskontrol af de oplysninger, der er uploadet til det midlertidige lageringssted, navnlig den </w:t>
            </w:r>
            <w:r w:rsidRPr="007D42C5">
              <w:rPr>
                <w:b/>
                <w:i/>
              </w:rPr>
              <w:t>scannede</w:t>
            </w:r>
            <w:r w:rsidRPr="007D42C5">
              <w:t xml:space="preserve"> kopi af rejsedokumentet</w:t>
            </w:r>
          </w:p>
        </w:tc>
        <w:tc>
          <w:tcPr>
            <w:tcW w:w="4876" w:type="dxa"/>
          </w:tcPr>
          <w:p w:rsidR="004763A9" w:rsidRPr="007D42C5" w:rsidRDefault="007D42C5" w:rsidP="00A72A8C">
            <w:pPr>
              <w:pStyle w:val="Normal6"/>
              <w:rPr>
                <w:szCs w:val="24"/>
              </w:rPr>
            </w:pPr>
            <w:r w:rsidRPr="007D42C5">
              <w:t>a)</w:t>
            </w:r>
            <w:r w:rsidRPr="007D42C5">
              <w:tab/>
              <w:t>kontrollere og udføre kvalitetskontrol af de oplysninger, der er uploa</w:t>
            </w:r>
            <w:r w:rsidRPr="007D42C5">
              <w:t xml:space="preserve">det til det midlertidige lageringssted, navnlig den </w:t>
            </w:r>
            <w:r w:rsidRPr="007D42C5">
              <w:rPr>
                <w:b/>
                <w:i/>
              </w:rPr>
              <w:t>elektroniske</w:t>
            </w:r>
            <w:r w:rsidRPr="007D42C5">
              <w:t xml:space="preserve"> kopi af rejsedokumentet</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38</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w:t>
      </w:r>
      <w:r w:rsidRPr="007D42C5">
        <w:rPr>
          <w:rStyle w:val="HideTWBExt"/>
          <w:b w:val="0"/>
        </w:rPr>
        <w:t>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7f – stk. 1</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1.</w:t>
            </w:r>
            <w:r w:rsidRPr="007D42C5">
              <w:tab/>
              <w:t xml:space="preserve">Ansøgere og visumindehavere underrettes ad </w:t>
            </w:r>
            <w:r w:rsidRPr="007D42C5">
              <w:rPr>
                <w:b/>
                <w:i/>
              </w:rPr>
              <w:t xml:space="preserve">sikker </w:t>
            </w:r>
            <w:r w:rsidRPr="007D42C5">
              <w:t xml:space="preserve">elektronisk vej om de afgørelser, som medlemsstaterne træffer </w:t>
            </w:r>
            <w:r w:rsidRPr="007D42C5">
              <w:t>om deres ansøgninger eller udstedte visa.</w:t>
            </w:r>
          </w:p>
        </w:tc>
        <w:tc>
          <w:tcPr>
            <w:tcW w:w="4876" w:type="dxa"/>
          </w:tcPr>
          <w:p w:rsidR="004763A9" w:rsidRPr="007D42C5" w:rsidRDefault="007D42C5" w:rsidP="00A72A8C">
            <w:pPr>
              <w:pStyle w:val="Normal6"/>
              <w:rPr>
                <w:szCs w:val="24"/>
              </w:rPr>
            </w:pPr>
            <w:r w:rsidRPr="007D42C5">
              <w:t>1.</w:t>
            </w:r>
            <w:r w:rsidRPr="007D42C5">
              <w:tab/>
              <w:t>Ansøgere og visumindehavere underrettes ad elektronisk vej om de afgørelser, som medlemsstaterne træffer om deres ansøgninger eller udstedte visa.</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39</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7g – stk. 3</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3.</w:t>
            </w:r>
            <w:r w:rsidRPr="007D42C5">
              <w:tab/>
            </w:r>
            <w:r w:rsidRPr="007D42C5">
              <w:t>EU-ansøgningsplatformen skal stille en webtjenestefunktion til rådighed for ansøgere, så de kan kontrollere et digitalt visum uden om den sikre kontotjeneste.</w:t>
            </w:r>
          </w:p>
        </w:tc>
        <w:tc>
          <w:tcPr>
            <w:tcW w:w="4876" w:type="dxa"/>
          </w:tcPr>
          <w:p w:rsidR="004763A9" w:rsidRPr="007D42C5" w:rsidRDefault="007D42C5" w:rsidP="00A72A8C">
            <w:pPr>
              <w:pStyle w:val="Normal6"/>
              <w:rPr>
                <w:szCs w:val="24"/>
              </w:rPr>
            </w:pPr>
            <w:r w:rsidRPr="007D42C5">
              <w:t>3.</w:t>
            </w:r>
            <w:r w:rsidRPr="007D42C5">
              <w:tab/>
              <w:t>EU-ansøgningsplatformen skal stille en webtjenestefunktion til rådighed for ansøgere, så de ka</w:t>
            </w:r>
            <w:r w:rsidRPr="007D42C5">
              <w:t xml:space="preserve">n kontrollere </w:t>
            </w:r>
            <w:r w:rsidRPr="007D42C5">
              <w:rPr>
                <w:b/>
                <w:i/>
              </w:rPr>
              <w:t xml:space="preserve">gyldigheden af </w:t>
            </w:r>
            <w:r w:rsidRPr="007D42C5">
              <w:t>et digitalt visum uden om den sikre kontotjeneste.</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40</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afsnit 6 – litra a</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10 – stk. 1 – litra e</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e)</w:t>
            </w:r>
            <w:r w:rsidRPr="007D42C5">
              <w:tab/>
              <w:t>visumnummer</w:t>
            </w:r>
          </w:p>
        </w:tc>
        <w:tc>
          <w:tcPr>
            <w:tcW w:w="4876" w:type="dxa"/>
          </w:tcPr>
          <w:p w:rsidR="004763A9" w:rsidRPr="007D42C5" w:rsidRDefault="007D42C5" w:rsidP="00A72A8C">
            <w:pPr>
              <w:pStyle w:val="Normal6"/>
              <w:rPr>
                <w:szCs w:val="24"/>
              </w:rPr>
            </w:pPr>
            <w:r w:rsidRPr="007D42C5">
              <w:t>e)</w:t>
            </w:r>
            <w:r w:rsidRPr="007D42C5">
              <w:tab/>
            </w:r>
            <w:r w:rsidRPr="007D42C5">
              <w:rPr>
                <w:b/>
                <w:i/>
              </w:rPr>
              <w:t xml:space="preserve">digitalt </w:t>
            </w:r>
            <w:r w:rsidRPr="007D42C5">
              <w:t>visumnummer</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41</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nr. 8</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14 – stk. 1 – litra d</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d)</w:t>
            </w:r>
            <w:r w:rsidRPr="007D42C5">
              <w:tab/>
              <w:t>det forlængede visums visumnummer</w:t>
            </w:r>
          </w:p>
        </w:tc>
        <w:tc>
          <w:tcPr>
            <w:tcW w:w="4876" w:type="dxa"/>
          </w:tcPr>
          <w:p w:rsidR="004763A9" w:rsidRPr="007D42C5" w:rsidRDefault="007D42C5" w:rsidP="00A72A8C">
            <w:pPr>
              <w:pStyle w:val="Normal6"/>
              <w:rPr>
                <w:szCs w:val="24"/>
              </w:rPr>
            </w:pPr>
            <w:r w:rsidRPr="007D42C5">
              <w:t>d)</w:t>
            </w:r>
            <w:r w:rsidRPr="007D42C5">
              <w:tab/>
              <w:t xml:space="preserve">det forlængede visums </w:t>
            </w:r>
            <w:r w:rsidRPr="007D42C5">
              <w:rPr>
                <w:b/>
                <w:i/>
              </w:rPr>
              <w:t xml:space="preserve">digitale </w:t>
            </w:r>
            <w:r w:rsidRPr="007D42C5">
              <w:t>visumnummer</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42</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 xml:space="preserve">Artikel 2 – stk. 1 </w:t>
      </w:r>
      <w:r w:rsidRPr="007D42C5">
        <w:t>– nr. 9</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15 – stk. 2 – litra f</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f)</w:t>
            </w:r>
            <w:r w:rsidRPr="007D42C5">
              <w:tab/>
            </w:r>
            <w:r w:rsidRPr="007D42C5">
              <w:rPr>
                <w:b/>
                <w:i/>
              </w:rPr>
              <w:t>visumnummeret</w:t>
            </w:r>
            <w:r w:rsidRPr="007D42C5">
              <w:t xml:space="preserve">, nummeret på visummet til længerevarende ophold eller opholdstilladelsens </w:t>
            </w:r>
            <w:r w:rsidRPr="007D42C5">
              <w:t>nummer og udstedelsesdatoen for eventuelle tidligere visa, visa til længerevarende ophold og opholdstilladelser</w:t>
            </w:r>
          </w:p>
        </w:tc>
        <w:tc>
          <w:tcPr>
            <w:tcW w:w="4876" w:type="dxa"/>
          </w:tcPr>
          <w:p w:rsidR="004763A9" w:rsidRPr="007D42C5" w:rsidRDefault="007D42C5" w:rsidP="00A72A8C">
            <w:pPr>
              <w:pStyle w:val="Normal6"/>
              <w:rPr>
                <w:szCs w:val="24"/>
              </w:rPr>
            </w:pPr>
            <w:r w:rsidRPr="007D42C5">
              <w:t>f)</w:t>
            </w:r>
            <w:r w:rsidRPr="007D42C5">
              <w:tab/>
            </w:r>
            <w:r w:rsidRPr="007D42C5">
              <w:rPr>
                <w:b/>
                <w:i/>
              </w:rPr>
              <w:t>det digitale visums nummer</w:t>
            </w:r>
            <w:r w:rsidRPr="007D42C5">
              <w:t>, nummeret på visummet til længerevarende ophold eller opholdstilladelsens nummer og udstedelsesdatoen for eventuel</w:t>
            </w:r>
            <w:r w:rsidRPr="007D42C5">
              <w:t>le tidligere visa, visa til længerevarende ophold og opholdstilladelser</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43</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afsnit 17 – litra b</w:t>
      </w:r>
      <w:r w:rsidRPr="007D42C5">
        <w:rPr>
          <w:rStyle w:val="HideTWBExt"/>
          <w:b w:val="0"/>
        </w:rPr>
        <w:t>&lt;/Artic</w:t>
      </w:r>
      <w:r w:rsidRPr="007D42C5">
        <w:rPr>
          <w:rStyle w:val="HideTWBExt"/>
          <w:b w:val="0"/>
        </w:rPr>
        <w:t>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Artikel 22o – stk. 3 – litra f</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rPr>
                <w:b/>
                <w:i/>
              </w:rPr>
              <w:t>f)</w:t>
            </w:r>
            <w:r w:rsidRPr="007D42C5">
              <w:rPr>
                <w:b/>
                <w:i/>
              </w:rPr>
              <w:tab/>
              <w:t>IP-adresse</w:t>
            </w:r>
          </w:p>
        </w:tc>
        <w:tc>
          <w:tcPr>
            <w:tcW w:w="4876" w:type="dxa"/>
          </w:tcPr>
          <w:p w:rsidR="004763A9" w:rsidRPr="007D42C5" w:rsidRDefault="007D42C5" w:rsidP="00A72A8C">
            <w:pPr>
              <w:pStyle w:val="Normal6"/>
              <w:rPr>
                <w:szCs w:val="24"/>
              </w:rPr>
            </w:pPr>
            <w:r w:rsidRPr="007D42C5">
              <w:rPr>
                <w:b/>
                <w:i/>
              </w:rPr>
              <w:t>udgår</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pPr>
        <w:pStyle w:val="JustificationTitle"/>
        <w:rPr>
          <w:noProof w:val="0"/>
        </w:rPr>
      </w:pPr>
      <w:r w:rsidRPr="007D42C5">
        <w:rPr>
          <w:rStyle w:val="HideTWBExt"/>
          <w:i w:val="0"/>
        </w:rPr>
        <w:t>&lt;TitreJust&gt;</w:t>
      </w:r>
      <w:r w:rsidRPr="007D42C5">
        <w:t>Begrundelse</w:t>
      </w:r>
      <w:r w:rsidRPr="007D42C5">
        <w:rPr>
          <w:rStyle w:val="HideTWBExt"/>
          <w:i w:val="0"/>
        </w:rPr>
        <w:t>&lt;/TitreJust&gt;</w:t>
      </w:r>
    </w:p>
    <w:p w:rsidR="004763A9" w:rsidRPr="007D42C5" w:rsidRDefault="007D42C5" w:rsidP="004763A9">
      <w:pPr>
        <w:pStyle w:val="Normal12Italic"/>
        <w:rPr>
          <w:noProof w:val="0"/>
        </w:rPr>
      </w:pPr>
      <w:r w:rsidRPr="007D42C5">
        <w:t xml:space="preserve">Denne artikel </w:t>
      </w:r>
      <w:r w:rsidRPr="007D42C5">
        <w:t>vedrører de oplysninger, som de kompetente myndigheder skal tilføje med henblik på at forlænge et visum til længerevarende ophold eller forny en opholdstilladelse. Ordføreren mener ikke, at indsamlingen af IP-adressen til dette formål er nødvendig eller ti</w:t>
      </w:r>
      <w:r w:rsidRPr="007D42C5">
        <w:t>lstrækkeligt begrundet.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44</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2 – stk. 1 – afsnit 18 – litra a</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(EF) nr. 767/2008</w:t>
      </w:r>
      <w:r w:rsidRPr="007D42C5">
        <w:rPr>
          <w:rStyle w:val="HideTWBExt"/>
        </w:rPr>
        <w:t>&lt;/DocAmend2&gt;</w:t>
      </w:r>
    </w:p>
    <w:p w:rsidR="004763A9" w:rsidRPr="007D42C5" w:rsidRDefault="007D42C5" w:rsidP="004763A9">
      <w:r w:rsidRPr="007D42C5">
        <w:rPr>
          <w:rStyle w:val="HideTWBExt"/>
        </w:rPr>
        <w:t>&lt;Article2&gt;</w:t>
      </w:r>
      <w:r w:rsidRPr="007D42C5">
        <w:t xml:space="preserve">Artikel 22r – </w:t>
      </w:r>
      <w:r w:rsidRPr="007D42C5">
        <w:t>stk. 3 – litra c</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c)</w:t>
            </w:r>
            <w:r w:rsidRPr="007D42C5">
              <w:tab/>
            </w:r>
            <w:r w:rsidRPr="007D42C5">
              <w:rPr>
                <w:b/>
                <w:i/>
              </w:rPr>
              <w:t>visumnummer</w:t>
            </w:r>
            <w:r w:rsidRPr="007D42C5">
              <w:t xml:space="preserve"> eller nummeret på visummet til længerevarende ophold eller opholdstilladelsen og visummets udløbsdato, visummet til længerevarende ophold eller opholdstilladelsen, alt efter hvad der er relevant"</w:t>
            </w:r>
          </w:p>
        </w:tc>
        <w:tc>
          <w:tcPr>
            <w:tcW w:w="4876" w:type="dxa"/>
          </w:tcPr>
          <w:p w:rsidR="004763A9" w:rsidRPr="007D42C5" w:rsidRDefault="007D42C5" w:rsidP="00A72A8C">
            <w:pPr>
              <w:pStyle w:val="Normal6"/>
              <w:rPr>
                <w:szCs w:val="24"/>
              </w:rPr>
            </w:pPr>
            <w:r w:rsidRPr="007D42C5">
              <w:t>c)</w:t>
            </w:r>
            <w:r w:rsidRPr="007D42C5">
              <w:tab/>
            </w:r>
            <w:r w:rsidRPr="007D42C5">
              <w:rPr>
                <w:b/>
                <w:i/>
              </w:rPr>
              <w:t>det digitale visums nummer</w:t>
            </w:r>
            <w:r w:rsidRPr="007D42C5">
              <w:t xml:space="preserve"> eller nummeret på visummet ti</w:t>
            </w:r>
            <w:r w:rsidRPr="007D42C5">
              <w:t>l længerevarende ophold eller opholdstilladelsen og visummets udløbsdato, visummet til længerevarende ophold eller opholdstilladelsen, alt efter hvad der er relevant"</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45</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8 – stk. 1 – nr. 1</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(EU) nr. 2017/2226</w:t>
      </w:r>
      <w:r w:rsidRPr="007D42C5">
        <w:rPr>
          <w:rStyle w:val="HideTWBExt"/>
        </w:rPr>
        <w:t>&lt;/DocAmend2&gt;</w:t>
      </w:r>
    </w:p>
    <w:p w:rsidR="004763A9" w:rsidRPr="007D42C5" w:rsidRDefault="007D42C5" w:rsidP="004763A9">
      <w:r w:rsidRPr="007D42C5">
        <w:rPr>
          <w:rStyle w:val="HideTWBExt"/>
        </w:rPr>
        <w:t>&lt;Article2&gt;</w:t>
      </w:r>
      <w:r w:rsidRPr="007D42C5">
        <w:t>Artikel 16 – stk. 2 – litra d</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d)</w:t>
            </w:r>
            <w:r w:rsidRPr="007D42C5">
              <w:tab/>
              <w:t>i givet fald numme</w:t>
            </w:r>
            <w:r w:rsidRPr="007D42C5">
              <w:t xml:space="preserve">ret på et visum til kortvarigt ophold, herunder koden på tre bogstaver for den udstedende medlemsstat, typen af visum til kortvarigt ophold, slutdatoen for opholdets maksimale varighed som tilladt ifølge visummet til kortvarigt ophold, som skal ajourføres </w:t>
            </w:r>
            <w:r w:rsidRPr="007D42C5">
              <w:t>ved hver indrejse, og udløbsdatoen for visummet til kortvarigt ophold</w:t>
            </w:r>
          </w:p>
        </w:tc>
        <w:tc>
          <w:tcPr>
            <w:tcW w:w="4876" w:type="dxa"/>
          </w:tcPr>
          <w:p w:rsidR="004763A9" w:rsidRPr="007D42C5" w:rsidRDefault="007D42C5" w:rsidP="00A72A8C">
            <w:pPr>
              <w:pStyle w:val="Normal6"/>
              <w:rPr>
                <w:szCs w:val="24"/>
              </w:rPr>
            </w:pPr>
            <w:r w:rsidRPr="007D42C5">
              <w:t>d)</w:t>
            </w:r>
            <w:r w:rsidRPr="007D42C5">
              <w:tab/>
              <w:t xml:space="preserve">i givet fald nummeret på et </w:t>
            </w:r>
            <w:r w:rsidRPr="007D42C5">
              <w:rPr>
                <w:b/>
                <w:i/>
              </w:rPr>
              <w:t xml:space="preserve">digitalt </w:t>
            </w:r>
            <w:r w:rsidRPr="007D42C5">
              <w:t xml:space="preserve">visum til kortvarigt ophold, herunder koden på tre bogstaver for den udstedende medlemsstat, typen af visum til kortvarigt ophold, slutdatoen for </w:t>
            </w:r>
            <w:r w:rsidRPr="007D42C5">
              <w:t>opholdets maksimale varighed som tilladt ifølge visummet til kortvarigt ophold, som skal ajourføres ved hver indrejse, og udløbsdatoen for visummet til kortvarigt ophold</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46</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8 – stk. 1 – nr. 2 – litra a</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(EU) nr. 2017/2226</w:t>
      </w:r>
      <w:r w:rsidRPr="007D42C5">
        <w:rPr>
          <w:rStyle w:val="HideTWBExt"/>
        </w:rPr>
        <w:t>&lt;/DocAmend2&gt;</w:t>
      </w:r>
    </w:p>
    <w:p w:rsidR="004763A9" w:rsidRPr="007D42C5" w:rsidRDefault="007D42C5" w:rsidP="004763A9">
      <w:r w:rsidRPr="007D42C5">
        <w:rPr>
          <w:rStyle w:val="HideTWBExt"/>
        </w:rPr>
        <w:t>&lt;Article2&gt;</w:t>
      </w:r>
      <w:r w:rsidRPr="007D42C5">
        <w:t>Artikel 19 – stk. 1 – litra d</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d)</w:t>
            </w:r>
            <w:r w:rsidRPr="007D42C5">
              <w:tab/>
            </w:r>
            <w:r w:rsidRPr="007D42C5">
              <w:t xml:space="preserve">i givet fald det nye </w:t>
            </w:r>
            <w:r w:rsidRPr="007D42C5">
              <w:rPr>
                <w:b/>
                <w:i/>
              </w:rPr>
              <w:t>visumnummer</w:t>
            </w:r>
            <w:r w:rsidRPr="007D42C5">
              <w:t>, herunder koden på tre bogstaver for det udstedende land</w:t>
            </w:r>
          </w:p>
        </w:tc>
        <w:tc>
          <w:tcPr>
            <w:tcW w:w="4876" w:type="dxa"/>
          </w:tcPr>
          <w:p w:rsidR="004763A9" w:rsidRPr="007D42C5" w:rsidRDefault="007D42C5" w:rsidP="00A72A8C">
            <w:pPr>
              <w:pStyle w:val="Normal6"/>
              <w:rPr>
                <w:szCs w:val="24"/>
              </w:rPr>
            </w:pPr>
            <w:r w:rsidRPr="007D42C5">
              <w:t>d)</w:t>
            </w:r>
            <w:r w:rsidRPr="007D42C5">
              <w:tab/>
              <w:t xml:space="preserve">i givet fald det nye </w:t>
            </w:r>
            <w:r w:rsidRPr="007D42C5">
              <w:rPr>
                <w:b/>
                <w:i/>
              </w:rPr>
              <w:t>digitale visums nummer</w:t>
            </w:r>
            <w:r w:rsidRPr="007D42C5">
              <w:t>, herunder koden på tre bogstaver for det udstedende land</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w:t>
      </w:r>
      <w:r w:rsidRPr="007D42C5">
        <w:t>ag</w:t>
      </w:r>
      <w:r w:rsidRPr="007D42C5">
        <w:tab/>
      </w:r>
      <w:r w:rsidRPr="007D42C5">
        <w:tab/>
      </w:r>
      <w:r w:rsidRPr="007D42C5">
        <w:rPr>
          <w:rStyle w:val="HideTWBExt"/>
          <w:b w:val="0"/>
        </w:rPr>
        <w:t>&lt;NumAm&gt;</w:t>
      </w:r>
      <w:r w:rsidRPr="007D42C5">
        <w:t>47</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8 – stk. 1 – nr. 3</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(EU) nr. 2017/2226</w:t>
      </w:r>
      <w:r w:rsidRPr="007D42C5">
        <w:rPr>
          <w:rStyle w:val="HideTWBExt"/>
        </w:rPr>
        <w:t>&lt;/DocAmend2&gt;</w:t>
      </w:r>
    </w:p>
    <w:p w:rsidR="004763A9" w:rsidRPr="007D42C5" w:rsidRDefault="007D42C5" w:rsidP="004763A9">
      <w:r w:rsidRPr="007D42C5">
        <w:rPr>
          <w:rStyle w:val="HideTWBExt"/>
        </w:rPr>
        <w:t>&lt;Article2&gt;</w:t>
      </w:r>
      <w:r w:rsidRPr="007D42C5">
        <w:t>Artikel 24 – stk. 2 – litra b</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b)</w:t>
            </w:r>
            <w:r w:rsidRPr="007D42C5">
              <w:tab/>
              <w:t xml:space="preserve">nummeret på </w:t>
            </w:r>
            <w:r w:rsidRPr="007D42C5">
              <w:rPr>
                <w:b/>
                <w:i/>
              </w:rPr>
              <w:t>visummet</w:t>
            </w:r>
            <w:r w:rsidRPr="007D42C5">
              <w:t xml:space="preserve"> til kortvarigt ophold, herunder koden bestående af tre bogstaver for udstedelsesmedlemsstaten, jf. artikel 16, stk. 2, litra d)</w:t>
            </w:r>
          </w:p>
        </w:tc>
        <w:tc>
          <w:tcPr>
            <w:tcW w:w="4876" w:type="dxa"/>
          </w:tcPr>
          <w:p w:rsidR="004763A9" w:rsidRPr="007D42C5" w:rsidRDefault="007D42C5" w:rsidP="00A72A8C">
            <w:pPr>
              <w:pStyle w:val="Normal6"/>
              <w:rPr>
                <w:szCs w:val="24"/>
              </w:rPr>
            </w:pPr>
            <w:r w:rsidRPr="007D42C5">
              <w:t>b)</w:t>
            </w:r>
            <w:r w:rsidRPr="007D42C5">
              <w:tab/>
              <w:t xml:space="preserve">nummeret på </w:t>
            </w:r>
            <w:r w:rsidRPr="007D42C5">
              <w:rPr>
                <w:b/>
                <w:i/>
              </w:rPr>
              <w:t>det digitale visum</w:t>
            </w:r>
            <w:r w:rsidRPr="007D42C5">
              <w:t xml:space="preserve"> til kortvarigt ophold, herunder koden bestående af tre bogstaver for </w:t>
            </w:r>
            <w:r w:rsidRPr="007D42C5">
              <w:t>udstedelsesmedlemsstaten, jf. artikel 16, stk. 2, litra d)</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48</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8 – stk. 1 – nr. 4</w:t>
      </w:r>
      <w:r w:rsidRPr="007D42C5">
        <w:rPr>
          <w:rStyle w:val="HideTWBExt"/>
          <w:b w:val="0"/>
        </w:rPr>
        <w:t>&lt;/Article&gt;</w:t>
      </w:r>
    </w:p>
    <w:p w:rsidR="004763A9" w:rsidRPr="007D42C5" w:rsidRDefault="007D42C5" w:rsidP="004763A9">
      <w:pPr>
        <w:keepNext/>
      </w:pPr>
      <w:r w:rsidRPr="007D42C5">
        <w:rPr>
          <w:rStyle w:val="HideTWBExt"/>
        </w:rPr>
        <w:t>&lt;DocAmend2&gt;</w:t>
      </w:r>
      <w:r w:rsidRPr="007D42C5">
        <w:t>Forordning (</w:t>
      </w:r>
      <w:r w:rsidRPr="007D42C5">
        <w:t>EU) nr. 2017/2226</w:t>
      </w:r>
      <w:r w:rsidRPr="007D42C5">
        <w:rPr>
          <w:rStyle w:val="HideTWBExt"/>
        </w:rPr>
        <w:t>&lt;/DocAmend2&gt;</w:t>
      </w:r>
    </w:p>
    <w:p w:rsidR="004763A9" w:rsidRPr="007D42C5" w:rsidRDefault="007D42C5" w:rsidP="004763A9">
      <w:r w:rsidRPr="007D42C5">
        <w:rPr>
          <w:rStyle w:val="HideTWBExt"/>
        </w:rPr>
        <w:t>&lt;Article2&gt;</w:t>
      </w:r>
      <w:r w:rsidRPr="007D42C5">
        <w:t>Artikel 32 – stk. 5 – litra c</w:t>
      </w:r>
      <w:r w:rsidRPr="007D42C5">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c)</w:t>
            </w:r>
            <w:r w:rsidRPr="007D42C5">
              <w:tab/>
            </w:r>
            <w:r w:rsidRPr="007D42C5">
              <w:rPr>
                <w:b/>
                <w:i/>
              </w:rPr>
              <w:t>visumnummeret</w:t>
            </w:r>
            <w:r w:rsidRPr="007D42C5">
              <w:t xml:space="preserve"> og visummets udløbsdato.</w:t>
            </w:r>
          </w:p>
        </w:tc>
        <w:tc>
          <w:tcPr>
            <w:tcW w:w="4876" w:type="dxa"/>
          </w:tcPr>
          <w:p w:rsidR="004763A9" w:rsidRPr="007D42C5" w:rsidRDefault="007D42C5" w:rsidP="00A72A8C">
            <w:pPr>
              <w:pStyle w:val="Normal6"/>
              <w:rPr>
                <w:szCs w:val="24"/>
              </w:rPr>
            </w:pPr>
            <w:r w:rsidRPr="007D42C5">
              <w:t>c)</w:t>
            </w:r>
            <w:r w:rsidRPr="007D42C5">
              <w:tab/>
            </w:r>
            <w:r w:rsidRPr="007D42C5">
              <w:rPr>
                <w:b/>
                <w:i/>
              </w:rPr>
              <w:t>det digitale visums nummer</w:t>
            </w:r>
            <w:r w:rsidRPr="007D42C5">
              <w:t xml:space="preserve"> og visummets udløbsdato.</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49</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9 – stk. 1</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1.</w:t>
            </w:r>
            <w:r w:rsidRPr="007D42C5">
              <w:tab/>
            </w:r>
            <w:r w:rsidRPr="007D42C5">
              <w:rPr>
                <w:b/>
                <w:i/>
              </w:rPr>
              <w:t>Fem</w:t>
            </w:r>
            <w:r w:rsidRPr="007D42C5">
              <w:t xml:space="preserve"> år efter datoen for idriftsættelsen, jf. denne forordnings artikel 12, evaluerer Kommissionen driften af EU-ansøgningsplatformen. Evalueringen skal omfatte en vurdering af de opnåede resultater set i forhold til målene og af gennemførelsen af bestemmelser</w:t>
            </w:r>
            <w:r w:rsidRPr="007D42C5">
              <w:t>ne i forordning (EF) nr. 810/2009 og (EF) nr. 767/2008 som ændret ved nærværende forordning.</w:t>
            </w:r>
          </w:p>
        </w:tc>
        <w:tc>
          <w:tcPr>
            <w:tcW w:w="4876" w:type="dxa"/>
          </w:tcPr>
          <w:p w:rsidR="004763A9" w:rsidRPr="007D42C5" w:rsidRDefault="007D42C5" w:rsidP="00A72A8C">
            <w:pPr>
              <w:pStyle w:val="Normal6"/>
              <w:rPr>
                <w:szCs w:val="24"/>
              </w:rPr>
            </w:pPr>
            <w:r w:rsidRPr="007D42C5">
              <w:t>1.</w:t>
            </w:r>
            <w:r w:rsidRPr="007D42C5">
              <w:tab/>
            </w:r>
            <w:r w:rsidRPr="007D42C5">
              <w:rPr>
                <w:b/>
                <w:i/>
              </w:rPr>
              <w:t>Tre</w:t>
            </w:r>
            <w:r w:rsidRPr="007D42C5">
              <w:t xml:space="preserve"> år efter datoen for idriftsættelsen, jf. denne forordnings artikel 12, evaluerer Kommissionen driften af EU-ansøgningsplatformen. Evalueringen skal omfatte </w:t>
            </w:r>
            <w:r w:rsidRPr="007D42C5">
              <w:t>en vurdering af de opnåede resultater set i forhold til målene og af gennemførelsen af bestemmelserne i forordning (EF) nr. 810/2009 og (EF) nr. 767/2008 som ændret ved nærværende forordning.</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pPr>
        <w:pStyle w:val="JustificationTitle"/>
        <w:rPr>
          <w:noProof w:val="0"/>
        </w:rPr>
      </w:pPr>
      <w:r w:rsidRPr="007D42C5">
        <w:rPr>
          <w:rStyle w:val="HideTWBExt"/>
          <w:i w:val="0"/>
        </w:rPr>
        <w:t>&lt;TitreJust&gt;</w:t>
      </w:r>
      <w:r w:rsidRPr="007D42C5">
        <w:t>Begrundelse</w:t>
      </w:r>
      <w:r w:rsidRPr="007D42C5">
        <w:rPr>
          <w:rStyle w:val="HideTWBExt"/>
          <w:i w:val="0"/>
        </w:rPr>
        <w:t>&lt;/TitreJu</w:t>
      </w:r>
      <w:r w:rsidRPr="007D42C5">
        <w:rPr>
          <w:rStyle w:val="HideTWBExt"/>
          <w:i w:val="0"/>
        </w:rPr>
        <w:t>st&gt;</w:t>
      </w:r>
    </w:p>
    <w:p w:rsidR="004763A9" w:rsidRPr="007D42C5" w:rsidRDefault="007D42C5" w:rsidP="004763A9">
      <w:pPr>
        <w:pStyle w:val="Normal12Italic"/>
        <w:rPr>
          <w:noProof w:val="0"/>
        </w:rPr>
      </w:pPr>
      <w:r w:rsidRPr="007D42C5">
        <w:t xml:space="preserve">Ordføreren mener, at fem år er en lang periode til at evaluere et værktøj, der vil tage mindst fire år at udvikle. Tre år efter datoen for idriftsættelsen er mere hensigtsmæssig og i højere grad i overensstemmelse med lignende bestemmelser i andre </w:t>
      </w:r>
      <w:r w:rsidRPr="007D42C5">
        <w:t>retsakter såsom VIS, EES, ETIAS og SIS, som forventes evalueret efter tre års drift.</w:t>
      </w:r>
    </w:p>
    <w:p w:rsidR="004763A9" w:rsidRPr="007D42C5" w:rsidRDefault="007D42C5" w:rsidP="004763A9">
      <w:r w:rsidRPr="007D42C5">
        <w:rPr>
          <w:rStyle w:val="HideTWBExt"/>
        </w:rPr>
        <w:t>&lt;/Amend&gt;</w:t>
      </w:r>
    </w:p>
    <w:p w:rsidR="004763A9" w:rsidRPr="007D42C5" w:rsidRDefault="007D42C5" w:rsidP="004763A9">
      <w:pPr>
        <w:pStyle w:val="AMNumberTabs0"/>
        <w:keepNext/>
      </w:pPr>
      <w:r w:rsidRPr="007D42C5">
        <w:rPr>
          <w:rStyle w:val="HideTWBExt"/>
          <w:b w:val="0"/>
        </w:rPr>
        <w:t>&lt;Amend&gt;</w:t>
      </w:r>
      <w:r w:rsidRPr="007D42C5">
        <w:t>Ændringsforslag</w:t>
      </w:r>
      <w:r w:rsidRPr="007D42C5">
        <w:tab/>
      </w:r>
      <w:r w:rsidRPr="007D42C5">
        <w:tab/>
      </w:r>
      <w:r w:rsidRPr="007D42C5">
        <w:rPr>
          <w:rStyle w:val="HideTWBExt"/>
          <w:b w:val="0"/>
        </w:rPr>
        <w:t>&lt;NumAm&gt;</w:t>
      </w:r>
      <w:r w:rsidRPr="007D42C5">
        <w:t>50</w:t>
      </w:r>
      <w:r w:rsidRPr="007D42C5">
        <w:rPr>
          <w:rStyle w:val="HideTWBExt"/>
          <w:b w:val="0"/>
        </w:rPr>
        <w:t>&lt;/NumAm&gt;</w:t>
      </w:r>
    </w:p>
    <w:p w:rsidR="004763A9" w:rsidRPr="007D42C5" w:rsidRDefault="007D42C5" w:rsidP="004763A9">
      <w:pPr>
        <w:pStyle w:val="NormalBold12b"/>
        <w:keepNext/>
      </w:pPr>
      <w:r w:rsidRPr="007D42C5">
        <w:rPr>
          <w:rStyle w:val="HideTWBExt"/>
          <w:b w:val="0"/>
        </w:rPr>
        <w:t>&lt;DocAmend&gt;</w:t>
      </w:r>
      <w:r w:rsidRPr="007D42C5">
        <w:t>Forslag til forordning</w:t>
      </w:r>
      <w:r w:rsidRPr="007D42C5">
        <w:rPr>
          <w:rStyle w:val="HideTWBExt"/>
          <w:b w:val="0"/>
        </w:rPr>
        <w:t>&lt;/DocAmend&gt;</w:t>
      </w:r>
    </w:p>
    <w:p w:rsidR="004763A9" w:rsidRPr="007D42C5" w:rsidRDefault="007D42C5" w:rsidP="004763A9">
      <w:pPr>
        <w:pStyle w:val="NormalBold"/>
      </w:pPr>
      <w:r w:rsidRPr="007D42C5">
        <w:rPr>
          <w:rStyle w:val="HideTWBExt"/>
          <w:b w:val="0"/>
        </w:rPr>
        <w:t>&lt;Article&gt;</w:t>
      </w:r>
      <w:r w:rsidRPr="007D42C5">
        <w:t>Artikel 10 – stk. 3 – afsnit 3</w:t>
      </w:r>
      <w:r w:rsidRPr="007D42C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1139" w:rsidRPr="007D42C5" w:rsidTr="00A72A8C">
        <w:trPr>
          <w:jc w:val="center"/>
        </w:trPr>
        <w:tc>
          <w:tcPr>
            <w:tcW w:w="9752" w:type="dxa"/>
            <w:gridSpan w:val="2"/>
          </w:tcPr>
          <w:p w:rsidR="004763A9" w:rsidRPr="007D42C5" w:rsidRDefault="004763A9" w:rsidP="00A72A8C">
            <w:pPr>
              <w:keepNext/>
            </w:pPr>
          </w:p>
        </w:tc>
      </w:tr>
      <w:tr w:rsidR="009D1139" w:rsidRPr="007D42C5" w:rsidTr="00A72A8C">
        <w:trPr>
          <w:jc w:val="center"/>
        </w:trPr>
        <w:tc>
          <w:tcPr>
            <w:tcW w:w="4876" w:type="dxa"/>
          </w:tcPr>
          <w:p w:rsidR="004763A9" w:rsidRPr="007D42C5" w:rsidRDefault="007D42C5" w:rsidP="00A72A8C">
            <w:pPr>
              <w:pStyle w:val="ColumnHeading"/>
              <w:keepNext/>
            </w:pPr>
            <w:r w:rsidRPr="007D42C5">
              <w:t>Kommissionens forslag</w:t>
            </w:r>
          </w:p>
        </w:tc>
        <w:tc>
          <w:tcPr>
            <w:tcW w:w="4876" w:type="dxa"/>
          </w:tcPr>
          <w:p w:rsidR="004763A9" w:rsidRPr="007D42C5" w:rsidRDefault="007D42C5" w:rsidP="00A72A8C">
            <w:pPr>
              <w:pStyle w:val="ColumnHeading"/>
              <w:keepNext/>
            </w:pPr>
            <w:r w:rsidRPr="007D42C5">
              <w:t>Ændringsforslag</w:t>
            </w:r>
          </w:p>
        </w:tc>
      </w:tr>
      <w:tr w:rsidR="009D1139" w:rsidRPr="007D42C5" w:rsidTr="00A72A8C">
        <w:trPr>
          <w:jc w:val="center"/>
        </w:trPr>
        <w:tc>
          <w:tcPr>
            <w:tcW w:w="4876" w:type="dxa"/>
          </w:tcPr>
          <w:p w:rsidR="004763A9" w:rsidRPr="007D42C5" w:rsidRDefault="007D42C5" w:rsidP="00A72A8C">
            <w:pPr>
              <w:pStyle w:val="Normal6"/>
            </w:pPr>
            <w:r w:rsidRPr="007D42C5">
              <w:t xml:space="preserve">I overgangsperioden skal visumindehavere kunne kontrollere digitale visa ved hjælp af </w:t>
            </w:r>
            <w:r w:rsidRPr="007D42C5">
              <w:rPr>
                <w:b/>
                <w:i/>
              </w:rPr>
              <w:t>onlinevisumansøgningsplatformens</w:t>
            </w:r>
            <w:r w:rsidRPr="007D42C5">
              <w:t xml:space="preserve"> webtjeneste, jf. artikel 7g i forordning (EF) nr. 767/2008, hvis den medlemsstat, der behandler visumansøgningen, har be</w:t>
            </w:r>
            <w:r w:rsidRPr="007D42C5">
              <w:t>sluttet ikke at benytte EU-ansøgningsplatformen.</w:t>
            </w:r>
          </w:p>
        </w:tc>
        <w:tc>
          <w:tcPr>
            <w:tcW w:w="4876" w:type="dxa"/>
          </w:tcPr>
          <w:p w:rsidR="004763A9" w:rsidRPr="007D42C5" w:rsidRDefault="007D42C5" w:rsidP="00A72A8C">
            <w:pPr>
              <w:pStyle w:val="Normal6"/>
              <w:rPr>
                <w:szCs w:val="24"/>
              </w:rPr>
            </w:pPr>
            <w:r w:rsidRPr="007D42C5">
              <w:t xml:space="preserve">I overgangsperioden skal visumindehavere kunne kontrollere </w:t>
            </w:r>
            <w:r w:rsidRPr="007D42C5">
              <w:rPr>
                <w:b/>
                <w:i/>
              </w:rPr>
              <w:t xml:space="preserve">gyldigheden af </w:t>
            </w:r>
            <w:r w:rsidRPr="007D42C5">
              <w:t xml:space="preserve">digitale visa ved hjælp af </w:t>
            </w:r>
            <w:r w:rsidRPr="007D42C5">
              <w:rPr>
                <w:b/>
                <w:i/>
              </w:rPr>
              <w:t>EU-onlinevisumansøgningsplatformens</w:t>
            </w:r>
            <w:r w:rsidRPr="007D42C5">
              <w:t xml:space="preserve"> webtjeneste, jf. artikel 7g i forordning (EF) nr. 767/2008, hvis den m</w:t>
            </w:r>
            <w:r w:rsidRPr="007D42C5">
              <w:t>edlemsstat, der behandler visumansøgningen, har besluttet ikke at benytte EU-ansøgningsplatformen.</w:t>
            </w:r>
          </w:p>
        </w:tc>
      </w:tr>
    </w:tbl>
    <w:p w:rsidR="004763A9" w:rsidRPr="007D42C5" w:rsidRDefault="007D42C5" w:rsidP="004763A9">
      <w:pPr>
        <w:pStyle w:val="Olang"/>
        <w:rPr>
          <w:noProof w:val="0"/>
        </w:rPr>
      </w:pPr>
      <w:r w:rsidRPr="007D42C5">
        <w:rPr>
          <w:noProof w:val="0"/>
        </w:rPr>
        <w:t xml:space="preserve">Or. </w:t>
      </w:r>
      <w:r w:rsidRPr="007D42C5">
        <w:rPr>
          <w:rStyle w:val="HideTWBExt"/>
          <w:noProof w:val="0"/>
        </w:rPr>
        <w:t>&lt;Original&gt;</w:t>
      </w:r>
      <w:r w:rsidRPr="007D42C5">
        <w:rPr>
          <w:rStyle w:val="HideTWBInt"/>
          <w:noProof w:val="0"/>
        </w:rPr>
        <w:t>{EN}</w:t>
      </w:r>
      <w:r w:rsidRPr="007D42C5">
        <w:rPr>
          <w:noProof w:val="0"/>
        </w:rPr>
        <w:t>en</w:t>
      </w:r>
      <w:r w:rsidRPr="007D42C5">
        <w:rPr>
          <w:rStyle w:val="HideTWBExt"/>
          <w:noProof w:val="0"/>
        </w:rPr>
        <w:t>&lt;/Original&gt;</w:t>
      </w:r>
    </w:p>
    <w:p w:rsidR="004763A9" w:rsidRPr="007D42C5" w:rsidRDefault="007D42C5" w:rsidP="004763A9">
      <w:pPr>
        <w:sectPr w:rsidR="004763A9" w:rsidRPr="007D42C5" w:rsidSect="0047087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r w:rsidRPr="007D42C5">
        <w:rPr>
          <w:rStyle w:val="HideTWBExt"/>
        </w:rPr>
        <w:t>&lt;/Amend&gt;&lt;/RepeatBlock-Amend&gt;</w:t>
      </w:r>
    </w:p>
    <w:p w:rsidR="004763A9" w:rsidRPr="007D42C5" w:rsidRDefault="007D42C5" w:rsidP="004763A9">
      <w:pPr>
        <w:pStyle w:val="PageHeading"/>
      </w:pPr>
      <w:bookmarkStart w:id="1" w:name="_Toc117168021"/>
      <w:bookmarkStart w:id="2" w:name="_Toc118726776"/>
      <w:r w:rsidRPr="007D42C5">
        <w:t>BEGRUNDELSE</w:t>
      </w:r>
      <w:bookmarkEnd w:id="1"/>
      <w:bookmarkEnd w:id="2"/>
    </w:p>
    <w:p w:rsidR="004763A9" w:rsidRPr="007D42C5" w:rsidRDefault="007D42C5" w:rsidP="004763A9">
      <w:pPr>
        <w:pStyle w:val="Body"/>
        <w:spacing w:after="240"/>
      </w:pPr>
      <w:r w:rsidRPr="007D42C5">
        <w:t>Den 27. april 2022 forelagde Kommissionen sit forslag om digitalisering af visump</w:t>
      </w:r>
      <w:r w:rsidRPr="007D42C5">
        <w:t>roceduren. Forslaget har til formål at indføre muligheden for at indgive visumansøgninger online via en digital EU-visumansøgningsplatform og erstatte visummærkaten med et digitalt visum. Det vil strømline og harmonisere procedurerne i forb</w:t>
      </w:r>
      <w:bookmarkStart w:id="3" w:name="_GoBack"/>
      <w:bookmarkEnd w:id="3"/>
      <w:r w:rsidRPr="007D42C5">
        <w:t xml:space="preserve">indelse med den </w:t>
      </w:r>
      <w:r w:rsidRPr="007D42C5">
        <w:t>fælles visumpolitik og tilpasse rejser, indrejsekrav og grænsekontrollen inden for Schengenområdet gennem digitalisering og interoperabilitetsrammen ved grænserne.</w:t>
      </w:r>
    </w:p>
    <w:p w:rsidR="004763A9" w:rsidRPr="007D42C5" w:rsidRDefault="007D42C5" w:rsidP="004763A9">
      <w:pPr>
        <w:pStyle w:val="Body"/>
        <w:spacing w:after="240"/>
      </w:pPr>
      <w:r w:rsidRPr="007D42C5">
        <w:t>Retsgrundlaget for lovgivningsinitiativet er artikel 77, stk. 2, i traktaten om Den Europæis</w:t>
      </w:r>
      <w:r w:rsidRPr="007D42C5">
        <w:t>ke Unions funktionsmåde (TEUF). Ved artikel 77, stk. 2, litra a), i TEUF gives Unionen beføjelse til at vedtage foranstaltninger om "den fælles politik for visa og andre tilladelser til kortvarigt ophold". Ved artikel 77, stk. 2, litra b), i TEUF gives Uni</w:t>
      </w:r>
      <w:r w:rsidRPr="007D42C5">
        <w:t>onen beføjelse til at vedtage foranstaltninger vedrørende "personkontrol ved passage af de ydre grænser". Ved artikel 79, stk. 2, litra a), i TEUF gives Unionen beføjelse til at vedtage foranstaltninger vedrørende "betingelserne for indrejse og ophold samt</w:t>
      </w:r>
      <w:r w:rsidRPr="007D42C5">
        <w:t xml:space="preserve"> standarder for medlemsstaternes udstedelse af langtidsvisa og opholdstilladelser". Da retsaktens formål er en digitalisering af både visa til kortvarigt ophold og visa til længerevarende ophold (kun det digitale visumformat for sidstnævntes vedkommende), </w:t>
      </w:r>
      <w:r w:rsidRPr="007D42C5">
        <w:t>er der behov for et fælles retsgrundlag bestående af artikel 77, stk. 2, og artikel 79, stk. 2, i TEUF.</w:t>
      </w:r>
    </w:p>
    <w:p w:rsidR="004763A9" w:rsidRPr="007D42C5" w:rsidRDefault="007D42C5" w:rsidP="004763A9">
      <w:pPr>
        <w:pStyle w:val="Body"/>
        <w:spacing w:after="240"/>
      </w:pPr>
      <w:r w:rsidRPr="007D42C5">
        <w:t>Siden visumkodeksen</w:t>
      </w:r>
      <w:r w:rsidRPr="007D42C5">
        <w:rPr>
          <w:vertAlign w:val="superscript"/>
        </w:rPr>
        <w:footnoteReference w:id="1"/>
      </w:r>
      <w:r w:rsidRPr="007D42C5">
        <w:t xml:space="preserve"> trådte i kraft i 2010, og visuminformationssystemet (VIS)</w:t>
      </w:r>
      <w:r w:rsidRPr="007D42C5">
        <w:rPr>
          <w:vertAlign w:val="superscript"/>
        </w:rPr>
        <w:footnoteReference w:id="2"/>
      </w:r>
      <w:r w:rsidRPr="007D42C5">
        <w:t xml:space="preserve"> blev sat i drift i 2011, har de forhold, hvorunder visumpolitikken genne</w:t>
      </w:r>
      <w:r w:rsidRPr="007D42C5">
        <w:t xml:space="preserve">mføres, ændret sig betydeligt. På den ene side er migrations- og sikkerhedsudfordringerne taget til i de seneste år, og på den anden side giver en væsentlig teknologisk udvikling nye muligheder for at gøre proceduren for at ansøge om et Schengenvisum mere </w:t>
      </w:r>
      <w:r w:rsidRPr="007D42C5">
        <w:t>gnidningsløs for både rejsende og konsulater.</w:t>
      </w:r>
    </w:p>
    <w:p w:rsidR="004763A9" w:rsidRPr="007D42C5" w:rsidRDefault="007D42C5" w:rsidP="004763A9">
      <w:pPr>
        <w:pStyle w:val="Body"/>
        <w:spacing w:after="240"/>
      </w:pPr>
      <w:r w:rsidRPr="007D42C5">
        <w:t>Selv om visumbehandlingen allerede er delvist digitaliseret, og ansøgninger og afgørelser registreres i VIS, er to vigtige trin stadig papirbaserede: visumansøgningsproceduren og visummærkaten.</w:t>
      </w:r>
    </w:p>
    <w:p w:rsidR="004763A9" w:rsidRPr="007D42C5" w:rsidRDefault="007D42C5" w:rsidP="004763A9">
      <w:pPr>
        <w:pStyle w:val="Body"/>
        <w:spacing w:after="240"/>
      </w:pPr>
      <w:r w:rsidRPr="007D42C5">
        <w:t xml:space="preserve">I forbindelse </w:t>
      </w:r>
      <w:r w:rsidRPr="007D42C5">
        <w:t>med revisionen af EU-visumkodeksen i 2019 gav Europa-Parlamentet og Rådet udtrykkeligt udtryk for et mål om, at der burde udvikles en fælles løsning for at gøre det muligt at indgive Schengenvisumansøgninger online og derved drage fuld nytte af den seneste</w:t>
      </w:r>
      <w:r w:rsidRPr="007D42C5">
        <w:t xml:space="preserve"> udvikling på det retlige og teknologiske område</w:t>
      </w:r>
      <w:r w:rsidRPr="007D42C5">
        <w:rPr>
          <w:rFonts w:eastAsia="Times New Roman" w:cs="Times New Roman"/>
          <w:vertAlign w:val="superscript"/>
        </w:rPr>
        <w:footnoteReference w:id="3"/>
      </w:r>
      <w:r w:rsidRPr="007D42C5">
        <w:t>. Ved at gøre det muligt for visumansøgere at underskrive ansøgningsskemaet elektronisk er der med den ændrede visumkodeks</w:t>
      </w:r>
      <w:r w:rsidRPr="007D42C5">
        <w:rPr>
          <w:rFonts w:eastAsia="Times New Roman" w:cs="Times New Roman"/>
          <w:vertAlign w:val="superscript"/>
        </w:rPr>
        <w:footnoteReference w:id="4"/>
      </w:r>
      <w:r w:rsidRPr="007D42C5">
        <w:t xml:space="preserve"> skabt mulighed for at indgive og behandle visumansøgninger digitalt.</w:t>
      </w:r>
    </w:p>
    <w:p w:rsidR="004763A9" w:rsidRPr="007D42C5" w:rsidRDefault="007D42C5" w:rsidP="004763A9">
      <w:pPr>
        <w:pStyle w:val="Body"/>
        <w:spacing w:after="240"/>
      </w:pPr>
      <w:r w:rsidRPr="007D42C5">
        <w:t>Digitalisering</w:t>
      </w:r>
      <w:r w:rsidRPr="007D42C5">
        <w:t>en af visumprocedurerne er en mulighed for at forbedre visumansøgningsprocessen, mindske omkostningerne og byrden for de involverede parter og samtidig forbedre sikkerheden i Schengenområdet. Desuden er digitaliseringen af visumproceduren i overensstemmels</w:t>
      </w:r>
      <w:r w:rsidRPr="007D42C5">
        <w:t>e med den seneste lovgivningsmæssige udvikling vedrørende IT-landskabet for grænseforvaltning, som bidrager til øget sikkerhed i Schengenområdet.</w:t>
      </w:r>
    </w:p>
    <w:p w:rsidR="004763A9" w:rsidRPr="007D42C5" w:rsidRDefault="007D42C5" w:rsidP="004763A9">
      <w:pPr>
        <w:pStyle w:val="Body"/>
        <w:spacing w:after="240"/>
      </w:pPr>
      <w:r w:rsidRPr="007D42C5">
        <w:t xml:space="preserve">Digitaliseringen af visumproceduren er en positiv udvikling i den nuværende situation, hvor fragmentering med </w:t>
      </w:r>
      <w:r w:rsidRPr="007D42C5">
        <w:t>hensyn til national praksis for forvaltning af visumansøgningsprocessen har en negativ indvirkning på den måde, hvorpå EU's visumpolitik fungerer, og på opfattelsen af Den Europæiske Union som en enkelt geografisk enhed.</w:t>
      </w:r>
    </w:p>
    <w:p w:rsidR="004763A9" w:rsidRPr="007D42C5" w:rsidRDefault="007D42C5" w:rsidP="004763A9">
      <w:pPr>
        <w:pStyle w:val="Body"/>
        <w:spacing w:after="240"/>
      </w:pPr>
      <w:r w:rsidRPr="007D42C5">
        <w:t>Ordføreren glæder sig over Kommissi</w:t>
      </w:r>
      <w:r w:rsidRPr="007D42C5">
        <w:t>onens forslag om digitalisering af visumproceduren, men søger dog at forbedre og styrke den yderligere. I betragtning af at det nye system vil være fuldt ud digitalt, bør forslaget styrke garantierne for personer med handicap og tage fat på spørgsmål vedrø</w:t>
      </w:r>
      <w:r w:rsidRPr="007D42C5">
        <w:t>rende digitale færdigheder og internetadgang. Ordføreren mener endvidere, at det også er vigtigt at behandle spørgsmål om tilgængelige sprog forbundet med EU-ansøgningsplatformen og proceduren. I overensstemmelse med EDPS' udtalelse foreslår ordføreren des</w:t>
      </w:r>
      <w:r w:rsidRPr="007D42C5">
        <w:t>uden at styrke eu-LISA's og de nationale myndigheders ansvar og roller i forskellige faser af databehandlingen.</w:t>
      </w:r>
    </w:p>
    <w:p w:rsidR="004763A9" w:rsidRPr="007D42C5" w:rsidRDefault="007D42C5" w:rsidP="004763A9">
      <w:pPr>
        <w:pStyle w:val="Body"/>
        <w:spacing w:after="240"/>
      </w:pPr>
      <w:r w:rsidRPr="007D42C5">
        <w:t xml:space="preserve">Med hensyn til indsamling og behandling af ansøgerens IP-adresse sætter ordføreren spørgsmålstegn ved nødvendigheden og merværdien af denne </w:t>
      </w:r>
      <w:r w:rsidRPr="007D42C5">
        <w:t>oplysning og mener endvidere, at der er behov for yderligere garantier for at sikre, at IP-adresser med en anmærkning i sig selv aldrig fører til udelukkelse af en visumansøgning, f.eks. på grund af begrænset netværksadgang på et bestemt sted eller i et be</w:t>
      </w:r>
      <w:r w:rsidRPr="007D42C5">
        <w:t>stemt område.</w:t>
      </w:r>
    </w:p>
    <w:p w:rsidR="004763A9" w:rsidRPr="007D42C5" w:rsidRDefault="007D42C5" w:rsidP="004763A9">
      <w:pPr>
        <w:pStyle w:val="Body"/>
        <w:spacing w:after="240"/>
      </w:pPr>
      <w:r w:rsidRPr="007D42C5">
        <w:t>Ordføreren mener desuden, at en moderne, brugervenlig og digital løsning, en forenklet og harmoniseret administrativ procedure for visumansøgninger og erstatningen af visummærkaten med et digitalt visum udgør en glædelig forbedring af EU's vi</w:t>
      </w:r>
      <w:r w:rsidRPr="007D42C5">
        <w:t>sumpolitik og mindsker sikkerhedsrisiciene ved de fysiske visummærkater. Derfor og under hensyntagen til den betydning, som visumliberalisering har for borgerne og for Den Europæiske Union som helhed, anbefaler ordføreren, at medlemmerne af Udvalget om Bor</w:t>
      </w:r>
      <w:r w:rsidRPr="007D42C5">
        <w:t>gernes Rettigheder og Retlige og Indre Anliggender støtter denne betænkning.</w:t>
      </w:r>
    </w:p>
    <w:p w:rsidR="004763A9" w:rsidRPr="007D42C5" w:rsidRDefault="004763A9" w:rsidP="004763A9">
      <w:pPr>
        <w:pStyle w:val="Body"/>
        <w:spacing w:after="240"/>
      </w:pPr>
    </w:p>
    <w:p w:rsidR="004763A9" w:rsidRPr="007D42C5" w:rsidRDefault="004763A9" w:rsidP="004763A9">
      <w:pPr>
        <w:pStyle w:val="Body"/>
        <w:spacing w:after="240"/>
        <w:sectPr w:rsidR="004763A9" w:rsidRPr="007D42C5" w:rsidSect="00193AEF">
          <w:footnotePr>
            <w:numRestart w:val="eachSect"/>
          </w:footnotePr>
          <w:endnotePr>
            <w:numFmt w:val="decimal"/>
          </w:endnotePr>
          <w:pgSz w:w="11906" w:h="16838" w:code="9"/>
          <w:pgMar w:top="1134" w:right="1418" w:bottom="1418" w:left="1418" w:header="1134" w:footer="567" w:gutter="0"/>
          <w:cols w:space="720"/>
          <w:noEndnote/>
          <w:docGrid w:linePitch="326"/>
        </w:sectPr>
      </w:pPr>
    </w:p>
    <w:p w:rsidR="004763A9" w:rsidRPr="007D42C5" w:rsidRDefault="007D42C5" w:rsidP="004763A9">
      <w:pPr>
        <w:pStyle w:val="PageHeading"/>
      </w:pPr>
      <w:bookmarkStart w:id="4" w:name="_Toc117168022"/>
      <w:bookmarkStart w:id="5" w:name="_Toc118726777"/>
      <w:r w:rsidRPr="007D42C5">
        <w:t>BILAG: OVERSIGT OVER ORGANER ELLER PERSONER, SOM ORDFØREREN HAR MODTAGET INPUT FRA</w:t>
      </w:r>
      <w:bookmarkEnd w:id="4"/>
      <w:bookmarkEnd w:id="5"/>
    </w:p>
    <w:p w:rsidR="004763A9" w:rsidRPr="007D42C5" w:rsidRDefault="004763A9" w:rsidP="004763A9"/>
    <w:tbl>
      <w:tblPr>
        <w:tblW w:w="9067" w:type="dxa"/>
        <w:tblInd w:w="98" w:type="dxa"/>
        <w:tblLayout w:type="fixed"/>
        <w:tblLook w:val="0000" w:firstRow="0" w:lastRow="0" w:firstColumn="0" w:lastColumn="0" w:noHBand="0" w:noVBand="0"/>
      </w:tblPr>
      <w:tblGrid>
        <w:gridCol w:w="9067"/>
      </w:tblGrid>
      <w:tr w:rsidR="009D1139" w:rsidRPr="007D42C5" w:rsidTr="00A72A8C">
        <w:trPr>
          <w:trHeight w:val="278"/>
        </w:trPr>
        <w:tc>
          <w:tcPr>
            <w:tcW w:w="9067" w:type="dxa"/>
            <w:tcBorders>
              <w:top w:val="single" w:sz="4" w:space="0" w:color="000000"/>
              <w:left w:val="single" w:sz="4" w:space="0" w:color="000000"/>
              <w:bottom w:val="single" w:sz="4" w:space="0" w:color="000000"/>
              <w:right w:val="single" w:sz="4" w:space="0" w:color="000000"/>
            </w:tcBorders>
          </w:tcPr>
          <w:p w:rsidR="004763A9" w:rsidRPr="007D42C5" w:rsidRDefault="007D42C5" w:rsidP="00A72A8C">
            <w:pPr>
              <w:spacing w:line="260" w:lineRule="auto"/>
              <w:ind w:right="-10"/>
              <w:jc w:val="center"/>
              <w:rPr>
                <w:b/>
                <w:sz w:val="22"/>
                <w:szCs w:val="22"/>
              </w:rPr>
            </w:pPr>
            <w:r w:rsidRPr="007D42C5">
              <w:rPr>
                <w:b/>
                <w:sz w:val="22"/>
              </w:rPr>
              <w:t>Enhed og/eller person</w:t>
            </w:r>
          </w:p>
        </w:tc>
      </w:tr>
      <w:tr w:rsidR="009D1139" w:rsidRPr="007D42C5" w:rsidTr="00A72A8C">
        <w:trPr>
          <w:trHeight w:val="278"/>
        </w:trPr>
        <w:tc>
          <w:tcPr>
            <w:tcW w:w="9067" w:type="dxa"/>
            <w:tcBorders>
              <w:top w:val="single" w:sz="4" w:space="0" w:color="000000"/>
              <w:left w:val="single" w:sz="4" w:space="0" w:color="000000"/>
              <w:bottom w:val="single" w:sz="4" w:space="0" w:color="000000"/>
              <w:right w:val="single" w:sz="4" w:space="0" w:color="000000"/>
            </w:tcBorders>
          </w:tcPr>
          <w:p w:rsidR="004763A9" w:rsidRPr="007D42C5" w:rsidRDefault="007D42C5" w:rsidP="00A72A8C">
            <w:pPr>
              <w:ind w:left="720" w:hanging="360"/>
              <w:rPr>
                <w:b/>
              </w:rPr>
            </w:pPr>
            <w:r w:rsidRPr="007D42C5">
              <w:rPr>
                <w:b/>
              </w:rPr>
              <w:t>1.</w:t>
            </w:r>
            <w:r w:rsidRPr="007D42C5">
              <w:rPr>
                <w:b/>
              </w:rPr>
              <w:tab/>
              <w:t>TLScontact</w:t>
            </w:r>
          </w:p>
        </w:tc>
      </w:tr>
    </w:tbl>
    <w:p w:rsidR="004763A9" w:rsidRPr="007D42C5" w:rsidRDefault="004763A9" w:rsidP="004763A9"/>
    <w:p w:rsidR="002669B6" w:rsidRPr="007D42C5" w:rsidRDefault="002669B6" w:rsidP="002669B6"/>
    <w:p w:rsidR="002669B6" w:rsidRPr="007D42C5" w:rsidRDefault="002669B6" w:rsidP="002669B6"/>
    <w:sectPr w:rsidR="002669B6" w:rsidRPr="007D42C5" w:rsidSect="00470875">
      <w:footerReference w:type="first" r:id="rId15"/>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470875" w:rsidRDefault="007D42C5">
      <w:r w:rsidRPr="00470875">
        <w:separator/>
      </w:r>
    </w:p>
  </w:endnote>
  <w:endnote w:type="continuationSeparator" w:id="0">
    <w:p w:rsidR="00000000" w:rsidRPr="00470875" w:rsidRDefault="007D42C5">
      <w:r w:rsidRPr="004708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875" w:rsidRPr="00470875" w:rsidRDefault="00470875" w:rsidP="00470875">
    <w:pPr>
      <w:pStyle w:val="EPFooter"/>
    </w:pPr>
    <w:r w:rsidRPr="00470875">
      <w:t>PE</w:t>
    </w:r>
    <w:r w:rsidRPr="00470875">
      <w:rPr>
        <w:rStyle w:val="HideTWBExt"/>
      </w:rPr>
      <w:t>&lt;NoPE&gt;</w:t>
    </w:r>
    <w:r w:rsidRPr="00470875">
      <w:t>737.330</w:t>
    </w:r>
    <w:r w:rsidRPr="00470875">
      <w:rPr>
        <w:rStyle w:val="HideTWBExt"/>
      </w:rPr>
      <w:t>&lt;/NoPE&gt;&lt;Version&gt;</w:t>
    </w:r>
    <w:r w:rsidRPr="00470875">
      <w:t>v01-00</w:t>
    </w:r>
    <w:r w:rsidRPr="00470875">
      <w:rPr>
        <w:rStyle w:val="HideTWBExt"/>
      </w:rPr>
      <w:t>&lt;/Version&gt;</w:t>
    </w:r>
    <w:r w:rsidRPr="00470875">
      <w:tab/>
    </w:r>
    <w:r w:rsidRPr="00470875">
      <w:fldChar w:fldCharType="begin"/>
    </w:r>
    <w:r w:rsidRPr="00470875">
      <w:instrText xml:space="preserve"> PAGE  \* MERGEFORMAT </w:instrText>
    </w:r>
    <w:r w:rsidRPr="00470875">
      <w:fldChar w:fldCharType="separate"/>
    </w:r>
    <w:r w:rsidR="007D42C5">
      <w:rPr>
        <w:noProof/>
      </w:rPr>
      <w:t>30</w:t>
    </w:r>
    <w:r w:rsidRPr="00470875">
      <w:fldChar w:fldCharType="end"/>
    </w:r>
    <w:r w:rsidRPr="00470875">
      <w:t>/</w:t>
    </w:r>
    <w:fldSimple w:instr=" NUMPAGES  \* MERGEFORMAT ">
      <w:r w:rsidR="007D42C5">
        <w:rPr>
          <w:noProof/>
        </w:rPr>
        <w:t>32</w:t>
      </w:r>
    </w:fldSimple>
    <w:r w:rsidRPr="00470875">
      <w:tab/>
    </w:r>
    <w:r w:rsidRPr="00470875">
      <w:rPr>
        <w:rStyle w:val="HideTWBExt"/>
      </w:rPr>
      <w:t>&lt;PathFdR&gt;</w:t>
    </w:r>
    <w:r w:rsidRPr="00470875">
      <w:t>PR\1265121DA.docx</w:t>
    </w:r>
    <w:r w:rsidRPr="00470875">
      <w:rPr>
        <w:rStyle w:val="HideTWBExt"/>
      </w:rPr>
      <w:t>&lt;/PathFdR&gt;</w:t>
    </w:r>
  </w:p>
  <w:p w:rsidR="004763A9" w:rsidRPr="00470875" w:rsidRDefault="00470875" w:rsidP="00470875">
    <w:pPr>
      <w:pStyle w:val="EPFooter2"/>
    </w:pPr>
    <w:r w:rsidRPr="00470875">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875" w:rsidRPr="00470875" w:rsidRDefault="00470875" w:rsidP="00470875">
    <w:pPr>
      <w:pStyle w:val="EPFooter"/>
    </w:pPr>
    <w:r w:rsidRPr="00470875">
      <w:rPr>
        <w:rStyle w:val="HideTWBExt"/>
      </w:rPr>
      <w:t>&lt;PathFdR&gt;</w:t>
    </w:r>
    <w:r w:rsidRPr="00470875">
      <w:t>PR\1265121DA.docx</w:t>
    </w:r>
    <w:r w:rsidRPr="00470875">
      <w:rPr>
        <w:rStyle w:val="HideTWBExt"/>
      </w:rPr>
      <w:t>&lt;/PathFdR&gt;</w:t>
    </w:r>
    <w:r w:rsidRPr="00470875">
      <w:tab/>
    </w:r>
    <w:r w:rsidRPr="00470875">
      <w:fldChar w:fldCharType="begin"/>
    </w:r>
    <w:r w:rsidRPr="00470875">
      <w:instrText xml:space="preserve"> PAGE  \* MERGEFORMAT </w:instrText>
    </w:r>
    <w:r w:rsidRPr="00470875">
      <w:fldChar w:fldCharType="separate"/>
    </w:r>
    <w:r w:rsidR="007D42C5">
      <w:rPr>
        <w:noProof/>
      </w:rPr>
      <w:t>29</w:t>
    </w:r>
    <w:r w:rsidRPr="00470875">
      <w:fldChar w:fldCharType="end"/>
    </w:r>
    <w:r w:rsidRPr="00470875">
      <w:t>/</w:t>
    </w:r>
    <w:fldSimple w:instr=" NUMPAGES  \* MERGEFORMAT ">
      <w:r w:rsidR="007D42C5">
        <w:rPr>
          <w:noProof/>
        </w:rPr>
        <w:t>32</w:t>
      </w:r>
    </w:fldSimple>
    <w:r w:rsidRPr="00470875">
      <w:tab/>
      <w:t>PE</w:t>
    </w:r>
    <w:r w:rsidRPr="00470875">
      <w:rPr>
        <w:rStyle w:val="HideTWBExt"/>
      </w:rPr>
      <w:t>&lt;NoPE&gt;</w:t>
    </w:r>
    <w:r w:rsidRPr="00470875">
      <w:t>737.330</w:t>
    </w:r>
    <w:r w:rsidRPr="00470875">
      <w:rPr>
        <w:rStyle w:val="HideTWBExt"/>
      </w:rPr>
      <w:t>&lt;/NoPE&gt;&lt;Version&gt;</w:t>
    </w:r>
    <w:r w:rsidRPr="00470875">
      <w:t>v01-00</w:t>
    </w:r>
    <w:r w:rsidRPr="00470875">
      <w:rPr>
        <w:rStyle w:val="HideTWBExt"/>
      </w:rPr>
      <w:t>&lt;/Version&gt;</w:t>
    </w:r>
  </w:p>
  <w:p w:rsidR="004763A9" w:rsidRPr="00470875" w:rsidRDefault="00470875" w:rsidP="00470875">
    <w:pPr>
      <w:pStyle w:val="EPFooter2"/>
    </w:pPr>
    <w:r w:rsidRPr="00470875">
      <w:tab/>
    </w:r>
    <w:r w:rsidRPr="00470875">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875" w:rsidRPr="00470875" w:rsidRDefault="00470875" w:rsidP="00470875">
    <w:pPr>
      <w:pStyle w:val="EPFooter"/>
    </w:pPr>
    <w:r w:rsidRPr="00470875">
      <w:rPr>
        <w:rStyle w:val="HideTWBExt"/>
      </w:rPr>
      <w:t>&lt;PathFdR&gt;</w:t>
    </w:r>
    <w:r w:rsidRPr="00470875">
      <w:t>PR\1265121DA.docx</w:t>
    </w:r>
    <w:r w:rsidRPr="00470875">
      <w:rPr>
        <w:rStyle w:val="HideTWBExt"/>
      </w:rPr>
      <w:t>&lt;/PathFdR&gt;</w:t>
    </w:r>
    <w:r w:rsidRPr="00470875">
      <w:tab/>
    </w:r>
    <w:r w:rsidRPr="00470875">
      <w:tab/>
      <w:t>PE</w:t>
    </w:r>
    <w:r w:rsidRPr="00470875">
      <w:rPr>
        <w:rStyle w:val="HideTWBExt"/>
      </w:rPr>
      <w:t>&lt;NoPE&gt;</w:t>
    </w:r>
    <w:r w:rsidRPr="00470875">
      <w:t>737.330</w:t>
    </w:r>
    <w:r w:rsidRPr="00470875">
      <w:rPr>
        <w:rStyle w:val="HideTWBExt"/>
      </w:rPr>
      <w:t>&lt;/NoPE&gt;&lt;Version&gt;</w:t>
    </w:r>
    <w:r w:rsidRPr="00470875">
      <w:t>v01-00</w:t>
    </w:r>
    <w:r w:rsidRPr="00470875">
      <w:rPr>
        <w:rStyle w:val="HideTWBExt"/>
      </w:rPr>
      <w:t>&lt;/Version&gt;</w:t>
    </w:r>
  </w:p>
  <w:p w:rsidR="004763A9" w:rsidRPr="00470875" w:rsidRDefault="00470875" w:rsidP="00470875">
    <w:pPr>
      <w:pStyle w:val="EPFooter2"/>
    </w:pPr>
    <w:r w:rsidRPr="00470875">
      <w:t>DA</w:t>
    </w:r>
    <w:r w:rsidRPr="00470875">
      <w:tab/>
    </w:r>
    <w:r w:rsidRPr="00470875">
      <w:rPr>
        <w:b w:val="0"/>
        <w:i/>
        <w:color w:val="C0C0C0"/>
        <w:sz w:val="22"/>
      </w:rPr>
      <w:t>Forenet i mangfoldighed</w:t>
    </w:r>
    <w:r w:rsidRPr="00470875">
      <w:tab/>
      <w:t>DA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470875" w:rsidRDefault="007D42C5" w:rsidP="004763A9">
    <w:pPr>
      <w:pStyle w:val="EPFooter"/>
    </w:pPr>
    <w:r w:rsidRPr="00470875">
      <w:rPr>
        <w:rStyle w:val="HideTWBExt"/>
      </w:rPr>
      <w:t>&lt;PathFdR&gt;</w:t>
    </w:r>
    <w:r w:rsidR="004763A9" w:rsidRPr="00470875">
      <w:t>PR\1265121DA.docx</w:t>
    </w:r>
    <w:r w:rsidRPr="00470875">
      <w:rPr>
        <w:rStyle w:val="HideTWBExt"/>
      </w:rPr>
      <w:t>&lt;/PathFdR&gt;</w:t>
    </w:r>
    <w:r w:rsidRPr="00470875">
      <w:tab/>
    </w:r>
    <w:r w:rsidRPr="00470875">
      <w:tab/>
      <w:t>PE</w:t>
    </w:r>
    <w:r w:rsidRPr="00470875">
      <w:rPr>
        <w:rStyle w:val="HideTWBExt"/>
      </w:rPr>
      <w:t>&lt;NoPE&gt;</w:t>
    </w:r>
    <w:r w:rsidR="004763A9" w:rsidRPr="00470875">
      <w:t>737.330</w:t>
    </w:r>
    <w:r w:rsidRPr="00470875">
      <w:rPr>
        <w:rStyle w:val="HideTWBExt"/>
      </w:rPr>
      <w:t>&lt;/NoPE&gt;&lt;Version&gt;</w:t>
    </w:r>
    <w:r w:rsidR="004F4598" w:rsidRPr="00470875">
      <w:t>v</w:t>
    </w:r>
    <w:r w:rsidR="004763A9" w:rsidRPr="00470875">
      <w:t>01-00</w:t>
    </w:r>
    <w:r w:rsidRPr="00470875">
      <w:rPr>
        <w:rStyle w:val="HideTWBExt"/>
      </w:rPr>
      <w:t>&lt;/Version&gt;</w:t>
    </w:r>
  </w:p>
  <w:p w:rsidR="00FB52FE" w:rsidRPr="00470875" w:rsidRDefault="007D42C5" w:rsidP="004763A9">
    <w:pPr>
      <w:pStyle w:val="EPFooter2"/>
      <w:tabs>
        <w:tab w:val="clear" w:pos="4535"/>
        <w:tab w:val="center" w:pos="4536"/>
      </w:tabs>
    </w:pPr>
    <w:r w:rsidRPr="00470875">
      <w:fldChar w:fldCharType="begin"/>
    </w:r>
    <w:r w:rsidRPr="00470875">
      <w:instrText xml:space="preserve"> DOCPROPERTY "&lt;Extension&gt;" </w:instrText>
    </w:r>
    <w:r w:rsidRPr="00470875">
      <w:fldChar w:fldCharType="separate"/>
    </w:r>
    <w:r>
      <w:t>DA</w:t>
    </w:r>
    <w:r w:rsidRPr="00470875">
      <w:fldChar w:fldCharType="end"/>
    </w:r>
    <w:r w:rsidRPr="00470875">
      <w:tab/>
    </w:r>
    <w:r w:rsidR="004763A9" w:rsidRPr="00470875">
      <w:rPr>
        <w:b w:val="0"/>
        <w:i/>
        <w:color w:val="C0C0C0"/>
        <w:sz w:val="22"/>
        <w:szCs w:val="22"/>
      </w:rPr>
      <w:t>Forenet i mangfoldighed</w:t>
    </w:r>
    <w:r w:rsidRPr="00470875">
      <w:tab/>
    </w:r>
    <w:r w:rsidRPr="00470875">
      <w:fldChar w:fldCharType="begin"/>
    </w:r>
    <w:r w:rsidRPr="00470875">
      <w:instrText xml:space="preserve"> DOCPROPERTY "&lt;Extension&gt;" </w:instrText>
    </w:r>
    <w:r w:rsidRPr="00470875">
      <w:fldChar w:fldCharType="separate"/>
    </w:r>
    <w:r>
      <w:t>DA</w:t>
    </w:r>
    <w:r w:rsidRPr="0047087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598" w:rsidRPr="00470875" w:rsidRDefault="007D42C5">
      <w:r w:rsidRPr="00470875">
        <w:separator/>
      </w:r>
    </w:p>
  </w:footnote>
  <w:footnote w:type="continuationSeparator" w:id="0">
    <w:p w:rsidR="004F4598" w:rsidRPr="00470875" w:rsidRDefault="007D42C5">
      <w:r w:rsidRPr="00470875">
        <w:continuationSeparator/>
      </w:r>
    </w:p>
  </w:footnote>
  <w:footnote w:id="1">
    <w:p w:rsidR="004763A9" w:rsidRPr="00470875" w:rsidRDefault="007D42C5" w:rsidP="004763A9">
      <w:pPr>
        <w:pStyle w:val="FootnoteText"/>
      </w:pPr>
      <w:r w:rsidRPr="00470875">
        <w:rPr>
          <w:vertAlign w:val="superscript"/>
        </w:rPr>
        <w:footnoteRef/>
      </w:r>
      <w:r w:rsidRPr="00470875">
        <w:t xml:space="preserve"> </w:t>
      </w:r>
      <w:r w:rsidRPr="00470875">
        <w:tab/>
        <w:t>Europa-Parlamentets og Rådets forordning</w:t>
      </w:r>
      <w:r w:rsidRPr="00470875">
        <w:t xml:space="preserve"> (EF) nr. 810/2009 af 13. juli 2009 om en fællesskabskodeks for visa (visumkodeks), EUT L 243 af 15.9.2009, s. 1.</w:t>
      </w:r>
    </w:p>
  </w:footnote>
  <w:footnote w:id="2">
    <w:p w:rsidR="004763A9" w:rsidRPr="00470875" w:rsidRDefault="007D42C5" w:rsidP="004763A9">
      <w:pPr>
        <w:pStyle w:val="FootnoteText"/>
      </w:pPr>
      <w:r w:rsidRPr="00470875">
        <w:rPr>
          <w:vertAlign w:val="superscript"/>
        </w:rPr>
        <w:footnoteRef/>
      </w:r>
      <w:r w:rsidRPr="00470875">
        <w:t xml:space="preserve"> </w:t>
      </w:r>
      <w:r w:rsidRPr="00470875">
        <w:tab/>
        <w:t xml:space="preserve">Europa-Parlamentets og Rådets forordning (EF) nr. 767/2008 af 9. juli 2008 om visuminformationssystemet (VIS) og udveksling af oplysninger </w:t>
      </w:r>
      <w:r w:rsidRPr="00470875">
        <w:t>mellem medlemsstaterne om visa til kortvarigt ophold, EUT L 218 af 13.8.2008, s. 60.</w:t>
      </w:r>
    </w:p>
  </w:footnote>
  <w:footnote w:id="3">
    <w:p w:rsidR="004763A9" w:rsidRPr="00470875" w:rsidRDefault="007D42C5" w:rsidP="004763A9">
      <w:pPr>
        <w:pStyle w:val="FootnoteText"/>
      </w:pPr>
      <w:r w:rsidRPr="00470875">
        <w:rPr>
          <w:vertAlign w:val="superscript"/>
        </w:rPr>
        <w:footnoteRef/>
      </w:r>
      <w:r w:rsidRPr="00470875">
        <w:t xml:space="preserve"> </w:t>
      </w:r>
      <w:r w:rsidRPr="00470875">
        <w:tab/>
        <w:t>Betragtning 20 i forordning (EU) 2019/1155.</w:t>
      </w:r>
    </w:p>
  </w:footnote>
  <w:footnote w:id="4">
    <w:p w:rsidR="004763A9" w:rsidRPr="00470875" w:rsidRDefault="007D42C5" w:rsidP="004763A9">
      <w:pPr>
        <w:pStyle w:val="FootnoteText"/>
      </w:pPr>
      <w:r w:rsidRPr="00470875">
        <w:rPr>
          <w:vertAlign w:val="superscript"/>
        </w:rPr>
        <w:footnoteRef/>
      </w:r>
      <w:r w:rsidRPr="00470875">
        <w:tab/>
        <w:t>Europa-Parlamentets og Rådets forordning (EF) nr. 810/2009 af 13. juli 2009 om en fællesskabskodeks for visa (visumkodeks)</w:t>
      </w:r>
      <w:r w:rsidRPr="00470875">
        <w:t>, EUT L 243 af 15.9.2009, s. 1, og Europa-Parlamentets og Rådets forordning (EU) 2019/1155 af 20. juni 2019 om ændring af forordning (EF) nr. 810/2009 om en fællesskabskodeks for visa (visumkodeks), EUT L 188 af 12.7.2019, s. 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2C5" w:rsidRDefault="007D42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2C5" w:rsidRDefault="007D42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2C5" w:rsidRDefault="007D42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A065D1A"/>
    <w:multiLevelType w:val="multilevel"/>
    <w:tmpl w:val="128E3B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MKEY" w:val="LIBE"/>
    <w:docVar w:name="EPSTATMNU" w:val=" 5"/>
    <w:docVar w:name="INSTITUTIONSMNU" w:val=" 2"/>
    <w:docVar w:name="JURI1MNU" w:val=" 2"/>
    <w:docVar w:name="JURI2MNU" w:val=" 2"/>
    <w:docVar w:name="LastEditedSection" w:val=" 1"/>
    <w:docVar w:name="OTHERSTATMNU" w:val=" 4"/>
    <w:docVar w:name="PARLIAMENTSMNU" w:val=" 2"/>
    <w:docVar w:name="RepeatBlock-AmendDA" w:val="{\rtf1\adeflang1025\ansi\ansicpg1252\uc1\adeff0\deff0\stshfdbch0\stshfloch0\stshfhich0\stshfbi0\deflang1030\deflangfe103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4\fbidi \froman\fcharset238\fprq2 Times New Roman CE;}{\f305\fbidi \froman\fcharset204\fprq2 Times New Roman Cyr;}_x000d__x000a_{\f307\fbidi \froman\fcharset161\fprq2 Times New Roman Greek;}{\f308\fbidi \froman\fcharset162\fprq2 Times New Roman Tur;}{\f309\fbidi \froman\fcharset177\fprq2 Times New Roman (Hebrew);}{\f310\fbidi \froman\fcharset178\fprq2 Times New Roman (Arabic);}_x000d__x000a_{\f311\fbidi \froman\fcharset186\fprq2 Times New Roman Baltic;}{\f312\fbidi \froman\fcharset163\fprq2 Times New Roman (Vietnamese);}{\f314\fbidi \fswiss\fcharset238\fprq2 Arial CE;}{\f315\fbidi \fswiss\fcharset204\fprq2 Arial Cyr;}_x000d__x000a_{\f317\fbidi \fswiss\fcharset161\fprq2 Arial Greek;}{\f318\fbidi \fswiss\fcharset162\fprq2 Arial Tur;}{\f319\fbidi \fswiss\fcharset177\fprq2 Arial (Hebrew);}{\f320\fbidi \fswiss\fcharset178\fprq2 Arial (Arabic);}_x000d__x000a_{\f321\fbidi \fswiss\fcharset186\fprq2 Arial Baltic;}{\f322\fbidi \fswiss\fcharset163\fprq2 Arial (Vietnamese);}{\f644\fbidi \froman\fcharset238\fprq2 Cambria Math CE;}{\f645\fbidi \froman\fcharset204\fprq2 Cambria Math Cyr;}_x000d__x000a_{\f647\fbidi \froman\fcharset161\fprq2 Cambria Math Greek;}{\f648\fbidi \froman\fcharset162\fprq2 Cambria Math Tur;}{\f651\fbidi \froman\fcharset186\fprq2 Cambria Math Baltic;}{\f65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874055 HideTWBExt;}{\*\cs18 \additive \v\f1\fs20\cf15 _x000d__x000a_\spriority0 \styrsid15874055 HideTWBInt;}{\s19\ql \li0\ri0\sa120\nowidctlpar\wrapdefault\aspalpha\aspnum\faauto\adjustright\rin0\lin0\itap0 \rtlch\fcs1 \af0\afs20\alang1025 \ltrch\fcs0 \fs24\lang1030\langfe2057\cgrid\langnp1030\langfenp2057 _x000d__x000a_\sbasedon0 \snext19 \spriority0 \styrsid15874055 Normal6a;}{\s20\ql \li0\ri0\nowidctlpar\wrapdefault\aspalpha\aspnum\faauto\adjustright\rin0\lin0\itap0 \rtlch\fcs1 \af0\afs20\alang1025 \ltrch\fcs0 \b\fs24\lang1030\langfe2057\cgrid\langnp1030\langfenp2057 _x000d__x000a_\sbasedon0 \snext20 \spriority0 \styrsid15874055 NormalBold;}{\s21\ql \li0\ri0\sa240\nowidctlpar\wrapdefault\aspalpha\aspnum\faauto\adjustright\rin0\lin0\itap0 \rtlch\fcs1 \af0\afs20\alang1025 \ltrch\fcs0 _x000d__x000a_\i\fs24\lang1030\langfe2057\cgrid\langnp1030\langfenp2057 \sbasedon0 \snext21 \spriority0 \styrsid15874055 AmJustText;}{\s22\qc \li0\ri0\sb240\sa240\nowidctlpar\wrapdefault\aspalpha\aspnum\faauto\adjustright\rin0\lin0\itap0 \rtlch\fcs1 _x000d__x000a_\af0\afs20\alang1025 \ltrch\fcs0 \i\fs24\lang1030\langfe2057\cgrid\langnp1030\langfenp2057 \sbasedon0 \snext22 \spriority0 \styrsid15874055 AmCrossRef;}{_x000d__x000a_\s23\qc \li0\ri0\sb240\sa240\keepn\nowidctlpar\wrapdefault\aspalpha\aspnum\faauto\adjustright\rin0\lin0\itap0 \rtlch\fcs1 \af0\afs20\alang1025 \ltrch\fcs0 \i\fs24\lang1030\langfe2057\cgrid\langnp1030\langfenp2057 _x000d__x000a_\sbasedon0 \snext21 \spriority0 \styrsid15874055 AmJustTitle;}{\s24\qr \li0\ri0\sb240\sa240\nowidctlpar\wrapdefault\aspalpha\aspnum\faauto\adjustright\rin0\lin0\itap0 \rtlch\fcs1 \af0\afs20\alang1025 \ltrch\fcs0 _x000d__x000a_\fs24\lang1030\langfe2057\cgrid\langnp1030\langfenp2057 \sbasedon0 \snext24 \spriority0 \styrsid15874055 AmOrLang;}{\s25\qc \li0\ri0\sa240\nowidctlpar\wrapdefault\aspalpha\aspnum\faauto\adjustright\rin0\lin0\itap0 \rtlch\fcs1 \af0\afs20\alang1025 _x000d__x000a_\ltrch\fcs0 \i\fs24\lang1030\langfe2057\cgrid\langnp1030\langfenp2057 \sbasedon0 \snext25 \spriority0 \styrsid158740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0\langfe2057\cgrid\langnp1030\langfenp2057 \sbasedon0 \snext26 \spriority0 \styrsid15874055 AmNumberTabs;}{\s27\ql \li0\ri0\sb240\nowidctlpar\wrapdefault\aspalpha\aspnum\faauto\adjustright\rin0\lin0\itap0 \rtlch\fcs1 _x000d__x000a_\af0\afs20\alang1025 \ltrch\fcs0 \b\fs24\lang1030\langfe2057\cgrid\langnp1030\langfenp2057 \sbasedon0 \snext27 \spriority0 \styrsid15874055 NormalBold12b;}}{\*\rsidtbl \rsid24658\rsid223860\rsid735077\rsid1718133\rsid2892074\rsid3565327\rsid4666813_x000d__x000a_\rsid6641733\rsid7823322\rsid9636012\rsid10377208\rsid11215221\rsid11549030\rsid12154954\rsid14382809\rsid14424199\rsid15204470\rsid15285974\rsid15874055\rsid15950462\rsid16324206\rsid16340853\rsid16662270}{\mmathPr\mmathFont34\mbrkBin0\mbrkBinSub0_x000d__x000a_\msmallFrac0\mdispDef1\mlMargin0\mrMargin0\mdefJc1\mwrapIndent1440\mintLim0\mnaryLim1}{\info{\author JOHANNSEN Lena}{\operator JOHANNSEN Lena}{\creatim\yr2022\mo10\dy24\hr8\min41}{\revtim\yr2022\mo10\dy24\hr8\min41}{\version1}{\edmins0}{\nofpages1}_x000d__x000a_{\nofwords99}{\nofchars608}{\nofcharsws706}{\vern107}}{\*\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80\pgbrdrhead\pgbrdrfoot\splytwnine\ftnlytwnine\htmautsp\nolnhtadjtbl\useltbaln\alntblind\lytcalctblwd\lyttblrtgr\lnbrkrule\nobrkwrptbl\snaptogridincell\allowfieldendsel\wrppunct_x000d__x000a_\asianbrkrule\nojkernpunct\rsidroot15874055\newtblstyruls\nogrowautofit\usenormstyforlist\noindnmbrts\felnbrelev\nocxsptable\indrlsweleven\noafcnsttbl\afelev\utinl\hwelev\spltpgpar\notcvasp\notbrkcnstfrctbl\notvatxbx\krnprsnet\cachedcolbal _x000d__x000a_\nouicompat \fet0{\*\wgrffmtfilter 013f}\nofeaturethrottle1\ilfomacatclnup0{\*\template C:\\Users\\LJOHAN~1\\AppData\\Local\\Temp\\Blank1.dotx}{\*\ftnsep \ltrpar \pard\plain \ltrpar_x000d__x000a_\ql \li0\ri0\widctlpar\wrapdefault\aspalpha\aspnum\faauto\adjustright\rin0\lin0\itap0 \rtlch\fcs1 \af0\afs20\alang1025 \ltrch\fcs0 \fs24\lang2057\langfe2057\cgrid\langnp2057\langfenp2057 {\rtlch\fcs1 \af0 \ltrch\fcs0 \insrsid16340853 \chftnsep _x000d__x000a_\par }}{\*\ftnsepc \ltrpar \pard\plain \ltrpar\ql \li0\ri0\widctlpar\wrapdefault\aspalpha\aspnum\faauto\adjustright\rin0\lin0\itap0 \rtlch\fcs1 \af0\afs20\alang1025 \ltrch\fcs0 \fs24\lang2057\langfe2057\cgrid\langnp2057\langfenp2057 {\rtlch\fcs1 \af0 _x000d__x000a_\ltrch\fcs0 \insrsid16340853 \chftnsepc _x000d__x000a_\par }}{\*\aftnsep \ltrpar \pard\plain \ltrpar\ql \li0\ri0\widctlpar\wrapdefault\aspalpha\aspnum\faauto\adjustright\rin0\lin0\itap0 \rtlch\fcs1 \af0\afs20\alang1025 \ltrch\fcs0 \fs24\lang2057\langfe2057\cgrid\langnp2057\langfenp2057 {\rtlch\fcs1 \af0 _x000d__x000a_\ltrch\fcs0 \insrsid16340853 \chftnsep _x000d__x000a_\par }}{\*\aftnsepc \ltrpar \pard\plain \ltrpar\ql \li0\ri0\widctlpar\wrapdefault\aspalpha\aspnum\faauto\adjustright\rin0\lin0\itap0 \rtlch\fcs1 \af0\afs20\alang1025 \ltrch\fcs0 \fs24\lang2057\langfe2057\cgrid\langnp2057\langfenp2057 {\rtlch\fcs1 \af0 _x000d__x000a_\ltrch\fcs0 \insrsid1634085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5874055 \rtlch\fcs1 _x000d__x000a_\af0\afs20\alang1025 \ltrch\fcs0 \b\fs24\lang1030\langfe2057\cgrid\langnp1030\langfenp2057 {\rtlch\fcs1 \af0 \ltrch\fcs0 \cs17\b0\v\fs20\cf9\lang1024\langfe1024\loch\af1\hich\af1\dbch\af31501\noproof\insrsid15874055\charrsid5195160 {\*\bkmkstart restart}_x000d__x000a_\hich\af1\dbch\af31501\loch\f1 &lt;Amend&gt;}{\rtlch\fcs1 \af0 \ltrch\fcs0 \insrsid15874055\charrsid5195160 \'c6ndringsforslag\tab \tab }{\rtlch\fcs1 \af0 \ltrch\fcs0 _x000d__x000a_\cs17\b0\v\fs20\cf9\lang1024\langfe1024\loch\af1\hich\af1\dbch\af31501\noproof\insrsid15874055\charrsid5195160 \hich\af1\dbch\af31501\loch\f1 &lt;NumAm&gt;}{\rtlch\fcs1 \af0 \ltrch\fcs0 \insrsid15874055\charrsid5195160 #}{\rtlch\fcs1 \af1 \ltrch\fcs0 _x000d__x000a_\cs18\v\f1\fs20\cf15\insrsid15874055\charrsid5195160 ENMIENDA@NRAM@}{\rtlch\fcs1 \af0 \ltrch\fcs0 \insrsid15874055\charrsid5195160 #}{\rtlch\fcs1 \af0 \ltrch\fcs0 _x000d__x000a_\cs17\b0\v\fs20\cf9\lang1024\langfe1024\loch\af1\hich\af1\dbch\af31501\noproof\insrsid15874055\charrsid5195160 \hich\af1\dbch\af31501\loch\f1 &lt;/NumAm&gt;}{\rtlch\fcs1 \af0 \ltrch\fcs0 \insrsid15874055\charrsid5195160 _x000d__x000a_\par }\pard\plain \ltrpar\s27\ql \li0\ri0\sb240\keepn\nowidctlpar\wrapdefault\aspalpha\aspnum\faauto\adjustright\rin0\lin0\itap0\pararsid15874055 \rtlch\fcs1 \af0\afs20\alang1025 \ltrch\fcs0 \b\fs24\lang1030\langfe2057\cgrid\langnp1030\langfenp2057 {_x000d__x000a_\rtlch\fcs1 \af0 \ltrch\fcs0 \cs17\b0\v\fs20\cf9\lang1024\langfe1024\loch\af1\hich\af1\dbch\af31501\noproof\insrsid15874055\charrsid5195160 \hich\af1\dbch\af31501\loch\f1 &lt;DocAmend&gt;}{\rtlch\fcs1 \af0 \ltrch\fcs0 \insrsid15874055\charrsid5195160 _x000d__x000a_Forslag til #}{\rtlch\fcs1 \af1 \ltrch\fcs0 \cs18\v\f1\fs20\cf15\insrsid15874055\charrsid5195160 MNU[DOC1][DOC2][DOC3]@DOCMSG@DOCMNU}{\rtlch\fcs1 \af0 \ltrch\fcs0 \insrsid15874055\charrsid5195160 ##}{\rtlch\fcs1 \af1 \ltrch\fcs0 _x000d__x000a_\cs18\v\f1\fs20\cf15\insrsid15874055\charrsid5195160 MNU[AMACTYES][NOTAPP]@CHOICE@AMACTMNU}{\rtlch\fcs1 \af0 \ltrch\fcs0 \insrsid15874055\charrsid5195160 #}{\rtlch\fcs1 \af0 \ltrch\fcs0 _x000d__x000a_\cs17\b0\v\fs20\cf9\lang1024\langfe1024\loch\af1\hich\af1\dbch\af31501\noproof\insrsid15874055\charrsid5195160 \hich\af1\dbch\af31501\loch\f1 &lt;/DocAmend&gt;}{\rtlch\fcs1 \af0 \ltrch\fcs0 \insrsid15874055\charrsid5195160 _x000d__x000a_\par }\pard\plain \ltrpar\s20\ql \li0\ri0\keepn\nowidctlpar\wrapdefault\aspalpha\aspnum\faauto\adjustright\rin0\lin0\itap0\pararsid15874055 \rtlch\fcs1 \af0\afs20\alang1025 \ltrch\fcs0 \b\fs24\lang1030\langfe2057\cgrid\langnp1030\langfenp2057 {\rtlch\fcs1 _x000d__x000a_\af0 \ltrch\fcs0 \cs17\b0\v\fs20\cf9\lang1024\langfe1024\loch\af1\hich\af1\dbch\af31501\noproof\insrsid15874055\charrsid5195160 \hich\af1\dbch\af31501\loch\f1 &lt;Article&gt;}{\rtlch\fcs1 \af0 \ltrch\fcs0 \insrsid15874055\charrsid5195160 #}{\rtlch\fcs1 \af1 _x000d__x000a_\ltrch\fcs0 \cs18\v\f1\fs20\cf15\insrsid15874055\charrsid5195160 MNU[AMACTPARTYES][AMACTPARTNO]@CHOICE@AMACTMNU}{\rtlch\fcs1 \af0 \ltrch\fcs0 \insrsid15874055\charrsid5195160 #}{\rtlch\fcs1 \af0 \ltrch\fcs0 _x000d__x000a_\cs17\b0\v\fs20\cf9\lang1024\langfe1024\loch\af1\hich\af1\dbch\af31501\noproof\insrsid15874055\charrsid5195160 \hich\af1\dbch\af31501\loch\f1 &lt;/Article&gt;}{\rtlch\fcs1 \af0 \ltrch\fcs0 \insrsid15874055\charrsid5195160 _x000d__x000a_\par }\pard\plain \ltrpar\ql \li0\ri0\keepn\widctlpar\wrapdefault\aspalpha\aspnum\faauto\adjustright\rin0\lin0\itap0\pararsid15874055 \rtlch\fcs1 \af0\afs20\alang1025 \ltrch\fcs0 \fs24\lang2057\langfe2057\cgrid\langnp2057\langfenp2057 {\rtlch\fcs1 \af0 _x000d__x000a_\ltrch\fcs0 \cs17\v\fs20\cf9\lang1024\langfe1024\loch\af1\hich\af1\dbch\af31501\noproof\langnp1030\insrsid15874055\charrsid5195160 \hich\af1\dbch\af31501\loch\f1 &lt;DocAmend2&gt;&lt;OptDel&gt;}{\rtlch\fcs1 \af0 \ltrch\fcs0 _x000d__x000a_\lang1030\langfe2057\langnp1030\insrsid15874055\charrsid5195160 #}{\rtlch\fcs1 \af1 \ltrch\fcs0 \cs18\v\f1\fs20\cf15\lang1030\langfe2057\langnp1030\insrsid15874055\charrsid5195160 MNU[OPTNRACTYES][NOTAPP]@CHOICE@AMACTMNU}{\rtlch\fcs1 \af0 \ltrch\fcs0 _x000d__x000a_\lang1030\langfe2057\langnp1030\insrsid15874055\charrsid5195160 #}{\rtlch\fcs1 \af0 \ltrch\fcs0 \cs17\v\fs20\cf9\lang1024\langfe1024\loch\af1\hich\af1\dbch\af31501\noproof\langnp1030\insrsid15874055\charrsid5195160 \hich\af1\dbch\af31501\loch\f1 _x000d__x000a_&lt;/OptDel&gt;&lt;/DocAmend2&gt;}{\rtlch\fcs1 \af0 \ltrch\fcs0 \lang1030\langfe2057\langnp1030\insrsid15874055\charrsid5195160 _x000d__x000a_\par }\pard \ltrpar\ql \li0\ri0\widctlpar\wrapdefault\aspalpha\aspnum\faauto\adjustright\rin0\lin0\itap0\pararsid15874055 {\rtlch\fcs1 \af0 \ltrch\fcs0 _x000d__x000a_\cs17\v\fs20\cf9\lang1024\langfe1024\loch\af1\hich\af1\dbch\af31501\noproof\langnp1030\insrsid15874055\charrsid5195160 \hich\af1\dbch\af31501\loch\f1 &lt;Article2&gt;&lt;OptDel&gt;}{\rtlch\fcs1 \af0 \ltrch\fcs0 _x000d__x000a_\lang1030\langfe2057\langnp1030\insrsid15874055\charrsid5195160 #}{\rtlch\fcs1 \af1 \ltrch\fcs0 \cs18\v\f1\fs20\cf15\lang1030\langfe2057\langnp1030\insrsid15874055\charrsid5195160 MNU[OPTACTPARTYES][NOTAPP]@CHOICE@AMACTMNU}{\rtlch\fcs1 \af0 \ltrch\fcs0 _x000d__x000a_\lang1030\langfe2057\langnp1030\insrsid15874055\charrsid5195160 #}{\rtlch\fcs1 \af0 \ltrch\fcs0 \cs17\v\fs20\cf9\lang1024\langfe1024\loch\af1\hich\af1\dbch\af31501\noproof\langnp1030\insrsid15874055\charrsid5195160 \hich\af1\dbch\af31501\loch\f1 _x000d__x000a_&lt;/OptDel&gt;&lt;/Article2&gt;}{\rtlch\fcs1 \af0 \ltrch\fcs0 \lang1030\langfe2057\langnp1030\insrsid15874055\charrsid5195160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lang1030\langfe2057\langnp1030\insrsid15874055\charrsid5195160 \cell }\pard\plain \ltrpar_x000d__x000a_\ql \li0\ri0\widctlpar\intbl\wrapdefault\aspalpha\aspnum\faauto\adjustright\rin0\lin0 \rtlch\fcs1 \af0\afs20\alang1025 \ltrch\fcs0 \fs24\lang2057\langfe2057\cgrid\langnp2057\langfenp2057 {\rtlch\fcs1 \af0 \ltrch\fcs0 _x000d__x000a_\lang1030\langfe2057\langnp1030\insrsid15874055\charrsid5195160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1030\langfe2057\cgrid\langnp1030\langfenp2057 {\rtlch\fcs1 \af0 \ltrch\fcs0 _x000d__x000a_\insrsid15874055\charrsid5195160 #}{\rtlch\fcs1 \af1 \ltrch\fcs0 \cs18\v\f1\fs20\cf15\insrsid15874055\charrsid5195160 MNU[OPTLEFTAMACT][LEFTPROP]@CHOICE@AMACTMNU}{\rtlch\fcs1 \af0 \ltrch\fcs0 \insrsid15874055\charrsid5195160 #\cell \'c6ndringsforslag_x000d__x000a_\cell }\pard\plain \ltrpar\ql \li0\ri0\widctlpar\intbl\wrapdefault\aspalpha\aspnum\faauto\adjustright\rin0\lin0 \rtlch\fcs1 \af0\afs20\alang1025 \ltrch\fcs0 \fs24\lang2057\langfe2057\cgrid\langnp2057\langfenp2057 {\rtlch\fcs1 \af0 \ltrch\fcs0 _x000d__x000a_\lang1030\langfe2057\langnp1030\insrsid15874055\charrsid5195160 \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1030\langfe2057\cgrid\langnp1030\langfenp2057 {\rtlch\fcs1 \af0 \ltrch\fcs0 _x000d__x000a_\insrsid15874055\charrsid5195160 ##\cell ##}{\rtlch\fcs1 \af0\afs24 \ltrch\fcs0 \insrsid15874055\charrsid5195160 \cell }\pard\plain \ltrpar\ql \li0\ri0\widctlpar\intbl\wrapdefault\aspalpha\aspnum\faauto\adjustright\rin0\lin0 \rtlch\fcs1 _x000d__x000a_\af0\afs20\alang1025 \ltrch\fcs0 \fs24\lang2057\langfe2057\cgrid\langnp2057\langfenp2057 {\rtlch\fcs1 \af0 \ltrch\fcs0 \lang1030\langfe2057\langnp1030\insrsid15874055\charrsid5195160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5874055 \rtlch\fcs1 \af0\afs20\alang1025 \ltrch\fcs0 \fs24\lang1030\langfe2057\cgrid\langnp1030\langfenp2057 {\rtlch\fcs1 \af0 \ltrch\fcs0 _x000d__x000a_\insrsid15874055\charrsid5195160 Or. }{\rtlch\fcs1 \af0 \ltrch\fcs0 \cs17\v\fs20\cf9\lang1024\langfe1024\loch\af1\hich\af1\dbch\af31501\noproof\insrsid15874055\charrsid5195160 \hich\af1\dbch\af31501\loch\f1 &lt;Original&gt;}{\rtlch\fcs1 \af0 \ltrch\fcs0 _x000d__x000a_\insrsid15874055\charrsid5195160 #}{\rtlch\fcs1 \af1 \ltrch\fcs0 \cs18\v\f1\fs20\cf15\insrsid15874055\charrsid5195160 MNU[ORLANGONE][ORLANGMORE]@CHOICE@ORLANGMNU}{\rtlch\fcs1 \af0 \ltrch\fcs0 \insrsid15874055\charrsid5195160 #}{\rtlch\fcs1 \af0 _x000d__x000a_\ltrch\fcs0 \cs17\v\fs20\cf9\lang1024\langfe1024\loch\af1\hich\af1\dbch\af31501\noproof\insrsid15874055\charrsid5195160 \hich\af1\dbch\af31501\loch\f1 &lt;/Original&gt;}{\rtlch\fcs1 \af0 \ltrch\fcs0 \insrsid15874055\charrsid5195160 _x000d__x000a_\par }\pard\plain \ltrpar\s22\qc \li0\ri0\sb240\sa240\nowidctlpar\wrapdefault\aspalpha\aspnum\faauto\adjustright\rin0\lin0\itap0\pararsid15874055 \rtlch\fcs1 \af0\afs20\alang1025 \ltrch\fcs0 \i\fs24\lang1030\langfe2057\cgrid\langnp1030\langfenp2057 {_x000d__x000a_\rtlch\fcs1 \af0 \ltrch\fcs0 \cs17\i0\v\fs20\cf9\lang1024\langfe1024\loch\af1\hich\af1\dbch\af31501\noproof\insrsid15874055\charrsid5195160 \hich\af1\dbch\af31501\loch\f1 &lt;OptDel&gt;}{\rtlch\fcs1 \af0 \ltrch\fcs0 \insrsid15874055\charrsid5195160 #}{_x000d__x000a_\rtlch\fcs1 \af1 \ltrch\fcs0 \cs18\v\f1\fs20\cf15\insrsid15874055\charrsid5195160 MNU[CROSSREFNO][CROSSREFYES]@CHOICE@}{\rtlch\fcs1 \af0 \ltrch\fcs0 \insrsid15874055\charrsid5195160 #}{\rtlch\fcs1 \af0 \ltrch\fcs0 _x000d__x000a_\cs17\i0\v\fs20\cf9\lang1024\langfe1024\loch\af1\hich\af1\dbch\af31501\noproof\insrsid15874055\charrsid5195160 \hich\af1\dbch\af31501\loch\f1 &lt;/OptDel&gt;}{\rtlch\fcs1 \af0 \ltrch\fcs0 \insrsid15874055\charrsid5195160 _x000d__x000a_\par }\pard\plain \ltrpar\s23\qc \li0\ri0\sb240\sa240\keepn\nowidctlpar\wrapdefault\aspalpha\aspnum\faauto\adjustright\rin0\lin0\itap0\pararsid15874055 \rtlch\fcs1 \af0\afs20\alang1025 \ltrch\fcs0 \i\fs24\lang1030\langfe2057\cgrid\langnp1030\langfenp2057 {_x000d__x000a_\rtlch\fcs1 \af0 \ltrch\fcs0 \cs17\i0\v\fs20\cf9\lang1024\langfe1024\loch\af1\hich\af1\dbch\af31501\noproof\insrsid15874055\charrsid5195160 \hich\af1\dbch\af31501\loch\f1 &lt;TitreJust&gt;}{\rtlch\fcs1 \af0 \ltrch\fcs0 \insrsid15874055\charrsid5195160 _x000d__x000a_Begrundelse}{\rtlch\fcs1 \af0 \ltrch\fcs0 \cs17\i0\v\fs20\cf9\lang1024\langfe1024\loch\af1\hich\af1\dbch\af31501\noproof\insrsid15874055\charrsid5195160 \hich\af1\dbch\af31501\loch\f1 &lt;/TitreJust&gt;}{\rtlch\fcs1 \af0 \ltrch\fcs0 _x000d__x000a_\insrsid15874055\charrsid5195160 _x000d__x000a_\par }\pard\plain \ltrpar\s21\ql \li0\ri0\sa240\nowidctlpar\wrapdefault\aspalpha\aspnum\faauto\adjustright\rin0\lin0\itap0\pararsid15874055 \rtlch\fcs1 \af0\afs20\alang1025 \ltrch\fcs0 \i\fs24\lang1030\langfe2057\cgrid\langnp1030\langfenp2057 {\rtlch\fcs1 _x000d__x000a_\af0 \ltrch\fcs0 \cs17\i0\v\fs20\cf9\lang1024\langfe1024\loch\af1\hich\af1\dbch\af31501\noproof\insrsid15874055\charrsid5195160 \hich\af1\dbch\af31501\loch\f1 &lt;OptDelPrev&gt;}{\rtlch\fcs1 \af0 \ltrch\fcs0 \insrsid15874055\charrsid5195160 #}{\rtlch\fcs1 \af1 _x000d__x000a_\ltrch\fcs0 \cs18\v\f1\fs20\cf15\insrsid15874055\charrsid5195160 MNU[TEXTJUSTYES][TEXTJUSTNO]@CHOICE@}{\rtlch\fcs1 \af0 \ltrch\fcs0 \insrsid15874055\charrsid5195160 #}{\rtlch\fcs1 \af0 \ltrch\fcs0 _x000d__x000a_\cs17\i0\v\fs20\cf9\lang1024\langfe1024\loch\af1\hich\af1\dbch\af31501\noproof\insrsid15874055\charrsid5195160 \hich\af1\dbch\af31501\loch\f1 &lt;/OptDelPrev&gt;}{\rtlch\fcs1 \af0 \ltrch\fcs0 \insrsid15874055\charrsid5195160 _x000d__x000a_\par }\pard\plain \ltrpar\ql \li0\ri0\widctlpar\wrapdefault\aspalpha\aspnum\faauto\adjustright\rin0\lin0\itap0\pararsid15874055 \rtlch\fcs1 \af0\afs20\alang1025 \ltrch\fcs0 \fs24\lang2057\langfe2057\cgrid\langnp2057\langfenp2057 {\rtlch\fcs1 \af0 \ltrch\fcs0 _x000d__x000a_\cs17\v\fs20\cf9\lang1024\langfe1024\loch\af1\hich\af1\dbch\af31501\noproof\langnp1030\insrsid15874055\charrsid5195160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7f_x000d__x000a_e1aa73e7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65"/>
    <w:docVar w:name="TXTAUTHOR" w:val="Matjaž Nemec"/>
    <w:docVar w:name="TXTLANGUE" w:val="DA"/>
    <w:docVar w:name="TXTLANGUEMIN" w:val="da"/>
    <w:docVar w:name="TXTNRC" w:val="0165/2022"/>
    <w:docVar w:name="TXTNRCOD" w:val="2022/0132"/>
    <w:docVar w:name="TXTNRCOM" w:val="(2022)0658"/>
    <w:docVar w:name="TXTNRPE" w:val="737.330"/>
    <w:docVar w:name="TXTPEorAP" w:val="PE"/>
    <w:docVar w:name="TXTROUTE" w:val="PR\1265121DA.docx"/>
    <w:docVar w:name="TXTVERSION" w:val="01-00"/>
  </w:docVars>
  <w:rsids>
    <w:rsidRoot w:val="004F4598"/>
    <w:rsid w:val="00011AAB"/>
    <w:rsid w:val="00012351"/>
    <w:rsid w:val="000139E5"/>
    <w:rsid w:val="00084DD2"/>
    <w:rsid w:val="00084E89"/>
    <w:rsid w:val="000B7489"/>
    <w:rsid w:val="000C31E2"/>
    <w:rsid w:val="000D2E7D"/>
    <w:rsid w:val="000F1096"/>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90BED"/>
    <w:rsid w:val="002D13EE"/>
    <w:rsid w:val="002E33EE"/>
    <w:rsid w:val="002F40BB"/>
    <w:rsid w:val="002F4B02"/>
    <w:rsid w:val="0031005B"/>
    <w:rsid w:val="00323EF8"/>
    <w:rsid w:val="003316DD"/>
    <w:rsid w:val="00366A46"/>
    <w:rsid w:val="00370AC3"/>
    <w:rsid w:val="003824EE"/>
    <w:rsid w:val="003B4689"/>
    <w:rsid w:val="003C2068"/>
    <w:rsid w:val="003C37CF"/>
    <w:rsid w:val="004100B1"/>
    <w:rsid w:val="00426E47"/>
    <w:rsid w:val="00455743"/>
    <w:rsid w:val="00461601"/>
    <w:rsid w:val="00465535"/>
    <w:rsid w:val="00470875"/>
    <w:rsid w:val="004763A9"/>
    <w:rsid w:val="004C0915"/>
    <w:rsid w:val="004D424E"/>
    <w:rsid w:val="004E42C8"/>
    <w:rsid w:val="004E733D"/>
    <w:rsid w:val="004F3FA5"/>
    <w:rsid w:val="004F4598"/>
    <w:rsid w:val="0051271F"/>
    <w:rsid w:val="00521F46"/>
    <w:rsid w:val="00551111"/>
    <w:rsid w:val="00551123"/>
    <w:rsid w:val="00570A6A"/>
    <w:rsid w:val="00586E50"/>
    <w:rsid w:val="0059583D"/>
    <w:rsid w:val="005A42D9"/>
    <w:rsid w:val="005C2BEF"/>
    <w:rsid w:val="005D1A99"/>
    <w:rsid w:val="005D7609"/>
    <w:rsid w:val="005D7EE8"/>
    <w:rsid w:val="00642325"/>
    <w:rsid w:val="0069092A"/>
    <w:rsid w:val="006A2F5D"/>
    <w:rsid w:val="006F7907"/>
    <w:rsid w:val="00743189"/>
    <w:rsid w:val="00743D33"/>
    <w:rsid w:val="007932B3"/>
    <w:rsid w:val="00793EA9"/>
    <w:rsid w:val="007D42C5"/>
    <w:rsid w:val="007D6F68"/>
    <w:rsid w:val="00817843"/>
    <w:rsid w:val="00823E6B"/>
    <w:rsid w:val="00826780"/>
    <w:rsid w:val="00837CCD"/>
    <w:rsid w:val="008633CC"/>
    <w:rsid w:val="00865190"/>
    <w:rsid w:val="008719B9"/>
    <w:rsid w:val="00894923"/>
    <w:rsid w:val="00894ECE"/>
    <w:rsid w:val="00896BB4"/>
    <w:rsid w:val="008A7FB8"/>
    <w:rsid w:val="008F44A0"/>
    <w:rsid w:val="009022B8"/>
    <w:rsid w:val="00914537"/>
    <w:rsid w:val="00917CC4"/>
    <w:rsid w:val="009763DA"/>
    <w:rsid w:val="009975B3"/>
    <w:rsid w:val="009A216D"/>
    <w:rsid w:val="009B4B93"/>
    <w:rsid w:val="009D1139"/>
    <w:rsid w:val="009F24BE"/>
    <w:rsid w:val="009F6C2F"/>
    <w:rsid w:val="009F767A"/>
    <w:rsid w:val="00A22533"/>
    <w:rsid w:val="00A26F46"/>
    <w:rsid w:val="00A34FD3"/>
    <w:rsid w:val="00A36929"/>
    <w:rsid w:val="00A50548"/>
    <w:rsid w:val="00A60EE7"/>
    <w:rsid w:val="00A72A8C"/>
    <w:rsid w:val="00A910C9"/>
    <w:rsid w:val="00AA35B0"/>
    <w:rsid w:val="00AD18C8"/>
    <w:rsid w:val="00AD7FA6"/>
    <w:rsid w:val="00AE4643"/>
    <w:rsid w:val="00AF0416"/>
    <w:rsid w:val="00B10CB4"/>
    <w:rsid w:val="00B13D6F"/>
    <w:rsid w:val="00B23B72"/>
    <w:rsid w:val="00B42702"/>
    <w:rsid w:val="00B57B8B"/>
    <w:rsid w:val="00B85407"/>
    <w:rsid w:val="00B95702"/>
    <w:rsid w:val="00BC6489"/>
    <w:rsid w:val="00BD480C"/>
    <w:rsid w:val="00C20954"/>
    <w:rsid w:val="00C23324"/>
    <w:rsid w:val="00C36C9E"/>
    <w:rsid w:val="00C42A41"/>
    <w:rsid w:val="00C47E74"/>
    <w:rsid w:val="00C57A72"/>
    <w:rsid w:val="00C73602"/>
    <w:rsid w:val="00C85D0F"/>
    <w:rsid w:val="00CF60C8"/>
    <w:rsid w:val="00D30DE2"/>
    <w:rsid w:val="00D32924"/>
    <w:rsid w:val="00D503A3"/>
    <w:rsid w:val="00DA6ED0"/>
    <w:rsid w:val="00DC5011"/>
    <w:rsid w:val="00E171B6"/>
    <w:rsid w:val="00E72695"/>
    <w:rsid w:val="00EB1753"/>
    <w:rsid w:val="00EB6CFF"/>
    <w:rsid w:val="00EE3996"/>
    <w:rsid w:val="00F07062"/>
    <w:rsid w:val="00F23CFC"/>
    <w:rsid w:val="00F433E2"/>
    <w:rsid w:val="00F904AE"/>
    <w:rsid w:val="00F934F8"/>
    <w:rsid w:val="00FB52FE"/>
    <w:rsid w:val="00FC0A34"/>
    <w:rsid w:val="00FD0C5D"/>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9B1D28B-B603-4BBC-83A0-F6EA2BD9B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4763A9"/>
    <w:pPr>
      <w:tabs>
        <w:tab w:val="right" w:pos="454"/>
        <w:tab w:val="left" w:pos="737"/>
      </w:tabs>
      <w:ind w:left="737" w:hanging="737"/>
    </w:pPr>
    <w:rPr>
      <w:snapToGrid w:val="0"/>
      <w:sz w:val="18"/>
      <w:lang w:eastAsia="en-US"/>
    </w:rPr>
  </w:style>
  <w:style w:type="paragraph" w:customStyle="1" w:styleId="Lgendetitre">
    <w:name w:val="Légende titre"/>
    <w:basedOn w:val="Normal"/>
    <w:rsid w:val="004763A9"/>
    <w:pPr>
      <w:spacing w:before="240" w:after="240"/>
    </w:pPr>
    <w:rPr>
      <w:b/>
      <w:i/>
      <w:snapToGrid w:val="0"/>
      <w:lang w:eastAsia="en-US"/>
    </w:rPr>
  </w:style>
  <w:style w:type="paragraph" w:customStyle="1" w:styleId="Lgendestandard">
    <w:name w:val="Légende standard"/>
    <w:basedOn w:val="Normal"/>
    <w:rsid w:val="004763A9"/>
    <w:rPr>
      <w:sz w:val="18"/>
    </w:rPr>
  </w:style>
  <w:style w:type="character" w:customStyle="1" w:styleId="NormalBoldChar">
    <w:name w:val="NormalBold Char"/>
    <w:basedOn w:val="DefaultParagraphFont"/>
    <w:link w:val="NormalBold"/>
    <w:rsid w:val="004763A9"/>
    <w:rPr>
      <w:b/>
      <w:sz w:val="24"/>
      <w:lang w:val="da-DK"/>
    </w:rPr>
  </w:style>
  <w:style w:type="paragraph" w:customStyle="1" w:styleId="EntPE">
    <w:name w:val="EntPE"/>
    <w:basedOn w:val="Normal12"/>
    <w:rsid w:val="004763A9"/>
    <w:pPr>
      <w:jc w:val="center"/>
    </w:pPr>
    <w:rPr>
      <w:noProof w:val="0"/>
      <w:sz w:val="56"/>
    </w:rPr>
  </w:style>
  <w:style w:type="paragraph" w:customStyle="1" w:styleId="Normal12">
    <w:name w:val="Normal12"/>
    <w:basedOn w:val="Normal"/>
    <w:link w:val="Normal12Char"/>
    <w:rsid w:val="004763A9"/>
    <w:pPr>
      <w:spacing w:after="240"/>
    </w:pPr>
    <w:rPr>
      <w:noProof/>
    </w:rPr>
  </w:style>
  <w:style w:type="paragraph" w:customStyle="1" w:styleId="CommitteeAM">
    <w:name w:val="CommitteeAM"/>
    <w:basedOn w:val="Normal"/>
    <w:rsid w:val="004763A9"/>
    <w:pPr>
      <w:spacing w:before="240" w:after="600"/>
      <w:jc w:val="center"/>
    </w:pPr>
    <w:rPr>
      <w:i/>
    </w:rPr>
  </w:style>
  <w:style w:type="paragraph" w:customStyle="1" w:styleId="ZDateAM">
    <w:name w:val="ZDateAM"/>
    <w:basedOn w:val="Normal"/>
    <w:rsid w:val="004763A9"/>
    <w:pPr>
      <w:tabs>
        <w:tab w:val="right" w:pos="9356"/>
      </w:tabs>
      <w:spacing w:after="480"/>
    </w:pPr>
    <w:rPr>
      <w:noProof/>
    </w:rPr>
  </w:style>
  <w:style w:type="paragraph" w:customStyle="1" w:styleId="ProjRap">
    <w:name w:val="ProjRap"/>
    <w:basedOn w:val="Normal"/>
    <w:rsid w:val="004763A9"/>
    <w:pPr>
      <w:tabs>
        <w:tab w:val="right" w:pos="9356"/>
      </w:tabs>
    </w:pPr>
    <w:rPr>
      <w:b/>
      <w:noProof/>
    </w:rPr>
  </w:style>
  <w:style w:type="character" w:customStyle="1" w:styleId="Normal12Char">
    <w:name w:val="Normal12 Char"/>
    <w:basedOn w:val="DefaultParagraphFont"/>
    <w:link w:val="Normal12"/>
    <w:locked/>
    <w:rsid w:val="004763A9"/>
    <w:rPr>
      <w:noProof/>
      <w:sz w:val="24"/>
    </w:rPr>
  </w:style>
  <w:style w:type="paragraph" w:customStyle="1" w:styleId="PELeft">
    <w:name w:val="PELeft"/>
    <w:basedOn w:val="Normal"/>
    <w:rsid w:val="004763A9"/>
    <w:pPr>
      <w:spacing w:before="40" w:after="40"/>
    </w:pPr>
    <w:rPr>
      <w:rFonts w:ascii="Arial" w:hAnsi="Arial" w:cs="Arial"/>
      <w:sz w:val="22"/>
      <w:szCs w:val="22"/>
    </w:rPr>
  </w:style>
  <w:style w:type="paragraph" w:customStyle="1" w:styleId="PERight">
    <w:name w:val="PERight"/>
    <w:basedOn w:val="Normal"/>
    <w:next w:val="Normal"/>
    <w:rsid w:val="004763A9"/>
    <w:pPr>
      <w:jc w:val="right"/>
    </w:pPr>
    <w:rPr>
      <w:rFonts w:ascii="Arial" w:hAnsi="Arial" w:cs="Arial"/>
      <w:sz w:val="22"/>
      <w:szCs w:val="22"/>
    </w:rPr>
  </w:style>
  <w:style w:type="paragraph" w:customStyle="1" w:styleId="Normal6">
    <w:name w:val="Normal6"/>
    <w:basedOn w:val="Normal"/>
    <w:link w:val="Normal6Char"/>
    <w:rsid w:val="004763A9"/>
    <w:pPr>
      <w:spacing w:after="120"/>
    </w:pPr>
  </w:style>
  <w:style w:type="paragraph" w:customStyle="1" w:styleId="Normal12Italic">
    <w:name w:val="Normal12Italic"/>
    <w:basedOn w:val="Normal12"/>
    <w:rsid w:val="004763A9"/>
    <w:rPr>
      <w:i/>
    </w:rPr>
  </w:style>
  <w:style w:type="paragraph" w:customStyle="1" w:styleId="JustificationTitle">
    <w:name w:val="JustificationTitle"/>
    <w:basedOn w:val="Normal"/>
    <w:next w:val="Normal12"/>
    <w:rsid w:val="004763A9"/>
    <w:pPr>
      <w:keepNext/>
      <w:spacing w:before="240" w:after="240"/>
      <w:jc w:val="center"/>
    </w:pPr>
    <w:rPr>
      <w:i/>
      <w:noProof/>
    </w:rPr>
  </w:style>
  <w:style w:type="paragraph" w:customStyle="1" w:styleId="Olang">
    <w:name w:val="Olang"/>
    <w:basedOn w:val="Normal"/>
    <w:rsid w:val="004763A9"/>
    <w:pPr>
      <w:spacing w:before="240" w:after="240"/>
      <w:jc w:val="right"/>
    </w:pPr>
    <w:rPr>
      <w:noProof/>
      <w:szCs w:val="24"/>
    </w:rPr>
  </w:style>
  <w:style w:type="character" w:customStyle="1" w:styleId="Normal6Char">
    <w:name w:val="Normal6 Char"/>
    <w:basedOn w:val="DefaultParagraphFont"/>
    <w:link w:val="Normal6"/>
    <w:rsid w:val="004763A9"/>
    <w:rPr>
      <w:sz w:val="24"/>
      <w:lang w:val="da-DK"/>
    </w:rPr>
  </w:style>
  <w:style w:type="paragraph" w:customStyle="1" w:styleId="ColumnHeading">
    <w:name w:val="ColumnHeading"/>
    <w:basedOn w:val="Normal"/>
    <w:rsid w:val="004763A9"/>
    <w:pPr>
      <w:spacing w:after="240"/>
      <w:jc w:val="center"/>
    </w:pPr>
    <w:rPr>
      <w:i/>
    </w:rPr>
  </w:style>
  <w:style w:type="paragraph" w:customStyle="1" w:styleId="AMNumberTabs0">
    <w:name w:val="AMNumberTabs"/>
    <w:basedOn w:val="Normal"/>
    <w:rsid w:val="004763A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4763A9"/>
    <w:pPr>
      <w:spacing w:before="240"/>
      <w:jc w:val="center"/>
    </w:pPr>
    <w:rPr>
      <w:i/>
    </w:rPr>
  </w:style>
  <w:style w:type="paragraph" w:styleId="Footer">
    <w:name w:val="footer"/>
    <w:link w:val="FooterChar"/>
    <w:rsid w:val="004763A9"/>
    <w:pPr>
      <w:tabs>
        <w:tab w:val="center" w:pos="4536"/>
        <w:tab w:val="right" w:pos="9072"/>
      </w:tabs>
      <w:spacing w:before="240" w:after="240" w:line="221" w:lineRule="auto"/>
    </w:pPr>
    <w:rPr>
      <w:sz w:val="22"/>
    </w:rPr>
  </w:style>
  <w:style w:type="character" w:customStyle="1" w:styleId="FooterChar">
    <w:name w:val="Footer Char"/>
    <w:basedOn w:val="DefaultParagraphFont"/>
    <w:link w:val="Footer"/>
    <w:rsid w:val="004763A9"/>
    <w:rPr>
      <w:sz w:val="22"/>
    </w:rPr>
  </w:style>
  <w:style w:type="paragraph" w:customStyle="1" w:styleId="Footer2">
    <w:name w:val="Footer2"/>
    <w:basedOn w:val="Normal12"/>
    <w:rsid w:val="004763A9"/>
    <w:pPr>
      <w:tabs>
        <w:tab w:val="center" w:pos="4535"/>
        <w:tab w:val="right" w:pos="9923"/>
      </w:tabs>
      <w:spacing w:line="480" w:lineRule="auto"/>
      <w:ind w:left="-851"/>
    </w:pPr>
    <w:rPr>
      <w:rFonts w:ascii="Arial" w:cs="Arial"/>
      <w:b/>
      <w:sz w:val="48"/>
    </w:rPr>
  </w:style>
  <w:style w:type="character" w:customStyle="1" w:styleId="Footer2Middle">
    <w:name w:val="Footer2Middle"/>
    <w:rsid w:val="004763A9"/>
    <w:rPr>
      <w:rFonts w:ascii="Arial" w:cs="Arial"/>
      <w:b w:val="0"/>
      <w:i/>
      <w:color w:val="C0C0C0"/>
      <w:sz w:val="22"/>
    </w:rPr>
  </w:style>
  <w:style w:type="paragraph" w:styleId="BalloonText">
    <w:name w:val="Balloon Text"/>
    <w:basedOn w:val="Normal"/>
    <w:link w:val="BalloonTextChar"/>
    <w:semiHidden/>
    <w:unhideWhenUsed/>
    <w:rsid w:val="004763A9"/>
    <w:rPr>
      <w:rFonts w:ascii="Segoe UI" w:hAnsi="Segoe UI" w:cs="Segoe UI"/>
      <w:sz w:val="18"/>
      <w:szCs w:val="18"/>
    </w:rPr>
  </w:style>
  <w:style w:type="character" w:customStyle="1" w:styleId="BalloonTextChar">
    <w:name w:val="Balloon Text Char"/>
    <w:basedOn w:val="DefaultParagraphFont"/>
    <w:link w:val="BalloonText"/>
    <w:semiHidden/>
    <w:rsid w:val="004763A9"/>
    <w:rPr>
      <w:rFonts w:ascii="Segoe UI" w:hAnsi="Segoe UI" w:cs="Segoe UI"/>
      <w:sz w:val="18"/>
      <w:szCs w:val="18"/>
    </w:rPr>
  </w:style>
  <w:style w:type="paragraph" w:customStyle="1" w:styleId="Body">
    <w:name w:val="Body"/>
    <w:rsid w:val="004763A9"/>
    <w:pPr>
      <w:pBdr>
        <w:top w:val="nil"/>
        <w:left w:val="nil"/>
        <w:bottom w:val="nil"/>
        <w:right w:val="nil"/>
        <w:between w:val="nil"/>
        <w:bar w:val="nil"/>
      </w:pBdr>
      <w:jc w:val="both"/>
    </w:pPr>
    <w:rPr>
      <w:rFonts w:eastAsia="Arial Unicode MS" w:cs="Arial Unicode MS"/>
      <w:color w:val="000000"/>
      <w:sz w:val="24"/>
      <w:szCs w:val="24"/>
      <w:u w:color="000000"/>
      <w:bdr w:val="nil"/>
      <w14:textOutline w14:w="0" w14:cap="flat" w14:cmpd="sng" w14:algn="ctr">
        <w14:noFill/>
        <w14:prstDash w14:val="solid"/>
        <w14:bevel/>
      </w14:textOutline>
    </w:rPr>
  </w:style>
  <w:style w:type="paragraph" w:styleId="FootnoteText">
    <w:name w:val="footnote text"/>
    <w:link w:val="FootnoteTextChar"/>
    <w:rsid w:val="004763A9"/>
    <w:pPr>
      <w:pBdr>
        <w:top w:val="nil"/>
        <w:left w:val="nil"/>
        <w:bottom w:val="nil"/>
        <w:right w:val="nil"/>
        <w:between w:val="nil"/>
        <w:bar w:val="nil"/>
      </w:pBdr>
      <w:ind w:left="720" w:hanging="720"/>
      <w:jc w:val="both"/>
    </w:pPr>
    <w:rPr>
      <w:color w:val="000000"/>
      <w:u w:color="000000"/>
      <w:bdr w:val="nil"/>
    </w:rPr>
  </w:style>
  <w:style w:type="character" w:customStyle="1" w:styleId="FootnoteTextChar">
    <w:name w:val="Footnote Text Char"/>
    <w:basedOn w:val="DefaultParagraphFont"/>
    <w:link w:val="FootnoteText"/>
    <w:rsid w:val="004763A9"/>
    <w:rPr>
      <w:color w:val="000000"/>
      <w:u w:color="000000"/>
      <w:bdr w:val="nil"/>
      <w:lang w:val="da-DK"/>
    </w:rPr>
  </w:style>
  <w:style w:type="character" w:styleId="CommentReference">
    <w:name w:val="annotation reference"/>
    <w:basedOn w:val="DefaultParagraphFont"/>
    <w:rsid w:val="004763A9"/>
    <w:rPr>
      <w:sz w:val="16"/>
      <w:szCs w:val="16"/>
    </w:rPr>
  </w:style>
  <w:style w:type="paragraph" w:styleId="CommentText">
    <w:name w:val="annotation text"/>
    <w:basedOn w:val="Normal"/>
    <w:link w:val="CommentTextChar"/>
    <w:rsid w:val="004763A9"/>
    <w:rPr>
      <w:sz w:val="20"/>
    </w:rPr>
  </w:style>
  <w:style w:type="character" w:customStyle="1" w:styleId="CommentTextChar">
    <w:name w:val="Comment Text Char"/>
    <w:basedOn w:val="DefaultParagraphFont"/>
    <w:link w:val="CommentText"/>
    <w:rsid w:val="004763A9"/>
  </w:style>
  <w:style w:type="paragraph" w:styleId="CommentSubject">
    <w:name w:val="annotation subject"/>
    <w:basedOn w:val="CommentText"/>
    <w:next w:val="CommentText"/>
    <w:link w:val="CommentSubjectChar"/>
    <w:semiHidden/>
    <w:unhideWhenUsed/>
    <w:rsid w:val="004763A9"/>
    <w:rPr>
      <w:b/>
      <w:bCs/>
    </w:rPr>
  </w:style>
  <w:style w:type="character" w:customStyle="1" w:styleId="CommentSubjectChar">
    <w:name w:val="Comment Subject Char"/>
    <w:basedOn w:val="CommentTextChar"/>
    <w:link w:val="CommentSubject"/>
    <w:semiHidden/>
    <w:rsid w:val="004763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7364D-FB06-4A61-9507-417E32C61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7070</Words>
  <Characters>43482</Characters>
  <Application>Microsoft Office Word</Application>
  <DocSecurity>0</DocSecurity>
  <Lines>1672</Lines>
  <Paragraphs>754</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49798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JOHANNSEN Lena</dc:creator>
  <cp:lastModifiedBy>RORMAND Mia</cp:lastModifiedBy>
  <cp:revision>2</cp:revision>
  <cp:lastPrinted>2004-11-04T09:41:00Z</cp:lastPrinted>
  <dcterms:created xsi:type="dcterms:W3CDTF">2022-11-07T14:19:00Z</dcterms:created>
  <dcterms:modified xsi:type="dcterms:W3CDTF">2022-11-07T14:19:00Z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1265121</vt:lpwstr>
  </property>
  <property fmtid="{D5CDD505-2E9C-101B-9397-08002B2CF9AE}" pid="4" name="&lt;Model&gt;">
    <vt:lpwstr>PR_COD_1amCom</vt:lpwstr>
  </property>
  <property fmtid="{D5CDD505-2E9C-101B-9397-08002B2CF9AE}" pid="5" name="&lt;ModelCod&gt;">
    <vt:lpwstr>\\eiciLUXpr1\pdocep$\DocEP\DOCS\General\PR\PR_Leg\COD\COD_1st\PR_COD_1amCom.dotx(17/04/2020 19:27:09)</vt:lpwstr>
  </property>
  <property fmtid="{D5CDD505-2E9C-101B-9397-08002B2CF9AE}" pid="6" name="&lt;ModelTra&gt;">
    <vt:lpwstr>\\eiciLUXpr1\pdocep$\DocEP\TRANSFIL\DA\PR_COD_1amCom.DA(29/06/2022 10:20:55)</vt:lpwstr>
  </property>
  <property fmtid="{D5CDD505-2E9C-101B-9397-08002B2CF9AE}" pid="7" name="&lt;Type&gt;">
    <vt:lpwstr>PR</vt:lpwstr>
  </property>
  <property fmtid="{D5CDD505-2E9C-101B-9397-08002B2CF9AE}" pid="8" name="Created with">
    <vt:lpwstr>9.11.0 Build [20211103]</vt:lpwstr>
  </property>
  <property fmtid="{D5CDD505-2E9C-101B-9397-08002B2CF9AE}" pid="9" name="FooterPath">
    <vt:lpwstr>PR\1265121DA.docx</vt:lpwstr>
  </property>
  <property fmtid="{D5CDD505-2E9C-101B-9397-08002B2CF9AE}" pid="10" name="LastEdited with">
    <vt:lpwstr>9.11.0 Build [20211103]</vt:lpwstr>
  </property>
  <property fmtid="{D5CDD505-2E9C-101B-9397-08002B2CF9AE}" pid="11" name="PE number">
    <vt:lpwstr>737.330</vt:lpwstr>
  </property>
  <property fmtid="{D5CDD505-2E9C-101B-9397-08002B2CF9AE}" pid="12" name="SDLStudio">
    <vt:lpwstr/>
  </property>
  <property fmtid="{D5CDD505-2E9C-101B-9397-08002B2CF9AE}" pid="13" name="Bookout">
    <vt:lpwstr>OK - 2022/11/07 15:19</vt:lpwstr>
  </property>
</Properties>
</file>