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9666E" w:rsidTr="00D7587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590624" w:rsidRDefault="0064266D" w:rsidP="00D7587E">
            <w:pPr>
              <w:pStyle w:val="EPName"/>
            </w:pPr>
            <w:bookmarkStart w:id="0" w:name="_GoBack"/>
            <w:bookmarkEnd w:id="0"/>
            <w:r>
              <w:t>Parlament Europejski</w:t>
            </w:r>
          </w:p>
          <w:p w:rsidR="00B13D6F" w:rsidRPr="00590624" w:rsidRDefault="0064266D" w:rsidP="00A90F84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590624" w:rsidRDefault="0064266D" w:rsidP="00D7587E">
            <w:pPr>
              <w:pStyle w:val="EPLogo"/>
            </w:pPr>
            <w:r w:rsidRPr="0059062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428407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590624" w:rsidRDefault="00461601" w:rsidP="00461601">
      <w:pPr>
        <w:pStyle w:val="LineTop"/>
      </w:pPr>
    </w:p>
    <w:p w:rsidR="00461601" w:rsidRPr="009308D0" w:rsidRDefault="0064266D" w:rsidP="00461601">
      <w:pPr>
        <w:pStyle w:val="EPBody"/>
      </w:pPr>
      <w:r w:rsidRPr="0064266D">
        <w:rPr>
          <w:rStyle w:val="HideTWBExt"/>
        </w:rPr>
        <w:t>&lt;</w:t>
      </w:r>
      <w:r w:rsidRPr="0064266D">
        <w:rPr>
          <w:rStyle w:val="HideTWBExt"/>
          <w:i w:val="0"/>
        </w:rPr>
        <w:t>Commission</w:t>
      </w:r>
      <w:r w:rsidRPr="0064266D">
        <w:rPr>
          <w:rStyle w:val="HideTWBExt"/>
        </w:rPr>
        <w:t>&gt;</w:t>
      </w:r>
      <w:r w:rsidRPr="0064266D">
        <w:rPr>
          <w:rStyle w:val="HideTWBInt"/>
          <w:color w:val="auto"/>
        </w:rPr>
        <w:t>{LIBE}</w:t>
      </w:r>
      <w:r>
        <w:t>Komisja Wolności Obywatelskich, Sprawiedliwości i Spraw Wewnętrznych</w:t>
      </w:r>
      <w:r w:rsidRPr="0064266D">
        <w:rPr>
          <w:rStyle w:val="HideTWBExt"/>
        </w:rPr>
        <w:t>&lt;/</w:t>
      </w:r>
      <w:r w:rsidRPr="0064266D">
        <w:rPr>
          <w:rStyle w:val="HideTWBExt"/>
          <w:i w:val="0"/>
        </w:rPr>
        <w:t>Commission</w:t>
      </w:r>
      <w:r w:rsidRPr="0064266D">
        <w:rPr>
          <w:rStyle w:val="HideTWBExt"/>
        </w:rPr>
        <w:t>&gt;</w:t>
      </w:r>
    </w:p>
    <w:p w:rsidR="00461601" w:rsidRPr="0064266D" w:rsidRDefault="00461601" w:rsidP="00461601">
      <w:pPr>
        <w:pStyle w:val="LineBottom"/>
      </w:pPr>
    </w:p>
    <w:p w:rsidR="00793EA9" w:rsidRPr="009308D0" w:rsidRDefault="0064266D">
      <w:pPr>
        <w:pStyle w:val="CoverReference"/>
      </w:pPr>
      <w:r w:rsidRPr="0064266D">
        <w:rPr>
          <w:rStyle w:val="HideTWBExt"/>
          <w:b w:val="0"/>
        </w:rPr>
        <w:t>&lt;RefProc&gt;</w:t>
      </w:r>
      <w:r>
        <w:t>2022/0132</w:t>
      </w:r>
      <w:r w:rsidRPr="0064266D">
        <w:rPr>
          <w:rStyle w:val="HideTWBExt"/>
          <w:b w:val="0"/>
        </w:rPr>
        <w:t>&lt;/RefProc&gt;&lt;RefTypeProc&gt;</w:t>
      </w:r>
      <w:r>
        <w:t>(COD)</w:t>
      </w:r>
      <w:r w:rsidRPr="0064266D">
        <w:rPr>
          <w:rStyle w:val="HideTWBExt"/>
          <w:b w:val="0"/>
        </w:rPr>
        <w:t>&lt;/RefTypeProc&gt;</w:t>
      </w:r>
    </w:p>
    <w:p w:rsidR="00793EA9" w:rsidRPr="009308D0" w:rsidRDefault="0064266D">
      <w:pPr>
        <w:pStyle w:val="CoverDate"/>
      </w:pPr>
      <w:r w:rsidRPr="0064266D">
        <w:rPr>
          <w:rStyle w:val="HideTWBExt"/>
        </w:rPr>
        <w:t>&lt;Date&gt;</w:t>
      </w:r>
      <w:r w:rsidRPr="0064266D">
        <w:rPr>
          <w:rStyle w:val="HideTWBInt"/>
          <w:color w:val="auto"/>
        </w:rPr>
        <w:t>{18/10/2022}</w:t>
      </w:r>
      <w:r>
        <w:t>18.10.2022</w:t>
      </w:r>
      <w:r w:rsidRPr="0064266D">
        <w:rPr>
          <w:rStyle w:val="HideTWBExt"/>
        </w:rPr>
        <w:t>&lt;/Date&gt;</w:t>
      </w:r>
    </w:p>
    <w:p w:rsidR="00793EA9" w:rsidRPr="009308D0" w:rsidRDefault="0064266D">
      <w:pPr>
        <w:pStyle w:val="CoverDocType"/>
      </w:pPr>
      <w:r w:rsidRPr="0064266D">
        <w:rPr>
          <w:rStyle w:val="HideTWBExt"/>
          <w:b w:val="0"/>
        </w:rPr>
        <w:t>&lt;RefProcLect&gt;</w:t>
      </w:r>
      <w:r>
        <w:t>***I</w:t>
      </w:r>
      <w:r w:rsidRPr="0064266D">
        <w:rPr>
          <w:rStyle w:val="HideTWBExt"/>
          <w:b w:val="0"/>
        </w:rPr>
        <w:t>&lt;/RefProcLect&gt;</w:t>
      </w:r>
    </w:p>
    <w:p w:rsidR="00793EA9" w:rsidRPr="009308D0" w:rsidRDefault="0064266D">
      <w:pPr>
        <w:pStyle w:val="CoverDocType24a"/>
      </w:pPr>
      <w:r w:rsidRPr="0064266D">
        <w:rPr>
          <w:rStyle w:val="HideTWBExt"/>
          <w:b w:val="0"/>
        </w:rPr>
        <w:t>&lt;TitreType&gt;</w:t>
      </w:r>
      <w:r>
        <w:t>PROJEKT SPRAWOZDANIA</w:t>
      </w:r>
      <w:r w:rsidRPr="0064266D">
        <w:rPr>
          <w:rStyle w:val="HideTWBExt"/>
          <w:b w:val="0"/>
        </w:rPr>
        <w:t>&lt;/TitreType&gt;</w:t>
      </w:r>
    </w:p>
    <w:p w:rsidR="00793EA9" w:rsidRPr="009308D0" w:rsidRDefault="0064266D">
      <w:pPr>
        <w:pStyle w:val="CoverNormal"/>
      </w:pPr>
      <w:r w:rsidRPr="0064266D">
        <w:rPr>
          <w:rStyle w:val="HideTWBExt"/>
        </w:rPr>
        <w:t>&lt;Titre&gt;</w:t>
      </w:r>
      <w:proofErr w:type="gramStart"/>
      <w:r>
        <w:t>w</w:t>
      </w:r>
      <w:proofErr w:type="gramEnd"/>
      <w:r>
        <w:t xml:space="preserve"> sprawie wniosku dotyczącego rozporządzenia Parlamentu Europejskiego i Rady zmieniającego rozporządzenia Parlamentu Europejskiego i Rady (WE) nr 767/2008, (WE) nr 810/2009 i (UE) 2017/2226,</w:t>
      </w:r>
      <w:r>
        <w:t xml:space="preserve"> rozporządzenia Rady (WE) nr 1683/95, (WE) nr 333/2002, (WE) nr 693/2003 i (WE) nr 694/2003 oraz konwencję wykonawczą do układu z </w:t>
      </w:r>
      <w:proofErr w:type="spellStart"/>
      <w:r>
        <w:t>Schengen</w:t>
      </w:r>
      <w:proofErr w:type="spellEnd"/>
      <w:r>
        <w:t xml:space="preserve"> w zakresie cyfryzacji procedury wizowej</w:t>
      </w:r>
      <w:r w:rsidRPr="0064266D">
        <w:rPr>
          <w:rStyle w:val="HideTWBExt"/>
        </w:rPr>
        <w:t>&lt;/Titre&gt;</w:t>
      </w:r>
    </w:p>
    <w:p w:rsidR="00793EA9" w:rsidRPr="009308D0" w:rsidRDefault="0064266D">
      <w:pPr>
        <w:pStyle w:val="CoverNormal24a"/>
      </w:pPr>
      <w:r w:rsidRPr="0064266D">
        <w:rPr>
          <w:rStyle w:val="HideTWBExt"/>
        </w:rPr>
        <w:t>&lt;DocRef&gt;</w:t>
      </w:r>
      <w:r>
        <w:t>(COM</w:t>
      </w:r>
      <w:proofErr w:type="gramStart"/>
      <w:r>
        <w:t>(2022)0658 – C</w:t>
      </w:r>
      <w:proofErr w:type="gramEnd"/>
      <w:r>
        <w:t>9</w:t>
      </w:r>
      <w:r>
        <w:noBreakHyphen/>
        <w:t>0165/2022 – 2022/0132(COD))</w:t>
      </w:r>
      <w:r w:rsidRPr="0064266D">
        <w:rPr>
          <w:rStyle w:val="HideTWBExt"/>
        </w:rPr>
        <w:t>&lt;/DocRef&gt;</w:t>
      </w:r>
    </w:p>
    <w:p w:rsidR="00793EA9" w:rsidRPr="009308D0" w:rsidRDefault="0064266D">
      <w:pPr>
        <w:pStyle w:val="CoverNormal24a"/>
      </w:pPr>
      <w:r w:rsidRPr="0064266D">
        <w:rPr>
          <w:rStyle w:val="HideTWBExt"/>
        </w:rPr>
        <w:t>&lt;Com</w:t>
      </w:r>
      <w:r w:rsidRPr="0064266D">
        <w:rPr>
          <w:rStyle w:val="HideTWBExt"/>
        </w:rPr>
        <w:t>mission&gt;</w:t>
      </w:r>
      <w:r w:rsidRPr="0064266D">
        <w:rPr>
          <w:rStyle w:val="HideTWBInt"/>
          <w:color w:val="auto"/>
        </w:rPr>
        <w:t>{LIBE}</w:t>
      </w:r>
      <w:r>
        <w:t>Komisja Wolności Obywatelskich, Sprawiedliwości i Spraw Wewnętrznych</w:t>
      </w:r>
      <w:r w:rsidRPr="0064266D">
        <w:rPr>
          <w:rStyle w:val="HideTWBExt"/>
        </w:rPr>
        <w:t>&lt;/Commission&gt;</w:t>
      </w:r>
    </w:p>
    <w:p w:rsidR="00793EA9" w:rsidRPr="009308D0" w:rsidRDefault="0064266D">
      <w:pPr>
        <w:pStyle w:val="CoverNormal24a"/>
      </w:pPr>
      <w:r>
        <w:t xml:space="preserve">Sprawozdawca komisji opiniodawczej: </w:t>
      </w:r>
      <w:r w:rsidRPr="0064266D">
        <w:rPr>
          <w:rStyle w:val="HideTWBExt"/>
        </w:rPr>
        <w:t>&lt;Depute&gt;</w:t>
      </w:r>
      <w:proofErr w:type="spellStart"/>
      <w:r>
        <w:t>Matjaž</w:t>
      </w:r>
      <w:proofErr w:type="spellEnd"/>
      <w:r>
        <w:t xml:space="preserve"> </w:t>
      </w:r>
      <w:proofErr w:type="spellStart"/>
      <w:r>
        <w:t>Nemec</w:t>
      </w:r>
      <w:proofErr w:type="spellEnd"/>
      <w:r w:rsidRPr="0064266D">
        <w:rPr>
          <w:rStyle w:val="HideTWBExt"/>
        </w:rPr>
        <w:t>&lt;/Depute&gt;</w:t>
      </w:r>
    </w:p>
    <w:p w:rsidR="001C5B44" w:rsidRPr="0064266D" w:rsidRDefault="001C5B44" w:rsidP="001C5B44">
      <w:pPr>
        <w:pStyle w:val="CoverNormal"/>
      </w:pPr>
    </w:p>
    <w:p w:rsidR="00A90F84" w:rsidRPr="009308D0" w:rsidRDefault="0064266D" w:rsidP="00D7587E">
      <w:r>
        <w:br w:type="page"/>
      </w:r>
      <w:r w:rsidRPr="00590624">
        <w:lastRenderedPageBreak/>
        <w:fldChar w:fldCharType="begin"/>
      </w:r>
      <w:r w:rsidRPr="009308D0">
        <w:instrText xml:space="preserve"> TITLE  \* MERGEFORMAT </w:instrText>
      </w:r>
      <w:r w:rsidRPr="00590624">
        <w:fldChar w:fldCharType="separate"/>
      </w:r>
      <w:r w:rsidRPr="0064266D">
        <w:rPr>
          <w:lang w:val="fr-FR"/>
        </w:rPr>
        <w:t>PR_COD_1amCom</w:t>
      </w:r>
      <w:r w:rsidRPr="00590624">
        <w:fldChar w:fldCharType="end"/>
      </w:r>
    </w:p>
    <w:p w:rsidR="00A90F84" w:rsidRPr="009308D0" w:rsidRDefault="00A90F84" w:rsidP="00D7587E">
      <w:pPr>
        <w:rPr>
          <w:lang w:val="fr-FR"/>
        </w:rPr>
      </w:pPr>
    </w:p>
    <w:p w:rsidR="00A90F84" w:rsidRPr="009308D0" w:rsidRDefault="00A90F84" w:rsidP="00D7587E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9666E" w:rsidTr="00BB5FFC">
        <w:tc>
          <w:tcPr>
            <w:tcW w:w="5811" w:type="dxa"/>
          </w:tcPr>
          <w:p w:rsidR="009308D0" w:rsidRPr="00C302F7" w:rsidRDefault="0064266D" w:rsidP="00BB5FFC">
            <w:pPr>
              <w:pStyle w:val="Lgendetitre"/>
            </w:pPr>
            <w:r>
              <w:t>Objaśnienie używanych znaków</w:t>
            </w:r>
          </w:p>
        </w:tc>
      </w:tr>
      <w:tr w:rsidR="0009666E" w:rsidTr="00BB5FFC">
        <w:trPr>
          <w:cantSplit/>
          <w:trHeight w:val="1949"/>
        </w:trPr>
        <w:tc>
          <w:tcPr>
            <w:tcW w:w="5811" w:type="dxa"/>
            <w:tcBorders>
              <w:bottom w:val="single" w:sz="4" w:space="0" w:color="auto"/>
            </w:tcBorders>
          </w:tcPr>
          <w:p w:rsidR="009308D0" w:rsidRPr="00C302F7" w:rsidRDefault="0064266D" w:rsidP="00BB5FFC">
            <w:pPr>
              <w:pStyle w:val="Lgendesigne"/>
            </w:pPr>
            <w:r>
              <w:tab/>
              <w:t>*</w:t>
            </w:r>
            <w:r>
              <w:tab/>
              <w:t xml:space="preserve">Procedura </w:t>
            </w:r>
            <w:r>
              <w:t>konsultacji</w:t>
            </w:r>
            <w:r>
              <w:tab/>
            </w:r>
          </w:p>
          <w:p w:rsidR="009308D0" w:rsidRPr="00C302F7" w:rsidRDefault="0064266D" w:rsidP="00BB5FFC">
            <w:pPr>
              <w:pStyle w:val="Lgendesigne"/>
            </w:pPr>
            <w:r>
              <w:tab/>
              <w:t>***</w:t>
            </w:r>
            <w:r>
              <w:tab/>
              <w:t>Procedura zgody</w:t>
            </w:r>
          </w:p>
          <w:p w:rsidR="009308D0" w:rsidRPr="00C302F7" w:rsidRDefault="0064266D" w:rsidP="00BB5FFC">
            <w:pPr>
              <w:pStyle w:val="Lgendesigne"/>
            </w:pPr>
            <w:r>
              <w:tab/>
              <w:t>***I</w:t>
            </w:r>
            <w:r>
              <w:tab/>
              <w:t>Zwykła procedura ustawodawcza (pierwsze czytanie)</w:t>
            </w:r>
          </w:p>
          <w:p w:rsidR="009308D0" w:rsidRPr="00C302F7" w:rsidRDefault="0064266D" w:rsidP="00BB5FFC">
            <w:pPr>
              <w:pStyle w:val="Lgendesigne"/>
            </w:pPr>
            <w:r>
              <w:tab/>
              <w:t>***II</w:t>
            </w:r>
            <w:r>
              <w:tab/>
              <w:t>Zwykła procedura ustawodawcza (drugie czytanie)</w:t>
            </w:r>
          </w:p>
          <w:p w:rsidR="009308D0" w:rsidRPr="00C302F7" w:rsidRDefault="0064266D" w:rsidP="00BB5FFC">
            <w:pPr>
              <w:pStyle w:val="Lgendesigne"/>
            </w:pPr>
            <w:r>
              <w:tab/>
              <w:t>***III</w:t>
            </w:r>
            <w:r>
              <w:tab/>
              <w:t>Zwykła procedura ustawodawcza (trzecie czytanie)</w:t>
            </w:r>
            <w:r>
              <w:br/>
            </w:r>
          </w:p>
          <w:p w:rsidR="009308D0" w:rsidRPr="00C302F7" w:rsidRDefault="0064266D" w:rsidP="00BB5FFC">
            <w:pPr>
              <w:pStyle w:val="Lgendestandard"/>
            </w:pPr>
            <w:r>
              <w:t>(Wskazana procedura opiera się na podstawie prawnej z</w:t>
            </w:r>
            <w:r>
              <w:t>aproponowanej w projekcie aktu)</w:t>
            </w:r>
          </w:p>
          <w:p w:rsidR="009308D0" w:rsidRPr="00C302F7" w:rsidRDefault="009308D0" w:rsidP="00BB5FFC">
            <w:pPr>
              <w:pStyle w:val="Lgendestandard"/>
            </w:pPr>
          </w:p>
        </w:tc>
      </w:tr>
    </w:tbl>
    <w:p w:rsidR="00A90F84" w:rsidRPr="0064266D" w:rsidRDefault="00A90F84" w:rsidP="00D7587E"/>
    <w:p w:rsidR="00A90F84" w:rsidRPr="0064266D" w:rsidRDefault="00A90F84" w:rsidP="00D7587E"/>
    <w:p w:rsidR="00A90F84" w:rsidRPr="0064266D" w:rsidRDefault="00A90F84" w:rsidP="00D7587E"/>
    <w:p w:rsidR="00A90F84" w:rsidRPr="0064266D" w:rsidRDefault="00A90F84" w:rsidP="00D7587E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09666E" w:rsidTr="00BB5FFC">
        <w:tc>
          <w:tcPr>
            <w:tcW w:w="5811" w:type="dxa"/>
          </w:tcPr>
          <w:p w:rsidR="009308D0" w:rsidRPr="00C302F7" w:rsidRDefault="0064266D" w:rsidP="00BB5FFC">
            <w:pPr>
              <w:pStyle w:val="Lgendetitre"/>
            </w:pPr>
            <w:r>
              <w:t>Poprawki do projektu aktu</w:t>
            </w:r>
          </w:p>
        </w:tc>
      </w:tr>
      <w:tr w:rsidR="0009666E" w:rsidTr="00BB5FFC">
        <w:tc>
          <w:tcPr>
            <w:tcW w:w="5811" w:type="dxa"/>
          </w:tcPr>
          <w:p w:rsidR="009308D0" w:rsidRPr="00C302F7" w:rsidRDefault="009308D0" w:rsidP="00BB5FFC">
            <w:pPr>
              <w:pStyle w:val="Lgendestandard"/>
            </w:pPr>
          </w:p>
          <w:p w:rsidR="009308D0" w:rsidRPr="00C302F7" w:rsidRDefault="0064266D" w:rsidP="00BB5FFC">
            <w:pPr>
              <w:pStyle w:val="Lgendestandard"/>
              <w:rPr>
                <w:szCs w:val="18"/>
              </w:rPr>
            </w:pPr>
            <w:r>
              <w:rPr>
                <w:b/>
              </w:rPr>
              <w:t>Poprawki Parlamentu w postaci dwóch kolumn</w:t>
            </w:r>
          </w:p>
          <w:p w:rsidR="009308D0" w:rsidRPr="00C302F7" w:rsidRDefault="009308D0" w:rsidP="00BB5FFC">
            <w:pPr>
              <w:pStyle w:val="Lgendestandard"/>
              <w:rPr>
                <w:szCs w:val="18"/>
              </w:rPr>
            </w:pPr>
          </w:p>
          <w:p w:rsidR="009308D0" w:rsidRPr="00C302F7" w:rsidRDefault="0064266D" w:rsidP="00BB5FFC">
            <w:pPr>
              <w:pStyle w:val="Lgendestandard"/>
              <w:rPr>
                <w:szCs w:val="18"/>
              </w:rPr>
            </w:pPr>
            <w:r>
              <w:t xml:space="preserve">Skreślenia zaznacza się </w:t>
            </w:r>
            <w:r>
              <w:rPr>
                <w:b/>
                <w:i/>
              </w:rPr>
              <w:t>wytłuszczonym drukiem i kursywą</w:t>
            </w:r>
            <w:r>
              <w:t xml:space="preserve"> w lewej kolumnie. Zmianę brzmienia zaznacza się </w:t>
            </w:r>
            <w:r>
              <w:rPr>
                <w:b/>
                <w:i/>
              </w:rPr>
              <w:t>wytłuszczonym drukiem i kursywą</w:t>
            </w:r>
            <w:r>
              <w:t xml:space="preserve"> w obu kolumnach. Nowy tekst zaznacza się </w:t>
            </w:r>
            <w:r>
              <w:rPr>
                <w:b/>
                <w:i/>
              </w:rPr>
              <w:t>wytłuszczonym drukiem i kursywą</w:t>
            </w:r>
            <w:r>
              <w:t xml:space="preserve"> w prawej kolumnie.</w:t>
            </w:r>
          </w:p>
          <w:p w:rsidR="009308D0" w:rsidRPr="00C302F7" w:rsidRDefault="009308D0" w:rsidP="00BB5FFC">
            <w:pPr>
              <w:pStyle w:val="Lgendestandard"/>
            </w:pPr>
          </w:p>
          <w:p w:rsidR="009308D0" w:rsidRPr="00C302F7" w:rsidRDefault="0064266D" w:rsidP="00BB5FFC">
            <w:pPr>
              <w:pStyle w:val="Lgendestandard"/>
            </w:pPr>
            <w:r>
              <w:t>Pierwszy i drugi wiersz nagłówka każdej poprawki wskazuje element rozpatrywanego projektu aktu, którego dotyczy poprawka. Jeżeli poprawka odnosi się do obowiązują</w:t>
            </w:r>
            <w:r>
              <w:t xml:space="preserve">cego aktu, do którego zmiany zmierza projekt aktu, nagłówek zawiera dodatkowo trzeci wiersz wskazujący obowiązujący akt i czwarty wiersz wskazujący przepis tego aktu, którego dotyczy poprawka. </w:t>
            </w:r>
          </w:p>
          <w:p w:rsidR="009308D0" w:rsidRPr="00C302F7" w:rsidRDefault="009308D0" w:rsidP="00BB5FFC">
            <w:pPr>
              <w:pStyle w:val="Lgendestandard"/>
            </w:pPr>
          </w:p>
          <w:p w:rsidR="009308D0" w:rsidRPr="00C302F7" w:rsidRDefault="0064266D" w:rsidP="00BB5FFC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Poprawki Parlamentu w postaci tekstu skonsolidowanego</w:t>
            </w:r>
          </w:p>
          <w:p w:rsidR="009308D0" w:rsidRPr="00C302F7" w:rsidRDefault="009308D0" w:rsidP="00BB5FFC">
            <w:pPr>
              <w:pStyle w:val="Lgendestandard"/>
              <w:rPr>
                <w:szCs w:val="18"/>
              </w:rPr>
            </w:pPr>
          </w:p>
          <w:p w:rsidR="009308D0" w:rsidRPr="00C302F7" w:rsidRDefault="0064266D" w:rsidP="00BB5FFC">
            <w:pPr>
              <w:pStyle w:val="Lgendestandard"/>
              <w:rPr>
                <w:szCs w:val="18"/>
              </w:rPr>
            </w:pPr>
            <w:r>
              <w:t>Nowe f</w:t>
            </w:r>
            <w:r>
              <w:t xml:space="preserve">ragmenty tekstu zaznacza się </w:t>
            </w:r>
            <w:r>
              <w:rPr>
                <w:b/>
                <w:i/>
              </w:rPr>
              <w:t>wytłuszczonym drukiem i kursywą</w:t>
            </w:r>
            <w:r>
              <w:t xml:space="preserve">. Fragmenty tekstu, które zostały skreślone, zaznacza się za pomocą symbolu ▌ lub przekreśla. Zmianę brzmienia zaznacza się przez wyróżnienie nowego tekstu </w:t>
            </w:r>
            <w:r>
              <w:rPr>
                <w:b/>
                <w:i/>
              </w:rPr>
              <w:t>wytłuszczonym drukiem i kursywą</w:t>
            </w:r>
            <w:r>
              <w:t xml:space="preserve"> i usunię</w:t>
            </w:r>
            <w:r>
              <w:t xml:space="preserve">cie lub przekreślenie zastąpionego tekstu. </w:t>
            </w:r>
          </w:p>
          <w:p w:rsidR="009308D0" w:rsidRPr="00C302F7" w:rsidRDefault="0064266D" w:rsidP="00BB5FFC">
            <w:pPr>
              <w:pStyle w:val="Lgendestandard"/>
            </w:pPr>
            <w:r>
              <w:t>Tytułem wyjątku nie zaznacza się zmian o charakterze ściśle technicznym wprowadzonych przez służby w celu opracowania końcowej wersji tekstu.</w:t>
            </w:r>
          </w:p>
          <w:p w:rsidR="009308D0" w:rsidRPr="00C302F7" w:rsidRDefault="009308D0" w:rsidP="00BB5FFC">
            <w:pPr>
              <w:pStyle w:val="Lgendestandard"/>
            </w:pPr>
          </w:p>
        </w:tc>
      </w:tr>
    </w:tbl>
    <w:p w:rsidR="00A90F84" w:rsidRPr="0064266D" w:rsidRDefault="00A90F84" w:rsidP="00D7587E"/>
    <w:p w:rsidR="00793EA9" w:rsidRPr="0064266D" w:rsidRDefault="00793EA9" w:rsidP="00012351">
      <w:pPr>
        <w:widowControl/>
        <w:tabs>
          <w:tab w:val="center" w:pos="4677"/>
        </w:tabs>
      </w:pPr>
    </w:p>
    <w:p w:rsidR="00793EA9" w:rsidRPr="0064266D" w:rsidRDefault="0064266D">
      <w:pPr>
        <w:pStyle w:val="TOCHeading"/>
        <w:rPr>
          <w:lang w:val="en-GB"/>
        </w:rPr>
      </w:pPr>
      <w:r w:rsidRPr="0064266D">
        <w:rPr>
          <w:lang w:val="en-GB"/>
        </w:rPr>
        <w:br w:type="page"/>
        <w:t>SPIS TREŚCI</w:t>
      </w:r>
    </w:p>
    <w:p w:rsidR="00793EA9" w:rsidRPr="0064266D" w:rsidRDefault="0064266D">
      <w:pPr>
        <w:pStyle w:val="TOCPage"/>
        <w:rPr>
          <w:lang w:val="en-GB"/>
        </w:rPr>
      </w:pPr>
      <w:proofErr w:type="spellStart"/>
      <w:r w:rsidRPr="0064266D">
        <w:rPr>
          <w:lang w:val="en-GB"/>
        </w:rPr>
        <w:t>Strona</w:t>
      </w:r>
      <w:proofErr w:type="spellEnd"/>
    </w:p>
    <w:p w:rsidR="0064266D" w:rsidRPr="0064266D" w:rsidRDefault="0064266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90624">
        <w:rPr>
          <w:b/>
        </w:rPr>
        <w:fldChar w:fldCharType="begin"/>
      </w:r>
      <w:r w:rsidRPr="0064266D">
        <w:rPr>
          <w:b/>
        </w:rPr>
        <w:instrText xml:space="preserve"> TOC \t "PageHeading;</w:instrText>
      </w:r>
      <w:r w:rsidRPr="0064266D">
        <w:rPr>
          <w:b/>
        </w:rPr>
        <w:instrText xml:space="preserve">1" </w:instrText>
      </w:r>
      <w:r w:rsidRPr="00590624">
        <w:rPr>
          <w:b/>
        </w:rPr>
        <w:fldChar w:fldCharType="separate"/>
      </w:r>
      <w:r>
        <w:rPr>
          <w:noProof/>
        </w:rPr>
        <w:t>PROJEKT REZOLUCJI USTAWODAWCZEJ PARLAMENTU EUROPEJSKIEGO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_Toc118727317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4266D" w:rsidRPr="0064266D" w:rsidRDefault="0064266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_Toc118727318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4266D" w:rsidRPr="0064266D" w:rsidRDefault="0064266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ZAŁĄCZNIK: WYKAZ PODMIOTÓW LUB OSÓB, OD KTÓRYCH SPRAWOZDAWCA OTRZYMAŁ INFORMACJE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_Toc118727319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346B0" w:rsidRPr="0064266D" w:rsidRDefault="0064266D" w:rsidP="00C23324">
      <w:r w:rsidRPr="00590624">
        <w:rPr>
          <w:b/>
        </w:rPr>
        <w:fldChar w:fldCharType="end"/>
      </w:r>
    </w:p>
    <w:p w:rsidR="00793EA9" w:rsidRPr="009308D0" w:rsidRDefault="0064266D">
      <w:pPr>
        <w:pStyle w:val="PageHeading"/>
      </w:pPr>
      <w:r w:rsidRPr="0064266D">
        <w:br w:type="page"/>
      </w:r>
      <w:r w:rsidRPr="0064266D">
        <w:br w:type="page"/>
      </w:r>
      <w:bookmarkStart w:id="1" w:name="_Toc118727317"/>
      <w:r>
        <w:t>PROJEKT REZOLUCJI USTAWODAWCZEJ PARLAMENTU EUROPEJSKIEGO</w:t>
      </w:r>
      <w:bookmarkEnd w:id="1"/>
    </w:p>
    <w:p w:rsidR="00793EA9" w:rsidRPr="009308D0" w:rsidRDefault="0064266D">
      <w:pPr>
        <w:pStyle w:val="NormalBold"/>
      </w:pPr>
      <w:proofErr w:type="gramStart"/>
      <w:r>
        <w:t>w</w:t>
      </w:r>
      <w:proofErr w:type="gramEnd"/>
      <w:r>
        <w:t xml:space="preserve"> sprawie wniosku </w:t>
      </w:r>
      <w:r>
        <w:t>dotyczącego rozporządzenia Parlamentu Europejskiego i Rady zmieniającego rozporządzenia Parlamentu Europejskiego i Rady (WE) nr 767/2008, (WE) nr 810/2009 i (UE) 2017/2226, rozporządzenia Rady (WE) nr 1683/95, (WE) nr 333/2002, (WE) nr 693/2003 i (WE) nr 6</w:t>
      </w:r>
      <w:r>
        <w:t xml:space="preserve">94/2003 oraz konwencję wykonawczą do układu z </w:t>
      </w:r>
      <w:proofErr w:type="spellStart"/>
      <w:r>
        <w:t>Schengen</w:t>
      </w:r>
      <w:proofErr w:type="spellEnd"/>
      <w:r>
        <w:t xml:space="preserve"> w zakresie cyfryzacji procedury wizowej</w:t>
      </w:r>
    </w:p>
    <w:p w:rsidR="00793EA9" w:rsidRPr="009308D0" w:rsidRDefault="0064266D">
      <w:pPr>
        <w:pStyle w:val="NormalBold12a"/>
      </w:pPr>
      <w:r>
        <w:t>(COM</w:t>
      </w:r>
      <w:proofErr w:type="gramStart"/>
      <w:r>
        <w:t>(2022)0658 – C</w:t>
      </w:r>
      <w:proofErr w:type="gramEnd"/>
      <w:r>
        <w:t>9</w:t>
      </w:r>
      <w:r>
        <w:noBreakHyphen/>
        <w:t>0165/2022 – 2022/0132(COD))</w:t>
      </w:r>
    </w:p>
    <w:p w:rsidR="00793EA9" w:rsidRPr="009308D0" w:rsidRDefault="0064266D" w:rsidP="00A910C9">
      <w:pPr>
        <w:pStyle w:val="NormalBold"/>
      </w:pPr>
      <w:r>
        <w:t>(Zwykła procedura ustawodawcza: pierwsze czytanie)</w:t>
      </w:r>
    </w:p>
    <w:p w:rsidR="00793EA9" w:rsidRPr="009308D0" w:rsidRDefault="0064266D" w:rsidP="00A910C9">
      <w:pPr>
        <w:pStyle w:val="EPComma"/>
      </w:pPr>
      <w:r>
        <w:rPr>
          <w:i/>
          <w:iCs/>
        </w:rPr>
        <w:t>Parlament Europejski</w:t>
      </w:r>
      <w:r>
        <w:t>,</w:t>
      </w:r>
    </w:p>
    <w:p w:rsidR="00793EA9" w:rsidRPr="009308D0" w:rsidRDefault="0064266D">
      <w:pPr>
        <w:pStyle w:val="NormalHanging12a"/>
      </w:pPr>
      <w:r>
        <w:t>–</w:t>
      </w:r>
      <w:r>
        <w:tab/>
        <w:t>uwzględniając wniosek Komisji przedsta</w:t>
      </w:r>
      <w:r>
        <w:t>wiony Parlamentowi i Radzie (COM(2022)0658),</w:t>
      </w:r>
    </w:p>
    <w:p w:rsidR="00793EA9" w:rsidRPr="009308D0" w:rsidRDefault="0064266D">
      <w:pPr>
        <w:pStyle w:val="NormalHanging12a"/>
      </w:pPr>
      <w:r>
        <w:t>–</w:t>
      </w:r>
      <w:r>
        <w:tab/>
        <w:t>uwzględniając art. 294 ust. 2 oraz art. 77 ust. 2 lit. a) oraz art. 79 ust. 2 lit. a) Traktatu o funkcjonowaniu Unii Europejskiej, zgodnie z którymi wniosek został przedstawiony Parlamentowi przez Komisję (C9</w:t>
      </w:r>
      <w:r>
        <w:noBreakHyphen/>
      </w:r>
      <w:r>
        <w:t>0165/2022),</w:t>
      </w:r>
    </w:p>
    <w:p w:rsidR="00A26F46" w:rsidRPr="009308D0" w:rsidRDefault="0064266D" w:rsidP="00A26F46">
      <w:pPr>
        <w:pStyle w:val="NormalHanging12a"/>
      </w:pPr>
      <w:r>
        <w:t>–</w:t>
      </w:r>
      <w:r>
        <w:tab/>
        <w:t>uwzględniając art. 294 ust. 3 Traktatu o funkcjonowaniu Unii Europejskiej,</w:t>
      </w:r>
    </w:p>
    <w:p w:rsidR="00793EA9" w:rsidRPr="009308D0" w:rsidRDefault="0064266D">
      <w:pPr>
        <w:pStyle w:val="NormalHanging12a"/>
      </w:pPr>
      <w:r>
        <w:t>–</w:t>
      </w:r>
      <w:r>
        <w:tab/>
        <w:t>uwzględniając art. 59 Regulaminu,</w:t>
      </w:r>
    </w:p>
    <w:p w:rsidR="006A2F5D" w:rsidRPr="009308D0" w:rsidRDefault="0064266D" w:rsidP="006A2F5D">
      <w:pPr>
        <w:pStyle w:val="NormalHanging12a"/>
      </w:pPr>
      <w:r>
        <w:t>–</w:t>
      </w:r>
      <w:r>
        <w:tab/>
        <w:t>uwzględniając pismo Komisji Budżetowej,</w:t>
      </w:r>
    </w:p>
    <w:p w:rsidR="006A2F5D" w:rsidRPr="009308D0" w:rsidRDefault="0064266D" w:rsidP="006A2F5D">
      <w:pPr>
        <w:pStyle w:val="NormalHanging12a"/>
      </w:pPr>
      <w:r>
        <w:t>–</w:t>
      </w:r>
      <w:r>
        <w:tab/>
        <w:t>uwzględniając sprawozdanie Komisji Wolności Obywatelskich, Sprawiedliwości i Spraw Wewn</w:t>
      </w:r>
      <w:r>
        <w:t>ętrznych (A9</w:t>
      </w:r>
      <w:r>
        <w:noBreakHyphen/>
        <w:t>0000/2022),</w:t>
      </w:r>
    </w:p>
    <w:p w:rsidR="009F6C2F" w:rsidRPr="009308D0" w:rsidRDefault="0064266D" w:rsidP="009F6C2F">
      <w:pPr>
        <w:pStyle w:val="NormalHanging12a"/>
      </w:pPr>
      <w:r>
        <w:t>1.</w:t>
      </w:r>
      <w:r>
        <w:tab/>
      </w:r>
      <w:proofErr w:type="gramStart"/>
      <w:r>
        <w:t>przyjmuje</w:t>
      </w:r>
      <w:proofErr w:type="gramEnd"/>
      <w:r>
        <w:t xml:space="preserve"> poniższe stanowisko w pierwszym czytaniu;</w:t>
      </w:r>
    </w:p>
    <w:p w:rsidR="009F6C2F" w:rsidRPr="009308D0" w:rsidRDefault="0064266D" w:rsidP="009F6C2F">
      <w:pPr>
        <w:pStyle w:val="NormalHanging12a"/>
      </w:pPr>
      <w:r>
        <w:t>2.</w:t>
      </w:r>
      <w:r>
        <w:tab/>
      </w:r>
      <w:proofErr w:type="gramStart"/>
      <w:r>
        <w:t>zwraca</w:t>
      </w:r>
      <w:proofErr w:type="gramEnd"/>
      <w:r>
        <w:t xml:space="preserve"> się do Komisji o ponowne przekazanie mu sprawy, jeśli zastąpi ona pierwotny wniosek, wprowadzi w nim istotne zmiany lub planuje ich wprowadzenie;</w:t>
      </w:r>
    </w:p>
    <w:p w:rsidR="009F6C2F" w:rsidRPr="009308D0" w:rsidRDefault="0064266D" w:rsidP="009F6C2F">
      <w:pPr>
        <w:pStyle w:val="NormalHanging12a"/>
      </w:pPr>
      <w:r>
        <w:t>3.</w:t>
      </w:r>
      <w:r>
        <w:tab/>
      </w:r>
      <w:proofErr w:type="gramStart"/>
      <w:r>
        <w:t>zobowiązuje</w:t>
      </w:r>
      <w:proofErr w:type="gramEnd"/>
      <w:r>
        <w:t xml:space="preserve"> </w:t>
      </w:r>
      <w:r>
        <w:t>swojego przewodniczącego do przekazania stanowiska Parlamentu Radzie i Komisji oraz parlamentom narodowym.</w:t>
      </w:r>
    </w:p>
    <w:p w:rsidR="00D30DE2" w:rsidRPr="0064266D" w:rsidRDefault="00D30DE2" w:rsidP="00D30DE2"/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&lt;RepeatBlock-Amend&gt;&lt;Amend&gt;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t>(8)</w:t>
            </w:r>
            <w:r>
              <w:tab/>
              <w:t>Osoby</w:t>
            </w:r>
            <w:proofErr w:type="gramEnd"/>
            <w:r>
              <w:t xml:space="preserve"> ubiegające się o wizę powinny mieć możliwość złożenia wniosku, podania danych wymaganych w formularzu wniosku, dostarczenia </w:t>
            </w:r>
            <w:r>
              <w:rPr>
                <w:b/>
                <w:i/>
              </w:rPr>
              <w:t>zeskanowanej</w:t>
            </w:r>
            <w:r>
              <w:t xml:space="preserve"> kopii dokumentu podróży oraz dostarczenia dokumentów uzupełniających i po</w:t>
            </w:r>
            <w:r>
              <w:t>dróżnego ubezpieczenia medycznego w formacie cyfrowym za pośrednictwem unijnej platformy do składania wniosków. Aby umożliwić osobom ubiegającym się o wizę zapisywanie informacji związanych z ich wnioskiem, internetowa platforma do składania wniosków powin</w:t>
            </w:r>
            <w:r>
              <w:t xml:space="preserve">na zapewniać możliwość tymczasowego przechowywania danych. Gdy osoba ubiegająca się o wizę złoży wniosek przez </w:t>
            </w:r>
            <w:proofErr w:type="spellStart"/>
            <w:r>
              <w:t>internet</w:t>
            </w:r>
            <w:proofErr w:type="spellEnd"/>
            <w:r>
              <w:t>, a państwa członkowskie przeprowadzą odpowiednie kontrole, plik danych dotyczących wniosku wizowego zostanie przekazany do systemu krajo</w:t>
            </w:r>
            <w:r>
              <w:t>wego właściwego państwa członkowskiego i będzie tam przechowywany. Konsulaty będą sprawdzać informacje przechowywane na poziomie krajowym i przesyłać do centralnego VIS tylko wymagane dane.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proofErr w:type="gramStart"/>
            <w:r>
              <w:t>(8)</w:t>
            </w:r>
            <w:r>
              <w:tab/>
              <w:t>Osoby</w:t>
            </w:r>
            <w:proofErr w:type="gramEnd"/>
            <w:r>
              <w:t xml:space="preserve"> ubiegające się o wizę powinny mieć możliwość złożenia wn</w:t>
            </w:r>
            <w:r>
              <w:t xml:space="preserve">iosku, podania danych wymaganych w formularzu wniosku, dostarczenia </w:t>
            </w:r>
            <w:r>
              <w:rPr>
                <w:b/>
                <w:i/>
              </w:rPr>
              <w:t>elektronicznej</w:t>
            </w:r>
            <w:r>
              <w:t xml:space="preserve"> kopii dokumentu podróży oraz dostarczenia dokumentów uzupełniających i podróżnego ubezpieczenia medycznego w formacie cyfrowym za pośrednictwem unijnej platformy do składani</w:t>
            </w:r>
            <w:r>
              <w:t>a wniosków. Aby umożliwić osobom ubiegającym się o wizę zapisywanie informacji związanych z ich wnioskiem, internetowa platforma do składania wniosków powinna zapewniać możliwość tymczasowego przechowywania danych. Gdy osoba ubiegająca się o wizę złoży wni</w:t>
            </w:r>
            <w:r>
              <w:t xml:space="preserve">osek przez </w:t>
            </w:r>
            <w:proofErr w:type="spellStart"/>
            <w:r>
              <w:t>internet</w:t>
            </w:r>
            <w:proofErr w:type="spellEnd"/>
            <w:r>
              <w:t>, a państwa członkowskie przeprowadzą odpowiednie kontrole, plik danych dotyczących wniosku wizowego zostanie przekazany do systemu krajowego właściwego państwa członkowskiego i będzie tam przechowywany. Konsulaty będą sprawdzać informac</w:t>
            </w:r>
            <w:r>
              <w:t>je przechowywane na poziomie krajowym i przesyłać do centralnego VIS tylko wymagane dane.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2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Recital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t>(14)</w:t>
            </w:r>
            <w:r>
              <w:tab/>
              <w:t>Przepisy</w:t>
            </w:r>
            <w:proofErr w:type="gramEnd"/>
            <w:r>
              <w:t xml:space="preserve"> szczegółowe, które powinny być stosowane w indywidualnych przypadkach ze względów humanitarnych, mogłyby obejmować </w:t>
            </w:r>
            <w:r>
              <w:rPr>
                <w:b/>
                <w:i/>
              </w:rPr>
              <w:t>kwestie dostępności cyfrowej</w:t>
            </w:r>
            <w:r>
              <w:t>.</w:t>
            </w:r>
          </w:p>
        </w:tc>
        <w:tc>
          <w:tcPr>
            <w:tcW w:w="4876" w:type="dxa"/>
          </w:tcPr>
          <w:p w:rsidR="006A6174" w:rsidRPr="009308D0" w:rsidRDefault="0064266D" w:rsidP="00987D80">
            <w:pPr>
              <w:pStyle w:val="Normal6"/>
              <w:rPr>
                <w:szCs w:val="24"/>
              </w:rPr>
            </w:pPr>
            <w:proofErr w:type="gramStart"/>
            <w:r>
              <w:t>(14)</w:t>
            </w:r>
            <w:r>
              <w:tab/>
              <w:t>Przepisy</w:t>
            </w:r>
            <w:proofErr w:type="gramEnd"/>
            <w:r>
              <w:t xml:space="preserve"> szczegółowe, które powinny być stosowane </w:t>
            </w:r>
            <w:r>
              <w:t xml:space="preserve">w indywidualnych przypadkach ze względów humanitarnych, mogłyby obejmować </w:t>
            </w:r>
            <w:r>
              <w:rPr>
                <w:b/>
                <w:i/>
              </w:rPr>
              <w:t>osoby mające problemy z dostępnością cyfrową lub o ograniczonych umiejętnościach cyfrowych Szczególną uwagę należy zwrócić na osoby z niepełnosprawnością.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</w:t>
      </w:r>
      <w:r w:rsidRPr="0064266D">
        <w:rPr>
          <w:rStyle w:val="HideTWBExt"/>
          <w:noProof w:val="0"/>
        </w:rPr>
        <w:t>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16 a (nowy)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293E6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(16a</w:t>
            </w:r>
            <w:proofErr w:type="gramStart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W</w:t>
            </w:r>
            <w:proofErr w:type="gramEnd"/>
            <w:r>
              <w:rPr>
                <w:b/>
                <w:i/>
              </w:rPr>
              <w:t xml:space="preserve"> niektórych państwach trzecich zasięg sieci internetowej jest </w:t>
            </w:r>
            <w:r>
              <w:rPr>
                <w:b/>
                <w:i/>
              </w:rPr>
              <w:t>wciąż wyjątkowo ograniczony. Szczególną uwagę należy zwrócić na okoliczności, w których złożono kilka wniosków z tego samego miejsca i z tego samego adresu IP. Oflagowany adres IP nie powinien automatycznie prowadzić do wykluczenia wniosku wizowego.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</w:t>
      </w:r>
      <w:r w:rsidRPr="0064266D">
        <w:rPr>
          <w:rStyle w:val="HideTWBExt"/>
          <w:noProof w:val="0"/>
        </w:rPr>
        <w:t>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t>(17)</w:t>
            </w:r>
            <w:r>
              <w:tab/>
              <w:t>Opłatę</w:t>
            </w:r>
            <w:proofErr w:type="gramEnd"/>
            <w:r>
              <w:t xml:space="preserve"> wizową należy uiszczać za pośrednictwem portalu </w:t>
            </w:r>
            <w:r>
              <w:t>zewnętrznego połączonego z </w:t>
            </w:r>
            <w:r>
              <w:rPr>
                <w:b/>
                <w:i/>
              </w:rPr>
              <w:t>internetową</w:t>
            </w:r>
            <w:r>
              <w:t xml:space="preserve"> platformą do składania wniosków, a płatności byłyby przekazywane bezpośrednio do właściwego państwa członkowskiego. Dane wymagane do zabezpieczenia płatności elektronicznych nie powinny stanowić części danych przechow</w:t>
            </w:r>
            <w:r>
              <w:t>ywanych w wizowym systemie informacyjnym.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proofErr w:type="gramStart"/>
            <w:r>
              <w:t>(17)</w:t>
            </w:r>
            <w:r>
              <w:tab/>
              <w:t>Opłatę</w:t>
            </w:r>
            <w:proofErr w:type="gramEnd"/>
            <w:r>
              <w:t xml:space="preserve"> wizową należy uiszczać za pośrednictwem portalu zewnętrznego połączonego z </w:t>
            </w:r>
            <w:r>
              <w:rPr>
                <w:b/>
                <w:i/>
              </w:rPr>
              <w:t>unijną</w:t>
            </w:r>
            <w:r>
              <w:t xml:space="preserve"> platformą do składania wniosków, a płatności byłyby przekazywane bezpośrednio do właściwego państwa członkowskiego. Dane</w:t>
            </w:r>
            <w:r>
              <w:t xml:space="preserve"> wymagane do zabezpieczenia płatności elektronicznych nie powinny stanowić części danych przechowywanych w wizowym systemie informacyjnym.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5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 xml:space="preserve">Wniosek dotyczący </w:t>
      </w:r>
      <w:r>
        <w:t>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18 a (nowy)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98418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(18a</w:t>
            </w:r>
            <w:proofErr w:type="gramStart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W</w:t>
            </w:r>
            <w:proofErr w:type="gramEnd"/>
            <w:r>
              <w:rPr>
                <w:b/>
                <w:i/>
              </w:rPr>
              <w:t xml:space="preserve"> ramach lokalnej współpracy </w:t>
            </w:r>
            <w:proofErr w:type="spellStart"/>
            <w:r>
              <w:rPr>
                <w:b/>
                <w:i/>
              </w:rPr>
              <w:t>schengeńskiej</w:t>
            </w:r>
            <w:proofErr w:type="spellEnd"/>
            <w:r>
              <w:rPr>
                <w:b/>
                <w:i/>
              </w:rPr>
              <w:t xml:space="preserve"> należy również w szczególnych przypadkach określić stosowanie powszechnie używanych języków </w:t>
            </w:r>
            <w:r>
              <w:rPr>
                <w:b/>
                <w:i/>
              </w:rPr>
              <w:t xml:space="preserve">nieurzędowych w procedurze wizowej lub do tłumaczenia formularza wniosku. W ramach lokalnej współpracy </w:t>
            </w:r>
            <w:proofErr w:type="spellStart"/>
            <w:r>
              <w:rPr>
                <w:b/>
                <w:i/>
              </w:rPr>
              <w:t>schengeńskiej</w:t>
            </w:r>
            <w:proofErr w:type="spellEnd"/>
            <w:r>
              <w:rPr>
                <w:b/>
                <w:i/>
              </w:rPr>
              <w:t xml:space="preserve"> należy także określić procedury przekazywania danych elektronicznych usługodawcom zewnętrznym lub reprezentującym państwom członkowskim w p</w:t>
            </w:r>
            <w:r>
              <w:rPr>
                <w:b/>
                <w:i/>
              </w:rPr>
              <w:t>rzypadkach, gdy na mocy prawa lokalnego państwa trzecie zakazują takiego przekazywania danych poza swoje terytorium.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6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20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t>(20)</w:t>
            </w:r>
            <w:r>
              <w:tab/>
              <w:t>W</w:t>
            </w:r>
            <w:proofErr w:type="gramEnd"/>
            <w:r>
              <w:t xml:space="preserve"> przypadku gdy właściwy konsulat lub organy centralne właściwego państwa członkowskiego uznają, że są odpowiedzialne za rozpatrzenie wniosku, powinny go przyjąć, a dane powinny zostać </w:t>
            </w:r>
            <w:r>
              <w:t>zaimportowane do systemu krajowego z miejsca tymczasowego przechowywania ustanowionego na mocy rozporządzenia w sprawie VIS oraz usunięte z miejsca tymczasowego przechowywania (z wyjątkiem danych kontaktowych).</w:t>
            </w:r>
          </w:p>
        </w:tc>
        <w:tc>
          <w:tcPr>
            <w:tcW w:w="4876" w:type="dxa"/>
          </w:tcPr>
          <w:p w:rsidR="006A6174" w:rsidRPr="009308D0" w:rsidRDefault="0064266D" w:rsidP="00293E6E">
            <w:pPr>
              <w:pStyle w:val="Normal6"/>
              <w:rPr>
                <w:szCs w:val="24"/>
              </w:rPr>
            </w:pPr>
            <w:proofErr w:type="gramStart"/>
            <w:r>
              <w:t>(20)</w:t>
            </w:r>
            <w:r>
              <w:tab/>
              <w:t>W</w:t>
            </w:r>
            <w:proofErr w:type="gramEnd"/>
            <w:r>
              <w:t xml:space="preserve"> przypadku gdy właściwy konsulat lub or</w:t>
            </w:r>
            <w:r>
              <w:t>gany centralne właściwego państwa członkowskiego uznają, że są odpowiedzialne za rozpatrzenie wniosku, powinny go przyjąć, a dane powinny zostać zaimportowane do systemu krajowego z miejsca tymczasowego przechowywania ustanowionego na mocy rozporządzenia w</w:t>
            </w:r>
            <w:r>
              <w:t xml:space="preserve"> sprawie VIS oraz usunięte z miejsca tymczasowego przechowywania (z wyjątkiem danych kontaktowych). </w:t>
            </w:r>
            <w:r>
              <w:rPr>
                <w:b/>
                <w:i/>
              </w:rPr>
              <w:t xml:space="preserve">Każde państwo członkowskie powinno wyznaczyć właściwy organ, który należy uznawać za administratora danych i który powinien ponosić główną odpowiedzialność </w:t>
            </w:r>
            <w:r>
              <w:rPr>
                <w:b/>
                <w:i/>
              </w:rPr>
              <w:t>za przetwarzanie danych przez to państwo członkowskie.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7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t>(28)</w:t>
            </w:r>
            <w:r>
              <w:tab/>
              <w:t>Unijna</w:t>
            </w:r>
            <w:proofErr w:type="gramEnd"/>
            <w:r>
              <w:t xml:space="preserve"> platforma do składania wniosków powinna zawierać funkcję umożliwiającą osobom ubiegającym się o wizę weryfikację ich wiz cyfrowych.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proofErr w:type="gramStart"/>
            <w:r>
              <w:t>(28)</w:t>
            </w:r>
            <w:r>
              <w:tab/>
              <w:t>Unijna</w:t>
            </w:r>
            <w:proofErr w:type="gramEnd"/>
            <w:r>
              <w:t xml:space="preserve"> platforma do składania wniosków powinna zawierać funkcję umożliwiającą osobom ubiegającym się o wiz</w:t>
            </w:r>
            <w:r>
              <w:t xml:space="preserve">ę weryfikację </w:t>
            </w:r>
            <w:r>
              <w:rPr>
                <w:b/>
                <w:i/>
              </w:rPr>
              <w:t xml:space="preserve">ważności </w:t>
            </w:r>
            <w:r>
              <w:t>ich wiz cyfrowych.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8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37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t>(37)</w:t>
            </w:r>
            <w:r>
              <w:tab/>
              <w:t>W</w:t>
            </w:r>
            <w:proofErr w:type="gramEnd"/>
            <w:r>
              <w:t xml:space="preserve"> celu </w:t>
            </w:r>
            <w:r>
              <w:rPr>
                <w:b/>
                <w:i/>
              </w:rPr>
              <w:t>zapewnienia, aby w formularzu wniosku i formularzach odmowy uwzględniono sytuacje, w których osoba ubiegająca się o wizę złożyła wniosek za pośrednictwem unijnej platformy do składania wniosków lub nie,</w:t>
            </w:r>
            <w:r>
              <w:t xml:space="preserve"> należy przekazać Komisji uprawnienia do przyjęcia akt</w:t>
            </w:r>
            <w:r>
              <w:t>ów</w:t>
            </w:r>
            <w:r>
              <w:rPr>
                <w:b/>
                <w:i/>
              </w:rPr>
              <w:t xml:space="preserve"> delegowanych</w:t>
            </w:r>
            <w:r>
              <w:t xml:space="preserve"> zgodnie z art. 290 Traktatu o funkcjonowaniu Unii Europejskiej</w:t>
            </w:r>
            <w:r>
              <w:rPr>
                <w:b/>
                <w:i/>
              </w:rPr>
              <w:t xml:space="preserve"> w celu wprowadzenia zmian w wykazie informacji</w:t>
            </w:r>
            <w:r>
              <w:t xml:space="preserve">, </w:t>
            </w:r>
            <w:r>
              <w:rPr>
                <w:b/>
                <w:i/>
              </w:rPr>
              <w:t>które powinna zawierać unijna platforma do składania</w:t>
            </w:r>
            <w:r>
              <w:t xml:space="preserve"> wniosków</w:t>
            </w:r>
            <w:r>
              <w:rPr>
                <w:b/>
                <w:i/>
              </w:rPr>
              <w:t>, oraz</w:t>
            </w:r>
            <w:r>
              <w:t xml:space="preserve"> w</w:t>
            </w:r>
            <w:r>
              <w:rPr>
                <w:b/>
                <w:i/>
              </w:rPr>
              <w:t> celu zmiany odpowiednich standardowych formularzy i wzorów</w:t>
            </w:r>
            <w:r>
              <w:t>.</w:t>
            </w:r>
            <w:r>
              <w:t xml:space="preserve"> Szczególnie ważne jest, aby w czasie prac przygotowawczych Komisja prowadziła stosowne konsultacje, w tym na poziomie ekspertów, oraz aby konsultacje te prowadzone były zgodnie z zasadami określonymi w Porozumieniu międzyinstytucjonalnym z dnia 13 kwietni</w:t>
            </w:r>
            <w:r>
              <w:t xml:space="preserve">a 2016 r. w sprawie lepszego stanowienia prawa55. W szczególności, aby zapewnić udział na równych zasadach Parlamentu Europejskiego i Rady w przygotowaniu aktów delegowanych, instytucje te </w:t>
            </w:r>
            <w:r>
              <w:rPr>
                <w:b/>
                <w:i/>
              </w:rPr>
              <w:t>powinny otrzymywać</w:t>
            </w:r>
            <w:r>
              <w:t xml:space="preserve"> wszelkie dokumenty w tym samym czasie co eksperc</w:t>
            </w:r>
            <w:r>
              <w:t xml:space="preserve">i państw członkowskich, a eksperci tych instytucji </w:t>
            </w:r>
            <w:r>
              <w:rPr>
                <w:b/>
                <w:i/>
              </w:rPr>
              <w:t xml:space="preserve">powinni </w:t>
            </w:r>
            <w:r>
              <w:t xml:space="preserve">systematycznie </w:t>
            </w:r>
            <w:r>
              <w:rPr>
                <w:b/>
                <w:i/>
              </w:rPr>
              <w:t>brać</w:t>
            </w:r>
            <w:r>
              <w:t xml:space="preserve"> udział w posiedzeniach grup eksperckich Komisji zajmujących się przygotowaniem aktów delegowanych.</w:t>
            </w:r>
          </w:p>
        </w:tc>
        <w:tc>
          <w:tcPr>
            <w:tcW w:w="4876" w:type="dxa"/>
          </w:tcPr>
          <w:p w:rsidR="006A6174" w:rsidRPr="009308D0" w:rsidRDefault="0064266D" w:rsidP="006213D7">
            <w:pPr>
              <w:pStyle w:val="Normal6"/>
              <w:rPr>
                <w:szCs w:val="24"/>
              </w:rPr>
            </w:pPr>
            <w:proofErr w:type="gramStart"/>
            <w:r>
              <w:t>(37)</w:t>
            </w:r>
            <w:r>
              <w:tab/>
              <w:t>W</w:t>
            </w:r>
            <w:proofErr w:type="gramEnd"/>
            <w:r>
              <w:t xml:space="preserve"> celu </w:t>
            </w:r>
            <w:r>
              <w:rPr>
                <w:b/>
                <w:i/>
              </w:rPr>
              <w:t>zmiany niektórych szczegółowych aspektów technicznych rozporządzen</w:t>
            </w:r>
            <w:r>
              <w:rPr>
                <w:b/>
                <w:i/>
              </w:rPr>
              <w:t>ia (WE) nr 810/2009 oraz uzupełnienia rozporządzenia (WE) nr 767/2008</w:t>
            </w:r>
            <w:r>
              <w:t xml:space="preserve"> należy przekazać Komisji uprawnienia do przyjęcia aktów zgodnie z art. 290 Traktatu o funkcjonowaniu Unii Europejskiej</w:t>
            </w:r>
            <w:r>
              <w:rPr>
                <w:b/>
                <w:i/>
              </w:rPr>
              <w:t>, aby zaktualizować formularz wniosku, zmienić formularz odmowy</w:t>
            </w:r>
            <w:r>
              <w:t xml:space="preserve">, </w:t>
            </w:r>
            <w:r>
              <w:rPr>
                <w:b/>
                <w:i/>
              </w:rPr>
              <w:t>określić wymogi dotyczące usługi bezpiecznego konta oraz określić treść uproszczonych formularzy</w:t>
            </w:r>
            <w:r>
              <w:t xml:space="preserve"> wniosków</w:t>
            </w:r>
            <w:r>
              <w:rPr>
                <w:b/>
                <w:i/>
              </w:rPr>
              <w:t xml:space="preserve"> o potwierdzenie ważności wiz</w:t>
            </w:r>
            <w:r>
              <w:t xml:space="preserve"> w</w:t>
            </w:r>
            <w:r>
              <w:rPr>
                <w:b/>
                <w:i/>
              </w:rPr>
              <w:t xml:space="preserve"> nowym dokumencie podróży i o przedłużenie ważności wiz</w:t>
            </w:r>
            <w:r>
              <w:t>. Szczególnie ważne jest, aby w czasie prac przygotowawczych Komi</w:t>
            </w:r>
            <w:r>
              <w:t>sja prowadziła stosowne konsultacje, w tym na poziomie ekspertów, oraz aby konsultacje te prowadzone były zgodnie z zasadami określonymi w Porozumieniu międzyinstytucjonalnym z dnia 13 kwietnia 2016 r. w sprawie lepszego stanowienia prawa55. W szczególnośc</w:t>
            </w:r>
            <w:r>
              <w:t xml:space="preserve">i, aby zapewnić udział na równych zasadach Parlamentu Europejskiego i Rady w przygotowaniu aktów delegowanych, instytucje te </w:t>
            </w:r>
            <w:r>
              <w:rPr>
                <w:b/>
                <w:i/>
              </w:rPr>
              <w:t>otrzymują</w:t>
            </w:r>
            <w:r>
              <w:t xml:space="preserve"> wszelkie dokumenty w tym samym czasie co eksperci państw członkowskich, a eksperci tych instytucji systematycznie </w:t>
            </w:r>
            <w:r>
              <w:rPr>
                <w:b/>
                <w:i/>
              </w:rPr>
              <w:t>biorą</w:t>
            </w:r>
            <w:r>
              <w:t xml:space="preserve"> u</w:t>
            </w:r>
            <w:r>
              <w:t>dział w posiedzeniach grup eksperckich Komisji zajmujących się przygotowaniem aktów delegowanych.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4266D" w:rsidP="00D7587E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4266D" w:rsidP="00D7587E">
            <w:pPr>
              <w:pStyle w:val="Normal6"/>
            </w:pPr>
            <w:r>
              <w:rPr>
                <w:vertAlign w:val="superscript"/>
              </w:rPr>
              <w:t>55</w:t>
            </w:r>
            <w:r>
              <w:t xml:space="preserve"> Dz.U. L 123 z 12.5.2016, </w:t>
            </w:r>
            <w:proofErr w:type="gramStart"/>
            <w:r>
              <w:t>s</w:t>
            </w:r>
            <w:proofErr w:type="gramEnd"/>
            <w:r>
              <w:t>. 1.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55</w:t>
            </w:r>
            <w:r>
              <w:t xml:space="preserve"> Dz.U. L 123 z 12.5.2016, </w:t>
            </w:r>
            <w:proofErr w:type="gramStart"/>
            <w:r>
              <w:t>s</w:t>
            </w:r>
            <w:proofErr w:type="gramEnd"/>
            <w:r>
              <w:t>. 1.</w:t>
            </w:r>
          </w:p>
        </w:tc>
      </w:tr>
    </w:tbl>
    <w:p w:rsidR="006A6174" w:rsidRPr="00590624" w:rsidRDefault="0064266D" w:rsidP="006A6174">
      <w:pPr>
        <w:pStyle w:val="Olang"/>
        <w:rPr>
          <w:noProof w:val="0"/>
        </w:rPr>
      </w:pPr>
      <w:r w:rsidRPr="00590624">
        <w:rPr>
          <w:noProof w:val="0"/>
        </w:rPr>
        <w:t xml:space="preserve">Or. </w:t>
      </w:r>
      <w:r w:rsidRPr="00590624">
        <w:rPr>
          <w:rStyle w:val="HideTWBExt"/>
          <w:noProof w:val="0"/>
        </w:rPr>
        <w:t>&lt;Original&gt;</w:t>
      </w:r>
      <w:r w:rsidRPr="00590624">
        <w:rPr>
          <w:rStyle w:val="HideTWBInt"/>
          <w:noProof w:val="0"/>
        </w:rPr>
        <w:t>{EN}</w:t>
      </w:r>
      <w:proofErr w:type="gramStart"/>
      <w:r w:rsidRPr="00590624">
        <w:rPr>
          <w:noProof w:val="0"/>
        </w:rPr>
        <w:t>en</w:t>
      </w:r>
      <w:r w:rsidRPr="00590624">
        <w:rPr>
          <w:rStyle w:val="HideTWBExt"/>
          <w:noProof w:val="0"/>
        </w:rPr>
        <w:t>&lt;/Original&gt;</w:t>
      </w:r>
      <w:proofErr w:type="gramEnd"/>
    </w:p>
    <w:p w:rsidR="006A6174" w:rsidRPr="00590624" w:rsidRDefault="0064266D" w:rsidP="006A6174">
      <w:r>
        <w:rPr>
          <w:rStyle w:val="HideTWBExt"/>
        </w:rPr>
        <w:t>&lt;/Amend&gt;</w:t>
      </w:r>
    </w:p>
    <w:p w:rsidR="006A6174" w:rsidRPr="00590624" w:rsidRDefault="0064266D" w:rsidP="006A617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</w:t>
      </w:r>
      <w:r>
        <w:t>oprawka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:rsidR="006A6174" w:rsidRPr="00590624" w:rsidRDefault="0064266D" w:rsidP="006A617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Wniosek dotyczący rozporządzenia</w:t>
      </w:r>
      <w:r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37 a (nowy)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(37a</w:t>
            </w:r>
            <w:proofErr w:type="gramStart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Aby</w:t>
            </w:r>
            <w:proofErr w:type="gramEnd"/>
            <w:r>
              <w:rPr>
                <w:b/>
                <w:i/>
              </w:rPr>
              <w:t xml:space="preserve"> zapewnić jednolite warunki wykonywania rozporządzenia (WE) nr 767/2008, należy </w:t>
            </w:r>
            <w:r>
              <w:rPr>
                <w:b/>
                <w:i/>
              </w:rPr>
              <w:t>powierzyć Komisji uprawnienia wykonawcze. Uprawnienia te należy wykonywać zgodnie z rozporządzeniem Parlamentu Europejskiego i Rady (UE) nr 182/2011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64266D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 xml:space="preserve">Rozporządzenie Parlamentu Europejskiego i Rady (UE) nr 182/2011 z dnia 16 </w:t>
            </w:r>
            <w:r>
              <w:rPr>
                <w:b/>
                <w:bCs/>
                <w:i/>
                <w:iCs/>
              </w:rPr>
              <w:t xml:space="preserve">lutego 2011 r. ustanawiające przepisy i zasady ogólne dotyczące trybu kontroli przez państwa członkowskie wykonywania uprawnień wykonawczych przez Komisję (Dz.U. L 55 z 28.2.2011, </w:t>
            </w:r>
            <w:proofErr w:type="gramStart"/>
            <w:r>
              <w:rPr>
                <w:b/>
                <w:bCs/>
                <w:i/>
                <w:iCs/>
              </w:rPr>
              <w:t>s</w:t>
            </w:r>
            <w:proofErr w:type="gramEnd"/>
            <w:r>
              <w:rPr>
                <w:b/>
                <w:bCs/>
                <w:i/>
                <w:iCs/>
              </w:rPr>
              <w:t>. 13).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10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Motyw 40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t>(40)</w:t>
            </w:r>
            <w:r>
              <w:tab/>
              <w:t>Niniejsze</w:t>
            </w:r>
            <w:proofErr w:type="gramEnd"/>
            <w:r>
              <w:t xml:space="preserve"> rozporządzenie nie narusza praw podstawowych i jest zgodne z zasadami uznanymi w szczególności w Karcie pr</w:t>
            </w:r>
            <w:r>
              <w:t>aw podstawowych Unii Europejskiej. Wprowadzenie unijnej platformy do składania wniosków i wiz cyfrowych będzie w pełni zgodne z prawem do ochrony danych osobowych, prawem do poszanowania życia prywatnego i rodzinnego, prawami dziecka oraz z zasadami ochron</w:t>
            </w:r>
            <w:r>
              <w:t>y osób wymagających szczególnego traktowania. Wszystkie zabezpieczenia praw podstawowych zawarte w rozporządzeniu w sprawie wizowego systemu informacyjnego będą nadal w pełni stosowane w kontekście przyszłej unijnej platformy do składania wniosków wizowych</w:t>
            </w:r>
            <w:r>
              <w:t xml:space="preserve"> i wiz cyfrowych, w szczególności w odniesieniu do prawa dziecka. W ramach platformy konieczne będzie uwzględnienie wymogów określonych w dyrektywie w sprawie dostępności</w:t>
            </w:r>
            <w:r>
              <w:rPr>
                <w:vertAlign w:val="superscript"/>
              </w:rPr>
              <w:t>56</w:t>
            </w:r>
            <w:r>
              <w:t xml:space="preserve"> w celu zapewnienia łatwego dostępu osobom z niepełnosprawnościami.</w:t>
            </w:r>
          </w:p>
        </w:tc>
        <w:tc>
          <w:tcPr>
            <w:tcW w:w="4876" w:type="dxa"/>
          </w:tcPr>
          <w:p w:rsidR="006A6174" w:rsidRPr="009308D0" w:rsidRDefault="0064266D" w:rsidP="00984186">
            <w:pPr>
              <w:pStyle w:val="Normal6"/>
              <w:rPr>
                <w:szCs w:val="24"/>
              </w:rPr>
            </w:pPr>
            <w:proofErr w:type="gramStart"/>
            <w:r>
              <w:t>(40)</w:t>
            </w:r>
            <w:r>
              <w:tab/>
              <w:t>Niniejsze</w:t>
            </w:r>
            <w:proofErr w:type="gramEnd"/>
            <w:r>
              <w:t xml:space="preserve"> </w:t>
            </w:r>
            <w:r>
              <w:t>rozporządzenie nie narusza praw podstawowych i jest zgodne z zasadami uznanymi w szczególności w Karcie praw podstawowych Unii Europejskiej. Wprowadzenie unijnej platformy do składania wniosków i wiz cyfrowych będzie w pełni zgodne z prawem do ochrony dany</w:t>
            </w:r>
            <w:r>
              <w:t>ch osobowych, prawem do poszanowania życia prywatnego i rodzinnego, prawami dziecka oraz z zasadami ochrony osób wymagających szczególnego traktowania. Wszystkie zabezpieczenia praw podstawowych zawarte w rozporządzeniu w sprawie wizowego systemu informacy</w:t>
            </w:r>
            <w:r>
              <w:t>jnego będą nadal w pełni stosowane w kontekście przyszłej unijnej platformy do składania wniosków wizowych i wiz cyfrowych, w szczególności w odniesieniu do prawa dziecka. W ramach platformy konieczne będzie uwzględnienie wymogów określonych w dyrektywie w</w:t>
            </w:r>
            <w:r>
              <w:t> sprawie dostępności</w:t>
            </w:r>
            <w:r>
              <w:rPr>
                <w:vertAlign w:val="superscript"/>
              </w:rPr>
              <w:t>56</w:t>
            </w:r>
            <w:r>
              <w:t xml:space="preserve"> w celu zapewnienia łatwego dostępu osobom z niepełnosprawnościami. </w:t>
            </w:r>
            <w:r>
              <w:rPr>
                <w:b/>
                <w:i/>
              </w:rPr>
              <w:t xml:space="preserve">Szczególną uwagę należy zwrócić na osoby o ograniczonych umiejętnościach cyfrowych, na powszechnie używane języki nieurzędowe i problemy związane z dostępem do </w:t>
            </w:r>
            <w:proofErr w:type="spellStart"/>
            <w:r>
              <w:rPr>
                <w:b/>
                <w:i/>
              </w:rPr>
              <w:t>intern</w:t>
            </w:r>
            <w:r>
              <w:rPr>
                <w:b/>
                <w:i/>
              </w:rPr>
              <w:t>etu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4266D" w:rsidP="00D7587E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rPr>
                <w:vertAlign w:val="superscript"/>
              </w:rPr>
              <w:t>56</w:t>
            </w:r>
            <w:r>
              <w:t xml:space="preserve"> Dyrektywa Parlamentu Europejskiego i Rady (UE) 2016/2102 z dnia 26 października 2016 r. w sprawie dostępności stron internetowych i mobilnych aplikacji organów sektora publicznego (Dz.U. L 327 z 2.12.2016, </w:t>
            </w:r>
            <w:proofErr w:type="gramStart"/>
            <w:r>
              <w:t>s</w:t>
            </w:r>
            <w:proofErr w:type="gramEnd"/>
            <w:r>
              <w:t>. 1.).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56</w:t>
            </w:r>
            <w:r>
              <w:t xml:space="preserve"> Dyrektywa Parlamentu Europejskiego i R</w:t>
            </w:r>
            <w:r>
              <w:t xml:space="preserve">ady (UE) 2016/2102 z dnia 26 października 2016 r. w sprawie dostępności stron internetowych i mobilnych aplikacji organów sektora publicznego (Dz.U. L 327 z 2.12.2016, </w:t>
            </w:r>
            <w:proofErr w:type="gramStart"/>
            <w:r>
              <w:t>s</w:t>
            </w:r>
            <w:proofErr w:type="gramEnd"/>
            <w:r>
              <w:t>. 1.).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11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</w:t>
      </w:r>
      <w:r w:rsidRPr="0064266D">
        <w:rPr>
          <w:rStyle w:val="HideTWBExt"/>
          <w:b w:val="0"/>
        </w:rPr>
        <w:t>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6 – litera a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810/2009</w:t>
      </w:r>
      <w:r w:rsidRPr="0064266D">
        <w:rPr>
          <w:rStyle w:val="HideTWBExt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&lt;Article2&gt;</w:t>
      </w:r>
      <w:r>
        <w:t xml:space="preserve">Artykuł 9 – ustęp 1b – litera a </w:t>
      </w:r>
      <w:proofErr w:type="spellStart"/>
      <w:r>
        <w:t>a</w:t>
      </w:r>
      <w:proofErr w:type="spellEnd"/>
      <w:r>
        <w:t xml:space="preserve"> (nowa)</w:t>
      </w:r>
      <w:r w:rsidRPr="0064266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 xml:space="preserve">Tekst proponowany przez </w:t>
            </w:r>
            <w:r>
              <w:t>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6213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aa</w:t>
            </w:r>
            <w:proofErr w:type="gramStart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osoby</w:t>
            </w:r>
            <w:proofErr w:type="gramEnd"/>
            <w:r>
              <w:rPr>
                <w:b/>
                <w:i/>
              </w:rPr>
              <w:t xml:space="preserve"> z niepełnoprawnością będące obywatelami państw trzecich;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pPr>
        <w:pStyle w:val="JustificationTitle"/>
        <w:rPr>
          <w:noProof w:val="0"/>
        </w:rPr>
      </w:pPr>
      <w:r w:rsidRPr="0064266D">
        <w:rPr>
          <w:rStyle w:val="HideTWBExt"/>
          <w:i w:val="0"/>
        </w:rPr>
        <w:t>&lt;TitreJust&gt;</w:t>
      </w:r>
      <w:r>
        <w:t>Uzasadnienie</w:t>
      </w:r>
      <w:r w:rsidRPr="0064266D">
        <w:rPr>
          <w:rStyle w:val="HideTWBExt"/>
          <w:i w:val="0"/>
        </w:rPr>
        <w:t>&lt;/TitreJust&gt;</w:t>
      </w:r>
    </w:p>
    <w:p w:rsidR="006A6174" w:rsidRPr="009308D0" w:rsidRDefault="0064266D" w:rsidP="006A6174">
      <w:pPr>
        <w:pStyle w:val="Normal12Italic"/>
        <w:rPr>
          <w:noProof w:val="0"/>
        </w:rPr>
      </w:pPr>
      <w:r>
        <w:t>Szczególną uwagę należy zwrócić na dostępność w przypadku osób z niepełnosprawnościami, w tym poprzez</w:t>
      </w:r>
      <w:r>
        <w:t xml:space="preserve"> ewentualne odstępstwo od korzystania z unijnej platformy do składania wniosków.</w:t>
      </w:r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12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8 – litera c a (nowa)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11 – ustęp 3 – litera b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4266D" w:rsidP="00F51B56">
            <w:pPr>
              <w:pStyle w:val="ColumnHeading"/>
              <w:keepNext/>
            </w:pPr>
            <w:r>
              <w:t>Tekst obowiązujący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ca</w:t>
            </w:r>
            <w:proofErr w:type="gramStart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w</w:t>
            </w:r>
            <w:proofErr w:type="gramEnd"/>
            <w:r>
              <w:rPr>
                <w:b/>
                <w:i/>
              </w:rPr>
              <w:t xml:space="preserve"> ust. 3 lit. b) wprowadza się następujące zmiany: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rPr>
                <w:b/>
                <w:i/>
              </w:rPr>
              <w:t>b</w:t>
            </w:r>
            <w:proofErr w:type="gramEnd"/>
            <w:r>
              <w:t xml:space="preserve">) </w:t>
            </w:r>
            <w:r>
              <w:rPr>
                <w:b/>
                <w:i/>
              </w:rPr>
              <w:tab/>
            </w:r>
            <w:r>
              <w:t>w</w:t>
            </w:r>
            <w:r>
              <w:rPr>
                <w:b/>
                <w:i/>
              </w:rPr>
              <w:t> </w:t>
            </w:r>
            <w:r>
              <w:t>języku(-ach) urzędowym(-</w:t>
            </w:r>
            <w:proofErr w:type="spellStart"/>
            <w:r>
              <w:t>ych</w:t>
            </w:r>
            <w:proofErr w:type="spellEnd"/>
            <w:r>
              <w:t xml:space="preserve">) państwa, w którym </w:t>
            </w:r>
            <w:r>
              <w:t>znajduje się konsulat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6A6174" w:rsidRPr="009308D0" w:rsidRDefault="0064266D" w:rsidP="0098418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„b</w:t>
            </w:r>
            <w:r>
              <w:t xml:space="preserve">) </w:t>
            </w:r>
            <w:r>
              <w:tab/>
              <w:t>w</w:t>
            </w:r>
            <w:r>
              <w:rPr>
                <w:b/>
                <w:i/>
              </w:rPr>
              <w:t xml:space="preserve"> </w:t>
            </w:r>
            <w:r>
              <w:t>języku(-ach) urzędowym(-</w:t>
            </w:r>
            <w:proofErr w:type="spellStart"/>
            <w:r>
              <w:t>ych</w:t>
            </w:r>
            <w:proofErr w:type="spellEnd"/>
            <w:r>
              <w:t>) państwa, w którym znajduje się konsulat</w:t>
            </w:r>
            <w:r>
              <w:rPr>
                <w:b/>
                <w:i/>
              </w:rPr>
              <w:t>, lub w powszechnie używanym(-</w:t>
            </w:r>
            <w:proofErr w:type="spellStart"/>
            <w:r>
              <w:rPr>
                <w:b/>
                <w:i/>
              </w:rPr>
              <w:t>ych</w:t>
            </w:r>
            <w:proofErr w:type="spellEnd"/>
            <w:r>
              <w:rPr>
                <w:b/>
                <w:i/>
              </w:rPr>
              <w:t>) nieoficjalnym(-</w:t>
            </w:r>
            <w:proofErr w:type="spellStart"/>
            <w:r>
              <w:rPr>
                <w:b/>
                <w:i/>
              </w:rPr>
              <w:t>ych</w:t>
            </w:r>
            <w:proofErr w:type="spellEnd"/>
            <w:r>
              <w:rPr>
                <w:b/>
                <w:i/>
              </w:rPr>
              <w:t>) języku(-ach) państwa, w którym znajduje się konsulat;”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pPr>
        <w:pStyle w:val="JustificationTitle"/>
        <w:rPr>
          <w:noProof w:val="0"/>
        </w:rPr>
      </w:pPr>
      <w:r w:rsidRPr="0064266D">
        <w:rPr>
          <w:rStyle w:val="HideTWBExt"/>
          <w:i w:val="0"/>
        </w:rPr>
        <w:t>&lt;TitreJust&gt;</w:t>
      </w:r>
      <w:r>
        <w:t>Uzas</w:t>
      </w:r>
      <w:r>
        <w:t>adnienie</w:t>
      </w:r>
      <w:r w:rsidRPr="0064266D">
        <w:rPr>
          <w:rStyle w:val="HideTWBExt"/>
          <w:i w:val="0"/>
        </w:rPr>
        <w:t>&lt;/TitreJust&gt;</w:t>
      </w:r>
    </w:p>
    <w:p w:rsidR="006A6174" w:rsidRPr="009308D0" w:rsidRDefault="0064266D" w:rsidP="006A6174">
      <w:pPr>
        <w:pStyle w:val="Normal12Italic"/>
        <w:rPr>
          <w:noProof w:val="0"/>
        </w:rPr>
      </w:pPr>
      <w:r>
        <w:t>W stosownych przypadkach szczególną uwagę należy także zwrócić na uwzględnienie powszechnie używanych nieurzędowych języków lokalnych, w których powinna być dostępna unijna platforma do składania wniosków.</w:t>
      </w:r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</w:t>
      </w:r>
      <w:r w:rsidRPr="0064266D">
        <w:rPr>
          <w:rStyle w:val="HideTWBExt"/>
          <w:b w:val="0"/>
        </w:rPr>
        <w:t>mAm&gt;</w:t>
      </w:r>
      <w:r>
        <w:t>13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8 – litera c b (nowa)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11 – ustęp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4266D" w:rsidP="00F51B56">
            <w:pPr>
              <w:pStyle w:val="ColumnHeading"/>
              <w:keepNext/>
            </w:pPr>
            <w:r>
              <w:t>Tekst obowiązujący</w:t>
            </w:r>
            <w:r>
              <w:t xml:space="preserve"> 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cb</w:t>
            </w:r>
            <w:proofErr w:type="spellEnd"/>
            <w:proofErr w:type="gramStart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w</w:t>
            </w:r>
            <w:proofErr w:type="gramEnd"/>
            <w:r>
              <w:rPr>
                <w:b/>
                <w:i/>
              </w:rPr>
              <w:t xml:space="preserve"> ust. 4 wprowadza się następujące zmiany: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4.</w:t>
            </w:r>
            <w:r>
              <w:rPr>
                <w:b/>
                <w:i/>
              </w:rPr>
              <w:tab/>
            </w:r>
            <w:r>
              <w:t xml:space="preserve">Jeżeli </w:t>
            </w:r>
            <w:r>
              <w:rPr>
                <w:b/>
                <w:i/>
              </w:rPr>
              <w:t>język</w:t>
            </w:r>
            <w:r>
              <w:t>(</w:t>
            </w:r>
            <w:r>
              <w:rPr>
                <w:b/>
                <w:i/>
              </w:rPr>
              <w:t>-i</w:t>
            </w:r>
            <w:r>
              <w:t xml:space="preserve">) </w:t>
            </w:r>
            <w:r>
              <w:rPr>
                <w:b/>
                <w:i/>
              </w:rPr>
              <w:t>urzędowe</w:t>
            </w:r>
            <w:r>
              <w:t xml:space="preserve"> państwa, w którym znajduje się konsulat, </w:t>
            </w:r>
            <w:r>
              <w:rPr>
                <w:b/>
                <w:i/>
              </w:rPr>
              <w:t xml:space="preserve">nie zostały zintegrowane w formularzu, </w:t>
            </w:r>
            <w:r>
              <w:t>osobie ubiegającej się o</w:t>
            </w:r>
            <w:r>
              <w:rPr>
                <w:b/>
                <w:i/>
              </w:rPr>
              <w:t> </w:t>
            </w:r>
            <w:r>
              <w:t xml:space="preserve">wizę udostępnia się </w:t>
            </w:r>
            <w:r>
              <w:rPr>
                <w:b/>
                <w:i/>
              </w:rPr>
              <w:t>odrębnie</w:t>
            </w:r>
            <w:r>
              <w:t xml:space="preserve"> tłumaczenie na ten język </w:t>
            </w:r>
            <w:r>
              <w:rPr>
                <w:b/>
                <w:i/>
              </w:rPr>
              <w:t>urzędow</w:t>
            </w:r>
            <w:r>
              <w:rPr>
                <w:b/>
                <w:i/>
              </w:rPr>
              <w:t>y</w:t>
            </w:r>
            <w:r>
              <w:t xml:space="preserve"> lub </w:t>
            </w:r>
            <w:r>
              <w:rPr>
                <w:b/>
                <w:i/>
              </w:rPr>
              <w:t>te języki urzędowe</w:t>
            </w:r>
            <w:r>
              <w:t>.</w:t>
            </w:r>
          </w:p>
        </w:tc>
        <w:tc>
          <w:tcPr>
            <w:tcW w:w="4876" w:type="dxa"/>
          </w:tcPr>
          <w:p w:rsidR="006A6174" w:rsidRPr="009308D0" w:rsidRDefault="0064266D" w:rsidP="0098418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„4.</w:t>
            </w:r>
            <w:r>
              <w:t xml:space="preserve"> </w:t>
            </w:r>
            <w:r>
              <w:tab/>
              <w:t xml:space="preserve">Jeżeli </w:t>
            </w:r>
            <w:r>
              <w:rPr>
                <w:b/>
                <w:i/>
              </w:rPr>
              <w:t>formularz wniosku nie jest dostępny w języku</w:t>
            </w:r>
            <w:r>
              <w:t>(</w:t>
            </w:r>
            <w:r>
              <w:rPr>
                <w:b/>
                <w:i/>
              </w:rPr>
              <w:t>-ach</w:t>
            </w:r>
            <w:r>
              <w:t xml:space="preserve">) </w:t>
            </w:r>
            <w:r>
              <w:rPr>
                <w:b/>
                <w:i/>
              </w:rPr>
              <w:t>urzędowym(-</w:t>
            </w:r>
            <w:proofErr w:type="spellStart"/>
            <w:r>
              <w:rPr>
                <w:b/>
                <w:i/>
              </w:rPr>
              <w:t>ych</w:t>
            </w:r>
            <w:proofErr w:type="spellEnd"/>
            <w:r>
              <w:rPr>
                <w:b/>
                <w:i/>
              </w:rPr>
              <w:t>)</w:t>
            </w:r>
            <w:r>
              <w:t xml:space="preserve"> państwa, w którym znajduje się konsulat, osobie ubiegającej się o</w:t>
            </w:r>
            <w:r>
              <w:rPr>
                <w:b/>
                <w:i/>
              </w:rPr>
              <w:t xml:space="preserve"> </w:t>
            </w:r>
            <w:r>
              <w:t xml:space="preserve">wizę udostępnia się </w:t>
            </w:r>
            <w:r>
              <w:rPr>
                <w:b/>
                <w:i/>
              </w:rPr>
              <w:t>oddzielnie jego</w:t>
            </w:r>
            <w:r>
              <w:t xml:space="preserve"> tłumaczenie na ten język </w:t>
            </w:r>
            <w:r>
              <w:rPr>
                <w:b/>
                <w:i/>
              </w:rPr>
              <w:t>(te języki)</w:t>
            </w:r>
            <w:r>
              <w:t xml:space="preserve"> lub </w:t>
            </w:r>
            <w:r>
              <w:rPr>
                <w:b/>
                <w:i/>
              </w:rPr>
              <w:t>na powsz</w:t>
            </w:r>
            <w:r>
              <w:rPr>
                <w:b/>
                <w:i/>
              </w:rPr>
              <w:t>echnie używany(-e) język(-i) nieurzędowy(-e) państwa, w którym znajduje się konsulat</w:t>
            </w:r>
            <w:r>
              <w:t>.</w:t>
            </w:r>
            <w:r>
              <w:rPr>
                <w:b/>
                <w:i/>
              </w:rPr>
              <w:t>”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pPr>
        <w:pStyle w:val="JustificationTitle"/>
        <w:rPr>
          <w:noProof w:val="0"/>
        </w:rPr>
      </w:pPr>
      <w:r w:rsidRPr="0064266D">
        <w:rPr>
          <w:rStyle w:val="HideTWBExt"/>
          <w:i w:val="0"/>
        </w:rPr>
        <w:t>&lt;TitreJust&gt;</w:t>
      </w:r>
      <w:r>
        <w:t>Uzasadnienie</w:t>
      </w:r>
      <w:r w:rsidRPr="0064266D">
        <w:rPr>
          <w:rStyle w:val="HideTWBExt"/>
          <w:i w:val="0"/>
        </w:rPr>
        <w:t>&lt;/TitreJust&gt;</w:t>
      </w:r>
    </w:p>
    <w:p w:rsidR="006A6174" w:rsidRPr="009308D0" w:rsidRDefault="0064266D" w:rsidP="006A6174">
      <w:pPr>
        <w:pStyle w:val="Normal12Italic"/>
        <w:rPr>
          <w:noProof w:val="0"/>
        </w:rPr>
      </w:pPr>
      <w:r>
        <w:t xml:space="preserve">W stosownych przypadkach szczególną uwagę należy także zwrócić na uwzględnienie powszechnie </w:t>
      </w:r>
      <w:r>
        <w:t>używanych nieurzędowych języków lokalnych, w których również powinien być sporządzany formularz wniosku.</w:t>
      </w:r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14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 xml:space="preserve">Artykuł 1 – akapit 1 – punkt 8 – litera c </w:t>
      </w:r>
      <w:proofErr w:type="spellStart"/>
      <w:r>
        <w:t>c</w:t>
      </w:r>
      <w:proofErr w:type="spellEnd"/>
      <w:r>
        <w:t xml:space="preserve"> </w:t>
      </w:r>
      <w:r>
        <w:t>(nowa)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11 – ustęp 5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4266D" w:rsidP="00F51B56">
            <w:pPr>
              <w:pStyle w:val="ColumnHeading"/>
              <w:keepNext/>
            </w:pPr>
            <w:r>
              <w:t xml:space="preserve">Tekst obowiązujący 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cc</w:t>
            </w:r>
            <w:proofErr w:type="gramStart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w</w:t>
            </w:r>
            <w:proofErr w:type="gramEnd"/>
            <w:r>
              <w:rPr>
                <w:b/>
                <w:i/>
              </w:rPr>
              <w:t xml:space="preserve"> ust. 5 wprowadza się następujące zmiany: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5.</w:t>
            </w:r>
            <w:r>
              <w:rPr>
                <w:b/>
                <w:i/>
              </w:rPr>
              <w:tab/>
              <w:t>Tłumaczenie formularza</w:t>
            </w:r>
            <w:r>
              <w:t xml:space="preserve"> wniosku na język(-i) urzędowy(-e) państwa, w którym znajduje się konsulat, </w:t>
            </w:r>
            <w:r>
              <w:rPr>
                <w:b/>
                <w:i/>
              </w:rPr>
              <w:t>jest dokonywane</w:t>
            </w:r>
            <w:r>
              <w:t xml:space="preserve"> w ramach lokalnej współpracy </w:t>
            </w:r>
            <w:proofErr w:type="spellStart"/>
            <w:r>
              <w:t>schengeńskiej</w:t>
            </w:r>
            <w:proofErr w:type="spellEnd"/>
            <w:r>
              <w:t xml:space="preserve"> przewidzianej w art. 48.</w:t>
            </w:r>
          </w:p>
        </w:tc>
        <w:tc>
          <w:tcPr>
            <w:tcW w:w="4876" w:type="dxa"/>
          </w:tcPr>
          <w:p w:rsidR="006A6174" w:rsidRPr="009308D0" w:rsidRDefault="0064266D" w:rsidP="0098418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„5.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Formularz</w:t>
            </w:r>
            <w:r>
              <w:t xml:space="preserve"> wniosku</w:t>
            </w:r>
            <w:r>
              <w:rPr>
                <w:b/>
                <w:i/>
              </w:rPr>
              <w:t xml:space="preserve"> tłumaczy się</w:t>
            </w:r>
            <w:r>
              <w:t xml:space="preserve"> na język(-i) urzędowy(-e) państwa, w którym znajduje się kon</w:t>
            </w:r>
            <w:r>
              <w:t xml:space="preserve">sulat, </w:t>
            </w:r>
            <w:r>
              <w:rPr>
                <w:b/>
                <w:i/>
              </w:rPr>
              <w:t>lub na powszechnie używany(-e) język(-i) nieurzędowy(-e)</w:t>
            </w:r>
            <w:r>
              <w:t xml:space="preserve"> w ramach lokalnej współpracy </w:t>
            </w:r>
            <w:proofErr w:type="spellStart"/>
            <w:r>
              <w:t>schengeńskiej</w:t>
            </w:r>
            <w:proofErr w:type="spellEnd"/>
            <w:r>
              <w:t xml:space="preserve"> przewidzianej w art. 48.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pPr>
        <w:pStyle w:val="JustificationTitle"/>
        <w:rPr>
          <w:noProof w:val="0"/>
        </w:rPr>
      </w:pPr>
      <w:r w:rsidRPr="0064266D">
        <w:rPr>
          <w:rStyle w:val="HideTWBExt"/>
          <w:i w:val="0"/>
        </w:rPr>
        <w:t>&lt;TitreJust&gt;</w:t>
      </w:r>
      <w:r>
        <w:t>Uzasadnienie</w:t>
      </w:r>
      <w:r w:rsidRPr="0064266D">
        <w:rPr>
          <w:rStyle w:val="HideTWBExt"/>
          <w:i w:val="0"/>
        </w:rPr>
        <w:t>&lt;/TitreJust&gt;</w:t>
      </w:r>
    </w:p>
    <w:p w:rsidR="006A6174" w:rsidRPr="009308D0" w:rsidRDefault="0064266D" w:rsidP="006A6174">
      <w:pPr>
        <w:pStyle w:val="Normal12Italic"/>
        <w:rPr>
          <w:noProof w:val="0"/>
        </w:rPr>
      </w:pPr>
      <w:r>
        <w:t>W szczególnych przypadkach państwa członkowskie powinny</w:t>
      </w:r>
      <w:r>
        <w:t xml:space="preserve"> również określić w ramach lokalnej współpracy schengeńskiej powszechnie używane nieurzędowe języki lokalne, na które należy przetłumaczyć wniosek.</w:t>
      </w:r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15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</w:t>
      </w:r>
      <w:r>
        <w:t>rtykuł 1 – akapit 1 – punkt 9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810/2009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12 – ustęp 4 – akapit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 xml:space="preserve">W przypadku gdy wniosek składany jest za pośrednictwem unijnej </w:t>
            </w:r>
            <w:r>
              <w:t>platformy do składania wniosków, konsulat lub usługodawca zewnętrzny weryfikuje zgodność dokumentu podróży, który zostaje przedstawiony osobiście zgodnie z ust. 2, z </w:t>
            </w:r>
            <w:r>
              <w:rPr>
                <w:b/>
                <w:i/>
              </w:rPr>
              <w:t>zeskanowaną</w:t>
            </w:r>
            <w:r>
              <w:t xml:space="preserve"> kopią przesłaną przez osobę ubiegającą się o wizę.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W przypadku gdy wniosek skł</w:t>
            </w:r>
            <w:r>
              <w:t>adany jest za pośrednictwem unijnej platformy do składania wniosków, konsulat lub usługodawca zewnętrzny weryfikuje zgodność dokumentu podróży, który zostaje przedstawiony osobiście zgodnie z ust. 2, z </w:t>
            </w:r>
            <w:r>
              <w:rPr>
                <w:b/>
                <w:i/>
              </w:rPr>
              <w:t>elektroniczną</w:t>
            </w:r>
            <w:r>
              <w:t xml:space="preserve"> kopią przesłaną przez osobę ubiegającą s</w:t>
            </w:r>
            <w:r>
              <w:t>ię o wizę.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16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9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810/2009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12– ustęp 5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5.</w:t>
            </w:r>
            <w:r>
              <w:tab/>
              <w:t xml:space="preserve">W przypadku gdy jakość </w:t>
            </w:r>
            <w:r>
              <w:rPr>
                <w:b/>
                <w:i/>
              </w:rPr>
              <w:t>zeskanowanej</w:t>
            </w:r>
            <w:r>
              <w:t xml:space="preserve"> kopii, o której mowa w ust. 4, jest niesatysfakcjonująca lub gdy istnieją wątpliwości, zwłaszcza jeżeli chodzi o autentyczność, właś</w:t>
            </w:r>
            <w:r>
              <w:t>ciwy konsulat lub usługodawca zewnętrzny wykonuje nową zeskanowaną kopię i umieszcza ją w unijnej platformie do składania wniosków.;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W przypadku gdy jakość </w:t>
            </w:r>
            <w:r>
              <w:rPr>
                <w:b/>
                <w:i/>
              </w:rPr>
              <w:t>elektronicznej</w:t>
            </w:r>
            <w:r>
              <w:t xml:space="preserve"> kopii, o której mowa w ust. 4, jest niesatysfakcjonująca lub gdy istnieją wątpliwo</w:t>
            </w:r>
            <w:r>
              <w:t>ści, zwłaszcza jeżeli chodzi o autentyczność, właściwy konsulat lub usługodawca zewnętrzny wykonuje nową zeskanowaną kopię i umieszcza ją w unijnej platformie do składania wniosków.;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17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20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810/2009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26 a – ustęp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Wizy są wydawane w formacie cyfrowym jako wpis w VIS i obejmują niepowtarzalny numer wizy.;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Wizy są wydawane w formacie cyfrowym jako wpis w VIS i obejmują niepowtarzalny numer wizy</w:t>
            </w:r>
            <w:r>
              <w:rPr>
                <w:b/>
                <w:i/>
              </w:rPr>
              <w:t xml:space="preserve"> cyfrowej</w:t>
            </w:r>
            <w:r>
              <w:t>.;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18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21 – litera a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32 – ustęp 2 – akapit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 xml:space="preserve">Tekst </w:t>
            </w:r>
            <w:r>
              <w:t>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 xml:space="preserve">W przypadku wniosków złożonych za pośrednictwem unijnej platformy do składania wniosków </w:t>
            </w:r>
            <w:r>
              <w:rPr>
                <w:b/>
                <w:i/>
              </w:rPr>
              <w:t>informacje o decyzjach</w:t>
            </w:r>
            <w:r>
              <w:t xml:space="preserve"> w sprawie odmowy</w:t>
            </w:r>
            <w:r>
              <w:rPr>
                <w:b/>
                <w:i/>
              </w:rPr>
              <w:t xml:space="preserve"> i powody odmowy są przekazywane osobie ubiegającej</w:t>
            </w:r>
            <w:r>
              <w:t xml:space="preserve"> się o wizę za pośrednictwem</w:t>
            </w:r>
            <w:r>
              <w:rPr>
                <w:b/>
                <w:i/>
              </w:rPr>
              <w:t xml:space="preserve"> bezpiecznych</w:t>
            </w:r>
            <w:r>
              <w:t xml:space="preserve"> środków elektronicznych zgodnie z art. 7f ust. 1 rozporządzenia (WE) nr 767/2008.</w:t>
            </w:r>
            <w:r>
              <w:rPr>
                <w:b/>
                <w:i/>
              </w:rPr>
              <w:t xml:space="preserve"> Powiadomienie będzie zawierać te same informacje, które określono</w:t>
            </w:r>
            <w:r>
              <w:t xml:space="preserve"> w</w:t>
            </w:r>
            <w:r>
              <w:rPr>
                <w:b/>
                <w:i/>
              </w:rPr>
              <w:t> </w:t>
            </w:r>
            <w:r>
              <w:t>załączniku VI</w:t>
            </w:r>
            <w:r>
              <w:rPr>
                <w:b/>
                <w:i/>
              </w:rPr>
              <w:t>,</w:t>
            </w:r>
            <w:r>
              <w:t xml:space="preserve"> w języku państwa członkowskiego, które podjęło ostateczną decyzję w sprawie wniosku, oraz </w:t>
            </w:r>
            <w:r>
              <w:t>w innym języku urzędowym Unii.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 xml:space="preserve">W przypadku wniosków złożonych za pośrednictwem unijnej platformy do składania wniosków </w:t>
            </w:r>
            <w:r>
              <w:rPr>
                <w:b/>
                <w:i/>
              </w:rPr>
              <w:t>gdy dostępna jest tylko decyzja</w:t>
            </w:r>
            <w:r>
              <w:t xml:space="preserve"> w sprawie odmowy</w:t>
            </w:r>
            <w:r>
              <w:rPr>
                <w:b/>
                <w:i/>
              </w:rPr>
              <w:t>, powiadamia się o niej osobę ubiegającą</w:t>
            </w:r>
            <w:r>
              <w:t xml:space="preserve"> się o wizę za pośrednictwem środków elektroniczn</w:t>
            </w:r>
            <w:r>
              <w:t>ych zgodnie z art. 7f ust. 1 rozporządzenia (WE) nr 767/2008.</w:t>
            </w:r>
            <w:r>
              <w:rPr>
                <w:b/>
                <w:i/>
              </w:rPr>
              <w:t xml:space="preserve"> Decyzję w sprawie odmowy i powody odmowy określone</w:t>
            </w:r>
            <w:r>
              <w:t xml:space="preserve"> w</w:t>
            </w:r>
            <w:r>
              <w:rPr>
                <w:b/>
                <w:i/>
              </w:rPr>
              <w:t xml:space="preserve"> </w:t>
            </w:r>
            <w:r>
              <w:t>załączniku VI</w:t>
            </w:r>
            <w:r>
              <w:rPr>
                <w:b/>
                <w:i/>
              </w:rPr>
              <w:t xml:space="preserve"> udostępnia się na bezpiecznym koncie osobie ubiegającej się o wizę. Decyzję o odmowie sporządza się</w:t>
            </w:r>
            <w:r>
              <w:t xml:space="preserve"> w języku państwa członkowsk</w:t>
            </w:r>
            <w:r>
              <w:t>iego, które podjęło ostateczną decyzję w sprawie wniosku, oraz w innym języku urzędowym Unii.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19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</w:t>
      </w:r>
      <w:r>
        <w:t xml:space="preserve"> punkt 21 – litera a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32 – ustęp 2 – akapit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rPr>
                <w:b/>
                <w:i/>
              </w:rPr>
              <w:t xml:space="preserve">Do standardowego powiadomienia </w:t>
            </w:r>
            <w:r>
              <w:t xml:space="preserve">państwa członkowskie mogą dołączyć dodatkowe dokumenty </w:t>
            </w:r>
            <w:r>
              <w:rPr>
                <w:b/>
                <w:i/>
              </w:rPr>
              <w:t>zawierające uzasadnienie odmowy</w:t>
            </w:r>
            <w:r>
              <w:t>.</w:t>
            </w:r>
          </w:p>
        </w:tc>
        <w:tc>
          <w:tcPr>
            <w:tcW w:w="4876" w:type="dxa"/>
          </w:tcPr>
          <w:p w:rsidR="006A6174" w:rsidRPr="009308D0" w:rsidRDefault="0064266D" w:rsidP="006213D7">
            <w:pPr>
              <w:pStyle w:val="Normal6"/>
              <w:rPr>
                <w:szCs w:val="24"/>
              </w:rPr>
            </w:pPr>
            <w:r>
              <w:t xml:space="preserve">Państwa członkowskie mogą dołączyć dodatkowe dokumenty </w:t>
            </w:r>
            <w:r>
              <w:rPr>
                <w:b/>
                <w:i/>
              </w:rPr>
              <w:t>uzasadniające decyzję o odmowie</w:t>
            </w:r>
            <w:r>
              <w:t>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20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</w:t>
      </w:r>
      <w:r w:rsidRPr="0064266D">
        <w:rPr>
          <w:rStyle w:val="HideTWBExt"/>
          <w:b w:val="0"/>
        </w:rPr>
        <w:t>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21 – litera a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32 – ustęp 2 – akapit 2 a (nowy)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 xml:space="preserve">Tekst proponowany przez </w:t>
            </w:r>
            <w:r>
              <w:t>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Okres na złożenie odwołania zaczyna biec z chwilą, gdy osoba ubiegająca się o wizę zapozna się z decyzją na bezpiecznym koncie na unijnej platformie do składania wniosków.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</w:t>
      </w:r>
      <w:r w:rsidRPr="0064266D">
        <w:rPr>
          <w:rStyle w:val="HideTWBExt"/>
          <w:b w:val="0"/>
        </w:rPr>
        <w:t>&gt;</w:t>
      </w:r>
      <w:r>
        <w:t>21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21 – litera a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32 – ustęp 2 – akapit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 xml:space="preserve">Tekst proponowany </w:t>
            </w:r>
            <w:r>
              <w:t>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Komisja przyjmuje akty delegowane zgodnie z art. 51a w celu zmiany formularza odmowy, jak określono w załączniku VI</w:t>
            </w:r>
            <w:r>
              <w:rPr>
                <w:b/>
                <w:i/>
              </w:rPr>
              <w:t xml:space="preserve"> lub jako powiadomienie</w:t>
            </w:r>
            <w:r>
              <w:t>,</w:t>
            </w:r>
            <w:r>
              <w:rPr>
                <w:b/>
                <w:i/>
              </w:rPr>
              <w:t xml:space="preserve"> o którym mowa w rozdziale </w:t>
            </w:r>
            <w:proofErr w:type="spellStart"/>
            <w:r>
              <w:rPr>
                <w:b/>
                <w:i/>
              </w:rPr>
              <w:t>Ia</w:t>
            </w:r>
            <w:proofErr w:type="spellEnd"/>
            <w:r>
              <w:rPr>
                <w:b/>
                <w:i/>
              </w:rPr>
              <w:t xml:space="preserve"> rozporządzenia (WE) nr 767/2008.</w:t>
            </w:r>
            <w:r>
              <w:t>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Komisja przyjmuje akty delego</w:t>
            </w:r>
            <w:r>
              <w:t>wane zgodnie z art. 51a w celu zmiany formularza odmowy, jak określono w załączniku VI,;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22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 xml:space="preserve">Artykuł 1 – akapit 1 – </w:t>
      </w:r>
      <w:r>
        <w:t>punkt 22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810/2009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32 a – ustęp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1.</w:t>
            </w:r>
            <w:r>
              <w:tab/>
              <w:t xml:space="preserve">Posiadacze wizy, których dokument podróży został utracony, skradziony lub stracił ważność, </w:t>
            </w:r>
            <w:r>
              <w:t xml:space="preserve">a których wiza jest nadal ważna, </w:t>
            </w:r>
            <w:r>
              <w:rPr>
                <w:b/>
                <w:i/>
              </w:rPr>
              <w:t>mogą ubiegać</w:t>
            </w:r>
            <w:r>
              <w:t xml:space="preserve"> się o potwierdzenie wizy w powiązaniu z nowym dokumentem podróży.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Posiadacze wizy, których dokument podróży został utracony, skradziony</w:t>
            </w:r>
            <w:r>
              <w:rPr>
                <w:b/>
                <w:i/>
              </w:rPr>
              <w:t>, unieważniony</w:t>
            </w:r>
            <w:r>
              <w:t xml:space="preserve"> lub stracił ważność, a których wiza jest nadal ważna, </w:t>
            </w:r>
            <w:r>
              <w:rPr>
                <w:b/>
                <w:i/>
              </w:rPr>
              <w:t>ubi</w:t>
            </w:r>
            <w:r>
              <w:rPr>
                <w:b/>
                <w:i/>
              </w:rPr>
              <w:t>egają</w:t>
            </w:r>
            <w:r>
              <w:t xml:space="preserve"> się o potwierdzenie wizy w powiązaniu z nowym dokumentem podróży</w:t>
            </w:r>
            <w:r>
              <w:rPr>
                <w:b/>
                <w:i/>
              </w:rPr>
              <w:t>, jeżeli chcą nadal korzystać z wizy.</w:t>
            </w:r>
            <w:r>
              <w:t xml:space="preserve"> </w:t>
            </w:r>
            <w:r>
              <w:rPr>
                <w:b/>
                <w:i/>
              </w:rPr>
              <w:t>Wydanie wizy można zasadniczo potwierdzić w organie, który wydał wizę, lub na warunkach określonych przez państwo członkowskie.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64266D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O decyzji o potwie</w:t>
            </w:r>
            <w:r>
              <w:rPr>
                <w:b/>
                <w:i/>
              </w:rPr>
              <w:t>rdzeniu wizy w nowym dokumencie podróży powiadamia się osobę ubiegającą się o wizę za pośrednictwem środków elektronicznych zgodnie z art. 7f rozporządzenia (WE) nr 767/2008.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64266D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Decyzję o tym, czy wizę potwierdzono w nowym dokumencie podróży, udostępnia się</w:t>
            </w:r>
            <w:r>
              <w:rPr>
                <w:b/>
                <w:i/>
              </w:rPr>
              <w:t xml:space="preserve"> osobie ubiegającej się o wizę na bezpiecznym koncie.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23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22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810/2009</w:t>
      </w:r>
      <w:r w:rsidRPr="0064266D">
        <w:rPr>
          <w:rStyle w:val="HideTWBExt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&lt;Article2&gt;</w:t>
      </w:r>
      <w:r>
        <w:t>Artykuł 32a – ustęp 2 – litera b</w:t>
      </w:r>
      <w:r w:rsidRPr="0064266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b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wizy;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b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wizy</w:t>
            </w:r>
            <w:r>
              <w:rPr>
                <w:b/>
                <w:i/>
              </w:rPr>
              <w:t xml:space="preserve"> cyfrowej</w:t>
            </w:r>
            <w:r>
              <w:t>;</w:t>
            </w:r>
          </w:p>
        </w:tc>
      </w:tr>
    </w:tbl>
    <w:p w:rsidR="006A6174" w:rsidRPr="009308D0" w:rsidRDefault="0064266D" w:rsidP="006A6174">
      <w:pPr>
        <w:pStyle w:val="Olang"/>
        <w:rPr>
          <w:noProof w:val="0"/>
          <w:lang w:val="en-GB"/>
        </w:rPr>
      </w:pPr>
      <w:proofErr w:type="gramStart"/>
      <w:r w:rsidRPr="009308D0">
        <w:rPr>
          <w:noProof w:val="0"/>
          <w:lang w:val="en-GB"/>
        </w:rPr>
        <w:t>Or</w:t>
      </w:r>
      <w:proofErr w:type="gramEnd"/>
      <w:r w:rsidRPr="009308D0">
        <w:rPr>
          <w:noProof w:val="0"/>
          <w:lang w:val="en-GB"/>
        </w:rPr>
        <w:t xml:space="preserve">. </w:t>
      </w:r>
      <w:r w:rsidRPr="009308D0">
        <w:rPr>
          <w:rStyle w:val="HideTWBExt"/>
          <w:noProof w:val="0"/>
          <w:lang w:val="en-GB"/>
        </w:rPr>
        <w:t>&lt;Original&gt;</w:t>
      </w:r>
      <w:r w:rsidRPr="009308D0">
        <w:rPr>
          <w:rStyle w:val="HideTWBInt"/>
          <w:noProof w:val="0"/>
          <w:lang w:val="en-GB"/>
        </w:rPr>
        <w:t>{EN}</w:t>
      </w:r>
      <w:proofErr w:type="spellStart"/>
      <w:proofErr w:type="gramStart"/>
      <w:r w:rsidRPr="009308D0">
        <w:rPr>
          <w:noProof w:val="0"/>
          <w:lang w:val="en-GB"/>
        </w:rPr>
        <w:t>en</w:t>
      </w:r>
      <w:proofErr w:type="spellEnd"/>
      <w:proofErr w:type="gramEnd"/>
      <w:r w:rsidRPr="009308D0">
        <w:rPr>
          <w:rStyle w:val="HideTWBExt"/>
          <w:noProof w:val="0"/>
          <w:lang w:val="en-GB"/>
        </w:rPr>
        <w:t>&lt;/Original&gt;</w:t>
      </w:r>
    </w:p>
    <w:p w:rsidR="006A6174" w:rsidRPr="009308D0" w:rsidRDefault="0064266D" w:rsidP="006A6174">
      <w:r>
        <w:rPr>
          <w:rStyle w:val="HideTWBExt"/>
          <w:lang w:val="en-GB"/>
        </w:rPr>
        <w:t>&lt;/Amend&gt;</w:t>
      </w:r>
    </w:p>
    <w:p w:rsidR="006A6174" w:rsidRPr="009308D0" w:rsidRDefault="0064266D" w:rsidP="006A6174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24</w:t>
      </w:r>
      <w:r>
        <w:rPr>
          <w:rStyle w:val="HideTWBExt"/>
          <w:b w:val="0"/>
          <w:lang w:val="en-GB"/>
        </w:rPr>
        <w:t>&lt;/NumAm&gt;</w:t>
      </w:r>
    </w:p>
    <w:p w:rsidR="006A6174" w:rsidRPr="009308D0" w:rsidRDefault="0064266D" w:rsidP="006A6174">
      <w:pPr>
        <w:pStyle w:val="NormalBold12b"/>
        <w:keepNext/>
      </w:pPr>
      <w:r>
        <w:rPr>
          <w:rStyle w:val="HideTWBExt"/>
          <w:b w:val="0"/>
          <w:lang w:val="en-GB"/>
        </w:rPr>
        <w:t>&lt;DocAmend&gt;</w:t>
      </w:r>
      <w:r>
        <w:t>Wniosek dotyczący rozporządzenia</w:t>
      </w:r>
      <w:r>
        <w:rPr>
          <w:rStyle w:val="HideTWBExt"/>
          <w:b w:val="0"/>
          <w:lang w:val="en-GB"/>
        </w:rPr>
        <w:t>&lt;/DocAmend&gt;</w:t>
      </w:r>
    </w:p>
    <w:p w:rsidR="006A6174" w:rsidRPr="009308D0" w:rsidRDefault="0064266D" w:rsidP="006A6174">
      <w:pPr>
        <w:pStyle w:val="NormalBold"/>
      </w:pPr>
      <w:r>
        <w:rPr>
          <w:rStyle w:val="HideTWBExt"/>
          <w:b w:val="0"/>
          <w:lang w:val="fr-FR"/>
        </w:rPr>
        <w:t>&lt;Article&gt;</w:t>
      </w:r>
      <w:r>
        <w:t>Artykuł 1 – akapit 1 – punkt 22</w:t>
      </w:r>
      <w:r>
        <w:rPr>
          <w:rStyle w:val="HideTWBExt"/>
          <w:b w:val="0"/>
          <w:lang w:val="fr-FR"/>
        </w:rPr>
        <w:t>&lt;/Article&gt;</w:t>
      </w:r>
    </w:p>
    <w:p w:rsidR="006A6174" w:rsidRPr="009308D0" w:rsidRDefault="0064266D" w:rsidP="006A6174">
      <w:pPr>
        <w:keepNext/>
      </w:pPr>
      <w:r>
        <w:rPr>
          <w:rStyle w:val="HideTWBExt"/>
          <w:lang w:val="fr-FR"/>
        </w:rPr>
        <w:t>&lt;DocAmend2&gt;</w:t>
      </w:r>
      <w:r>
        <w:t>Rozporządzenie (WE) nr 810/2009</w:t>
      </w:r>
      <w:r>
        <w:rPr>
          <w:rStyle w:val="HideTWBExt"/>
          <w:lang w:val="fr-FR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32a – ustęp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4.</w:t>
            </w:r>
            <w:r>
              <w:tab/>
              <w:t xml:space="preserve">Posiadacz wizy ma obowiązek stawić się osobiście w celu okazania nowego dokumentu podróży, aby potwierdzić, że dokument ten odpowiada </w:t>
            </w:r>
            <w:r>
              <w:rPr>
                <w:b/>
                <w:i/>
              </w:rPr>
              <w:t>zeskanowanej</w:t>
            </w:r>
            <w:r>
              <w:t xml:space="preserve"> kopii przesłanej za pośrednictwem unijnej platformy do składania wniosków oraz że posiadacz dokumentu podr</w:t>
            </w:r>
            <w:r>
              <w:t>óży jest osobą, której wydano wizę.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Posiadacz wizy ma obowiązek stawić się osobiście w celu okazania nowego dokumentu podróży, aby potwierdzić, że dokument ten odpowiada </w:t>
            </w:r>
            <w:r>
              <w:rPr>
                <w:b/>
                <w:i/>
              </w:rPr>
              <w:t>elektronicznej</w:t>
            </w:r>
            <w:r>
              <w:t xml:space="preserve"> kopii przesłanej za pośrednictwem unijnej platformy do składania wni</w:t>
            </w:r>
            <w:r>
              <w:t>osków oraz że posiadacz dokumentu podróży jest osobą, której wydano wizę.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25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23 – litera b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33 – ustęp 8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8.</w:t>
            </w:r>
            <w:r>
              <w:tab/>
            </w:r>
            <w:r>
              <w:rPr>
                <w:b/>
                <w:i/>
              </w:rPr>
              <w:t>W przypadku przedłużenia</w:t>
            </w:r>
            <w:r>
              <w:t xml:space="preserve"> ważności wizy za pośrednictwem unijnej platformy do składania wniosków </w:t>
            </w:r>
            <w:r>
              <w:rPr>
                <w:b/>
                <w:i/>
              </w:rPr>
              <w:t xml:space="preserve">zgodnie z ust. 1–7 niniejszego artykułu, o przedłużeniu </w:t>
            </w:r>
            <w:r>
              <w:t>powiadamia się osobę ubiegającą się o wizę za pośrednictwem</w:t>
            </w:r>
            <w:r>
              <w:rPr>
                <w:b/>
                <w:i/>
              </w:rPr>
              <w:t xml:space="preserve"> bezpiecznych</w:t>
            </w:r>
            <w:r>
              <w:t xml:space="preserve"> środków elektronicznych zgodnie z art. 7f rozporządzenia (WE) nr 767/2008.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</w:r>
            <w:r>
              <w:rPr>
                <w:b/>
                <w:i/>
              </w:rPr>
              <w:t>O decyzji o przedłużeniu</w:t>
            </w:r>
            <w:r>
              <w:t xml:space="preserve"> ważności wizy za pośred</w:t>
            </w:r>
            <w:r>
              <w:t>nictwem unijnej platformy do składania wniosków powiadamia się osobę ubiegającą się o wizę za pośrednictwem środków elektronicznych zgodnie z art. 7f rozporządzenia (WE) nr 767/2008.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64266D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Decyzję o tym, czy ważność wizy przedłużono, udostępnia się osobie ubie</w:t>
            </w:r>
            <w:r>
              <w:rPr>
                <w:b/>
                <w:i/>
              </w:rPr>
              <w:t>gającej się o wizę na bezpiecznym koncie.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26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1 – akapit 1 – punkt 24 – litera a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810/2009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34 – ustęp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6.</w:t>
            </w:r>
            <w:r>
              <w:tab/>
            </w:r>
            <w:r>
              <w:rPr>
                <w:b/>
                <w:i/>
              </w:rPr>
              <w:t>Decyzję</w:t>
            </w:r>
            <w:r>
              <w:t xml:space="preserve"> w sprawie unieważnienia lub cofnięcia wizy oraz</w:t>
            </w:r>
            <w:r>
              <w:rPr>
                <w:b/>
                <w:i/>
              </w:rPr>
              <w:t xml:space="preserve"> </w:t>
            </w:r>
            <w:r>
              <w:t>powody takiej decyzji wydaje się w</w:t>
            </w:r>
            <w:r>
              <w:rPr>
                <w:b/>
                <w:i/>
              </w:rPr>
              <w:t> </w:t>
            </w:r>
            <w:r>
              <w:t>formacie cyfrowym przez wprowadz</w:t>
            </w:r>
            <w:r>
              <w:t>enie danych do wizowego systemu informacyjnego zgodnie z art. </w:t>
            </w:r>
            <w:r>
              <w:rPr>
                <w:b/>
                <w:i/>
              </w:rPr>
              <w:t>12</w:t>
            </w:r>
            <w:r>
              <w:t xml:space="preserve"> rozporządzenia (WE) nr 767/2008</w:t>
            </w:r>
            <w:r>
              <w:rPr>
                <w:b/>
                <w:i/>
              </w:rPr>
              <w:t xml:space="preserve"> i przekazuje się osobie ubiegającej się o wizę za pośrednictwem bezpiecznych środków elektronicznych zgodnie z art</w:t>
            </w:r>
            <w:r>
              <w:t>.</w:t>
            </w:r>
            <w:r>
              <w:rPr>
                <w:b/>
                <w:i/>
              </w:rPr>
              <w:t> 7f rozporządzenia (WE) nr 767/2008 lub za p</w:t>
            </w:r>
            <w:r>
              <w:rPr>
                <w:b/>
                <w:i/>
              </w:rPr>
              <w:t>omocą standardowego formularza określonego w załączniku VI w przypadku wniosków, których nie złożono za pośrednictwem unijnej platformy do składania wniosków. Powiadomienie to zawiera informacje określone w załączniku VI.;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</w:r>
            <w:r>
              <w:rPr>
                <w:b/>
                <w:i/>
              </w:rPr>
              <w:t>W przypadku wniosków złożonych</w:t>
            </w:r>
            <w:r>
              <w:rPr>
                <w:b/>
                <w:i/>
              </w:rPr>
              <w:t xml:space="preserve"> za pośrednictwem unijnej platformy do składania wniosków decyzję</w:t>
            </w:r>
            <w:r>
              <w:t xml:space="preserve"> w sprawie unieważnienia lub cofnięcia wizy oraz</w:t>
            </w:r>
            <w:r>
              <w:rPr>
                <w:b/>
                <w:i/>
              </w:rPr>
              <w:t> </w:t>
            </w:r>
            <w:r>
              <w:t>powody takiej decyzji wydaje się w</w:t>
            </w:r>
            <w:r>
              <w:rPr>
                <w:b/>
                <w:i/>
              </w:rPr>
              <w:t xml:space="preserve"> </w:t>
            </w:r>
            <w:r>
              <w:t>formacie cyfrowym przez wprowadzenie danych do wizowego systemu informacyjnego zgodnie z art. </w:t>
            </w:r>
            <w:r>
              <w:rPr>
                <w:b/>
                <w:i/>
              </w:rPr>
              <w:t>13</w:t>
            </w:r>
            <w:r>
              <w:t xml:space="preserve"> rozporządz</w:t>
            </w:r>
            <w:r>
              <w:t>enia (WE) nr 767/2008.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64266D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Gdy tylko decyzja w sprawie unieważnienia lub cofnięcia wizy jest dostępna, osobę ubiegającą się o wizę powiadamia się za pośrednictwem środków elektronicznych zgodnie z art. 7f ust. 1 rozporządzenia (WE) nr 767/2008.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64266D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6213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Decyzję w </w:t>
            </w:r>
            <w:r>
              <w:rPr>
                <w:b/>
                <w:i/>
              </w:rPr>
              <w:t>sprawie unieważnienia lub cofnięcia wizy oraz powody unieważnienia lub cofnięcia określone w załączniku VI udostępnia się osobie ubiegającej się o wizę na bezpiecznym koncie.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64266D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W przypadku wniosków, których nie złożono z pośrednictwem unijnej platformy do </w:t>
            </w:r>
            <w:r>
              <w:rPr>
                <w:b/>
                <w:i/>
              </w:rPr>
              <w:t>składania wniosków, decyzję w sprawie unieważnienia lub cofnięcia wizy oraz powody takiej decyzji przekazuje się osobie ubiegającej się o wizę na standardowym formularzu określonym w załączniku VI.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27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7a – nagłówek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465535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465535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465535">
        <w:trPr>
          <w:jc w:val="center"/>
        </w:trPr>
        <w:tc>
          <w:tcPr>
            <w:tcW w:w="4876" w:type="dxa"/>
          </w:tcPr>
          <w:p w:rsidR="006A6174" w:rsidRPr="00590624" w:rsidRDefault="0064266D" w:rsidP="00D7587E">
            <w:pPr>
              <w:pStyle w:val="Normal6"/>
            </w:pPr>
            <w:r>
              <w:t>Ogólne informacje publiczne dotyczące unijnej platformy do składania wniosków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Normal6"/>
              <w:rPr>
                <w:szCs w:val="24"/>
              </w:rPr>
            </w:pPr>
            <w:r>
              <w:rPr>
                <w:i/>
              </w:rPr>
              <w:t>(Nie dotyczy polskiej wersji językowej)</w:t>
            </w:r>
          </w:p>
        </w:tc>
      </w:tr>
    </w:tbl>
    <w:p w:rsidR="006A6174" w:rsidRPr="00590624" w:rsidRDefault="0064266D" w:rsidP="006A6174">
      <w:pPr>
        <w:pStyle w:val="Olang"/>
        <w:rPr>
          <w:noProof w:val="0"/>
        </w:rPr>
      </w:pPr>
      <w:r w:rsidRPr="00590624">
        <w:rPr>
          <w:noProof w:val="0"/>
        </w:rPr>
        <w:t xml:space="preserve">Or. </w:t>
      </w:r>
      <w:r w:rsidRPr="00590624">
        <w:rPr>
          <w:rStyle w:val="HideTWBExt"/>
          <w:noProof w:val="0"/>
        </w:rPr>
        <w:t>&lt;Original&gt;</w:t>
      </w:r>
      <w:r w:rsidRPr="00590624">
        <w:rPr>
          <w:rStyle w:val="HideTWBInt"/>
          <w:noProof w:val="0"/>
        </w:rPr>
        <w:t>{EN}</w:t>
      </w:r>
      <w:proofErr w:type="gramStart"/>
      <w:r w:rsidRPr="00590624">
        <w:rPr>
          <w:noProof w:val="0"/>
        </w:rPr>
        <w:t>en</w:t>
      </w:r>
      <w:r w:rsidRPr="00590624">
        <w:rPr>
          <w:rStyle w:val="HideTWBExt"/>
          <w:noProof w:val="0"/>
        </w:rPr>
        <w:t>&lt;/Original&gt;</w:t>
      </w:r>
      <w:proofErr w:type="gramEnd"/>
    </w:p>
    <w:p w:rsidR="006A6174" w:rsidRPr="00590624" w:rsidRDefault="0064266D" w:rsidP="006A6174">
      <w:r>
        <w:rPr>
          <w:rStyle w:val="HideTWBExt"/>
        </w:rPr>
        <w:t>&lt;/Amend&gt;</w:t>
      </w:r>
    </w:p>
    <w:p w:rsidR="006A6174" w:rsidRPr="00590624" w:rsidRDefault="0064266D" w:rsidP="006A617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:rsidR="006A6174" w:rsidRPr="00590624" w:rsidRDefault="0064266D" w:rsidP="006A617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Wniosek dotyczący rozporządzenia</w:t>
      </w:r>
      <w:r>
        <w:rPr>
          <w:rStyle w:val="HideTWBExt"/>
          <w:b w:val="0"/>
        </w:rPr>
        <w:t>&lt;/DocAmen</w:t>
      </w:r>
      <w:r>
        <w:rPr>
          <w:rStyle w:val="HideTWBExt"/>
          <w:b w:val="0"/>
        </w:rPr>
        <w:t>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Artykuł 2 – akapit 1 – punkt 3</w:t>
      </w:r>
      <w:r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767/2008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7a – ustęp 2 – akapit 1 – wprowadzenie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 xml:space="preserve">Z chwilą otrzymania następujących </w:t>
            </w:r>
            <w:r>
              <w:t xml:space="preserve">informacji od Komisji lub państw członkowskich </w:t>
            </w:r>
            <w:proofErr w:type="spellStart"/>
            <w:r>
              <w:t>eu</w:t>
            </w:r>
            <w:proofErr w:type="spellEnd"/>
            <w:r>
              <w:t>-LISA odpowiada za publikowanie i aktualizowanie na unijnej platformie do składania wniosków ogólnych informacji publicznych dotyczących następujących kwestii: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i/>
              </w:rPr>
              <w:t>(Nie dotyczy polskiej wersji językowej)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</w:t>
      </w:r>
      <w:r w:rsidRPr="0064266D">
        <w:rPr>
          <w:rStyle w:val="HideTWBExt"/>
          <w:noProof w:val="0"/>
        </w:rPr>
        <w:t>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29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 xml:space="preserve">Artykuł 7b – </w:t>
      </w:r>
      <w:r>
        <w:t>ustęp 2 – akapit 1 – wprowadzenie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Bez uszczerbku dla art. 7ba w formularzu wniosku osoba ubiegająca się o wizę podaje następujące dane osobowe: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 xml:space="preserve">Bez uszczerbku dla art. 7ba w formularzu wniosku osoba </w:t>
            </w:r>
            <w:r>
              <w:t>ubiegająca się o wizę podaje</w:t>
            </w:r>
            <w:r>
              <w:rPr>
                <w:b/>
                <w:i/>
              </w:rPr>
              <w:t>, w stosownych przypadkach,</w:t>
            </w:r>
            <w:r>
              <w:t xml:space="preserve"> następujące dane osobowe: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494634" w:rsidRPr="009308D0" w:rsidRDefault="0064266D" w:rsidP="0049463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30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&lt;Article2&gt;</w:t>
      </w:r>
      <w:r>
        <w:t>Artykuł 7b – ustęp 2 – akapit 1 – punkt 28</w:t>
      </w:r>
      <w:r w:rsidRPr="0064266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proofErr w:type="gramStart"/>
            <w:r>
              <w:t>28)</w:t>
            </w:r>
            <w:r>
              <w:tab/>
              <w:t>odciski</w:t>
            </w:r>
            <w:proofErr w:type="gramEnd"/>
            <w:r>
              <w:t xml:space="preserve"> palców pobrane przy rozpatrywaniu wcześniejszego wniosku o wizę </w:t>
            </w:r>
            <w:proofErr w:type="spellStart"/>
            <w:r>
              <w:t>Schengen</w:t>
            </w:r>
            <w:proofErr w:type="spellEnd"/>
            <w:r>
              <w:t>; data (jeżeli jest znana); numer wizy (jeżeli jest znany);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proofErr w:type="gramStart"/>
            <w:r>
              <w:t>28)</w:t>
            </w:r>
            <w:r>
              <w:tab/>
              <w:t>odciski</w:t>
            </w:r>
            <w:proofErr w:type="gramEnd"/>
            <w:r>
              <w:t xml:space="preserve"> palców pobrane przy rozpatrywaniu wcześniejszego wniosku o wizę </w:t>
            </w:r>
            <w:proofErr w:type="spellStart"/>
            <w:r>
              <w:t>Schengen</w:t>
            </w:r>
            <w:proofErr w:type="spellEnd"/>
            <w:r>
              <w:t xml:space="preserve">; data (jeżeli jest znana); numer </w:t>
            </w:r>
            <w:r>
              <w:rPr>
                <w:b/>
                <w:i/>
              </w:rPr>
              <w:t xml:space="preserve">cyfrowej </w:t>
            </w:r>
            <w:r>
              <w:t>wizy (jeżeli jest znany);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31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&lt;Article2&gt;</w:t>
      </w:r>
      <w:r>
        <w:t>Artykuł 7b – ustęp 2 – akapit 3 a (nowy)</w:t>
      </w:r>
      <w:r w:rsidRPr="0064266D">
        <w:rPr>
          <w:rStyle w:val="HideTWBExt"/>
        </w:rPr>
        <w:t>&lt;/A</w:t>
      </w:r>
      <w:r w:rsidRPr="0064266D">
        <w:rPr>
          <w:rStyle w:val="HideTWBExt"/>
        </w:rPr>
        <w:t>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6213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W związku z tymczasowym przechowywaniem danych </w:t>
            </w:r>
            <w:proofErr w:type="spellStart"/>
            <w:r>
              <w:rPr>
                <w:b/>
                <w:i/>
              </w:rPr>
              <w:t>eu</w:t>
            </w:r>
            <w:proofErr w:type="spellEnd"/>
            <w:r>
              <w:rPr>
                <w:b/>
                <w:i/>
              </w:rPr>
              <w:t xml:space="preserve">-LISA uznaje się za właściwy organ i administratora zgodnie z art. 4 pkt 7 rozporządzenia (UE) 2016/679, który ponosi główną odpowiedzialność za </w:t>
            </w:r>
            <w:r>
              <w:rPr>
                <w:b/>
                <w:i/>
              </w:rPr>
              <w:t>przetwarzanie danych.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32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&lt;Article2&gt;</w:t>
      </w:r>
      <w:r>
        <w:t>Artykuł 7b – ustęp 5 – akapit 1 a (nowy)</w:t>
      </w:r>
      <w:r w:rsidRPr="0064266D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465535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465535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465535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6213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Sam oflagowany adres IP nie prowadzi do automatycznego wykluczenia wniosku o wizę.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pPr>
        <w:pStyle w:val="JustificationTitle"/>
        <w:rPr>
          <w:noProof w:val="0"/>
        </w:rPr>
      </w:pPr>
      <w:r w:rsidRPr="0064266D">
        <w:rPr>
          <w:rStyle w:val="HideTWBExt"/>
          <w:i w:val="0"/>
        </w:rPr>
        <w:t>&lt;TitreJust&gt;</w:t>
      </w:r>
      <w:r>
        <w:t>Uzasadnienie</w:t>
      </w:r>
      <w:r w:rsidRPr="0064266D">
        <w:rPr>
          <w:rStyle w:val="HideTWBExt"/>
          <w:i w:val="0"/>
        </w:rPr>
        <w:t>&lt;/TitreJust&gt;</w:t>
      </w:r>
    </w:p>
    <w:p w:rsidR="006A6174" w:rsidRPr="009308D0" w:rsidRDefault="0064266D" w:rsidP="006A6174">
      <w:pPr>
        <w:pStyle w:val="Normal12Italic"/>
        <w:rPr>
          <w:noProof w:val="0"/>
        </w:rPr>
      </w:pPr>
      <w:r>
        <w:t>W niektórych państwach trzecich zasięg sieci internetowej jest wciąż wyjątkowo ograniczony. Szczególną uwagę należy zwrócić na taką okoliczność, w której złożono kilka wniosków z tego samego miejsca i z tego samego adresu IP. Oflag</w:t>
      </w:r>
      <w:r>
        <w:t>owany adres IP nie powinien prowadzić do automatycznego wykluczenia wniosku o wizę.</w:t>
      </w:r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33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7b – ustęp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6.</w:t>
            </w:r>
            <w:r>
              <w:tab/>
              <w:t xml:space="preserve">Komisja </w:t>
            </w:r>
            <w:r>
              <w:rPr>
                <w:b/>
                <w:i/>
              </w:rPr>
              <w:t>określa w</w:t>
            </w:r>
            <w:r>
              <w:t> </w:t>
            </w:r>
            <w:r>
              <w:rPr>
                <w:b/>
                <w:i/>
              </w:rPr>
              <w:t>drodze aktów wykonawczych</w:t>
            </w:r>
            <w:r>
              <w:t xml:space="preserve"> treść uproszczonych formularzy wniosku na potrzeby potwierdzania ważnych wiz w </w:t>
            </w:r>
            <w:r>
              <w:t xml:space="preserve">nowym dokumencie podróży, o którym mowa w art. 32a rozporządzenia (WE) nr 810/2009, oraz na potrzeby </w:t>
            </w:r>
            <w:r>
              <w:rPr>
                <w:b/>
                <w:i/>
              </w:rPr>
              <w:t>przedłużanie</w:t>
            </w:r>
            <w:r>
              <w:t xml:space="preserve"> wiz, o którym mowa w art. 33 tego rozporządzenia, za pomocą unijnej platformy do składania wniosków. </w:t>
            </w:r>
            <w:r>
              <w:rPr>
                <w:b/>
                <w:i/>
              </w:rPr>
              <w:t xml:space="preserve">Te akty wykonawcze przyjmuje się zgodnie </w:t>
            </w:r>
            <w:r>
              <w:rPr>
                <w:b/>
                <w:i/>
              </w:rPr>
              <w:t>z procedurą sprawdzającą, o której mowa w art. 49 ust. 2.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 xml:space="preserve">Komisja </w:t>
            </w:r>
            <w:r>
              <w:rPr>
                <w:b/>
                <w:i/>
              </w:rPr>
              <w:t>przyjmuje akty delegowane zgodnie z art.</w:t>
            </w:r>
            <w:r>
              <w:t> </w:t>
            </w:r>
            <w:r>
              <w:rPr>
                <w:b/>
                <w:i/>
              </w:rPr>
              <w:t>48a, aby określić</w:t>
            </w:r>
            <w:r>
              <w:t xml:space="preserve"> treść uproszczonych formularzy wniosku na potrzeby potwierdzania ważnych wiz w nowym dokumencie podróży, o którym mowa w art. 32</w:t>
            </w:r>
            <w:r>
              <w:t xml:space="preserve">a rozporządzenia (WE) nr 810/2009, oraz na potrzeby </w:t>
            </w:r>
            <w:r>
              <w:rPr>
                <w:b/>
                <w:i/>
              </w:rPr>
              <w:t>przedłużania</w:t>
            </w:r>
            <w:r>
              <w:t xml:space="preserve"> wiz, o którym mowa w art. 33 tego rozporządzenia, za pomocą unijnej platformy do składania wniosków.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34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7c – ustęp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2.</w:t>
            </w:r>
            <w:r>
              <w:tab/>
            </w:r>
            <w:r>
              <w:t xml:space="preserve">Osoby ubiegające się o wizę mają możliwość korzystania z unijnej platformy do składania wniosków w celu złożenia </w:t>
            </w:r>
            <w:r>
              <w:rPr>
                <w:b/>
                <w:i/>
              </w:rPr>
              <w:t xml:space="preserve">zeskanowanej </w:t>
            </w:r>
            <w:r>
              <w:t>kopii dokumentu podróży w formacie elektronicznym oraz, w stosownych przypadkach, dokumentów uzupełniających i dowodu podróżnego u</w:t>
            </w:r>
            <w:r>
              <w:t>bezpieczenia medycznego w formacie cyfrowym zgodnie z rozporządzeniem (WE) nr 810/2009 lub dyrektywą 2004/38/WE.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Osoby ubiegające się o wizę mają możliwość korzystania z unijnej platformy do składania wniosków w celu złożenia kopii dokumentu podróży w f</w:t>
            </w:r>
            <w:r>
              <w:t>ormacie elektronicznym oraz, w stosownych przypadkach, dokumentów uzupełniających i dowodu podróżnego ubezpieczenia medycznego w formacie cyfrowym zgodnie z rozporządzeniem (WE) nr 810/2009 lub dyrektywą 2004/38/WE.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</w:t>
      </w:r>
      <w:r w:rsidRPr="0064266D">
        <w:rPr>
          <w:rStyle w:val="HideTWBExt"/>
        </w:rPr>
        <w:t>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35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7c – ustęp 9 – akapit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</w:t>
            </w:r>
            <w:r>
              <w:t xml:space="preserve">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Platforma do składania wniosków jest zaprojektowana w taki sposób, aby zapewnić zastosowanie art. 19 ust. 4 i 4a rozporządzenia (WE) nr 810/2009 w celu umożliwienia uznawania dopuszczalności wniosków.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Unijna </w:t>
            </w:r>
            <w:r>
              <w:t>platforma d</w:t>
            </w:r>
            <w:r>
              <w:t>o składania wniosków jest zaprojektowana w taki sposób, aby zapewnić zastosowanie art. 19 ust. 4 i 4a rozporządzenia (WE) nr 810/2009 w celu umożliwienia uznawania dopuszczalności wniosków.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36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&lt;Article2&gt;</w:t>
      </w:r>
      <w:r>
        <w:t>Artykuł 7c – ustęp 13 a (nowy)</w:t>
      </w:r>
      <w:r w:rsidRPr="0064266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A6174" w:rsidP="00D7587E">
            <w:pPr>
              <w:pStyle w:val="Normal6"/>
            </w:pPr>
          </w:p>
        </w:tc>
        <w:tc>
          <w:tcPr>
            <w:tcW w:w="4876" w:type="dxa"/>
          </w:tcPr>
          <w:p w:rsidR="006A6174" w:rsidRPr="009308D0" w:rsidRDefault="0064266D" w:rsidP="006213D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13a.</w:t>
            </w:r>
            <w:r>
              <w:rPr>
                <w:b/>
                <w:i/>
              </w:rPr>
              <w:tab/>
              <w:t>W związku z przekazywaniem danych, o których mowa w ust. 11 i 12, każde państwo członkowskie wyznacza właściwy organ, który uznaje się za administratora zgodnie z art. 4 pkt 7 rozporządzenia (UE) 2016/679 i który ponosi główną odpowiedzialn</w:t>
            </w:r>
            <w:r>
              <w:rPr>
                <w:b/>
                <w:i/>
              </w:rPr>
              <w:t>ość za przetwarzanie danych przez to państwo członkowskie. Każde państwo członkowskie informuje Komisję o wyznaczeniu tego organu.</w:t>
            </w:r>
          </w:p>
        </w:tc>
      </w:tr>
    </w:tbl>
    <w:p w:rsidR="006A6174" w:rsidRPr="009308D0" w:rsidRDefault="0064266D" w:rsidP="006A6174">
      <w:pPr>
        <w:pStyle w:val="Olang"/>
        <w:rPr>
          <w:noProof w:val="0"/>
          <w:lang w:val="en-GB"/>
        </w:rPr>
      </w:pPr>
      <w:proofErr w:type="gramStart"/>
      <w:r w:rsidRPr="009308D0">
        <w:rPr>
          <w:noProof w:val="0"/>
          <w:lang w:val="en-GB"/>
        </w:rPr>
        <w:t>Or</w:t>
      </w:r>
      <w:proofErr w:type="gramEnd"/>
      <w:r w:rsidRPr="009308D0">
        <w:rPr>
          <w:noProof w:val="0"/>
          <w:lang w:val="en-GB"/>
        </w:rPr>
        <w:t xml:space="preserve">. </w:t>
      </w:r>
      <w:r w:rsidRPr="009308D0">
        <w:rPr>
          <w:rStyle w:val="HideTWBExt"/>
          <w:noProof w:val="0"/>
          <w:lang w:val="en-GB"/>
        </w:rPr>
        <w:t>&lt;Original&gt;</w:t>
      </w:r>
      <w:r w:rsidRPr="009308D0">
        <w:rPr>
          <w:rStyle w:val="HideTWBInt"/>
          <w:noProof w:val="0"/>
          <w:lang w:val="en-GB"/>
        </w:rPr>
        <w:t>{EN}</w:t>
      </w:r>
      <w:proofErr w:type="spellStart"/>
      <w:proofErr w:type="gramStart"/>
      <w:r w:rsidRPr="009308D0">
        <w:rPr>
          <w:noProof w:val="0"/>
          <w:lang w:val="en-GB"/>
        </w:rPr>
        <w:t>en</w:t>
      </w:r>
      <w:proofErr w:type="spellEnd"/>
      <w:proofErr w:type="gramEnd"/>
      <w:r w:rsidRPr="009308D0">
        <w:rPr>
          <w:rStyle w:val="HideTWBExt"/>
          <w:noProof w:val="0"/>
          <w:lang w:val="en-GB"/>
        </w:rPr>
        <w:t>&lt;/Original&gt;</w:t>
      </w:r>
    </w:p>
    <w:p w:rsidR="006A6174" w:rsidRPr="009308D0" w:rsidRDefault="0064266D" w:rsidP="006A6174">
      <w:r>
        <w:rPr>
          <w:rStyle w:val="HideTWBExt"/>
          <w:lang w:val="en-GB"/>
        </w:rPr>
        <w:t>&lt;/Amend&gt;</w:t>
      </w:r>
    </w:p>
    <w:p w:rsidR="006A6174" w:rsidRPr="009308D0" w:rsidRDefault="0064266D" w:rsidP="006A6174">
      <w:pPr>
        <w:pStyle w:val="AMNumberTabs0"/>
        <w:keepNext/>
      </w:pPr>
      <w:r>
        <w:rPr>
          <w:rStyle w:val="HideTWBExt"/>
          <w:b w:val="0"/>
          <w:lang w:val="en-GB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  <w:b w:val="0"/>
          <w:lang w:val="en-GB"/>
        </w:rPr>
        <w:t>&lt;NumAm&gt;</w:t>
      </w:r>
      <w:r>
        <w:t>37</w:t>
      </w:r>
      <w:r>
        <w:rPr>
          <w:rStyle w:val="HideTWBExt"/>
          <w:b w:val="0"/>
          <w:lang w:val="en-GB"/>
        </w:rPr>
        <w:t>&lt;/NumAm&gt;</w:t>
      </w:r>
    </w:p>
    <w:p w:rsidR="006A6174" w:rsidRPr="009308D0" w:rsidRDefault="0064266D" w:rsidP="006A6174">
      <w:pPr>
        <w:pStyle w:val="NormalBold12b"/>
        <w:keepNext/>
      </w:pPr>
      <w:r>
        <w:rPr>
          <w:rStyle w:val="HideTWBExt"/>
          <w:b w:val="0"/>
          <w:lang w:val="en-GB"/>
        </w:rPr>
        <w:t>&lt;DocAmend&gt;</w:t>
      </w:r>
      <w:r>
        <w:t>Wniosek dotyczący rozporządzenia</w:t>
      </w:r>
      <w:r>
        <w:rPr>
          <w:rStyle w:val="HideTWBExt"/>
          <w:b w:val="0"/>
          <w:lang w:val="en-GB"/>
        </w:rPr>
        <w:t>&lt;/DocAmend&gt;</w:t>
      </w:r>
    </w:p>
    <w:p w:rsidR="006A6174" w:rsidRPr="009308D0" w:rsidRDefault="0064266D" w:rsidP="006A6174">
      <w:pPr>
        <w:pStyle w:val="NormalBold"/>
      </w:pPr>
      <w:r>
        <w:rPr>
          <w:rStyle w:val="HideTWBExt"/>
          <w:b w:val="0"/>
          <w:lang w:val="fr-FR"/>
        </w:rPr>
        <w:t>&lt;Article&gt;</w:t>
      </w:r>
      <w:r>
        <w:t>Artykuł 2 – akapit 1 – punkt 3</w:t>
      </w:r>
      <w:r>
        <w:rPr>
          <w:rStyle w:val="HideTWBExt"/>
          <w:b w:val="0"/>
          <w:lang w:val="fr-FR"/>
        </w:rPr>
        <w:t>&lt;/Article&gt;</w:t>
      </w:r>
    </w:p>
    <w:p w:rsidR="006A6174" w:rsidRPr="009308D0" w:rsidRDefault="0064266D" w:rsidP="006A6174">
      <w:pPr>
        <w:keepNext/>
      </w:pPr>
      <w:r>
        <w:rPr>
          <w:rStyle w:val="HideTWBExt"/>
          <w:lang w:val="fr-FR"/>
        </w:rPr>
        <w:t>&lt;DocAmend2&gt;</w:t>
      </w:r>
      <w:r>
        <w:t>Rozporządzenie (WE) nr 767/2008</w:t>
      </w:r>
      <w:r>
        <w:rPr>
          <w:rStyle w:val="HideTWBExt"/>
          <w:lang w:val="fr-FR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&lt;Article2&gt;</w:t>
      </w:r>
      <w:r>
        <w:t>Artykuł 7e – ustęp 1 – litera a</w:t>
      </w:r>
      <w:r w:rsidRPr="0064266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a</w:t>
            </w:r>
            <w:proofErr w:type="gramStart"/>
            <w:r>
              <w:t>)</w:t>
            </w:r>
            <w:r>
              <w:tab/>
            </w:r>
            <w:r>
              <w:t>weryfikowania</w:t>
            </w:r>
            <w:proofErr w:type="gramEnd"/>
            <w:r>
              <w:t xml:space="preserve"> i przeprowadzania kontroli jakości danych załadowanych w miejscu tymczasowego przechowywania, w szczególności </w:t>
            </w:r>
            <w:r>
              <w:rPr>
                <w:b/>
                <w:i/>
              </w:rPr>
              <w:t>zeskanowanej</w:t>
            </w:r>
            <w:r>
              <w:t xml:space="preserve"> kopii dokumentu podróży;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a</w:t>
            </w:r>
            <w:proofErr w:type="gramStart"/>
            <w:r>
              <w:t>)</w:t>
            </w:r>
            <w:r>
              <w:tab/>
              <w:t>weryfikowania</w:t>
            </w:r>
            <w:proofErr w:type="gramEnd"/>
            <w:r>
              <w:t xml:space="preserve"> i przeprowadzania kontroli jakości danych załadowanych w miejscu tymczasowego</w:t>
            </w:r>
            <w:r>
              <w:t xml:space="preserve"> przechowywania, w szczególności </w:t>
            </w:r>
            <w:r>
              <w:rPr>
                <w:b/>
                <w:i/>
              </w:rPr>
              <w:t>elektronicznej</w:t>
            </w:r>
            <w:r>
              <w:t xml:space="preserve"> kopii dokumentu podróży;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38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7f – ustęp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1.</w:t>
            </w:r>
            <w:r>
              <w:tab/>
              <w:t>Osoby ubiegające się o wizę i posiadacze wizy otrzymują powiadomienia o decyzjach podjętych przez państwa członk</w:t>
            </w:r>
            <w:r>
              <w:t xml:space="preserve">owskie w sprawie ich wniosków lub wydanych wiz za pomocą </w:t>
            </w:r>
            <w:r>
              <w:rPr>
                <w:b/>
                <w:i/>
              </w:rPr>
              <w:t xml:space="preserve">bezpiecznych </w:t>
            </w:r>
            <w:r>
              <w:t>środków elektronicznych.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Osoby ubiegające się o wizę i posiadacze wizy otrzymują powiadomienia o decyzjach podjętych przez państwa członkowskie w sprawie ich wniosków lub wydanych wiz</w:t>
            </w:r>
            <w:r>
              <w:t xml:space="preserve"> za pomocą środków elektronicznych.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39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 xml:space="preserve">Rozporządzenie (WE) nr </w:t>
      </w:r>
      <w:r>
        <w:t>767/2008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7g – ustęp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3.</w:t>
            </w:r>
            <w:r>
              <w:tab/>
              <w:t xml:space="preserve">Unijna platforma do składania wniosków oferuje funkcję usługi sieciowej umożliwiającą osobom ubiegającym się o wizę zweryfikowanie wizy cyfrowej </w:t>
            </w:r>
            <w:r>
              <w:t>bez usługi bezpiecznego konta.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Unijna platforma do składania wniosków oferuje funkcję usługi sieciowej umożliwiającą osobom ubiegającym się o wizę zweryfikowanie </w:t>
            </w:r>
            <w:r>
              <w:rPr>
                <w:b/>
                <w:i/>
              </w:rPr>
              <w:t xml:space="preserve">ważności </w:t>
            </w:r>
            <w:r>
              <w:t>wizy cyfrowej bez usługi bezpiecznego konta.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</w:t>
      </w:r>
      <w:r w:rsidRPr="0064266D">
        <w:rPr>
          <w:rStyle w:val="HideTWBExt"/>
        </w:rPr>
        <w:t>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40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6 – litera a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767/2008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10 – ustęp 1 – litera e</w:t>
      </w:r>
      <w:r>
        <w:rPr>
          <w:rStyle w:val="HideTWBExt"/>
        </w:rPr>
        <w:t>&lt;/Art</w:t>
      </w:r>
      <w:r>
        <w:rPr>
          <w:rStyle w:val="HideTWBExt"/>
        </w:rPr>
        <w:t>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4266D" w:rsidP="00D7587E">
            <w:pPr>
              <w:pStyle w:val="Normal6"/>
            </w:pPr>
            <w:r>
              <w:t>e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wizy;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Normal6"/>
              <w:rPr>
                <w:szCs w:val="24"/>
              </w:rPr>
            </w:pPr>
            <w:r>
              <w:t>e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wizy</w:t>
            </w:r>
            <w:r>
              <w:rPr>
                <w:b/>
                <w:i/>
              </w:rPr>
              <w:t xml:space="preserve"> cyfrowej</w:t>
            </w:r>
            <w:r>
              <w:t>;</w:t>
            </w:r>
          </w:p>
        </w:tc>
      </w:tr>
    </w:tbl>
    <w:p w:rsidR="006A6174" w:rsidRPr="00590624" w:rsidRDefault="0064266D" w:rsidP="006A6174">
      <w:pPr>
        <w:pStyle w:val="Olang"/>
        <w:rPr>
          <w:noProof w:val="0"/>
        </w:rPr>
      </w:pPr>
      <w:r w:rsidRPr="00590624">
        <w:rPr>
          <w:noProof w:val="0"/>
        </w:rPr>
        <w:t xml:space="preserve">Or. </w:t>
      </w:r>
      <w:r w:rsidRPr="00590624">
        <w:rPr>
          <w:rStyle w:val="HideTWBExt"/>
          <w:noProof w:val="0"/>
        </w:rPr>
        <w:t>&lt;Original&gt;</w:t>
      </w:r>
      <w:r w:rsidRPr="00590624">
        <w:rPr>
          <w:rStyle w:val="HideTWBInt"/>
          <w:noProof w:val="0"/>
        </w:rPr>
        <w:t>{EN}</w:t>
      </w:r>
      <w:proofErr w:type="gramStart"/>
      <w:r w:rsidRPr="00590624">
        <w:rPr>
          <w:noProof w:val="0"/>
        </w:rPr>
        <w:t>en</w:t>
      </w:r>
      <w:r w:rsidRPr="00590624">
        <w:rPr>
          <w:rStyle w:val="HideTWBExt"/>
          <w:noProof w:val="0"/>
        </w:rPr>
        <w:t>&lt;/Original&gt;</w:t>
      </w:r>
      <w:proofErr w:type="gramEnd"/>
    </w:p>
    <w:p w:rsidR="006A6174" w:rsidRPr="00590624" w:rsidRDefault="0064266D" w:rsidP="006A6174">
      <w:r>
        <w:rPr>
          <w:rStyle w:val="HideTWBExt"/>
        </w:rPr>
        <w:t>&lt;/Amend&gt;</w:t>
      </w:r>
    </w:p>
    <w:p w:rsidR="006A6174" w:rsidRPr="00590624" w:rsidRDefault="0064266D" w:rsidP="006A617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&lt;/NumAm&gt;</w:t>
      </w:r>
    </w:p>
    <w:p w:rsidR="006A6174" w:rsidRPr="00590624" w:rsidRDefault="0064266D" w:rsidP="006A617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Wniosek dotyczący rozporządzenia</w:t>
      </w:r>
      <w:r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Artykuł 2 – akapit 1 – </w:t>
      </w:r>
      <w:r>
        <w:t>punkt 8</w:t>
      </w:r>
      <w:r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767/2008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14 – ustęp 1 – litera 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d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przedłużonej wizy;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d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przedłużonej wizy</w:t>
            </w:r>
            <w:r>
              <w:rPr>
                <w:b/>
                <w:i/>
              </w:rPr>
              <w:t xml:space="preserve"> cyfrowej</w:t>
            </w:r>
            <w:r>
              <w:t>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42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9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15 – ustęp 2 – litera f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f</w:t>
            </w:r>
            <w:proofErr w:type="gramStart"/>
            <w:r>
              <w:t>)</w:t>
            </w:r>
            <w:r>
              <w:tab/>
              <w:t>numeru</w:t>
            </w:r>
            <w:proofErr w:type="gramEnd"/>
            <w:r>
              <w:t xml:space="preserve"> wizy, numeru wizy długoterminowej lub dokumentu pobytowego oraz daty wydania poprzednich wiz, poprzednich wiz długoterminowych lub poprzednich dokumentów pobytowych;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f</w:t>
            </w:r>
            <w:proofErr w:type="gramStart"/>
            <w:r>
              <w:t>)</w:t>
            </w:r>
            <w:r>
              <w:tab/>
              <w:t>numeru</w:t>
            </w:r>
            <w:proofErr w:type="gramEnd"/>
            <w:r>
              <w:t xml:space="preserve"> wizy </w:t>
            </w:r>
            <w:r>
              <w:rPr>
                <w:b/>
                <w:i/>
              </w:rPr>
              <w:t>cyfrowej</w:t>
            </w:r>
            <w:r>
              <w:t>,</w:t>
            </w:r>
            <w:r>
              <w:t xml:space="preserve"> numeru wizy długoterminowej lub dokumentu pobytowego oraz daty wydania poprzednich wiz, poprzednich wiz długoterminowych lub poprzednich dokumentów pobytowych;</w:t>
            </w:r>
            <w:r>
              <w:rPr>
                <w:b/>
                <w:i/>
              </w:rPr>
              <w:t>”;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43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2 – akapit 1 – punkt 17 – litera b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(WE) nr 767/2008</w:t>
      </w:r>
      <w:r w:rsidRPr="0064266D">
        <w:rPr>
          <w:rStyle w:val="HideTWBExt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&lt;Article2&gt;</w:t>
      </w:r>
      <w:r>
        <w:t>Artykuł 22o – ustęp 3 – litera f</w:t>
      </w:r>
      <w:r w:rsidRPr="0064266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590624" w:rsidRDefault="0064266D" w:rsidP="00D7587E">
            <w:pPr>
              <w:pStyle w:val="Normal6"/>
            </w:pPr>
            <w:r>
              <w:rPr>
                <w:b/>
                <w:i/>
              </w:rPr>
              <w:t>f</w:t>
            </w:r>
            <w:proofErr w:type="gramStart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adres</w:t>
            </w:r>
            <w:proofErr w:type="gramEnd"/>
            <w:r>
              <w:rPr>
                <w:b/>
                <w:i/>
              </w:rPr>
              <w:t xml:space="preserve"> IP;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Normal6"/>
              <w:rPr>
                <w:szCs w:val="24"/>
              </w:rPr>
            </w:pPr>
            <w:proofErr w:type="gramStart"/>
            <w:r>
              <w:rPr>
                <w:b/>
                <w:i/>
              </w:rPr>
              <w:t>skreśla</w:t>
            </w:r>
            <w:proofErr w:type="gramEnd"/>
            <w:r>
              <w:rPr>
                <w:b/>
                <w:i/>
              </w:rPr>
              <w:t xml:space="preserve"> się</w:t>
            </w:r>
          </w:p>
        </w:tc>
      </w:tr>
    </w:tbl>
    <w:p w:rsidR="006A6174" w:rsidRPr="00590624" w:rsidRDefault="0064266D" w:rsidP="006A6174">
      <w:pPr>
        <w:pStyle w:val="Olang"/>
        <w:rPr>
          <w:noProof w:val="0"/>
        </w:rPr>
      </w:pPr>
      <w:r w:rsidRPr="00590624">
        <w:rPr>
          <w:noProof w:val="0"/>
        </w:rPr>
        <w:t xml:space="preserve">Or. </w:t>
      </w:r>
      <w:r w:rsidRPr="00590624">
        <w:rPr>
          <w:rStyle w:val="HideTWBExt"/>
          <w:noProof w:val="0"/>
        </w:rPr>
        <w:t>&lt;Original&gt;</w:t>
      </w:r>
      <w:r w:rsidRPr="00590624">
        <w:rPr>
          <w:rStyle w:val="HideTWBInt"/>
          <w:noProof w:val="0"/>
        </w:rPr>
        <w:t>{EN}</w:t>
      </w:r>
      <w:proofErr w:type="gramStart"/>
      <w:r w:rsidRPr="00590624">
        <w:rPr>
          <w:noProof w:val="0"/>
        </w:rPr>
        <w:t>en</w:t>
      </w:r>
      <w:r w:rsidRPr="00590624">
        <w:rPr>
          <w:rStyle w:val="HideTWBExt"/>
          <w:noProof w:val="0"/>
        </w:rPr>
        <w:t>&lt;/Original&gt;</w:t>
      </w:r>
      <w:proofErr w:type="gramEnd"/>
    </w:p>
    <w:p w:rsidR="006A6174" w:rsidRPr="00590624" w:rsidRDefault="0064266D" w:rsidP="006A6174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Uzasadnienie</w:t>
      </w:r>
      <w:r>
        <w:rPr>
          <w:rStyle w:val="HideTWBExt"/>
          <w:i w:val="0"/>
        </w:rPr>
        <w:t>&lt;/TitreJust&gt;</w:t>
      </w:r>
    </w:p>
    <w:p w:rsidR="006A6174" w:rsidRPr="009308D0" w:rsidRDefault="0064266D" w:rsidP="006A6174">
      <w:pPr>
        <w:pStyle w:val="Normal12Italic"/>
        <w:rPr>
          <w:noProof w:val="0"/>
        </w:rPr>
      </w:pPr>
      <w:r>
        <w:t xml:space="preserve">Artykuł ten dotyczy danych, które mają zostać dodane przez właściwe organy w celu przedłużenia ważności wizy długoterminowej lub odnowienia dokumentu </w:t>
      </w:r>
      <w:r>
        <w:t>pobytowego. Sprawozdawca uważa, że gromadzenie w tym celu adresów IP nie jest konieczne ani wystarczająco uzasadnione.</w:t>
      </w:r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44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 xml:space="preserve">Artykuł 2 – akapit 1 – punkt </w:t>
      </w:r>
      <w:r>
        <w:t>18 – litera a</w:t>
      </w:r>
      <w:r w:rsidRPr="0064266D">
        <w:rPr>
          <w:rStyle w:val="HideTWBExt"/>
          <w:b w:val="0"/>
        </w:rPr>
        <w:t>&lt;/Article&gt;</w:t>
      </w:r>
    </w:p>
    <w:p w:rsidR="006A6174" w:rsidRPr="00590624" w:rsidRDefault="0064266D" w:rsidP="006A6174">
      <w:pPr>
        <w:keepNext/>
      </w:pPr>
      <w:r>
        <w:rPr>
          <w:rStyle w:val="HideTWBExt"/>
        </w:rPr>
        <w:t>&lt;DocAmend2&gt;</w:t>
      </w:r>
      <w:r>
        <w:t>Rozporządzenie (WE) nr 767/2008</w:t>
      </w:r>
      <w:r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22r – ustęp 3 – litera c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c</w:t>
            </w:r>
            <w:proofErr w:type="gramStart"/>
            <w:r>
              <w:t>)</w:t>
            </w:r>
            <w:r>
              <w:tab/>
              <w:t>numeru</w:t>
            </w:r>
            <w:proofErr w:type="gramEnd"/>
            <w:r>
              <w:t xml:space="preserve"> wizy lub numeru wizy długoterminowej lub dokumentu pobytowego oraz </w:t>
            </w:r>
            <w:r>
              <w:t>daty upływu ważności, odpowiednio, wizy, wizy długoterminowej lub dokumentu pobytowego;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c</w:t>
            </w:r>
            <w:proofErr w:type="gramStart"/>
            <w:r>
              <w:t>)</w:t>
            </w:r>
            <w:r>
              <w:tab/>
              <w:t>numeru</w:t>
            </w:r>
            <w:proofErr w:type="gramEnd"/>
            <w:r>
              <w:t xml:space="preserve"> wizy </w:t>
            </w:r>
            <w:r>
              <w:rPr>
                <w:b/>
                <w:i/>
              </w:rPr>
              <w:t xml:space="preserve">cyfrowej </w:t>
            </w:r>
            <w:r>
              <w:t>lub numeru wizy długoterminowej lub dokumentu pobytowego oraz daty upływu ważności, odpowiednio, wizy, wizy długoterminowej lub dokumentu pobyto</w:t>
            </w:r>
            <w:r>
              <w:t>wego;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45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8 – akapit 1 – punkt 1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(UE) nr 2017/2226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</w:t>
      </w:r>
      <w:r>
        <w:t>ykuł 16 – ustęp 2 – litera 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d</w:t>
            </w:r>
            <w:proofErr w:type="gramStart"/>
            <w:r>
              <w:t>)</w:t>
            </w:r>
            <w:r>
              <w:tab/>
              <w:t>w</w:t>
            </w:r>
            <w:proofErr w:type="gramEnd"/>
            <w:r>
              <w:t xml:space="preserve"> stosownych przypadkach numer wizy krótkoterminowej, w tym trzyliterowy kod wydającego państwa członkowskiego, rodzaj wizy krótkoterminowej, data zakończenia </w:t>
            </w:r>
            <w:r>
              <w:t>maksymalnego okresu pobytu dozwolonego na podstawie wizy krótkoterminowej, która jest aktualizowana przy każdym wjeździe, oraz data upływu ważności wizy krótkoterminowej;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d</w:t>
            </w:r>
            <w:proofErr w:type="gramStart"/>
            <w:r>
              <w:t>)</w:t>
            </w:r>
            <w:r>
              <w:tab/>
              <w:t>w</w:t>
            </w:r>
            <w:proofErr w:type="gramEnd"/>
            <w:r>
              <w:t xml:space="preserve"> stosownych przypadkach numer </w:t>
            </w:r>
            <w:r>
              <w:rPr>
                <w:b/>
                <w:i/>
              </w:rPr>
              <w:t xml:space="preserve">cyfrowej </w:t>
            </w:r>
            <w:r>
              <w:t xml:space="preserve">wizy krótkoterminowej, w tym trzyliterowy </w:t>
            </w:r>
            <w:r>
              <w:t>kod wydającego państwa członkowskiego, rodzaj wizy krótkoterminowej, data zakończenia maksymalnego okresu pobytu dozwolonego na podstawie wizy krótkoterminowej, która jest aktualizowana przy każdym wjeździe, oraz data upływu ważności wizy krótkoterminowej;</w:t>
            </w:r>
            <w:r>
              <w:rPr>
                <w:b/>
                <w:i/>
              </w:rPr>
              <w:t>”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46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8 – akapit 1 – punkt 2 – litera a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(UE) nr 2017/2226</w:t>
      </w:r>
      <w:r w:rsidRPr="0064266D">
        <w:rPr>
          <w:rStyle w:val="HideTWBExt"/>
        </w:rPr>
        <w:t>&lt;/DocAmend2&gt;</w:t>
      </w:r>
    </w:p>
    <w:p w:rsidR="006A6174" w:rsidRPr="009308D0" w:rsidRDefault="0064266D" w:rsidP="006A6174">
      <w:r w:rsidRPr="0064266D">
        <w:rPr>
          <w:rStyle w:val="HideTWBExt"/>
        </w:rPr>
        <w:t>&lt;Artic</w:t>
      </w:r>
      <w:r w:rsidRPr="0064266D">
        <w:rPr>
          <w:rStyle w:val="HideTWBExt"/>
        </w:rPr>
        <w:t>le2&gt;</w:t>
      </w:r>
      <w:r>
        <w:t>Artykuł 1 – ustęp 1 – litera d</w:t>
      </w:r>
      <w:r w:rsidRPr="0064266D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64266D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d</w:t>
            </w:r>
            <w:proofErr w:type="gramStart"/>
            <w:r>
              <w:t>)</w:t>
            </w:r>
            <w:r>
              <w:tab/>
              <w:t>w</w:t>
            </w:r>
            <w:proofErr w:type="gramEnd"/>
            <w:r>
              <w:rPr>
                <w:b/>
                <w:i/>
              </w:rPr>
              <w:t> </w:t>
            </w:r>
            <w:r>
              <w:t>stosownych przypadkach nowy numer wizy, w</w:t>
            </w:r>
            <w:r>
              <w:rPr>
                <w:b/>
                <w:i/>
              </w:rPr>
              <w:t> </w:t>
            </w:r>
            <w:r>
              <w:t>tym trzyliterowy kod państwa wydającego;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d</w:t>
            </w:r>
            <w:proofErr w:type="gramStart"/>
            <w:r>
              <w:t>)</w:t>
            </w:r>
            <w:r>
              <w:tab/>
              <w:t>w</w:t>
            </w:r>
            <w:proofErr w:type="gramEnd"/>
            <w:r>
              <w:rPr>
                <w:b/>
                <w:i/>
              </w:rPr>
              <w:t xml:space="preserve"> </w:t>
            </w:r>
            <w:r>
              <w:t>stosownych przypadkach nowy numer wizy</w:t>
            </w:r>
            <w:r>
              <w:rPr>
                <w:b/>
                <w:i/>
              </w:rPr>
              <w:t xml:space="preserve"> cyfrowej</w:t>
            </w:r>
            <w:r>
              <w:t>, w</w:t>
            </w:r>
            <w:r>
              <w:rPr>
                <w:b/>
                <w:i/>
              </w:rPr>
              <w:t xml:space="preserve"> </w:t>
            </w:r>
            <w:r>
              <w:t xml:space="preserve">tym trzyliterowy kod </w:t>
            </w:r>
            <w:r>
              <w:t>państwa wydającego;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47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8 – akapit 1 – punkt 3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(UE) nr 2017/2226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24 – ustęp 2 – litera b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b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wizy krótkoterminowej, w tym trzyliterowy kod wydającego państwa członkowskiego, o której mowa w art. 16 ust. 2 lit. d);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b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</w:t>
            </w:r>
            <w:r>
              <w:rPr>
                <w:b/>
                <w:i/>
              </w:rPr>
              <w:t xml:space="preserve">cyfrowej </w:t>
            </w:r>
            <w:r>
              <w:t xml:space="preserve">wizy </w:t>
            </w:r>
            <w:r>
              <w:t>krótkoterminowej, w tym trzyliterowy kod wydającego państwa członkowskiego, o której mowa w art. 16 ust. 2 lit. d);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48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9308D0" w:rsidRDefault="0064266D" w:rsidP="006A6174">
      <w:pPr>
        <w:pStyle w:val="NormalBold"/>
      </w:pPr>
      <w:r w:rsidRPr="0064266D">
        <w:rPr>
          <w:rStyle w:val="HideTWBExt"/>
          <w:b w:val="0"/>
        </w:rPr>
        <w:t>&lt;Article&gt;</w:t>
      </w:r>
      <w:r>
        <w:t>Artykuł 8 – akapit 1 – punkt 4</w:t>
      </w:r>
      <w:r w:rsidRPr="0064266D">
        <w:rPr>
          <w:rStyle w:val="HideTWBExt"/>
          <w:b w:val="0"/>
        </w:rPr>
        <w:t>&lt;/Article&gt;</w:t>
      </w:r>
    </w:p>
    <w:p w:rsidR="006A6174" w:rsidRPr="009308D0" w:rsidRDefault="0064266D" w:rsidP="006A6174">
      <w:pPr>
        <w:keepNext/>
      </w:pPr>
      <w:r w:rsidRPr="0064266D">
        <w:rPr>
          <w:rStyle w:val="HideTWBExt"/>
        </w:rPr>
        <w:t>&lt;DocAmend2&gt;</w:t>
      </w:r>
      <w:r>
        <w:t>Rozporządzenie (UE) nr 2017/2226</w:t>
      </w:r>
      <w:r w:rsidRPr="0064266D">
        <w:rPr>
          <w:rStyle w:val="HideTWBExt"/>
        </w:rPr>
        <w:t>&lt;/DocAmend2&gt;</w:t>
      </w:r>
    </w:p>
    <w:p w:rsidR="006A6174" w:rsidRPr="00590624" w:rsidRDefault="0064266D" w:rsidP="006A6174">
      <w:r>
        <w:rPr>
          <w:rStyle w:val="HideTWBExt"/>
        </w:rPr>
        <w:t>&lt;Article2&gt;</w:t>
      </w:r>
      <w:r>
        <w:t>Artykuł 32 – ustęp 5 – litera c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c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wizy i data upływu ważności wizy;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c</w:t>
            </w:r>
            <w:proofErr w:type="gramStart"/>
            <w:r>
              <w:t>)</w:t>
            </w:r>
            <w:r>
              <w:tab/>
              <w:t>numer</w:t>
            </w:r>
            <w:proofErr w:type="gramEnd"/>
            <w:r>
              <w:t xml:space="preserve"> wizy </w:t>
            </w:r>
            <w:r>
              <w:rPr>
                <w:b/>
                <w:i/>
              </w:rPr>
              <w:t>cyfro</w:t>
            </w:r>
            <w:r>
              <w:rPr>
                <w:b/>
                <w:i/>
              </w:rPr>
              <w:t xml:space="preserve">wej </w:t>
            </w:r>
            <w:r>
              <w:t>i data upływu ważności wizy;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49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Artykuł 9 – ustęp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>1.</w:t>
            </w:r>
            <w:r>
              <w:tab/>
            </w:r>
            <w:r>
              <w:rPr>
                <w:b/>
                <w:i/>
              </w:rPr>
              <w:t xml:space="preserve">Pięć </w:t>
            </w:r>
            <w:r>
              <w:rPr>
                <w:b/>
                <w:i/>
              </w:rPr>
              <w:t>lat</w:t>
            </w:r>
            <w:r>
              <w:t xml:space="preserve"> od daty uruchomienia zgodnie z art. 12 niniejszego rozporządzenia Komisja dokonuje oceny funkcjonowania unijnej platformy do składania wniosków. Ocena ta zawiera analizę osiągniętych wyników w stosunku do celów rozporządzenia (WE) nr 810/2009 i rozporz</w:t>
            </w:r>
            <w:r>
              <w:t>ądzenia (WE) nr 767/2008 zmienionych niniejszym rozporządzeniem oraz analizę wprowadzenia w życie ich przepisów.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rPr>
                <w:b/>
                <w:i/>
              </w:rPr>
              <w:t>Trzy lata</w:t>
            </w:r>
            <w:r>
              <w:t xml:space="preserve"> od daty uruchomienia zgodnie z art. 12 niniejszego rozporządzenia Komisja dokonuje oceny funkcjonowania unijnej platformy do skład</w:t>
            </w:r>
            <w:r>
              <w:t>ania wniosków. Ocena ta zawiera analizę osiągniętych wyników w stosunku do celów rozporządzenia (WE) nr 810/2009 i rozporządzenia (WE) nr 767/2008 zmienionych niniejszym rozporządzeniem oraz analizę wprowadzenia w życie ich przepisów.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6A6174" w:rsidRPr="009308D0" w:rsidRDefault="0064266D" w:rsidP="006A6174">
      <w:pPr>
        <w:pStyle w:val="JustificationTitle"/>
        <w:rPr>
          <w:noProof w:val="0"/>
        </w:rPr>
      </w:pPr>
      <w:r w:rsidRPr="0064266D">
        <w:rPr>
          <w:rStyle w:val="HideTWBExt"/>
          <w:i w:val="0"/>
        </w:rPr>
        <w:t>&lt;TitreJust&gt;</w:t>
      </w:r>
      <w:r>
        <w:t>Uzasadnienie</w:t>
      </w:r>
      <w:r w:rsidRPr="0064266D">
        <w:rPr>
          <w:rStyle w:val="HideTWBExt"/>
          <w:i w:val="0"/>
        </w:rPr>
        <w:t>&lt;/TitreJust&gt;</w:t>
      </w:r>
    </w:p>
    <w:p w:rsidR="006A6174" w:rsidRPr="009308D0" w:rsidRDefault="0064266D" w:rsidP="006A6174">
      <w:pPr>
        <w:pStyle w:val="Normal12Italic"/>
        <w:rPr>
          <w:noProof w:val="0"/>
        </w:rPr>
      </w:pPr>
      <w:r>
        <w:t>Sprawozdawca uważa, że okres pięciu lat na ocenę narzędzia jest długi, gdyż opracowanie narzędzia zajmie co najmniej 4 lata. Okres trzech lat od daty uruchomienia jest bardziej odpowiedni i zgodny z podobnymi</w:t>
      </w:r>
      <w:r>
        <w:t xml:space="preserve"> przepisami zawartymi w innych aktach prawnych, takich jak VIS, EES, ETIAS czy SIS, których ocenę przeprowadza się po trzech latach funkcjonowania.</w:t>
      </w:r>
    </w:p>
    <w:p w:rsidR="006A6174" w:rsidRPr="009308D0" w:rsidRDefault="0064266D" w:rsidP="006A6174">
      <w:r w:rsidRPr="0064266D">
        <w:rPr>
          <w:rStyle w:val="HideTWBExt"/>
        </w:rPr>
        <w:t>&lt;/Amend&gt;</w:t>
      </w:r>
    </w:p>
    <w:p w:rsidR="006A6174" w:rsidRPr="009308D0" w:rsidRDefault="0064266D" w:rsidP="006A6174">
      <w:pPr>
        <w:pStyle w:val="AMNumberTabs0"/>
        <w:keepNext/>
      </w:pPr>
      <w:r w:rsidRPr="0064266D">
        <w:rPr>
          <w:rStyle w:val="HideTWBExt"/>
          <w:b w:val="0"/>
        </w:rPr>
        <w:t>&lt;Amend&gt;</w:t>
      </w:r>
      <w:r>
        <w:t>Poprawka</w:t>
      </w:r>
      <w:r>
        <w:tab/>
      </w:r>
      <w:r>
        <w:tab/>
      </w:r>
      <w:r w:rsidRPr="0064266D">
        <w:rPr>
          <w:rStyle w:val="HideTWBExt"/>
          <w:b w:val="0"/>
        </w:rPr>
        <w:t>&lt;NumAm&gt;</w:t>
      </w:r>
      <w:r>
        <w:t>50</w:t>
      </w:r>
      <w:r w:rsidRPr="0064266D">
        <w:rPr>
          <w:rStyle w:val="HideTWBExt"/>
          <w:b w:val="0"/>
        </w:rPr>
        <w:t>&lt;/NumAm&gt;</w:t>
      </w:r>
    </w:p>
    <w:p w:rsidR="006A6174" w:rsidRPr="009308D0" w:rsidRDefault="0064266D" w:rsidP="006A6174">
      <w:pPr>
        <w:pStyle w:val="NormalBold12b"/>
        <w:keepNext/>
      </w:pPr>
      <w:r w:rsidRPr="0064266D">
        <w:rPr>
          <w:rStyle w:val="HideTWBExt"/>
          <w:b w:val="0"/>
        </w:rPr>
        <w:t>&lt;DocAmend&gt;</w:t>
      </w:r>
      <w:r>
        <w:t>Wniosek dotyczący rozporządzenia</w:t>
      </w:r>
      <w:r w:rsidRPr="0064266D">
        <w:rPr>
          <w:rStyle w:val="HideTWBExt"/>
          <w:b w:val="0"/>
        </w:rPr>
        <w:t>&lt;/DocAmend&gt;</w:t>
      </w:r>
    </w:p>
    <w:p w:rsidR="006A6174" w:rsidRPr="00590624" w:rsidRDefault="0064266D" w:rsidP="006A6174">
      <w:pPr>
        <w:pStyle w:val="NormalBold"/>
      </w:pPr>
      <w:r>
        <w:rPr>
          <w:rStyle w:val="HideTWBExt"/>
          <w:b w:val="0"/>
        </w:rPr>
        <w:t>&lt;Article&gt;</w:t>
      </w:r>
      <w:r>
        <w:t>A</w:t>
      </w:r>
      <w:r>
        <w:t>rtykuł 10 – ustęp 3 – akapit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9666E" w:rsidTr="00D7587E">
        <w:trPr>
          <w:jc w:val="center"/>
        </w:trPr>
        <w:tc>
          <w:tcPr>
            <w:tcW w:w="9752" w:type="dxa"/>
            <w:gridSpan w:val="2"/>
          </w:tcPr>
          <w:p w:rsidR="006A6174" w:rsidRPr="00590624" w:rsidRDefault="006A6174" w:rsidP="00D7587E">
            <w:pPr>
              <w:keepNext/>
            </w:pP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ColumnHeading"/>
              <w:keepNext/>
            </w:pPr>
            <w:r>
              <w:t>Tekst proponowany przez Komisję</w:t>
            </w:r>
          </w:p>
        </w:tc>
        <w:tc>
          <w:tcPr>
            <w:tcW w:w="4876" w:type="dxa"/>
          </w:tcPr>
          <w:p w:rsidR="006A6174" w:rsidRPr="00590624" w:rsidRDefault="0064266D" w:rsidP="00D7587E">
            <w:pPr>
              <w:pStyle w:val="ColumnHeading"/>
              <w:keepNext/>
            </w:pPr>
            <w:r>
              <w:t>Poprawka</w:t>
            </w:r>
          </w:p>
        </w:tc>
      </w:tr>
      <w:tr w:rsidR="0009666E" w:rsidTr="00D7587E">
        <w:trPr>
          <w:jc w:val="center"/>
        </w:trPr>
        <w:tc>
          <w:tcPr>
            <w:tcW w:w="4876" w:type="dxa"/>
          </w:tcPr>
          <w:p w:rsidR="006A6174" w:rsidRPr="009308D0" w:rsidRDefault="0064266D" w:rsidP="00D7587E">
            <w:pPr>
              <w:pStyle w:val="Normal6"/>
            </w:pPr>
            <w:r>
              <w:t xml:space="preserve">W takim okresie przejściowym posiadacze wiz mogą weryfikować </w:t>
            </w:r>
            <w:r>
              <w:rPr>
                <w:b/>
                <w:i/>
              </w:rPr>
              <w:t>wizy cyfrowe</w:t>
            </w:r>
            <w:r>
              <w:t xml:space="preserve">, korzystając z usług </w:t>
            </w:r>
            <w:r>
              <w:rPr>
                <w:b/>
                <w:i/>
              </w:rPr>
              <w:t>internetowych internetowej</w:t>
            </w:r>
            <w:r>
              <w:t xml:space="preserve"> platformy do składania wniosków wizowych, o których mowa w art. 7g rozporządzenia (WE) nr 767/2008, jeżeli państwo członkowskie rozpatrujące ich wniosek wizowy podjęło decyzję o niekorzystaniu z unijnej platformy do składania wniosków.</w:t>
            </w:r>
          </w:p>
        </w:tc>
        <w:tc>
          <w:tcPr>
            <w:tcW w:w="4876" w:type="dxa"/>
          </w:tcPr>
          <w:p w:rsidR="006A6174" w:rsidRPr="009308D0" w:rsidRDefault="0064266D" w:rsidP="00D7587E">
            <w:pPr>
              <w:pStyle w:val="Normal6"/>
              <w:rPr>
                <w:szCs w:val="24"/>
              </w:rPr>
            </w:pPr>
            <w:r>
              <w:t xml:space="preserve">W takim okresie przejściowym posiadacze wiz mogą weryfikować </w:t>
            </w:r>
            <w:r>
              <w:rPr>
                <w:b/>
                <w:i/>
              </w:rPr>
              <w:t>ważność wiz cyfrowych</w:t>
            </w:r>
            <w:r>
              <w:t xml:space="preserve">, korzystając z usług </w:t>
            </w:r>
            <w:r>
              <w:rPr>
                <w:b/>
                <w:i/>
              </w:rPr>
              <w:t>unijnej</w:t>
            </w:r>
            <w:r>
              <w:t xml:space="preserve"> platformy do składania wniosków wizowych, o których mowa w art. 7g rozporządzenia (WE) nr 767/2008, jeżeli państwo członkowskie rozpatrujące ich</w:t>
            </w:r>
            <w:r>
              <w:t xml:space="preserve"> wniosek wizowy podjęło decyzję o niekorzystaniu z unijnej platformy do składania wniosków.</w:t>
            </w:r>
          </w:p>
        </w:tc>
      </w:tr>
    </w:tbl>
    <w:p w:rsidR="006A6174" w:rsidRPr="0064266D" w:rsidRDefault="0064266D" w:rsidP="006A6174">
      <w:pPr>
        <w:pStyle w:val="Olang"/>
        <w:rPr>
          <w:noProof w:val="0"/>
        </w:rPr>
      </w:pPr>
      <w:r w:rsidRPr="0064266D">
        <w:rPr>
          <w:noProof w:val="0"/>
        </w:rPr>
        <w:t xml:space="preserve">Or. </w:t>
      </w:r>
      <w:r w:rsidRPr="0064266D">
        <w:rPr>
          <w:rStyle w:val="HideTWBExt"/>
          <w:noProof w:val="0"/>
        </w:rPr>
        <w:t>&lt;Original&gt;</w:t>
      </w:r>
      <w:r w:rsidRPr="0064266D">
        <w:rPr>
          <w:rStyle w:val="HideTWBInt"/>
          <w:noProof w:val="0"/>
        </w:rPr>
        <w:t>{EN}</w:t>
      </w:r>
      <w:proofErr w:type="gramStart"/>
      <w:r w:rsidRPr="0064266D">
        <w:rPr>
          <w:noProof w:val="0"/>
        </w:rPr>
        <w:t>en</w:t>
      </w:r>
      <w:r w:rsidRPr="0064266D">
        <w:rPr>
          <w:rStyle w:val="HideTWBExt"/>
          <w:noProof w:val="0"/>
        </w:rPr>
        <w:t>&lt;/Original&gt;</w:t>
      </w:r>
      <w:proofErr w:type="gramEnd"/>
    </w:p>
    <w:p w:rsidR="00142026" w:rsidRPr="009308D0" w:rsidRDefault="0064266D" w:rsidP="002669B6">
      <w:pPr>
        <w:sectPr w:rsidR="00142026" w:rsidRPr="009308D0" w:rsidSect="00AC49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 w:rsidRPr="0064266D">
        <w:rPr>
          <w:rStyle w:val="HideTWBExt"/>
        </w:rPr>
        <w:t>&lt;/Amend&gt;&lt;/RepeatBlock-Amend&gt;</w:t>
      </w:r>
    </w:p>
    <w:p w:rsidR="002669B6" w:rsidRPr="009308D0" w:rsidRDefault="0064266D" w:rsidP="000E37F8">
      <w:pPr>
        <w:pStyle w:val="PageHeading"/>
      </w:pPr>
      <w:bookmarkStart w:id="2" w:name="_Toc118727318"/>
      <w:r>
        <w:t>UZASADNIENIE</w:t>
      </w:r>
      <w:bookmarkEnd w:id="2"/>
    </w:p>
    <w:p w:rsidR="00AB3008" w:rsidRPr="009308D0" w:rsidRDefault="0064266D" w:rsidP="00AB3008">
      <w:pPr>
        <w:pStyle w:val="Body"/>
        <w:spacing w:after="240"/>
      </w:pPr>
      <w:r>
        <w:t xml:space="preserve">27 kwietnia 2022 r. Komisja przedstawiła wniosek dotyczący cyfryzacji </w:t>
      </w:r>
      <w:r>
        <w:t xml:space="preserve">procedury wizowej. Celem wniosku jest umożliwienie składania wniosków wizowych przez </w:t>
      </w:r>
      <w:proofErr w:type="spellStart"/>
      <w:r>
        <w:t>internet</w:t>
      </w:r>
      <w:proofErr w:type="spellEnd"/>
      <w:r>
        <w:t xml:space="preserve"> za pośrednictwem unijnej cyfrowej platformy do składania wniosków wizowych oraz zastąpienie naklejki wizowej wizą cyfrową. Usprawni to i zharmonizuje procedury w </w:t>
      </w:r>
      <w:r>
        <w:t xml:space="preserve">kontekście wspólnej polityki wizowej, a także ujednolici wymogi dotyczące podróży, wjazdu i odpraw granicznych w strefie </w:t>
      </w:r>
      <w:proofErr w:type="spellStart"/>
      <w:r>
        <w:t>Schengen</w:t>
      </w:r>
      <w:proofErr w:type="spellEnd"/>
      <w:r>
        <w:t xml:space="preserve"> dzięki cyfryzacji i ramom interoperacyjności na granicach.</w:t>
      </w:r>
    </w:p>
    <w:p w:rsidR="00D80700" w:rsidRPr="009308D0" w:rsidRDefault="0064266D" w:rsidP="000E37F8">
      <w:pPr>
        <w:pStyle w:val="Body"/>
        <w:spacing w:after="240"/>
      </w:pPr>
      <w:r>
        <w:t>Podstawę prawną inicjatywy ustawodawczej stanowi art. 77 ust. 2 Tra</w:t>
      </w:r>
      <w:r>
        <w:t>ktatu o funkcjonowaniu Unii Europejskiej (TFUE). W art. 77 ust. 2 lit. a) TFUE nadaje się Unii uprawnienie do przyjmowania środków dotyczących „wspólnej polityki w zakresie wiz i innych dokumentów uprawniających do krótkiego pobytu”. W art. 77 ust. 2 lit. </w:t>
      </w:r>
      <w:r>
        <w:t>b) TFUE nadaje się Unii uprawnienie do przyjmowania środków dotyczących „kontroli, którym podlegają osoby przekraczające granice zewnętrzne”. W art. 79 ust. 2 lit. a) nadaje się Unii uprawnienie do przyjmowania środków określających „warunki wjazdu i pobyt</w:t>
      </w:r>
      <w:r>
        <w:t>u, jak również normy dotyczące procedur wydawania przez państwa członkowskie długoterminowych wiz i dokumentów pobytowych”. Ponieważ przedmiotowy instrument prawny ma na celu cyfryzację zarówno wiz krótkoterminowych, jak i długoterminowych (w przypadku tyc</w:t>
      </w:r>
      <w:r>
        <w:t>h ostatnich – tylko format wizy cyfrowej), potrzebna jest wspólna podstawa prawna obejmująca art. 77 ust. 2 i art. 79 ust. 2 TFUE.</w:t>
      </w:r>
    </w:p>
    <w:p w:rsidR="00D80700" w:rsidRPr="009308D0" w:rsidRDefault="0064266D" w:rsidP="00D80700">
      <w:pPr>
        <w:pStyle w:val="Body"/>
        <w:spacing w:after="240"/>
      </w:pPr>
      <w:r>
        <w:t>Od czasu wejścia w życie kodeksu wizowego</w:t>
      </w:r>
      <w:r>
        <w:rPr>
          <w:vertAlign w:val="superscript"/>
        </w:rPr>
        <w:footnoteReference w:id="1"/>
      </w:r>
      <w:r>
        <w:t xml:space="preserve"> w 2010 r. i uruchomienia wizowego systemu informacyjnego (VIS</w:t>
      </w:r>
      <w:proofErr w:type="gramStart"/>
      <w:r>
        <w:t>)</w:t>
      </w:r>
      <w:r>
        <w:rPr>
          <w:vertAlign w:val="superscript"/>
        </w:rPr>
        <w:footnoteReference w:id="2"/>
      </w:r>
      <w:r>
        <w:t xml:space="preserve"> w</w:t>
      </w:r>
      <w:proofErr w:type="gramEnd"/>
      <w:r>
        <w:t> 2011 r. znacznie</w:t>
      </w:r>
      <w:r>
        <w:t xml:space="preserve"> zmieniło się otoczenie, w którym funkcjonuje polityka wizowa. Z jednej strony, w ostatnich latach nasiliły się wyzwania związane z migracją i bezpieczeństwem, z drugiej strony, znaczący rozwój technologiczny stwarza nowe możliwości usprawnienia procesu ub</w:t>
      </w:r>
      <w:r>
        <w:t xml:space="preserve">iegania się o wizę </w:t>
      </w:r>
      <w:proofErr w:type="spellStart"/>
      <w:r>
        <w:t>Schengen</w:t>
      </w:r>
      <w:proofErr w:type="spellEnd"/>
      <w:r>
        <w:t xml:space="preserve"> zarówno dla podróżnych, jak i dla konsulatów.</w:t>
      </w:r>
    </w:p>
    <w:p w:rsidR="00D80700" w:rsidRPr="009308D0" w:rsidRDefault="0064266D" w:rsidP="00D80700">
      <w:pPr>
        <w:pStyle w:val="Body"/>
        <w:spacing w:after="240"/>
      </w:pPr>
      <w:r>
        <w:t>Choć proces rozpatrywania wniosków wizowych odbywa się już częściowo cyfrowo, za pośrednictwem VIS, w którym rejestruje się wnioski i decyzje, dwa ważne etapy tego procesu nadal są r</w:t>
      </w:r>
      <w:r>
        <w:t>ealizowane w formie papierowej: proces składania wniosków wizowych oraz naklejka wizowa.</w:t>
      </w:r>
    </w:p>
    <w:p w:rsidR="00D80700" w:rsidRPr="009308D0" w:rsidRDefault="0064266D" w:rsidP="000E37F8">
      <w:pPr>
        <w:pStyle w:val="Body"/>
        <w:spacing w:after="240"/>
      </w:pPr>
      <w:r>
        <w:t>Podczas przeglądu Unijnego kodeksu wizowego w 2019 r. Parlament Europejski i Rada wyraźnie stwierdziły, że celem jest wypracowanie wspólnego rozwiązania umożliwiająceg</w:t>
      </w:r>
      <w:r>
        <w:t xml:space="preserve">o składanie wniosków wizowych </w:t>
      </w:r>
      <w:proofErr w:type="spellStart"/>
      <w:r>
        <w:t>Schengen</w:t>
      </w:r>
      <w:proofErr w:type="spellEnd"/>
      <w:r>
        <w:t xml:space="preserve"> przez </w:t>
      </w:r>
      <w:proofErr w:type="spellStart"/>
      <w:r>
        <w:t>internet</w:t>
      </w:r>
      <w:proofErr w:type="spellEnd"/>
      <w:r>
        <w:t>, a tym samym pełne wykorzystanie najnowszych osiągnięć prawnych i technologicznych</w:t>
      </w:r>
      <w:r>
        <w:rPr>
          <w:rFonts w:eastAsia="Times New Roman" w:cs="Times New Roman"/>
          <w:vertAlign w:val="superscript"/>
        </w:rPr>
        <w:footnoteReference w:id="3"/>
      </w:r>
      <w:r>
        <w:t>. Zmieniony kodeks wizowy</w:t>
      </w:r>
      <w:r>
        <w:rPr>
          <w:rFonts w:eastAsia="Times New Roman" w:cs="Times New Roman"/>
          <w:vertAlign w:val="superscript"/>
        </w:rPr>
        <w:footnoteReference w:id="4"/>
      </w:r>
      <w:r>
        <w:t xml:space="preserve"> umożliwił cyfrowe składanie i rozpatrywanie wniosków wizowych dzięki wprowadzeniu możliwości podpisywania elektronicznie formularzy wniosków przez osoby ubiegające się o wizę.</w:t>
      </w:r>
    </w:p>
    <w:p w:rsidR="00D80700" w:rsidRPr="009308D0" w:rsidRDefault="0064266D" w:rsidP="000E37F8">
      <w:pPr>
        <w:pStyle w:val="Body"/>
        <w:spacing w:after="240"/>
      </w:pPr>
      <w:r>
        <w:t xml:space="preserve">Cyfryzacja procedury wizowej umożliwia usprawnienie procesu składania wniosków </w:t>
      </w:r>
      <w:r>
        <w:t xml:space="preserve">wizowych, zmniejszenie kosztów i obciążeń dla zainteresowanych stron, a jednocześnie poprawę bezpieczeństwa strefy </w:t>
      </w:r>
      <w:proofErr w:type="spellStart"/>
      <w:r>
        <w:t>Schengen</w:t>
      </w:r>
      <w:proofErr w:type="spellEnd"/>
      <w:r>
        <w:t>. Ponadto cyfryzacja procesu wizowego jest zgodna z niedawnymi zmianami legislacyjnymi dotyczącymi środowiska informatycznego w zakre</w:t>
      </w:r>
      <w:r>
        <w:t xml:space="preserve">sie zarządzania granicami i jako taka przyczynia się do zwiększenia bezpieczeństwa strefy </w:t>
      </w:r>
      <w:proofErr w:type="spellStart"/>
      <w:r>
        <w:t>Schengen</w:t>
      </w:r>
      <w:proofErr w:type="spellEnd"/>
      <w:r>
        <w:t>.</w:t>
      </w:r>
    </w:p>
    <w:p w:rsidR="00D80700" w:rsidRPr="009308D0" w:rsidRDefault="0064266D" w:rsidP="000E37F8">
      <w:pPr>
        <w:pStyle w:val="Body"/>
        <w:spacing w:after="240"/>
      </w:pPr>
      <w:r>
        <w:t>Cyfryzacja procedury wizowej stanowi pozytywny krok w obecnej sytuacji, w której rozdrobnienie krajowych praktyk zarządzania procesem składania wniosków wiz</w:t>
      </w:r>
      <w:r>
        <w:t>owych negatywnie wpływa na funkcjonowanie polityki wizowej UE i postrzeganie Unii Europejskiej jako jednego podmiotu geograficznego.</w:t>
      </w:r>
    </w:p>
    <w:p w:rsidR="00D80700" w:rsidRPr="009308D0" w:rsidRDefault="0064266D" w:rsidP="000E37F8">
      <w:pPr>
        <w:pStyle w:val="Body"/>
        <w:spacing w:after="240"/>
      </w:pPr>
      <w:r>
        <w:t>Chociaż sprawozdawca z zadowoleniem przyjmuje wniosek Komisji dotyczący cyfryzacji procedury wizowej, należy ją jeszcze usp</w:t>
      </w:r>
      <w:r>
        <w:t xml:space="preserve">rawnić i usprawnić. Biorąc pod uwagę, że nowy system będzie w pełni cyfrowy, we wniosku trzeba umocnić zabezpieczenia dotyczące osób z niepełnosprawnościami oraz rozwiązać problemy w zakresie umiejętności cyfrowych i dostępności </w:t>
      </w:r>
      <w:proofErr w:type="spellStart"/>
      <w:r>
        <w:t>internetu</w:t>
      </w:r>
      <w:proofErr w:type="spellEnd"/>
      <w:r>
        <w:t>. Ponadto sprawozd</w:t>
      </w:r>
      <w:r>
        <w:t xml:space="preserve">awca uważa, że należy też zająć się kwestią języków, w jakich dostępna jest unijna platforma do składania wniosków i prowadzi się procedurę. Zgodnie z opinią EIOD sprawozdawca proponuje także, aby zwiększyć odpowiedzialność i rolę </w:t>
      </w:r>
      <w:proofErr w:type="spellStart"/>
      <w:r>
        <w:t>eu</w:t>
      </w:r>
      <w:proofErr w:type="spellEnd"/>
      <w:r>
        <w:t>-LISA i organów krajowy</w:t>
      </w:r>
      <w:r>
        <w:t>ch na różnych etapach przetwarzania danych.</w:t>
      </w:r>
    </w:p>
    <w:p w:rsidR="00D80700" w:rsidRPr="009308D0" w:rsidRDefault="0064266D" w:rsidP="000E37F8">
      <w:pPr>
        <w:pStyle w:val="Body"/>
        <w:spacing w:after="240"/>
      </w:pPr>
      <w:r>
        <w:t>Jeżeli chodzi o gromadzenie i przetwarzanie adresów IP osób ubiegających się o wizę, sprawozdawca kwestionuje konieczność i wartość dodaną takich danych i uważa też, że potrzebne są dodatkowe gwarancje w celu zap</w:t>
      </w:r>
      <w:r>
        <w:t>ewnienia, by same oflagowane adresy IP nie prowadziły nigdy do wykluczenia wniosku wizowego, na przykład ze względu na niską dostępność sieci w danym miejscu lub na danym obszarze.</w:t>
      </w:r>
    </w:p>
    <w:p w:rsidR="00193AEF" w:rsidRPr="009308D0" w:rsidRDefault="0064266D" w:rsidP="00193AEF">
      <w:pPr>
        <w:pStyle w:val="Body"/>
        <w:spacing w:after="240"/>
      </w:pPr>
      <w:r>
        <w:t>Ponadto sprawozdawca uważa, że nowoczesne, przyjazne dla użytkownika rozwią</w:t>
      </w:r>
      <w:r>
        <w:t>zanie cyfrowe, uproszczona i zharmonizowana procedura administracyjna składania wniosków wizowych oraz zastąpienie naklejki wizowej wizą cyfrową stanowią pozytywne usprawnienie polityki wizowej UE i ograniczają zagrożenia dla bezpieczeństwa, jakie stwarzaj</w:t>
      </w:r>
      <w:r>
        <w:t>ą fizyczne naklejki wizowe. W związku z powyższym, a także uwzględniając znaczenie cyfryzacji wiz dla obywateli i Unii Europejskiej jako całości, sprawozdawca zaleca, aby posłanki i posłowie zasiadający w Komisji Wolności Obywatelskich, Sprawiedliwości i S</w:t>
      </w:r>
      <w:r>
        <w:t>praw Wewnętrznych poparli to sprawozdanie.</w:t>
      </w:r>
    </w:p>
    <w:p w:rsidR="00193AEF" w:rsidRPr="0064266D" w:rsidRDefault="00193AEF" w:rsidP="00193AEF">
      <w:pPr>
        <w:pStyle w:val="Body"/>
        <w:spacing w:after="240"/>
      </w:pPr>
    </w:p>
    <w:p w:rsidR="00193AEF" w:rsidRPr="0064266D" w:rsidRDefault="00193AEF" w:rsidP="00193AEF">
      <w:pPr>
        <w:pStyle w:val="Body"/>
        <w:spacing w:after="240"/>
        <w:sectPr w:rsidR="00193AEF" w:rsidRPr="0064266D" w:rsidSect="00193AE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93AEF" w:rsidRPr="009308D0" w:rsidRDefault="0064266D" w:rsidP="00193AEF">
      <w:pPr>
        <w:pStyle w:val="PageHeading"/>
      </w:pPr>
      <w:bookmarkStart w:id="3" w:name="_Toc118727319"/>
      <w:r>
        <w:t>ZAŁĄCZNIK: WYKAZ PODMIOTÓW LUB OSÓB</w:t>
      </w:r>
      <w:proofErr w:type="gramStart"/>
      <w:r>
        <w:t>,</w:t>
      </w:r>
      <w:r>
        <w:br/>
        <w:t>OD</w:t>
      </w:r>
      <w:proofErr w:type="gramEnd"/>
      <w:r>
        <w:t xml:space="preserve"> KTÓRYCH SPRAWOZDAWCA OTRZYMAŁ INFORMACJE</w:t>
      </w:r>
      <w:bookmarkEnd w:id="3"/>
    </w:p>
    <w:p w:rsidR="00193AEF" w:rsidRPr="0064266D" w:rsidRDefault="00193AEF" w:rsidP="00193AEF"/>
    <w:tbl>
      <w:tblPr>
        <w:tblW w:w="9067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9067"/>
      </w:tblGrid>
      <w:tr w:rsidR="0009666E" w:rsidTr="00F51B56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3A0" w:rsidRPr="00590624" w:rsidRDefault="0064266D" w:rsidP="00F51B56">
            <w:pPr>
              <w:spacing w:line="260" w:lineRule="auto"/>
              <w:ind w:right="-1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>Podmiot lub osoba</w:t>
            </w:r>
          </w:p>
        </w:tc>
      </w:tr>
      <w:tr w:rsidR="0009666E" w:rsidTr="00F51B56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3A0" w:rsidRPr="00590624" w:rsidRDefault="0064266D" w:rsidP="003112E8">
            <w:pPr>
              <w:ind w:left="720" w:hanging="360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</w:rPr>
              <w:tab/>
            </w:r>
            <w:proofErr w:type="spellStart"/>
            <w:r>
              <w:rPr>
                <w:b/>
              </w:rPr>
              <w:t>TLScontact</w:t>
            </w:r>
            <w:proofErr w:type="spellEnd"/>
          </w:p>
        </w:tc>
      </w:tr>
    </w:tbl>
    <w:p w:rsidR="00193AEF" w:rsidRPr="00590624" w:rsidRDefault="00193AEF" w:rsidP="00193AEF"/>
    <w:sectPr w:rsidR="00193AEF" w:rsidRPr="00590624" w:rsidSect="00193AE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4266D">
      <w:r>
        <w:separator/>
      </w:r>
    </w:p>
  </w:endnote>
  <w:endnote w:type="continuationSeparator" w:id="0">
    <w:p w:rsidR="00000000" w:rsidRDefault="0064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997" w:rsidRPr="0064266D" w:rsidRDefault="0064266D" w:rsidP="00AC4997">
    <w:pPr>
      <w:pStyle w:val="EPFooter"/>
      <w:rPr>
        <w:lang w:val="fr-FR"/>
      </w:rPr>
    </w:pPr>
    <w:r w:rsidRPr="0064266D">
      <w:rPr>
        <w:lang w:val="fr-FR"/>
      </w:rPr>
      <w:t>PE</w:t>
    </w:r>
    <w:r w:rsidRPr="0064266D">
      <w:rPr>
        <w:rStyle w:val="HideTWBExt"/>
        <w:lang w:val="fr-FR"/>
      </w:rPr>
      <w:t>&lt;NoPE&gt;</w:t>
    </w:r>
    <w:r w:rsidRPr="0064266D">
      <w:rPr>
        <w:lang w:val="fr-FR"/>
      </w:rPr>
      <w:t>737.330</w:t>
    </w:r>
    <w:r w:rsidRPr="0064266D">
      <w:rPr>
        <w:rStyle w:val="HideTWBExt"/>
        <w:lang w:val="fr-FR"/>
      </w:rPr>
      <w:t>&lt;/NoPE&gt;&lt;Version&gt;</w:t>
    </w:r>
    <w:r w:rsidRPr="0064266D">
      <w:rPr>
        <w:lang w:val="fr-FR"/>
      </w:rPr>
      <w:t>v01-00</w:t>
    </w:r>
    <w:r w:rsidRPr="0064266D">
      <w:rPr>
        <w:rStyle w:val="HideTWBExt"/>
        <w:lang w:val="fr-FR"/>
      </w:rPr>
      <w:t>&lt;/Version&gt;</w:t>
    </w:r>
    <w:r w:rsidRPr="0064266D">
      <w:rPr>
        <w:lang w:val="fr-FR"/>
      </w:rPr>
      <w:tab/>
    </w:r>
    <w:r w:rsidRPr="00590624">
      <w:fldChar w:fldCharType="begin"/>
    </w:r>
    <w:r w:rsidRPr="0064266D">
      <w:rPr>
        <w:lang w:val="fr-FR"/>
      </w:rPr>
      <w:instrText xml:space="preserve"> PAGE  \* M</w:instrText>
    </w:r>
    <w:r w:rsidRPr="0064266D">
      <w:rPr>
        <w:lang w:val="fr-FR"/>
      </w:rPr>
      <w:instrText xml:space="preserve">ERGEFORMAT </w:instrText>
    </w:r>
    <w:r w:rsidRPr="00590624">
      <w:fldChar w:fldCharType="separate"/>
    </w:r>
    <w:r>
      <w:rPr>
        <w:noProof/>
        <w:lang w:val="fr-FR"/>
      </w:rPr>
      <w:t>4</w:t>
    </w:r>
    <w:r w:rsidRPr="00590624">
      <w:fldChar w:fldCharType="end"/>
    </w:r>
    <w:r w:rsidRPr="0064266D">
      <w:rPr>
        <w:lang w:val="fr-FR"/>
      </w:rPr>
      <w:t>/</w:t>
    </w:r>
    <w:r w:rsidR="009308D0">
      <w:fldChar w:fldCharType="begin"/>
    </w:r>
    <w:r w:rsidRPr="0064266D">
      <w:rPr>
        <w:lang w:val="fr-FR"/>
      </w:rPr>
      <w:instrText xml:space="preserve"> NUMPAGES  \* MERGEFORMAT </w:instrText>
    </w:r>
    <w:r w:rsidR="009308D0">
      <w:fldChar w:fldCharType="separate"/>
    </w:r>
    <w:r>
      <w:rPr>
        <w:noProof/>
        <w:lang w:val="fr-FR"/>
      </w:rPr>
      <w:t>4</w:t>
    </w:r>
    <w:r w:rsidR="009308D0">
      <w:rPr>
        <w:noProof/>
      </w:rPr>
      <w:fldChar w:fldCharType="end"/>
    </w:r>
    <w:r w:rsidRPr="0064266D">
      <w:rPr>
        <w:lang w:val="fr-FR"/>
      </w:rPr>
      <w:tab/>
    </w:r>
    <w:r w:rsidRPr="0064266D">
      <w:rPr>
        <w:rStyle w:val="HideTWBExt"/>
        <w:lang w:val="fr-FR"/>
      </w:rPr>
      <w:t>&lt;PathFdR&gt;</w:t>
    </w:r>
    <w:r w:rsidRPr="0064266D">
      <w:rPr>
        <w:lang w:val="fr-FR"/>
      </w:rPr>
      <w:t>PR\1265121PL.docx</w:t>
    </w:r>
    <w:r w:rsidRPr="0064266D">
      <w:rPr>
        <w:rStyle w:val="HideTWBExt"/>
        <w:lang w:val="fr-FR"/>
      </w:rPr>
      <w:t>&lt;/PathFdR&gt;</w:t>
    </w:r>
  </w:p>
  <w:p w:rsidR="00984186" w:rsidRPr="00590624" w:rsidRDefault="0064266D" w:rsidP="00AC4997">
    <w:pPr>
      <w:pStyle w:val="EPFooter2"/>
    </w:pPr>
    <w:r w:rsidRPr="00590624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997" w:rsidRPr="0064266D" w:rsidRDefault="0064266D" w:rsidP="00AC4997">
    <w:pPr>
      <w:pStyle w:val="EPFooter"/>
      <w:rPr>
        <w:lang w:val="fr-FR"/>
      </w:rPr>
    </w:pPr>
    <w:r w:rsidRPr="0064266D">
      <w:rPr>
        <w:rStyle w:val="HideTWBExt"/>
        <w:lang w:val="fr-FR"/>
      </w:rPr>
      <w:t>&lt;PathFdR&gt;</w:t>
    </w:r>
    <w:r w:rsidRPr="0064266D">
      <w:rPr>
        <w:lang w:val="fr-FR"/>
      </w:rPr>
      <w:t>PR\1265121PL.docx</w:t>
    </w:r>
    <w:r w:rsidRPr="0064266D">
      <w:rPr>
        <w:rStyle w:val="HideTWBExt"/>
        <w:lang w:val="fr-FR"/>
      </w:rPr>
      <w:t>&lt;/PathFdR&gt;</w:t>
    </w:r>
    <w:r w:rsidRPr="0064266D">
      <w:rPr>
        <w:lang w:val="fr-FR"/>
      </w:rPr>
      <w:tab/>
    </w:r>
    <w:r w:rsidRPr="00590624">
      <w:fldChar w:fldCharType="begin"/>
    </w:r>
    <w:r w:rsidRPr="0064266D">
      <w:rPr>
        <w:lang w:val="fr-FR"/>
      </w:rPr>
      <w:instrText xml:space="preserve"> PAGE  \* MERGEFORMAT </w:instrText>
    </w:r>
    <w:r w:rsidRPr="00590624">
      <w:fldChar w:fldCharType="separate"/>
    </w:r>
    <w:r>
      <w:rPr>
        <w:noProof/>
        <w:lang w:val="fr-FR"/>
      </w:rPr>
      <w:t>5</w:t>
    </w:r>
    <w:r w:rsidRPr="00590624">
      <w:fldChar w:fldCharType="end"/>
    </w:r>
    <w:r w:rsidRPr="0064266D">
      <w:rPr>
        <w:lang w:val="fr-FR"/>
      </w:rPr>
      <w:t>/</w:t>
    </w:r>
    <w:r w:rsidR="009308D0">
      <w:fldChar w:fldCharType="begin"/>
    </w:r>
    <w:r w:rsidRPr="0064266D">
      <w:rPr>
        <w:lang w:val="fr-FR"/>
      </w:rPr>
      <w:instrText xml:space="preserve"> NUMPAGES  \* MERGEFORMAT </w:instrText>
    </w:r>
    <w:r w:rsidR="009308D0">
      <w:fldChar w:fldCharType="separate"/>
    </w:r>
    <w:r>
      <w:rPr>
        <w:noProof/>
        <w:lang w:val="fr-FR"/>
      </w:rPr>
      <w:t>5</w:t>
    </w:r>
    <w:r w:rsidR="009308D0">
      <w:rPr>
        <w:noProof/>
      </w:rPr>
      <w:fldChar w:fldCharType="end"/>
    </w:r>
    <w:r w:rsidRPr="0064266D">
      <w:rPr>
        <w:lang w:val="fr-FR"/>
      </w:rPr>
      <w:tab/>
      <w:t>PE</w:t>
    </w:r>
    <w:r w:rsidRPr="0064266D">
      <w:rPr>
        <w:rStyle w:val="HideTWBExt"/>
        <w:lang w:val="fr-FR"/>
      </w:rPr>
      <w:t>&lt;NoPE&gt;</w:t>
    </w:r>
    <w:r w:rsidRPr="0064266D">
      <w:rPr>
        <w:lang w:val="fr-FR"/>
      </w:rPr>
      <w:t>737.330</w:t>
    </w:r>
    <w:r w:rsidRPr="0064266D">
      <w:rPr>
        <w:rStyle w:val="HideTWBExt"/>
        <w:lang w:val="fr-FR"/>
      </w:rPr>
      <w:t>&lt;/NoPE&gt;&lt;Version&gt;</w:t>
    </w:r>
    <w:r w:rsidRPr="0064266D">
      <w:rPr>
        <w:lang w:val="fr-FR"/>
      </w:rPr>
      <w:t>v01-00</w:t>
    </w:r>
    <w:r w:rsidRPr="0064266D">
      <w:rPr>
        <w:rStyle w:val="HideTWBExt"/>
        <w:lang w:val="fr-FR"/>
      </w:rPr>
      <w:t>&lt;/Version&gt;</w:t>
    </w:r>
  </w:p>
  <w:p w:rsidR="00984186" w:rsidRPr="0064266D" w:rsidRDefault="0064266D" w:rsidP="00AC4997">
    <w:pPr>
      <w:pStyle w:val="EPFooter2"/>
      <w:rPr>
        <w:lang w:val="fr-FR"/>
      </w:rPr>
    </w:pPr>
    <w:r w:rsidRPr="0064266D">
      <w:rPr>
        <w:lang w:val="fr-FR"/>
      </w:rPr>
      <w:tab/>
    </w:r>
    <w:r w:rsidRPr="0064266D">
      <w:rPr>
        <w:lang w:val="fr-FR"/>
      </w:rPr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997" w:rsidRPr="00590624" w:rsidRDefault="0064266D" w:rsidP="00AC4997">
    <w:pPr>
      <w:pStyle w:val="EPFooter"/>
    </w:pPr>
    <w:r w:rsidRPr="00590624">
      <w:rPr>
        <w:rStyle w:val="HideTWBExt"/>
      </w:rPr>
      <w:t>&lt;PathFdR&gt;</w:t>
    </w:r>
    <w:r w:rsidRPr="00590624">
      <w:t>PR\1265121PL.docx</w:t>
    </w:r>
    <w:r w:rsidRPr="00590624">
      <w:rPr>
        <w:rStyle w:val="HideTWBExt"/>
      </w:rPr>
      <w:t>&lt;/PathFdR&gt;</w:t>
    </w:r>
    <w:r w:rsidRPr="00590624">
      <w:tab/>
    </w:r>
    <w:r w:rsidRPr="00590624">
      <w:tab/>
      <w:t>PE</w:t>
    </w:r>
    <w:r w:rsidRPr="00590624">
      <w:rPr>
        <w:rStyle w:val="HideTWBExt"/>
      </w:rPr>
      <w:t>&lt;NoPE&gt;</w:t>
    </w:r>
    <w:r w:rsidRPr="00590624">
      <w:t>737.330</w:t>
    </w:r>
    <w:r w:rsidRPr="00590624">
      <w:rPr>
        <w:rStyle w:val="HideTWBExt"/>
      </w:rPr>
      <w:t>&lt;/NoPE&gt;&lt;Version&gt;</w:t>
    </w:r>
    <w:proofErr w:type="gramStart"/>
    <w:r w:rsidRPr="00590624">
      <w:t>v</w:t>
    </w:r>
    <w:proofErr w:type="gramEnd"/>
    <w:r w:rsidRPr="00590624">
      <w:t>01-00</w:t>
    </w:r>
    <w:r w:rsidRPr="00590624">
      <w:rPr>
        <w:rStyle w:val="HideTWBExt"/>
      </w:rPr>
      <w:t>&lt;/Version&gt;</w:t>
    </w:r>
  </w:p>
  <w:p w:rsidR="00984186" w:rsidRPr="00590624" w:rsidRDefault="0064266D" w:rsidP="00AC4997">
    <w:pPr>
      <w:pStyle w:val="EPFooter2"/>
    </w:pPr>
    <w:r w:rsidRPr="00590624">
      <w:t>PL</w:t>
    </w:r>
    <w:r w:rsidRPr="00590624">
      <w:tab/>
    </w:r>
    <w:r w:rsidRPr="00590624">
      <w:rPr>
        <w:b w:val="0"/>
        <w:i/>
        <w:color w:val="C0C0C0"/>
        <w:sz w:val="22"/>
      </w:rPr>
      <w:t>Zjednoczona w różnorodności</w:t>
    </w:r>
    <w:r w:rsidRPr="00590624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186" w:rsidRPr="00590624" w:rsidRDefault="0064266D">
      <w:r w:rsidRPr="00590624">
        <w:separator/>
      </w:r>
    </w:p>
  </w:footnote>
  <w:footnote w:type="continuationSeparator" w:id="0">
    <w:p w:rsidR="00984186" w:rsidRPr="00590624" w:rsidRDefault="0064266D">
      <w:r w:rsidRPr="00590624">
        <w:continuationSeparator/>
      </w:r>
    </w:p>
  </w:footnote>
  <w:footnote w:id="1">
    <w:p w:rsidR="00984186" w:rsidRPr="00590624" w:rsidRDefault="0064266D" w:rsidP="000E37F8">
      <w:pPr>
        <w:pStyle w:val="FootnoteText"/>
      </w:pPr>
      <w:r>
        <w:rPr>
          <w:vertAlign w:val="superscript"/>
        </w:rPr>
        <w:footnoteRef/>
      </w:r>
      <w:r>
        <w:t xml:space="preserve"> Rozporządzenie Parlamentu Europejskiego i Rady (WE) nr 810/2009 z dnia 13 lipca 2009 r. ustanawiające Wspólnotowy Kodeks Wizowy (kodeks wizowy) (Dz.U. L 243 z 15.9.2009, </w:t>
      </w:r>
      <w:proofErr w:type="gramStart"/>
      <w:r>
        <w:t>s</w:t>
      </w:r>
      <w:proofErr w:type="gramEnd"/>
      <w:r>
        <w:t>. 1).</w:t>
      </w:r>
    </w:p>
  </w:footnote>
  <w:footnote w:id="2">
    <w:p w:rsidR="00984186" w:rsidRPr="00590624" w:rsidRDefault="0064266D" w:rsidP="000E37F8">
      <w:pPr>
        <w:pStyle w:val="FootnoteText"/>
      </w:pPr>
      <w:r>
        <w:rPr>
          <w:vertAlign w:val="superscript"/>
        </w:rPr>
        <w:footnoteRef/>
      </w:r>
      <w:r>
        <w:t xml:space="preserve"> Rozporządzenie Parlamentu Europejskiego i Rady (WE) nr 767/2008 z dnia 9 lip</w:t>
      </w:r>
      <w:r>
        <w:t xml:space="preserve">ca 2008 r. w sprawie Wizowego Systemu Informacyjnego (VIS) oraz wymiany danych pomiędzy państwami członkowskimi na temat wiz krótkoterminowych (Dz.U. L 218 z 13.8.2008, </w:t>
      </w:r>
      <w:proofErr w:type="gramStart"/>
      <w:r>
        <w:t>s</w:t>
      </w:r>
      <w:proofErr w:type="gramEnd"/>
      <w:r>
        <w:t>. 60).</w:t>
      </w:r>
    </w:p>
  </w:footnote>
  <w:footnote w:id="3">
    <w:p w:rsidR="00984186" w:rsidRPr="00590624" w:rsidRDefault="0064266D" w:rsidP="000E37F8">
      <w:pPr>
        <w:pStyle w:val="FootnoteText"/>
      </w:pPr>
      <w:r>
        <w:rPr>
          <w:vertAlign w:val="superscript"/>
        </w:rPr>
        <w:footnoteRef/>
      </w:r>
      <w:r>
        <w:t xml:space="preserve"> Motyw 20 rozporządzenia (UE) 2019/1155.</w:t>
      </w:r>
    </w:p>
  </w:footnote>
  <w:footnote w:id="4">
    <w:p w:rsidR="00984186" w:rsidRPr="00590624" w:rsidRDefault="0064266D" w:rsidP="000E37F8">
      <w:pPr>
        <w:pStyle w:val="FootnoteText"/>
      </w:pPr>
      <w:r>
        <w:rPr>
          <w:vertAlign w:val="superscript"/>
        </w:rPr>
        <w:footnoteRef/>
      </w:r>
      <w:r>
        <w:t xml:space="preserve"> Rozporządzenie Parlamentu Europejsk</w:t>
      </w:r>
      <w:r>
        <w:t xml:space="preserve">iego i Rady (WE) nr 810/2009 z dnia 13 lipca 2009 r. ustanawiające Wspólnotowy Kodeks Wizowy (kodeks wizowy) (Dz.U. L 243 z 15.9.2009, </w:t>
      </w:r>
      <w:proofErr w:type="gramStart"/>
      <w:r>
        <w:t>s</w:t>
      </w:r>
      <w:proofErr w:type="gramEnd"/>
      <w:r>
        <w:t>. 1) oraz rozporządzenie Parlamentu Europejskiego i Rady (UE) 2019/1155 z dnia 20 czerwca 2019 r. zmieniające rozporządz</w:t>
      </w:r>
      <w:r>
        <w:t xml:space="preserve">enie (WE) nr 810/2009 ustanawiające Wspólnotowy Kodeks Wizowy (kodeks wizowy) (Dz.U. L 188 z 12.7.2019, </w:t>
      </w:r>
      <w:proofErr w:type="gramStart"/>
      <w:r>
        <w:t>s</w:t>
      </w:r>
      <w:proofErr w:type="gramEnd"/>
      <w:r>
        <w:t>. 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66D" w:rsidRDefault="00642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66D" w:rsidRDefault="006426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66D" w:rsidRDefault="006426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A065D1A"/>
    <w:multiLevelType w:val="multilevel"/>
    <w:tmpl w:val="128E3B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opyToNetwork" w:val="-1"/>
    <w:docVar w:name="CVar" w:val="1"/>
    <w:docVar w:name="DOCMNU" w:val=" 1"/>
    <w:docVar w:name="EPSTATMNU" w:val=" 5"/>
    <w:docVar w:name="iNoAmend" w:val="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887287 HideTWBExt;}{\*\cs18 \additive \v\f1\fs20\cf15 _x000d__x000a_\spriority0 \styrsid7887287 HideTWBInt;}{\s19\ql \li0\ri0\sa120\nowidctlpar\wrapdefault\aspalpha\aspnum\faauto\adjustright\rin0\lin0\itap0 \rtlch\fcs1 \af0\afs20\alang1025 \ltrch\fcs0 \fs24\lang2057\langfe2057\cgrid\langnp2057\langfenp2057 _x000d__x000a_\sbasedon0 \snext19 \spriority0 \styrsid7887287 Normal6a;}{\s20\ql \li0\ri0\nowidctlpar\wrapdefault\aspalpha\aspnum\faauto\adjustright\rin0\lin0\itap0 \rtlch\fcs1 \af0\afs20\alang1025 \ltrch\fcs0 \b\fs24\lang2057\langfe2057\cgrid\langnp2057\langfenp2057 _x000d__x000a_\sbasedon0 \snext20 \spriority0 \styrsid7887287 NormalBold;}{\s21\ql \li0\ri0\sa240\nowidctlpar\wrapdefault\aspalpha\aspnum\faauto\adjustright\rin0\lin0\itap0 \rtlch\fcs1 \af0\afs20\alang1025 \ltrch\fcs0 _x000d__x000a_\i\fs24\lang2057\langfe2057\cgrid\langnp2057\langfenp2057 \sbasedon0 \snext21 \spriority0 \styrsid7887287 AmJustText;}{\s22\qc \li0\ri0\sb240\sa240\nowidctlpar\wrapdefault\aspalpha\aspnum\faauto\adjustright\rin0\lin0\itap0 \rtlch\fcs1 _x000d__x000a_\af0\afs20\alang1025 \ltrch\fcs0 \i\fs24\lang2057\langfe2057\cgrid\langnp2057\langfenp2057 \sbasedon0 \snext22 \spriority0 \styrsid78872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887287 AmJustTitle;}{\s24\qr \li0\ri0\sb240\sa240\nowidctlpar\wrapdefault\aspalpha\aspnum\faauto\adjustright\rin0\lin0\itap0 \rtlch\fcs1 \af0\afs20\alang1025 \ltrch\fcs0 _x000d__x000a_\fs24\lang2057\langfe2057\cgrid\langnp2057\langfenp2057 \sbasedon0 \snext24 \spriority0 \styrsid7887287 AmOrLang;}{\s25\qc \li0\ri0\sa240\nowidctlpar\wrapdefault\aspalpha\aspnum\faauto\adjustright\rin0\lin0\itap0 \rtlch\fcs1 \af0\afs20\alang1025 _x000d__x000a_\ltrch\fcs0 \i\fs24\lang2057\langfe2057\cgrid\langnp2057\langfenp2057 \sbasedon0 \snext25 \spriority0 \styrsid78872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887287 AmNumberTabs;}{\s27\ql \li0\ri0\sb240\nowidctlpar\wrapdefault\aspalpha\aspnum\faauto\adjustright\rin0\lin0\itap0 \rtlch\fcs1 _x000d__x000a_\af0\afs20\alang1025 \ltrch\fcs0 \b\fs24\lang2057\langfe2057\cgrid\langnp2057\langfenp2057 \sbasedon0 \snext27 \spriority0 \styrsid7887287 NormalBold12b;}}{\*\rsidtbl \rsid24658\rsid223860\rsid735077\rsid1718133\rsid2892074\rsid3565327\rsid4666813_x000d__x000a_\rsid5383212\rsid6641733\rsid7823322\rsid7887287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TOADER Maria}{\operator TOADER Maria}{\creatim\yr2022\mo10\dy11\hr16\min11}{\revtim\yr2022\mo10\dy11\hr16\min11}{\version1}{\edmins0}{\nofpages1}_x000d__x000a_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78872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3832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3832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3832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3832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887287 \rtlch\fcs1 _x000d__x000a_\af0\afs20\alang1025 \ltrch\fcs0 \b\fs24\lang2057\langfe2057\cgrid\langnp2057\langfenp2057 {\rtlch\fcs1 \af0 \ltrch\fcs0 \cs17\b0\v\fs20\cf9\loch\af1\hich\af1\dbch\af31501\insrsid7887287\charrsid11894566 {\*\bkmkstart restart}_x000d__x000a_\hich\af1\dbch\af31501\loch\f1 &lt;Amend&gt;}{\rtlch\fcs1 \af0 \ltrch\fcs0 \insrsid7887287\charrsid11894566 Amendment\tab \tab }{\rtlch\fcs1 \af0 \ltrch\fcs0 \cs17\b0\v\fs20\cf9\loch\af1\hich\af1\dbch\af31501\insrsid7887287\charrsid11894566 _x000d__x000a_\hich\af1\dbch\af31501\loch\f1 &lt;NumAm&gt;}{\rtlch\fcs1 \af0 \ltrch\fcs0 \insrsid7887287\charrsid11894566 #}{\rtlch\fcs1 \af1 \ltrch\fcs0 \cs18\v\f1\fs20\cf15\insrsid7887287\charrsid11894566 ENMIENDA@NRAM@}{\rtlch\fcs1 \af0 \ltrch\fcs0 _x000d__x000a_\insrsid7887287\charrsid11894566 #}{\rtlch\fcs1 \af0 \ltrch\fcs0 \cs17\b0\v\fs20\cf9\loch\af1\hich\af1\dbch\af31501\insrsid7887287\charrsid11894566 \hich\af1\dbch\af31501\loch\f1 &lt;/NumAm&gt;}{\rtlch\fcs1 \af0 \ltrch\fcs0 \insrsid7887287\charrsid11894566 _x000d__x000a__x000d__x000a_\par }\pard\plain \ltrpar\s27\ql \li0\ri0\sb240\keepn\nowidctlpar\wrapdefault\aspalpha\aspnum\faauto\adjustright\rin0\lin0\itap0\pararsid7887287 \rtlch\fcs1 \af0\afs20\alang1025 \ltrch\fcs0 \b\fs24\lang2057\langfe2057\cgrid\langnp2057\langfenp2057 {_x000d__x000a_\rtlch\fcs1 \af0 \ltrch\fcs0 \cs17\b0\v\fs20\cf9\loch\af1\hich\af1\dbch\af31501\insrsid7887287\charrsid11894566 \hich\af1\dbch\af31501\loch\f1 &lt;DocAmend&gt;}{\rtlch\fcs1 \af0 \ltrch\fcs0 \insrsid7887287\charrsid11894566 Proposal for a #}{\rtlch\fcs1 \af1 _x000d__x000a_\ltrch\fcs0 \cs18\v\f1\fs20\cf15\insrsid7887287\charrsid11894566 MNU[DOC1][DOC2][DOC3]@DOCMSG@DOCMNU}{\rtlch\fcs1 \af0 \ltrch\fcs0 \insrsid7887287\charrsid11894566 ##}{\rtlch\fcs1 \af1 \ltrch\fcs0 \cs18\v\f1\fs20\cf15\insrsid7887287\charrsid11894566 _x000d__x000a_MNU[AMACTYES][NOTAPP]@CHOICE@AMACTMNU}{\rtlch\fcs1 \af0 \ltrch\fcs0 \insrsid7887287\charrsid11894566 #}{\rtlch\fcs1 \af0 \ltrch\fcs0 \cs17\b0\v\fs20\cf9\loch\af1\hich\af1\dbch\af31501\insrsid7887287\charrsid11894566 \hich\af1\dbch\af31501\loch\f1 _x000d__x000a_&lt;/DocAmend&gt;}{\rtlch\fcs1 \af0 \ltrch\fcs0 \insrsid7887287\charrsid11894566 _x000d__x000a_\par }\pard\plain \ltrpar\s20\ql \li0\ri0\keepn\nowidctlpar\wrapdefault\aspalpha\aspnum\faauto\adjustright\rin0\lin0\itap0\pararsid7887287 \rtlch\fcs1 \af0\afs20\alang1025 \ltrch\fcs0 \b\fs24\lang2057\langfe2057\cgrid\langnp2057\langfenp2057 {\rtlch\fcs1 \af0 _x000d__x000a_\ltrch\fcs0 \cs17\b0\v\fs20\cf9\loch\af1\hich\af1\dbch\af31501\insrsid7887287\charrsid11894566 \hich\af1\dbch\af31501\loch\f1 &lt;Article&gt;}{\rtlch\fcs1 \af0 \ltrch\fcs0 \insrsid7887287\charrsid11894566 #}{\rtlch\fcs1 \af1 \ltrch\fcs0 _x000d__x000a_\cs18\v\f1\fs20\cf15\insrsid7887287\charrsid11894566 MNU[AMACTPARTYES][AMACTPARTNO]@CHOICE@AMACTMNU}{\rtlch\fcs1 \af0 \ltrch\fcs0 \insrsid7887287\charrsid11894566 #}{\rtlch\fcs1 \af0 \ltrch\fcs0 _x000d__x000a_\cs17\b0\v\fs20\cf9\loch\af1\hich\af1\dbch\af31501\insrsid7887287\charrsid11894566 \hich\af1\dbch\af31501\loch\f1 &lt;/Article&gt;}{\rtlch\fcs1 \af0 \ltrch\fcs0 \insrsid7887287\charrsid11894566 _x000d__x000a_\par }\pard\plain \ltrpar\ql \li0\ri0\keepn\widctlpar\wrapdefault\aspalpha\aspnum\faauto\adjustright\rin0\lin0\itap0\pararsid7887287 \rtlch\fcs1 \af0\afs20\alang1025 \ltrch\fcs0 \fs24\lang2057\langfe2057\cgrid\langnp2057\langfenp2057 {\rtlch\fcs1 \af0 _x000d__x000a_\ltrch\fcs0 \cs17\v\fs20\cf9\loch\af1\hich\af1\dbch\af31501\insrsid7887287\charrsid11894566 \hich\af1\dbch\af31501\loch\f1 &lt;DocAmend2&gt;&lt;OptDel&gt;}{\rtlch\fcs1 \af0 \ltrch\fcs0 \insrsid7887287\charrsid11894566 #}{\rtlch\fcs1 \af1 \ltrch\fcs0 _x000d__x000a_\cs18\v\f1\fs20\cf15\insrsid7887287\charrsid11894566 MNU[OPTNRACTYES][NOTAPP]@CHOICE@AMACTMNU}{\rtlch\fcs1 \af0 \ltrch\fcs0 \insrsid7887287\charrsid11894566 #}{\rtlch\fcs1 \af0 \ltrch\fcs0 _x000d__x000a_\cs17\v\fs20\cf9\loch\af1\hich\af1\dbch\af31501\insrsid7887287\charrsid11894566 \hich\af1\dbch\af31501\loch\f1 &lt;/OptDel&gt;&lt;/DocAmend2&gt;}{\rtlch\fcs1 \af0 \ltrch\fcs0 \insrsid7887287\charrsid11894566 _x000d__x000a_\par }\pard \ltrpar\ql \li0\ri0\widctlpar\wrapdefault\aspalpha\aspnum\faauto\adjustright\rin0\lin0\itap0\pararsid7887287 {\rtlch\fcs1 \af0 \ltrch\fcs0 \cs17\v\fs20\cf9\loch\af1\hich\af1\dbch\af31501\insrsid7887287\charrsid11894566 _x000d__x000a_\hich\af1\dbch\af31501\loch\f1 &lt;Article2&gt;&lt;OptDel&gt;}{\rtlch\fcs1 \af0 \ltrch\fcs0 \insrsid7887287\charrsid11894566 #}{\rtlch\fcs1 \af1 \ltrch\fcs0 \cs18\v\f1\fs20\cf15\insrsid7887287\charrsid11894566 MNU[OPTACTPARTYES][NOTAPP]@CHOICE@AMACTMNU}{\rtlch\fcs1 _x000d__x000a_\af0 \ltrch\fcs0 \insrsid7887287\charrsid11894566 #}{\rtlch\fcs1 \af0 \ltrch\fcs0 \cs17\v\fs20\cf9\loch\af1\hich\af1\dbch\af31501\insrsid7887287\charrsid11894566 \hich\af1\dbch\af31501\loch\f1 &lt;/OptDel&gt;&lt;/Article2&gt;}{\rtlch\fcs1 \af0 \ltrch\fcs0 _x000d__x000a_\insrsid7887287\charrsid11894566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887287\charrsid11894566 \cell }\pard\plain \ltrpar\ql \li0\ri0\widctlpar\intbl\wrapdefault\aspalpha\aspnum\faauto\adjustright\rin0\lin0 \rtlch\fcs1 _x000d__x000a_\af0\afs20\alang1025 \ltrch\fcs0 \fs24\lang2057\langfe2057\cgrid\langnp2057\langfenp2057 {\rtlch\fcs1 \af0 \ltrch\fcs0 \insrsid7887287\charrsid11894566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887287\charrsid11894566 #}{\rtlch\fcs1 \af1 \ltrch\fcs0 \cs18\v\f1\fs20\cf15\insrsid7887287\charrsid11894566 MNU[OPTLEFTAMACT][LEFTPROP]@CHOICE@AMACTMNU}{\rtlch\fcs1 \af0 \ltrch\fcs0 \insrsid7887287\charrsid11894566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887287\charrsid11894566 \trowd \irow1\irowband1\ltrrow\ts11\trqc\trgaph340\trleft-340\trftsWidth3\trwWidth9752\trftsWidthB3\trpaddl340\trpaddr340\trpaddfl3\trpaddft3\trpaddfb3\trpaddfr3\tblrsid2517430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2517430 \rtlch\fcs1 \af0\afs20\alang1025 \ltrch\fcs0 \fs24\lang2057\langfe2057\cgrid\langnp2057\langfenp2057 {_x000d__x000a_\rtlch\fcs1 \af0 \ltrch\fcs0 \insrsid7887287\charrsid11894566 ##\cell ##}{\rtlch\fcs1 \af0\afs24 \ltrch\fcs0 \insrsid7887287\charrsid11894566 \cell }\pard\plain \ltrpar\ql \li0\ri0\widctlpar\intbl\wrapdefault\aspalpha\aspnum\faauto\adjustright\rin0\lin0 _x000d__x000a_\rtlch\fcs1 \af0\afs20\alang1025 \ltrch\fcs0 \fs24\lang2057\langfe2057\cgrid\langnp2057\langfenp2057 {\rtlch\fcs1 \af0 \ltrch\fcs0 \insrsid7887287\charrsid11894566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7887287 \rtlch\fcs1 \af0\afs20\alang1025 \ltrch\fcs0 \fs24\lang2057\langfe2057\cgrid\langnp2057\langfenp2057 {\rtlch\fcs1 \af0 \ltrch\fcs0 _x000d__x000a_\insrsid7887287\charrsid11894566 Or. }{\rtlch\fcs1 \af0 \ltrch\fcs0 \cs17\v\fs20\cf9\loch\af1\hich\af1\dbch\af31501\insrsid7887287\charrsid11894566 \hich\af1\dbch\af31501\loch\f1 &lt;Original&gt;}{\rtlch\fcs1 \af0 \ltrch\fcs0 \insrsid7887287\charrsid11894566 #}_x000d__x000a_{\rtlch\fcs1 \af1 \ltrch\fcs0 \cs18\v\f1\fs20\cf15\insrsid7887287\charrsid11894566 MNU[ORLANGONE][ORLANGMORE]@CHOICE@ORLANGMNU}{\rtlch\fcs1 \af0 \ltrch\fcs0 \insrsid7887287\charrsid11894566 #}{\rtlch\fcs1 \af0 \ltrch\fcs0 _x000d__x000a_\cs17\v\fs20\cf9\loch\af1\hich\af1\dbch\af31501\insrsid7887287\charrsid11894566 \hich\af1\dbch\af31501\loch\f1 &lt;/Original&gt;}{\rtlch\fcs1 \af0 \ltrch\fcs0 \insrsid7887287\charrsid11894566 _x000d__x000a_\par }\pard\plain \ltrpar\s22\qc \li0\ri0\sb240\sa240\nowidctlpar\wrapdefault\aspalpha\aspnum\faauto\adjustright\rin0\lin0\itap0\pararsid7887287 \rtlch\fcs1 \af0\afs20\alang1025 \ltrch\fcs0 \i\fs24\lang2057\langfe2057\cgrid\langnp2057\langfenp2057 {_x000d__x000a_\rtlch\fcs1 \af0 \ltrch\fcs0 \cs17\i0\v\fs20\cf9\loch\af1\hich\af1\dbch\af31501\insrsid7887287\charrsid11894566 \hich\af1\dbch\af31501\loch\f1 &lt;OptDel&gt;}{\rtlch\fcs1 \af0 \ltrch\fcs0 \insrsid7887287\charrsid11894566 #}{\rtlch\fcs1 \af1 \ltrch\fcs0 _x000d__x000a_\cs18\v\f1\fs20\cf15\insrsid7887287\charrsid11894566 MNU[CROSSREFNO][CROSSREFYES]@CHOICE@}{\rtlch\fcs1 \af0 \ltrch\fcs0 \insrsid7887287\charrsid11894566 #}{\rtlch\fcs1 \af0 \ltrch\fcs0 _x000d__x000a_\cs17\i0\v\fs20\cf9\loch\af1\hich\af1\dbch\af31501\insrsid7887287\charrsid11894566 \hich\af1\dbch\af31501\loch\f1 &lt;/OptDel&gt;}{\rtlch\fcs1 \af0 \ltrch\fcs0 \insrsid7887287\charrsid11894566 _x000d__x000a_\par }\pard\plain \ltrpar\s23\qc \li0\ri0\sb240\sa240\keepn\nowidctlpar\wrapdefault\aspalpha\aspnum\faauto\adjustright\rin0\lin0\itap0\pararsid7887287 \rtlch\fcs1 \af0\afs20\alang1025 \ltrch\fcs0 \i\fs24\lang2057\langfe2057\cgrid\langnp2057\langfenp2057 {_x000d__x000a_\rtlch\fcs1 \af0 \ltrch\fcs0 \cs17\i0\v\fs20\cf9\loch\af1\hich\af1\dbch\af31501\insrsid7887287\charrsid11894566 \hich\af1\dbch\af31501\loch\f1 &lt;TitreJust&gt;}{\rtlch\fcs1 \af0 \ltrch\fcs0 \insrsid7887287\charrsid11894566 Justification}{\rtlch\fcs1 \af0 _x000d__x000a_\ltrch\fcs0 \cs17\i0\v\fs20\cf9\loch\af1\hich\af1\dbch\af31501\insrsid7887287\charrsid11894566 \hich\af1\dbch\af31501\loch\f1 &lt;/TitreJust&gt;}{\rtlch\fcs1 \af0 \ltrch\fcs0 \insrsid7887287\charrsid11894566 _x000d__x000a_\par }\pard\plain \ltrpar\s21\ql \li0\ri0\sa240\nowidctlpar\wrapdefault\aspalpha\aspnum\faauto\adjustright\rin0\lin0\itap0\pararsid7887287 \rtlch\fcs1 \af0\afs20\alang1025 \ltrch\fcs0 \i\fs24\lang2057\langfe2057\cgrid\langnp2057\langfenp2057 {\rtlch\fcs1 \af0 _x000d__x000a_\ltrch\fcs0 \cs17\i0\v\fs20\cf9\loch\af1\hich\af1\dbch\af31501\insrsid7887287\charrsid11894566 \hich\af1\dbch\af31501\loch\f1 &lt;OptDelPrev&gt;}{\rtlch\fcs1 \af0 \ltrch\fcs0 \insrsid7887287\charrsid11894566 #}{\rtlch\fcs1 \af1 \ltrch\fcs0 _x000d__x000a_\cs18\v\f1\fs20\cf15\insrsid7887287\charrsid11894566 MNU[TEXTJUSTYES][TEXTJUSTNO]@CHOICE@}{\rtlch\fcs1 \af0 \ltrch\fcs0 \insrsid7887287\charrsid11894566 #}{\rtlch\fcs1 \af0 \ltrch\fcs0 _x000d__x000a_\cs17\i0\v\fs20\cf9\loch\af1\hich\af1\dbch\af31501\insrsid7887287\charrsid11894566 \hich\af1\dbch\af31501\loch\f1 &lt;/OptDelPrev&gt;}{\rtlch\fcs1 \af0 \ltrch\fcs0 \insrsid7887287\charrsid11894566 _x000d__x000a_\par }\pard\plain \ltrpar\ql \li0\ri0\widctlpar\wrapdefault\aspalpha\aspnum\faauto\adjustright\rin0\lin0\itap0\pararsid7887287 \rtlch\fcs1 \af0\afs20\alang1025 \ltrch\fcs0 \fs24\lang2057\langfe2057\cgrid\langnp2057\langfenp2057 {\rtlch\fcs1 \af0 \ltrch\fcs0 _x000d__x000a_\cs17\v\fs20\cf9\loch\af1\hich\af1\dbch\af31501\insrsid7887287\charrsid1189456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8_x000d__x000a_d8577b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65"/>
    <w:docVar w:name="TXTAUTHOR" w:val="Matjaž Nemec"/>
    <w:docVar w:name="TXTLANGUE" w:val="PL"/>
    <w:docVar w:name="TXTLANGUEMIN" w:val="pl"/>
    <w:docVar w:name="TXTNRC" w:val="0165/2022"/>
    <w:docVar w:name="TXTNRCOD" w:val="2022/0132"/>
    <w:docVar w:name="TXTNRCOM" w:val="(2022)0658"/>
    <w:docVar w:name="TXTNRFIRSTAM" w:val="1"/>
    <w:docVar w:name="TXTNRLASTAM" w:val="1"/>
    <w:docVar w:name="TXTNRPE" w:val="737.330"/>
    <w:docVar w:name="TXTPEorAP" w:val="PE"/>
    <w:docVar w:name="TXTROUTE" w:val="PR\1265121PL.docx"/>
    <w:docVar w:name="TXTTITLE" w:val="amending Regulations (EC) No 767/2008, (EC) No 810/2009 and (EU) 2017/2226 of the European Parliament and of the Council, Council Regulations (EC) No 1683/95, (EC) No 333/2002, (EC) No 693/2003 and (EC) No 694/2003 and Convention implementing the Schengen Agreement, as regards the digitalisation of the visa procedure"/>
    <w:docVar w:name="TXTVERSION" w:val="01-00"/>
  </w:docVars>
  <w:rsids>
    <w:rsidRoot w:val="00FD0C5D"/>
    <w:rsid w:val="00011AAB"/>
    <w:rsid w:val="00012351"/>
    <w:rsid w:val="000139E5"/>
    <w:rsid w:val="00050A74"/>
    <w:rsid w:val="00051B00"/>
    <w:rsid w:val="000573B7"/>
    <w:rsid w:val="00084DD2"/>
    <w:rsid w:val="00084E89"/>
    <w:rsid w:val="0009666E"/>
    <w:rsid w:val="000A6BBA"/>
    <w:rsid w:val="000B7489"/>
    <w:rsid w:val="000D2E7D"/>
    <w:rsid w:val="000E37F8"/>
    <w:rsid w:val="000F1096"/>
    <w:rsid w:val="000F584D"/>
    <w:rsid w:val="001065EA"/>
    <w:rsid w:val="00120948"/>
    <w:rsid w:val="00120E34"/>
    <w:rsid w:val="00123DD5"/>
    <w:rsid w:val="001277AE"/>
    <w:rsid w:val="00142026"/>
    <w:rsid w:val="00142215"/>
    <w:rsid w:val="001767E2"/>
    <w:rsid w:val="00187008"/>
    <w:rsid w:val="00193AEF"/>
    <w:rsid w:val="001B3829"/>
    <w:rsid w:val="001C5592"/>
    <w:rsid w:val="001C5B44"/>
    <w:rsid w:val="001C6FFC"/>
    <w:rsid w:val="001D0E90"/>
    <w:rsid w:val="001F7C7C"/>
    <w:rsid w:val="0020071A"/>
    <w:rsid w:val="00212B84"/>
    <w:rsid w:val="002133DE"/>
    <w:rsid w:val="002346B0"/>
    <w:rsid w:val="00235D27"/>
    <w:rsid w:val="002667C3"/>
    <w:rsid w:val="002669B6"/>
    <w:rsid w:val="00290BED"/>
    <w:rsid w:val="00293E6E"/>
    <w:rsid w:val="002D13EE"/>
    <w:rsid w:val="002E33EE"/>
    <w:rsid w:val="002F40BB"/>
    <w:rsid w:val="002F4B02"/>
    <w:rsid w:val="003112E8"/>
    <w:rsid w:val="00323EF8"/>
    <w:rsid w:val="003316DD"/>
    <w:rsid w:val="00352B44"/>
    <w:rsid w:val="00366A46"/>
    <w:rsid w:val="00370AC3"/>
    <w:rsid w:val="003824EE"/>
    <w:rsid w:val="00395787"/>
    <w:rsid w:val="003B4689"/>
    <w:rsid w:val="003C2068"/>
    <w:rsid w:val="003C37CF"/>
    <w:rsid w:val="003C7988"/>
    <w:rsid w:val="004100B1"/>
    <w:rsid w:val="00426E47"/>
    <w:rsid w:val="00455743"/>
    <w:rsid w:val="00461601"/>
    <w:rsid w:val="00465535"/>
    <w:rsid w:val="00470029"/>
    <w:rsid w:val="00480B1D"/>
    <w:rsid w:val="00490B0B"/>
    <w:rsid w:val="00494634"/>
    <w:rsid w:val="004C0915"/>
    <w:rsid w:val="004D424E"/>
    <w:rsid w:val="004E42C8"/>
    <w:rsid w:val="004E733D"/>
    <w:rsid w:val="004F3FA5"/>
    <w:rsid w:val="0051271F"/>
    <w:rsid w:val="00521F46"/>
    <w:rsid w:val="0052765F"/>
    <w:rsid w:val="00551111"/>
    <w:rsid w:val="00551123"/>
    <w:rsid w:val="00570A6A"/>
    <w:rsid w:val="00586E50"/>
    <w:rsid w:val="00590624"/>
    <w:rsid w:val="0059583D"/>
    <w:rsid w:val="005A42D9"/>
    <w:rsid w:val="005C2BEF"/>
    <w:rsid w:val="005D1A99"/>
    <w:rsid w:val="005D6756"/>
    <w:rsid w:val="005D7609"/>
    <w:rsid w:val="005D7EE8"/>
    <w:rsid w:val="005E5817"/>
    <w:rsid w:val="005F1B63"/>
    <w:rsid w:val="006213D7"/>
    <w:rsid w:val="00642325"/>
    <w:rsid w:val="0064266D"/>
    <w:rsid w:val="0065596F"/>
    <w:rsid w:val="006640D8"/>
    <w:rsid w:val="006A2F5D"/>
    <w:rsid w:val="006A6174"/>
    <w:rsid w:val="006D644D"/>
    <w:rsid w:val="006E0A55"/>
    <w:rsid w:val="006F7907"/>
    <w:rsid w:val="007003ED"/>
    <w:rsid w:val="0072568C"/>
    <w:rsid w:val="00733724"/>
    <w:rsid w:val="00743189"/>
    <w:rsid w:val="00743D33"/>
    <w:rsid w:val="00763900"/>
    <w:rsid w:val="00777356"/>
    <w:rsid w:val="007932B3"/>
    <w:rsid w:val="00793EA9"/>
    <w:rsid w:val="007B202B"/>
    <w:rsid w:val="007B2322"/>
    <w:rsid w:val="007B4434"/>
    <w:rsid w:val="007C466D"/>
    <w:rsid w:val="007D6F68"/>
    <w:rsid w:val="008051D0"/>
    <w:rsid w:val="00823E6B"/>
    <w:rsid w:val="00826780"/>
    <w:rsid w:val="0083350D"/>
    <w:rsid w:val="00837CCD"/>
    <w:rsid w:val="008633CC"/>
    <w:rsid w:val="00865190"/>
    <w:rsid w:val="008719B9"/>
    <w:rsid w:val="00894ECE"/>
    <w:rsid w:val="00896BB4"/>
    <w:rsid w:val="008A7FB8"/>
    <w:rsid w:val="009022B8"/>
    <w:rsid w:val="00914537"/>
    <w:rsid w:val="00917AE3"/>
    <w:rsid w:val="00917CC4"/>
    <w:rsid w:val="009308D0"/>
    <w:rsid w:val="0094796B"/>
    <w:rsid w:val="009763DA"/>
    <w:rsid w:val="00984186"/>
    <w:rsid w:val="00987D80"/>
    <w:rsid w:val="009975B3"/>
    <w:rsid w:val="009A216D"/>
    <w:rsid w:val="009B20C4"/>
    <w:rsid w:val="009B4B93"/>
    <w:rsid w:val="009C185B"/>
    <w:rsid w:val="009C26A4"/>
    <w:rsid w:val="009D6FE5"/>
    <w:rsid w:val="009D7B9D"/>
    <w:rsid w:val="009F1E7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70FAF"/>
    <w:rsid w:val="00A74BEC"/>
    <w:rsid w:val="00A80598"/>
    <w:rsid w:val="00A90F84"/>
    <w:rsid w:val="00A910C9"/>
    <w:rsid w:val="00A94916"/>
    <w:rsid w:val="00AA35B0"/>
    <w:rsid w:val="00AB2631"/>
    <w:rsid w:val="00AB3008"/>
    <w:rsid w:val="00AB34A8"/>
    <w:rsid w:val="00AC4997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1CAD"/>
    <w:rsid w:val="00B85407"/>
    <w:rsid w:val="00B85A2A"/>
    <w:rsid w:val="00B95702"/>
    <w:rsid w:val="00BA34B6"/>
    <w:rsid w:val="00BB5FFC"/>
    <w:rsid w:val="00BC1D5B"/>
    <w:rsid w:val="00BC6489"/>
    <w:rsid w:val="00BD1B28"/>
    <w:rsid w:val="00BD480C"/>
    <w:rsid w:val="00BD5450"/>
    <w:rsid w:val="00BE0731"/>
    <w:rsid w:val="00BF2B0B"/>
    <w:rsid w:val="00C11717"/>
    <w:rsid w:val="00C20954"/>
    <w:rsid w:val="00C23324"/>
    <w:rsid w:val="00C302F7"/>
    <w:rsid w:val="00C42A41"/>
    <w:rsid w:val="00C47E74"/>
    <w:rsid w:val="00C57A72"/>
    <w:rsid w:val="00C73602"/>
    <w:rsid w:val="00C844CE"/>
    <w:rsid w:val="00CA280E"/>
    <w:rsid w:val="00CB5692"/>
    <w:rsid w:val="00CF60C8"/>
    <w:rsid w:val="00D151F4"/>
    <w:rsid w:val="00D2452A"/>
    <w:rsid w:val="00D30DE2"/>
    <w:rsid w:val="00D32924"/>
    <w:rsid w:val="00D503A3"/>
    <w:rsid w:val="00D7587E"/>
    <w:rsid w:val="00D80700"/>
    <w:rsid w:val="00DA6ED0"/>
    <w:rsid w:val="00DB03A0"/>
    <w:rsid w:val="00DC5011"/>
    <w:rsid w:val="00DE4DD2"/>
    <w:rsid w:val="00E171B6"/>
    <w:rsid w:val="00E31338"/>
    <w:rsid w:val="00E45C33"/>
    <w:rsid w:val="00E72695"/>
    <w:rsid w:val="00E85532"/>
    <w:rsid w:val="00E8739C"/>
    <w:rsid w:val="00EB1753"/>
    <w:rsid w:val="00EB6CFF"/>
    <w:rsid w:val="00EE3996"/>
    <w:rsid w:val="00EF708B"/>
    <w:rsid w:val="00F07062"/>
    <w:rsid w:val="00F07B47"/>
    <w:rsid w:val="00F20B07"/>
    <w:rsid w:val="00F23CFC"/>
    <w:rsid w:val="00F433E2"/>
    <w:rsid w:val="00F51B56"/>
    <w:rsid w:val="00F904AE"/>
    <w:rsid w:val="00F934F8"/>
    <w:rsid w:val="00FB52FE"/>
    <w:rsid w:val="00FC0A34"/>
    <w:rsid w:val="00FD0C5D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65FAE-27C4-4C13-9CC2-8CC97043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A90F8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90F8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90F84"/>
    <w:rPr>
      <w:sz w:val="18"/>
    </w:rPr>
  </w:style>
  <w:style w:type="paragraph" w:customStyle="1" w:styleId="EntPE">
    <w:name w:val="EntPE"/>
    <w:basedOn w:val="Normal12"/>
    <w:rsid w:val="006A617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A617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6A617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A617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A617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6A6174"/>
    <w:rPr>
      <w:noProof/>
      <w:sz w:val="24"/>
    </w:rPr>
  </w:style>
  <w:style w:type="paragraph" w:customStyle="1" w:styleId="PELeft">
    <w:name w:val="PELeft"/>
    <w:basedOn w:val="Normal"/>
    <w:rsid w:val="006A617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A6174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A6174"/>
    <w:pPr>
      <w:spacing w:after="120"/>
    </w:pPr>
  </w:style>
  <w:style w:type="paragraph" w:customStyle="1" w:styleId="Normal12Italic">
    <w:name w:val="Normal12Italic"/>
    <w:basedOn w:val="Normal12"/>
    <w:rsid w:val="006A6174"/>
    <w:rPr>
      <w:i/>
    </w:rPr>
  </w:style>
  <w:style w:type="character" w:customStyle="1" w:styleId="NormalBoldChar">
    <w:name w:val="NormalBold Char"/>
    <w:basedOn w:val="DefaultParagraphFont"/>
    <w:link w:val="NormalBold"/>
    <w:rsid w:val="006A6174"/>
    <w:rPr>
      <w:b/>
      <w:sz w:val="24"/>
    </w:rPr>
  </w:style>
  <w:style w:type="paragraph" w:customStyle="1" w:styleId="JustificationTitle">
    <w:name w:val="JustificationTitle"/>
    <w:basedOn w:val="Normal"/>
    <w:next w:val="Normal12"/>
    <w:rsid w:val="006A617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A6174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6A6174"/>
    <w:rPr>
      <w:sz w:val="24"/>
      <w:lang w:val="pl-PL"/>
    </w:rPr>
  </w:style>
  <w:style w:type="paragraph" w:customStyle="1" w:styleId="ColumnHeading">
    <w:name w:val="ColumnHeading"/>
    <w:basedOn w:val="Normal"/>
    <w:rsid w:val="006A617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A61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A6174"/>
    <w:pPr>
      <w:spacing w:before="240"/>
      <w:jc w:val="center"/>
    </w:pPr>
    <w:rPr>
      <w:i/>
    </w:rPr>
  </w:style>
  <w:style w:type="paragraph" w:styleId="Footer">
    <w:name w:val="footer"/>
    <w:link w:val="FooterChar"/>
    <w:rsid w:val="006A6174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6A6174"/>
    <w:rPr>
      <w:sz w:val="22"/>
    </w:rPr>
  </w:style>
  <w:style w:type="paragraph" w:customStyle="1" w:styleId="Footer2">
    <w:name w:val="Footer2"/>
    <w:basedOn w:val="Normal12"/>
    <w:rsid w:val="006A617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A6174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semiHidden/>
    <w:unhideWhenUsed/>
    <w:rsid w:val="007B44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4434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0E37F8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FootnoteText">
    <w:name w:val="footnote text"/>
    <w:link w:val="FootnoteTextChar"/>
    <w:rsid w:val="000E37F8"/>
    <w:pPr>
      <w:pBdr>
        <w:top w:val="nil"/>
        <w:left w:val="nil"/>
        <w:bottom w:val="nil"/>
        <w:right w:val="nil"/>
        <w:between w:val="nil"/>
        <w:bar w:val="nil"/>
      </w:pBdr>
      <w:ind w:left="720" w:hanging="720"/>
      <w:jc w:val="both"/>
    </w:pPr>
    <w:rPr>
      <w:color w:val="000000"/>
      <w:u w:color="000000"/>
      <w:bdr w:val="nil"/>
    </w:rPr>
  </w:style>
  <w:style w:type="character" w:customStyle="1" w:styleId="FootnoteTextChar">
    <w:name w:val="Footnote Text Char"/>
    <w:basedOn w:val="DefaultParagraphFont"/>
    <w:link w:val="FootnoteText"/>
    <w:rsid w:val="000E37F8"/>
    <w:rPr>
      <w:color w:val="000000"/>
      <w:u w:color="000000"/>
      <w:bdr w:val="nil"/>
      <w:lang w:val="pl-PL"/>
    </w:rPr>
  </w:style>
  <w:style w:type="character" w:styleId="CommentReference">
    <w:name w:val="annotation reference"/>
    <w:basedOn w:val="DefaultParagraphFont"/>
    <w:rsid w:val="00F51B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1B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1B5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1B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1B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B5028-4745-4503-A220-BBB0B7BA7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7153</Words>
  <Characters>46786</Characters>
  <Application>Microsoft Office Word</Application>
  <DocSecurity>0</DocSecurity>
  <Lines>1949</Lines>
  <Paragraphs>649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53290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TOADER Maria</dc:creator>
  <cp:lastModifiedBy>WOLSZCZAK Monika</cp:lastModifiedBy>
  <cp:revision>2</cp:revision>
  <cp:lastPrinted>2022-10-17T09:05:00Z</cp:lastPrinted>
  <dcterms:created xsi:type="dcterms:W3CDTF">2022-11-07T14:28:00Z</dcterms:created>
  <dcterms:modified xsi:type="dcterms:W3CDTF">2022-11-07T14:28:00Z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1265121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9.13.0 Build [20220701]</vt:lpwstr>
  </property>
  <property fmtid="{D5CDD505-2E9C-101B-9397-08002B2CF9AE}" pid="9" name="FooterPath">
    <vt:lpwstr>PR\1265121PL.docx</vt:lpwstr>
  </property>
  <property fmtid="{D5CDD505-2E9C-101B-9397-08002B2CF9AE}" pid="10" name="LastEdited with">
    <vt:lpwstr>9.11.0 Build [20211103]</vt:lpwstr>
  </property>
  <property fmtid="{D5CDD505-2E9C-101B-9397-08002B2CF9AE}" pid="11" name="PE number">
    <vt:lpwstr>737.330</vt:lpwstr>
  </property>
  <property fmtid="{D5CDD505-2E9C-101B-9397-08002B2CF9AE}" pid="12" name="SDLStudio">
    <vt:lpwstr/>
  </property>
  <property fmtid="{D5CDD505-2E9C-101B-9397-08002B2CF9AE}" pid="13" name="SendToEpades">
    <vt:lpwstr>OK - 2022/10/18 12:42</vt:lpwstr>
  </property>
</Properties>
</file>