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22711" w:rsidTr="00D7587E">
        <w:trPr>
          <w:trHeight w:hRule="exact" w:val="1418"/>
        </w:trPr>
        <w:tc>
          <w:tcPr>
            <w:tcW w:w="6804" w:type="dxa"/>
            <w:shd w:val="clear" w:color="auto" w:fill="auto"/>
            <w:vAlign w:val="center"/>
          </w:tcPr>
          <w:p w:rsidR="00B13D6F" w:rsidRPr="00ED6CB5" w:rsidRDefault="00D07ECF" w:rsidP="00D7587E">
            <w:pPr>
              <w:pStyle w:val="EPName"/>
            </w:pPr>
            <w:r>
              <w:t>Parlamentul European</w:t>
            </w:r>
          </w:p>
          <w:p w:rsidR="00B13D6F" w:rsidRPr="00ED6CB5" w:rsidRDefault="00D07ECF" w:rsidP="00A90F84">
            <w:pPr>
              <w:pStyle w:val="EPTerm"/>
            </w:pPr>
            <w:r>
              <w:t>2019-2024</w:t>
            </w:r>
          </w:p>
        </w:tc>
        <w:tc>
          <w:tcPr>
            <w:tcW w:w="2268" w:type="dxa"/>
            <w:shd w:val="clear" w:color="auto" w:fill="auto"/>
          </w:tcPr>
          <w:p w:rsidR="00B13D6F" w:rsidRPr="00ED6CB5" w:rsidRDefault="00D07ECF" w:rsidP="00D7587E">
            <w:pPr>
              <w:pStyle w:val="EPLogo"/>
            </w:pPr>
            <w:r w:rsidRPr="00ED6C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779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D6CB5" w:rsidRDefault="00461601" w:rsidP="00461601">
      <w:pPr>
        <w:pStyle w:val="LineTop"/>
      </w:pPr>
    </w:p>
    <w:p w:rsidR="00461601" w:rsidRPr="00ED6CB5" w:rsidRDefault="00D07ECF" w:rsidP="00461601">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rsidR="00461601" w:rsidRPr="00ED6CB5" w:rsidRDefault="00461601" w:rsidP="00461601">
      <w:pPr>
        <w:pStyle w:val="LineBottom"/>
      </w:pPr>
    </w:p>
    <w:p w:rsidR="00793EA9" w:rsidRPr="00ED6CB5" w:rsidRDefault="00D07ECF">
      <w:pPr>
        <w:pStyle w:val="CoverReference"/>
      </w:pPr>
      <w:r>
        <w:rPr>
          <w:rStyle w:val="HideTWBExt"/>
          <w:b w:val="0"/>
        </w:rPr>
        <w:t>&lt;RefProc&gt;</w:t>
      </w:r>
      <w:r>
        <w:t>2022/0132</w:t>
      </w:r>
      <w:r>
        <w:rPr>
          <w:rStyle w:val="HideTWBExt"/>
          <w:b w:val="0"/>
        </w:rPr>
        <w:t>&lt;/RefProc&gt;&lt;RefTypeProc&gt;</w:t>
      </w:r>
      <w:r>
        <w:t>(COD)</w:t>
      </w:r>
      <w:r>
        <w:rPr>
          <w:rStyle w:val="HideTWBExt"/>
          <w:b w:val="0"/>
        </w:rPr>
        <w:t>&lt;/RefTypeProc&gt;</w:t>
      </w:r>
    </w:p>
    <w:p w:rsidR="00793EA9" w:rsidRPr="00ED6CB5" w:rsidRDefault="00D07ECF">
      <w:pPr>
        <w:pStyle w:val="CoverDate"/>
      </w:pPr>
      <w:r>
        <w:rPr>
          <w:rStyle w:val="HideTWBExt"/>
        </w:rPr>
        <w:t>&lt;Date&gt;</w:t>
      </w:r>
      <w:r>
        <w:rPr>
          <w:rStyle w:val="HideTWBInt"/>
          <w:color w:val="auto"/>
        </w:rPr>
        <w:t>{18/10/2022}</w:t>
      </w:r>
      <w:r>
        <w:t>18.10.2022</w:t>
      </w:r>
      <w:r>
        <w:rPr>
          <w:rStyle w:val="HideTWBExt"/>
        </w:rPr>
        <w:t>&lt;/Date&gt;</w:t>
      </w:r>
    </w:p>
    <w:p w:rsidR="00793EA9" w:rsidRPr="00ED6CB5" w:rsidRDefault="00D07ECF">
      <w:pPr>
        <w:pStyle w:val="CoverDocType"/>
      </w:pPr>
      <w:r>
        <w:rPr>
          <w:rStyle w:val="HideTWBExt"/>
          <w:b w:val="0"/>
        </w:rPr>
        <w:t>&lt;RefProcLect&gt;</w:t>
      </w:r>
      <w:r>
        <w:t>***I</w:t>
      </w:r>
      <w:r>
        <w:rPr>
          <w:rStyle w:val="HideTWBExt"/>
          <w:b w:val="0"/>
        </w:rPr>
        <w:t>&lt;/RefProcLect&gt;</w:t>
      </w:r>
    </w:p>
    <w:p w:rsidR="00793EA9" w:rsidRPr="00ED6CB5" w:rsidRDefault="00D07ECF">
      <w:pPr>
        <w:pStyle w:val="CoverDocType24a"/>
      </w:pPr>
      <w:r>
        <w:rPr>
          <w:rStyle w:val="HideTWBExt"/>
          <w:b w:val="0"/>
        </w:rPr>
        <w:t>&lt;TitreType&gt;</w:t>
      </w:r>
      <w:r>
        <w:t>PROIECT DE RAPORT</w:t>
      </w:r>
      <w:r>
        <w:rPr>
          <w:rStyle w:val="HideTWBExt"/>
          <w:b w:val="0"/>
        </w:rPr>
        <w:t>&lt;/TitreType&gt;</w:t>
      </w:r>
    </w:p>
    <w:p w:rsidR="00793EA9" w:rsidRPr="00ED6CB5" w:rsidRDefault="00D07ECF">
      <w:pPr>
        <w:pStyle w:val="CoverNormal"/>
      </w:pPr>
      <w:r>
        <w:rPr>
          <w:rStyle w:val="HideTWBExt"/>
        </w:rPr>
        <w:t>&lt;Titre&gt;</w:t>
      </w:r>
      <w:r>
        <w:t>referitor la propunerea de regulament al Parlamentului European și al Consiliului de modificare a Regulamentelor (CE) nr. 767/2008, (CE) nr. 810/2009 și (UE) 2017/2226 ale Parlamentului Europea</w:t>
      </w:r>
      <w:r>
        <w:t>n și ale Consiliului, a Regulamentelor (CE) nr. 1683/95, (CE) nr. 333/2002, (CE) nr. 693/2003 și (CE) nr. 694/2003 ale Consiliului și a Convenției de punere în aplicare a Acordului Schengen în ceea ce privește digitalizarea procedurii în materie de vize</w:t>
      </w:r>
      <w:r>
        <w:rPr>
          <w:rStyle w:val="HideTWBExt"/>
        </w:rPr>
        <w:t>&lt;/T</w:t>
      </w:r>
      <w:r>
        <w:rPr>
          <w:rStyle w:val="HideTWBExt"/>
        </w:rPr>
        <w:t>itre&gt;</w:t>
      </w:r>
    </w:p>
    <w:p w:rsidR="00793EA9" w:rsidRPr="00ED6CB5" w:rsidRDefault="00D07ECF">
      <w:pPr>
        <w:pStyle w:val="CoverNormal24a"/>
      </w:pPr>
      <w:r>
        <w:rPr>
          <w:rStyle w:val="HideTWBExt"/>
        </w:rPr>
        <w:t>&lt;DocRef&gt;</w:t>
      </w:r>
      <w:r>
        <w:t>(COM(2022)0658 – C9</w:t>
      </w:r>
      <w:r>
        <w:noBreakHyphen/>
        <w:t>0165/2022 – 2022/0132(COD))</w:t>
      </w:r>
      <w:r>
        <w:rPr>
          <w:rStyle w:val="HideTWBExt"/>
        </w:rPr>
        <w:t>&lt;/DocRef&gt;</w:t>
      </w:r>
    </w:p>
    <w:p w:rsidR="00793EA9" w:rsidRPr="00ED6CB5" w:rsidRDefault="00D07ECF">
      <w:pPr>
        <w:pStyle w:val="CoverNormal24a"/>
      </w:pPr>
      <w:r>
        <w:rPr>
          <w:rStyle w:val="HideTWBExt"/>
        </w:rPr>
        <w:t>&lt;Commission&gt;</w:t>
      </w:r>
      <w:r>
        <w:rPr>
          <w:rStyle w:val="HideTWBInt"/>
          <w:color w:val="auto"/>
        </w:rPr>
        <w:t>{LIBE}</w:t>
      </w:r>
      <w:r>
        <w:t>Comisia pentru libertăți civile, justiție și afaceri interne</w:t>
      </w:r>
      <w:r>
        <w:rPr>
          <w:rStyle w:val="HideTWBExt"/>
        </w:rPr>
        <w:t>&lt;/Commission&gt;</w:t>
      </w:r>
    </w:p>
    <w:p w:rsidR="00793EA9" w:rsidRPr="00ED6CB5" w:rsidRDefault="00D07ECF">
      <w:pPr>
        <w:pStyle w:val="CoverNormal24a"/>
      </w:pPr>
      <w:r>
        <w:t xml:space="preserve">Raportor: </w:t>
      </w:r>
      <w:r>
        <w:rPr>
          <w:rStyle w:val="HideTWBExt"/>
        </w:rPr>
        <w:t>&lt;Depute&gt;</w:t>
      </w:r>
      <w:r>
        <w:t>Matjaž Nemec</w:t>
      </w:r>
      <w:r>
        <w:rPr>
          <w:rStyle w:val="HideTWBExt"/>
        </w:rPr>
        <w:t>&lt;/Depute&gt;</w:t>
      </w:r>
    </w:p>
    <w:p w:rsidR="001C5B44" w:rsidRPr="00ED6CB5" w:rsidRDefault="001C5B44" w:rsidP="001C5B44">
      <w:pPr>
        <w:pStyle w:val="CoverNormal"/>
      </w:pPr>
    </w:p>
    <w:p w:rsidR="007F3C43" w:rsidRPr="00775070" w:rsidRDefault="00D07ECF" w:rsidP="007F3C43">
      <w:pPr>
        <w:tabs>
          <w:tab w:val="right" w:pos="9299"/>
        </w:tabs>
        <w:rPr>
          <w:szCs w:val="24"/>
        </w:rPr>
      </w:pPr>
      <w:r>
        <w:br w:type="page"/>
      </w:r>
      <w:r>
        <w:lastRenderedPageBreak/>
        <w:t>PR_COD_1amC</w:t>
      </w:r>
      <w:bookmarkStart w:id="0" w:name="_GoBack"/>
      <w:bookmarkEnd w:id="0"/>
      <w:r>
        <w:t>om</w:t>
      </w:r>
    </w:p>
    <w:p w:rsidR="007F3C43" w:rsidRPr="00775070" w:rsidRDefault="007F3C43" w:rsidP="007F3C4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F3C43" w:rsidRPr="00775070" w:rsidRDefault="007F3C43" w:rsidP="007F3C43">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22711" w:rsidTr="007D2943">
        <w:tc>
          <w:tcPr>
            <w:tcW w:w="5811" w:type="dxa"/>
            <w:tcBorders>
              <w:top w:val="single" w:sz="4" w:space="0" w:color="auto"/>
            </w:tcBorders>
          </w:tcPr>
          <w:p w:rsidR="007F3C43" w:rsidRPr="00775070" w:rsidRDefault="00D07ECF" w:rsidP="007D2943">
            <w:pPr>
              <w:pStyle w:val="Lgendetitre"/>
              <w:rPr>
                <w:szCs w:val="24"/>
              </w:rPr>
            </w:pPr>
            <w:r>
              <w:t>Legenda simbolurilor utilizate</w:t>
            </w:r>
          </w:p>
        </w:tc>
      </w:tr>
      <w:tr w:rsidR="00422711" w:rsidTr="007D2943">
        <w:trPr>
          <w:cantSplit/>
          <w:trHeight w:val="1949"/>
        </w:trPr>
        <w:tc>
          <w:tcPr>
            <w:tcW w:w="5811" w:type="dxa"/>
            <w:tcBorders>
              <w:bottom w:val="single" w:sz="4" w:space="0" w:color="auto"/>
            </w:tcBorders>
          </w:tcPr>
          <w:p w:rsidR="007F3C43" w:rsidRPr="00775070" w:rsidRDefault="00D07ECF" w:rsidP="007D2943">
            <w:pPr>
              <w:pStyle w:val="Lgendesigne"/>
              <w:rPr>
                <w:szCs w:val="24"/>
              </w:rPr>
            </w:pPr>
            <w:r>
              <w:tab/>
              <w:t>*</w:t>
            </w:r>
            <w:r>
              <w:tab/>
            </w:r>
            <w:r>
              <w:t>Procedura de consultare</w:t>
            </w:r>
            <w:r>
              <w:tab/>
            </w:r>
          </w:p>
          <w:p w:rsidR="007F3C43" w:rsidRPr="00775070" w:rsidRDefault="00D07ECF" w:rsidP="007D2943">
            <w:pPr>
              <w:pStyle w:val="Lgendesigne"/>
              <w:rPr>
                <w:szCs w:val="24"/>
              </w:rPr>
            </w:pPr>
            <w:r>
              <w:tab/>
              <w:t>***</w:t>
            </w:r>
            <w:r>
              <w:tab/>
              <w:t>Procedura de aprobare</w:t>
            </w:r>
          </w:p>
          <w:p w:rsidR="007F3C43" w:rsidRPr="00775070" w:rsidRDefault="00D07ECF" w:rsidP="007D2943">
            <w:pPr>
              <w:pStyle w:val="Lgendesigne"/>
              <w:rPr>
                <w:szCs w:val="24"/>
              </w:rPr>
            </w:pPr>
            <w:r>
              <w:tab/>
              <w:t>***I</w:t>
            </w:r>
            <w:r>
              <w:tab/>
              <w:t>Procedura legislativă ordinară (prima lectură)</w:t>
            </w:r>
          </w:p>
          <w:p w:rsidR="007F3C43" w:rsidRPr="00775070" w:rsidRDefault="00D07ECF" w:rsidP="007D2943">
            <w:pPr>
              <w:pStyle w:val="Lgendesigne"/>
              <w:rPr>
                <w:szCs w:val="24"/>
              </w:rPr>
            </w:pPr>
            <w:r>
              <w:tab/>
              <w:t>***II</w:t>
            </w:r>
            <w:r>
              <w:tab/>
              <w:t>Procedura legislativă ordinară (a doua lectură)</w:t>
            </w:r>
          </w:p>
          <w:p w:rsidR="007F3C43" w:rsidRPr="00775070" w:rsidRDefault="00D07ECF" w:rsidP="007D2943">
            <w:pPr>
              <w:pStyle w:val="Lgendesigne"/>
              <w:rPr>
                <w:szCs w:val="24"/>
              </w:rPr>
            </w:pPr>
            <w:r>
              <w:tab/>
              <w:t>***III</w:t>
            </w:r>
            <w:r>
              <w:tab/>
              <w:t>Procedura legislativă ordinară (a treia lectură)</w:t>
            </w:r>
            <w:r>
              <w:br/>
            </w:r>
          </w:p>
          <w:p w:rsidR="007F3C43" w:rsidRPr="00775070" w:rsidRDefault="00D07ECF" w:rsidP="007D2943">
            <w:pPr>
              <w:pStyle w:val="Lgendestandard"/>
              <w:rPr>
                <w:szCs w:val="24"/>
              </w:rPr>
            </w:pPr>
            <w:r>
              <w:t xml:space="preserve">(Procedura indicată se bazează pe </w:t>
            </w:r>
            <w:r>
              <w:t>temeiul juridic propus în proiectul de act.)</w:t>
            </w:r>
          </w:p>
          <w:p w:rsidR="007F3C43" w:rsidRPr="00775070" w:rsidRDefault="007F3C43" w:rsidP="007D2943">
            <w:pPr>
              <w:pStyle w:val="Lgendestandard"/>
              <w:rPr>
                <w:szCs w:val="24"/>
              </w:rPr>
            </w:pPr>
          </w:p>
        </w:tc>
      </w:tr>
    </w:tbl>
    <w:p w:rsidR="007F3C43" w:rsidRPr="00775070" w:rsidRDefault="007F3C43" w:rsidP="007F3C43">
      <w:pPr>
        <w:rPr>
          <w:szCs w:val="24"/>
        </w:rPr>
      </w:pPr>
    </w:p>
    <w:p w:rsidR="007F3C43" w:rsidRPr="00775070" w:rsidRDefault="007F3C43" w:rsidP="007F3C43">
      <w:pPr>
        <w:rPr>
          <w:szCs w:val="24"/>
        </w:rPr>
      </w:pPr>
    </w:p>
    <w:p w:rsidR="007F3C43" w:rsidRDefault="007F3C43" w:rsidP="007F3C43">
      <w:pPr>
        <w:rPr>
          <w:szCs w:val="24"/>
        </w:rPr>
      </w:pPr>
    </w:p>
    <w:p w:rsidR="007F3C43" w:rsidRPr="00775070" w:rsidRDefault="007F3C43" w:rsidP="007F3C43">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22711" w:rsidTr="007D2943">
        <w:tc>
          <w:tcPr>
            <w:tcW w:w="5811" w:type="dxa"/>
            <w:tcBorders>
              <w:top w:val="single" w:sz="4" w:space="0" w:color="auto"/>
            </w:tcBorders>
          </w:tcPr>
          <w:p w:rsidR="007F3C43" w:rsidRPr="00775070" w:rsidRDefault="00D07ECF" w:rsidP="007D2943">
            <w:pPr>
              <w:pStyle w:val="Lgendetitre"/>
              <w:rPr>
                <w:szCs w:val="24"/>
              </w:rPr>
            </w:pPr>
            <w:r>
              <w:t>Amendamente la un proiect de act</w:t>
            </w:r>
          </w:p>
        </w:tc>
      </w:tr>
      <w:tr w:rsidR="00422711" w:rsidTr="007D2943">
        <w:tc>
          <w:tcPr>
            <w:tcW w:w="5811" w:type="dxa"/>
            <w:tcBorders>
              <w:bottom w:val="single" w:sz="4" w:space="0" w:color="auto"/>
            </w:tcBorders>
          </w:tcPr>
          <w:p w:rsidR="007F3C43" w:rsidRPr="00775070" w:rsidRDefault="007F3C43" w:rsidP="007D2943">
            <w:pPr>
              <w:pStyle w:val="Lgendestandard"/>
              <w:rPr>
                <w:szCs w:val="24"/>
              </w:rPr>
            </w:pPr>
          </w:p>
          <w:p w:rsidR="007F3C43" w:rsidRPr="00775070" w:rsidRDefault="00D07ECF" w:rsidP="007D2943">
            <w:pPr>
              <w:pStyle w:val="Lgendestandard"/>
              <w:rPr>
                <w:szCs w:val="24"/>
              </w:rPr>
            </w:pPr>
            <w:r>
              <w:rPr>
                <w:b/>
              </w:rPr>
              <w:t>Amendamentele Parlamentului prezentate pe două coloane</w:t>
            </w:r>
          </w:p>
          <w:p w:rsidR="007F3C43" w:rsidRPr="00775070" w:rsidRDefault="007F3C43" w:rsidP="007D2943">
            <w:pPr>
              <w:pStyle w:val="Lgendestandard"/>
              <w:rPr>
                <w:szCs w:val="24"/>
              </w:rPr>
            </w:pPr>
          </w:p>
          <w:p w:rsidR="007F3C43" w:rsidRPr="00775070" w:rsidRDefault="00D07ECF" w:rsidP="007D2943">
            <w:pPr>
              <w:pStyle w:val="Lgendestandard"/>
              <w:rPr>
                <w:szCs w:val="24"/>
              </w:rPr>
            </w:pPr>
            <w:r>
              <w:t xml:space="preserve">Textul eliminat este evidențiat prin caractere </w:t>
            </w:r>
            <w:r>
              <w:rPr>
                <w:b/>
                <w:i/>
              </w:rPr>
              <w:t>cursive aldine</w:t>
            </w:r>
            <w:r>
              <w:t xml:space="preserve"> în coloana din stânga. </w:t>
            </w:r>
            <w:r>
              <w:t xml:space="preserve">Textul înlocuit este evidențiat prin caractere </w:t>
            </w:r>
            <w:r>
              <w:rPr>
                <w:b/>
                <w:i/>
              </w:rPr>
              <w:t>cursive aldine</w:t>
            </w:r>
            <w:r>
              <w:t xml:space="preserve"> în ambele coloane. Textul nou este evidențiat prin caractere </w:t>
            </w:r>
            <w:r>
              <w:rPr>
                <w:b/>
                <w:i/>
              </w:rPr>
              <w:t>cursive aldine</w:t>
            </w:r>
            <w:r>
              <w:t xml:space="preserve"> în coloana din dreapta.</w:t>
            </w:r>
          </w:p>
          <w:p w:rsidR="007F3C43" w:rsidRPr="00775070" w:rsidRDefault="007F3C43" w:rsidP="007D2943">
            <w:pPr>
              <w:pStyle w:val="Lgendestandard"/>
              <w:rPr>
                <w:szCs w:val="24"/>
              </w:rPr>
            </w:pPr>
          </w:p>
          <w:p w:rsidR="007F3C43" w:rsidRPr="00775070" w:rsidRDefault="00D07ECF" w:rsidP="007D2943">
            <w:pPr>
              <w:pStyle w:val="Lgendestandard"/>
              <w:rPr>
                <w:szCs w:val="24"/>
              </w:rPr>
            </w:pPr>
            <w:r>
              <w:t>În primul și în al doilea rând din antetul fiecărui amendament se identifică fragmentul vizat</w:t>
            </w:r>
            <w:r>
              <w:t xml:space="preserve"> din proiectul de act supus examinării. În cazul în care un amendament vizează un act existent care urmează să fie modificat prin proiectul de act, antetul conține două rânduri suplimentare în care se indică actul existent și, respectiv, dispoziția din ace</w:t>
            </w:r>
            <w:r>
              <w:t xml:space="preserve">sta vizată de modificare. </w:t>
            </w:r>
          </w:p>
          <w:p w:rsidR="007F3C43" w:rsidRPr="00775070" w:rsidRDefault="007F3C43" w:rsidP="007D2943">
            <w:pPr>
              <w:pStyle w:val="Lgendestandard"/>
              <w:rPr>
                <w:szCs w:val="24"/>
              </w:rPr>
            </w:pPr>
          </w:p>
          <w:p w:rsidR="007F3C43" w:rsidRPr="00775070" w:rsidRDefault="00D07ECF" w:rsidP="007D2943">
            <w:pPr>
              <w:pStyle w:val="Lgendestandard"/>
              <w:rPr>
                <w:b/>
                <w:szCs w:val="24"/>
              </w:rPr>
            </w:pPr>
            <w:r>
              <w:rPr>
                <w:b/>
              </w:rPr>
              <w:t>Amendamentele Parlamentului prezentate sub formă de text consolidat</w:t>
            </w:r>
          </w:p>
          <w:p w:rsidR="007F3C43" w:rsidRPr="00775070" w:rsidRDefault="007F3C43" w:rsidP="007D2943">
            <w:pPr>
              <w:pStyle w:val="Lgendestandard"/>
              <w:rPr>
                <w:szCs w:val="24"/>
              </w:rPr>
            </w:pPr>
          </w:p>
          <w:p w:rsidR="007F3C43" w:rsidRPr="00775070" w:rsidRDefault="00D07ECF" w:rsidP="007D2943">
            <w:pPr>
              <w:pStyle w:val="Lgendestandard"/>
              <w:rPr>
                <w:szCs w:val="24"/>
              </w:rPr>
            </w:pPr>
            <w:r>
              <w:t xml:space="preserve">Părțile de text noi sunt evidențiate prin caractere </w:t>
            </w:r>
            <w:r>
              <w:rPr>
                <w:b/>
                <w:i/>
              </w:rPr>
              <w:t>cursive aldine</w:t>
            </w:r>
            <w:r>
              <w:t>. Părțile de text eliminate sunt indicate prin simbolul ▌ sau sunt tăiate. Înlocuirile sunt s</w:t>
            </w:r>
            <w:r>
              <w:t xml:space="preserve">emnalate prin evidențierea cu caractere </w:t>
            </w:r>
            <w:r>
              <w:rPr>
                <w:b/>
                <w:i/>
              </w:rPr>
              <w:t>cursive aldine</w:t>
            </w:r>
            <w:r>
              <w:t xml:space="preserve"> a textului nou și prin eliminarea sau tăierea textului înlocuit. </w:t>
            </w:r>
          </w:p>
          <w:p w:rsidR="007F3C43" w:rsidRPr="00775070" w:rsidRDefault="00D07ECF" w:rsidP="007D2943">
            <w:pPr>
              <w:pStyle w:val="Lgendestandard"/>
              <w:rPr>
                <w:szCs w:val="24"/>
              </w:rPr>
            </w:pPr>
            <w:r>
              <w:t>Fac excepție de la regulă și nu se evidențiază modificările de natură strict tehnică efectuate de serviciile competente în vederea elab</w:t>
            </w:r>
            <w:r>
              <w:t>orării textului final.</w:t>
            </w:r>
          </w:p>
          <w:p w:rsidR="007F3C43" w:rsidRPr="00775070" w:rsidRDefault="007F3C43" w:rsidP="007D2943">
            <w:pPr>
              <w:pStyle w:val="Lgendestandard"/>
              <w:rPr>
                <w:szCs w:val="24"/>
              </w:rPr>
            </w:pPr>
          </w:p>
        </w:tc>
      </w:tr>
    </w:tbl>
    <w:p w:rsidR="007F3C43" w:rsidRPr="00775070" w:rsidRDefault="007F3C43" w:rsidP="007F3C4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F3C43" w:rsidRPr="00775070" w:rsidRDefault="007F3C43" w:rsidP="007F3C4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93EA9" w:rsidRPr="00ED6CB5" w:rsidRDefault="00D07ECF" w:rsidP="007F3C43">
      <w:pPr>
        <w:pStyle w:val="TOCHeading"/>
      </w:pPr>
      <w:r>
        <w:br w:type="page"/>
      </w:r>
      <w:r>
        <w:lastRenderedPageBreak/>
        <w:t>CUPRINS</w:t>
      </w:r>
    </w:p>
    <w:p w:rsidR="00793EA9" w:rsidRPr="00ED6CB5" w:rsidRDefault="00D07ECF">
      <w:pPr>
        <w:pStyle w:val="TOCPage"/>
      </w:pPr>
      <w:r>
        <w:t>Pagina</w:t>
      </w:r>
    </w:p>
    <w:p w:rsidR="00D07ECF" w:rsidRDefault="00D07ECF">
      <w:pPr>
        <w:pStyle w:val="TOC1"/>
        <w:tabs>
          <w:tab w:val="right" w:leader="dot" w:pos="9060"/>
        </w:tabs>
        <w:rPr>
          <w:rFonts w:asciiTheme="minorHAnsi" w:eastAsiaTheme="minorEastAsia" w:hAnsiTheme="minorHAnsi" w:cstheme="minorBidi"/>
          <w:noProof/>
          <w:sz w:val="22"/>
          <w:szCs w:val="22"/>
          <w:lang w:val="en-GB"/>
        </w:rPr>
      </w:pPr>
      <w:r w:rsidRPr="00ED6CB5">
        <w:rPr>
          <w:b/>
        </w:rPr>
        <w:fldChar w:fldCharType="begin"/>
      </w:r>
      <w:r w:rsidRPr="00ED6CB5">
        <w:rPr>
          <w:b/>
        </w:rPr>
        <w:instrText xml:space="preserve"> TOC \t "PageHeading</w:instrText>
      </w:r>
      <w:r w:rsidR="00917AE3" w:rsidRPr="00ED6CB5">
        <w:rPr>
          <w:b/>
        </w:rPr>
        <w:instrText>;</w:instrText>
      </w:r>
      <w:r w:rsidRPr="00ED6CB5">
        <w:rPr>
          <w:b/>
        </w:rPr>
        <w:instrText xml:space="preserve">1" </w:instrText>
      </w:r>
      <w:r w:rsidRPr="00ED6CB5">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_Toc118718764 \h </w:instrText>
      </w:r>
      <w:r>
        <w:rPr>
          <w:noProof/>
        </w:rPr>
      </w:r>
      <w:r>
        <w:rPr>
          <w:noProof/>
        </w:rPr>
        <w:fldChar w:fldCharType="separate"/>
      </w:r>
      <w:r>
        <w:rPr>
          <w:noProof/>
        </w:rPr>
        <w:t>5</w:t>
      </w:r>
      <w:r>
        <w:rPr>
          <w:noProof/>
        </w:rPr>
        <w:fldChar w:fldCharType="end"/>
      </w:r>
    </w:p>
    <w:p w:rsidR="00D07ECF" w:rsidRDefault="00D07ECF">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_Toc118718765 \h </w:instrText>
      </w:r>
      <w:r>
        <w:rPr>
          <w:noProof/>
        </w:rPr>
      </w:r>
      <w:r>
        <w:rPr>
          <w:noProof/>
        </w:rPr>
        <w:fldChar w:fldCharType="separate"/>
      </w:r>
      <w:r>
        <w:rPr>
          <w:noProof/>
        </w:rPr>
        <w:t>30</w:t>
      </w:r>
      <w:r>
        <w:rPr>
          <w:noProof/>
        </w:rPr>
        <w:fldChar w:fldCharType="end"/>
      </w:r>
    </w:p>
    <w:p w:rsidR="00D07ECF" w:rsidRDefault="00D07ECF">
      <w:pPr>
        <w:pStyle w:val="TOC1"/>
        <w:tabs>
          <w:tab w:val="right" w:leader="dot" w:pos="9060"/>
        </w:tabs>
        <w:rPr>
          <w:rFonts w:asciiTheme="minorHAnsi" w:eastAsiaTheme="minorEastAsia" w:hAnsiTheme="minorHAnsi" w:cstheme="minorBidi"/>
          <w:noProof/>
          <w:sz w:val="22"/>
          <w:szCs w:val="22"/>
          <w:lang w:val="en-GB"/>
        </w:rPr>
      </w:pPr>
      <w:r>
        <w:rPr>
          <w:noProof/>
        </w:rPr>
        <w:t>ANEXĂ: LISTA ENTITĂȚILOR SAU PERSOANELOR DE LA CARE RAPORTORUL A PRIMIT CONTRIBUȚII</w:t>
      </w:r>
      <w:r>
        <w:rPr>
          <w:noProof/>
        </w:rPr>
        <w:tab/>
      </w:r>
      <w:r>
        <w:rPr>
          <w:noProof/>
        </w:rPr>
        <w:fldChar w:fldCharType="begin"/>
      </w:r>
      <w:r>
        <w:rPr>
          <w:noProof/>
        </w:rPr>
        <w:instrText xml:space="preserve"> PAGEREF _Toc118718766 \h </w:instrText>
      </w:r>
      <w:r>
        <w:rPr>
          <w:noProof/>
        </w:rPr>
      </w:r>
      <w:r>
        <w:rPr>
          <w:noProof/>
        </w:rPr>
        <w:fldChar w:fldCharType="separate"/>
      </w:r>
      <w:r>
        <w:rPr>
          <w:noProof/>
        </w:rPr>
        <w:t>32</w:t>
      </w:r>
      <w:r>
        <w:rPr>
          <w:noProof/>
        </w:rPr>
        <w:fldChar w:fldCharType="end"/>
      </w:r>
    </w:p>
    <w:p w:rsidR="002346B0" w:rsidRPr="00ED6CB5" w:rsidRDefault="00D07ECF" w:rsidP="00C23324">
      <w:r w:rsidRPr="00ED6CB5">
        <w:rPr>
          <w:b/>
        </w:rPr>
        <w:fldChar w:fldCharType="end"/>
      </w:r>
    </w:p>
    <w:p w:rsidR="00793EA9" w:rsidRPr="00ED6CB5" w:rsidRDefault="00D07ECF">
      <w:pPr>
        <w:pStyle w:val="PageHeading"/>
      </w:pPr>
      <w:r>
        <w:br w:type="page"/>
      </w:r>
      <w:r>
        <w:lastRenderedPageBreak/>
        <w:br w:type="page"/>
      </w:r>
      <w:bookmarkStart w:id="1" w:name="_Toc118718764"/>
      <w:r>
        <w:lastRenderedPageBreak/>
        <w:t>PROIECT DE REZOLUȚIE LEGISLATIVĂ A PARLAMENTULUI EUROPEAN</w:t>
      </w:r>
      <w:bookmarkEnd w:id="1"/>
    </w:p>
    <w:p w:rsidR="00793EA9" w:rsidRPr="00ED6CB5" w:rsidRDefault="00D07ECF">
      <w:pPr>
        <w:pStyle w:val="NormalBold"/>
      </w:pPr>
      <w:r>
        <w:t xml:space="preserve">referitoare la propunerea de regulament al Parlamentului European și al Consiliului de </w:t>
      </w:r>
      <w:r>
        <w:t>modificare a Regulamentelor (CE) nr. 767/2008, (CE) nr. 810/2009 și (UE) 2017/2226 ale Parlamentului European și ale Consiliului, a Regulamentelor (CE) nr. 1683/95, (CE) nr. 333/2002, (CE) nr. 693/2003 și (CE) nr. 694/2003 ale Consiliului și a Convenției d</w:t>
      </w:r>
      <w:r>
        <w:t>e punere în aplicare a Acordului Schengen în ceea ce privește digitalizarea procedurii în materie de vize</w:t>
      </w:r>
    </w:p>
    <w:p w:rsidR="00793EA9" w:rsidRPr="00ED6CB5" w:rsidRDefault="00D07ECF">
      <w:pPr>
        <w:pStyle w:val="NormalBold12a"/>
      </w:pPr>
      <w:r>
        <w:t>(COM(2022)0658 – C9</w:t>
      </w:r>
      <w:r>
        <w:noBreakHyphen/>
        <w:t>0165/2022 – 2022/0132(COD))</w:t>
      </w:r>
    </w:p>
    <w:p w:rsidR="00793EA9" w:rsidRPr="00ED6CB5" w:rsidRDefault="00D07ECF" w:rsidP="00A910C9">
      <w:pPr>
        <w:pStyle w:val="NormalBold"/>
      </w:pPr>
      <w:r>
        <w:t>(Procedura legislativă ordinară: prima lectură)</w:t>
      </w:r>
    </w:p>
    <w:p w:rsidR="00793EA9" w:rsidRPr="00ED6CB5" w:rsidRDefault="00D07ECF" w:rsidP="00A910C9">
      <w:pPr>
        <w:pStyle w:val="EPComma"/>
      </w:pPr>
      <w:r>
        <w:rPr>
          <w:i/>
          <w:iCs/>
        </w:rPr>
        <w:t>Parlamentul European</w:t>
      </w:r>
      <w:r>
        <w:t>,</w:t>
      </w:r>
    </w:p>
    <w:p w:rsidR="00793EA9" w:rsidRPr="00ED6CB5" w:rsidRDefault="00D07ECF">
      <w:pPr>
        <w:pStyle w:val="NormalHanging12a"/>
      </w:pPr>
      <w:r>
        <w:t>–</w:t>
      </w:r>
      <w:r>
        <w:tab/>
        <w:t xml:space="preserve">având în vedere propunerea </w:t>
      </w:r>
      <w:r>
        <w:t>Comisiei prezentată Parlamentului European și Consiliului (COM(2022)0658),</w:t>
      </w:r>
    </w:p>
    <w:p w:rsidR="00793EA9" w:rsidRPr="00ED6CB5" w:rsidRDefault="00D07ECF">
      <w:pPr>
        <w:pStyle w:val="NormalHanging12a"/>
      </w:pPr>
      <w:r>
        <w:t>–</w:t>
      </w:r>
      <w:r>
        <w:tab/>
        <w:t xml:space="preserve">având în vedere articolul 294 alineatul (2), articolul 77 alineatul (2) litera (a) și articolul 79 alineatul (2) litera (a) din Tratatul privind funcționarea Uniunii Europene, în </w:t>
      </w:r>
      <w:r>
        <w:t>temeiul cărora propunerea a fost prezentată Parlamentului de către Comisie (C9</w:t>
      </w:r>
      <w:r>
        <w:noBreakHyphen/>
        <w:t>0165/2022),</w:t>
      </w:r>
    </w:p>
    <w:p w:rsidR="00A26F46" w:rsidRPr="00ED6CB5" w:rsidRDefault="00D07ECF" w:rsidP="00A26F46">
      <w:pPr>
        <w:pStyle w:val="NormalHanging12a"/>
      </w:pPr>
      <w:r>
        <w:t>–</w:t>
      </w:r>
      <w:r>
        <w:tab/>
        <w:t>având în vedere articolul 294 alineatul (3) din Tratatul privind funcționarea Uniunii Europene,</w:t>
      </w:r>
    </w:p>
    <w:p w:rsidR="00793EA9" w:rsidRPr="00ED6CB5" w:rsidRDefault="00D07ECF">
      <w:pPr>
        <w:pStyle w:val="NormalHanging12a"/>
      </w:pPr>
      <w:r>
        <w:t>–</w:t>
      </w:r>
      <w:r>
        <w:tab/>
        <w:t>având în vedere articolul 59 din Regulamentul său de procedură,</w:t>
      </w:r>
    </w:p>
    <w:p w:rsidR="006A2F5D" w:rsidRPr="00ED6CB5" w:rsidRDefault="00D07ECF" w:rsidP="006A2F5D">
      <w:pPr>
        <w:pStyle w:val="NormalHanging12a"/>
      </w:pPr>
      <w:r>
        <w:t>–</w:t>
      </w:r>
      <w:r>
        <w:tab/>
        <w:t>având în vedere scrisoarea Comisiei pentru bugete,</w:t>
      </w:r>
    </w:p>
    <w:p w:rsidR="006A2F5D" w:rsidRPr="00ED6CB5" w:rsidRDefault="00D07ECF" w:rsidP="006A2F5D">
      <w:pPr>
        <w:pStyle w:val="NormalHanging12a"/>
      </w:pPr>
      <w:r>
        <w:t>–</w:t>
      </w:r>
      <w:r>
        <w:tab/>
        <w:t>având în vedere raportul Comisiei pentru libertăți civile, justiție și afaceri interne (A9</w:t>
      </w:r>
      <w:r>
        <w:noBreakHyphen/>
        <w:t>0000/2022),</w:t>
      </w:r>
    </w:p>
    <w:p w:rsidR="009F6C2F" w:rsidRPr="00ED6CB5" w:rsidRDefault="00D07ECF" w:rsidP="009F6C2F">
      <w:pPr>
        <w:pStyle w:val="NormalHanging12a"/>
      </w:pPr>
      <w:r>
        <w:t>1.</w:t>
      </w:r>
      <w:r>
        <w:tab/>
        <w:t>adoptă poziția sa în primă lectură prezentată în continuare;</w:t>
      </w:r>
    </w:p>
    <w:p w:rsidR="009F6C2F" w:rsidRPr="00ED6CB5" w:rsidRDefault="00D07ECF" w:rsidP="009F6C2F">
      <w:pPr>
        <w:pStyle w:val="NormalHanging12a"/>
      </w:pPr>
      <w:r>
        <w:t>2.</w:t>
      </w:r>
      <w:r>
        <w:tab/>
        <w:t>solicită Comisiei să îl sesizeze</w:t>
      </w:r>
      <w:r>
        <w:t xml:space="preserve"> din nou în cazul în care își înlocuiește, își modifică în mod substanțial sau intenționează să-și modifice în mod substanțial propunerea;</w:t>
      </w:r>
    </w:p>
    <w:p w:rsidR="009F6C2F" w:rsidRPr="00ED6CB5" w:rsidRDefault="00D07ECF" w:rsidP="009F6C2F">
      <w:pPr>
        <w:pStyle w:val="NormalHanging12a"/>
      </w:pPr>
      <w:r>
        <w:t>3.</w:t>
      </w:r>
      <w:r>
        <w:tab/>
        <w:t>încredințează Președinte</w:t>
      </w:r>
      <w:r w:rsidR="005F3803">
        <w:t>i</w:t>
      </w:r>
      <w:r>
        <w:t xml:space="preserve"> sarcina de a transmite Consiliului și Comisiei, precum și parlamentelor naționale pozi</w:t>
      </w:r>
      <w:r>
        <w:t>ția Parlamentului.</w:t>
      </w:r>
    </w:p>
    <w:p w:rsidR="00D30DE2" w:rsidRPr="00ED6CB5" w:rsidRDefault="00D30DE2" w:rsidP="00D30DE2"/>
    <w:p w:rsidR="006A6174" w:rsidRPr="00ED6CB5" w:rsidRDefault="00D07ECF" w:rsidP="006A6174">
      <w:pPr>
        <w:pStyle w:val="AMNumberTabs0"/>
        <w:keepNext/>
      </w:pPr>
      <w:r>
        <w:rPr>
          <w:rStyle w:val="HideTWBExt"/>
          <w:b w:val="0"/>
        </w:rPr>
        <w:t>&lt;RepeatBlock-Amend&gt;&lt;Amend&gt;</w:t>
      </w:r>
      <w:r>
        <w:t>Amendamentul</w:t>
      </w:r>
      <w:r>
        <w:tab/>
      </w:r>
      <w:r>
        <w:tab/>
      </w:r>
      <w:r>
        <w:rPr>
          <w:rStyle w:val="HideTWBExt"/>
          <w:b w:val="0"/>
        </w:rPr>
        <w:t>&lt;NumAm&gt;</w:t>
      </w:r>
      <w:r>
        <w:t>1</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(8)</w:t>
            </w:r>
            <w:r>
              <w:tab/>
            </w:r>
            <w:r>
              <w:t xml:space="preserve">Solicitanții de viză ar trebui să aibă </w:t>
            </w:r>
            <w:r>
              <w:lastRenderedPageBreak/>
              <w:t xml:space="preserve">posibilitatea de a-și depune cererea, de a furniza datele solicitate în formularul de cerere, de a furniza o copie </w:t>
            </w:r>
            <w:r>
              <w:rPr>
                <w:b/>
                <w:i/>
              </w:rPr>
              <w:t>scanată</w:t>
            </w:r>
            <w:r>
              <w:t xml:space="preserve"> a documentului de călătorie și de a furniza documente justificative și asigurarea medicală de </w:t>
            </w:r>
            <w:r>
              <w:t>călătorie în format digital prin intermediul platformei UE pentru cereri. Pentru ca solicitanții să poată să salveze informații referitoare la cererea lor, platforma pentru cereri online ar trebui să permită stocarea temporară a datelor. Odată ce solicitan</w:t>
            </w:r>
            <w:r>
              <w:t>tul a depus cererea online și statele membre efectuează verificările corespunzătoare, dosarul de cerere va fi transferat în sistemul național al statului membru competent și va fi stocat în acest sistem. Consulatele ar urma să consulte informațiile stocate</w:t>
            </w:r>
            <w:r>
              <w:t xml:space="preserve"> la nivel național și să transmită în sistemul central al VIS numai datele necesare.</w:t>
            </w:r>
          </w:p>
        </w:tc>
        <w:tc>
          <w:tcPr>
            <w:tcW w:w="4876" w:type="dxa"/>
          </w:tcPr>
          <w:p w:rsidR="006A6174" w:rsidRPr="00ED6CB5" w:rsidRDefault="00D07ECF" w:rsidP="00D7587E">
            <w:pPr>
              <w:pStyle w:val="Normal6"/>
              <w:rPr>
                <w:szCs w:val="24"/>
              </w:rPr>
            </w:pPr>
            <w:r>
              <w:lastRenderedPageBreak/>
              <w:t>(8)</w:t>
            </w:r>
            <w:r>
              <w:tab/>
              <w:t xml:space="preserve">Solicitanții de viză ar trebui să aibă </w:t>
            </w:r>
            <w:r>
              <w:lastRenderedPageBreak/>
              <w:t xml:space="preserve">posibilitatea de a-și depune cererea, de a furniza datele solicitate în formularul de cerere, de a furniza o copie </w:t>
            </w:r>
            <w:r>
              <w:rPr>
                <w:b/>
                <w:i/>
              </w:rPr>
              <w:t>electronică</w:t>
            </w:r>
            <w:r>
              <w:t xml:space="preserve"> a documentului de călătorie și de a furniza documente justificative și asigurarea medicală de călătorie în format digital prin intermediul platformei UE pentru cereri. Pentru ca solicitanții să poată să salveze informații referitoare la cererea lor, platf</w:t>
            </w:r>
            <w:r>
              <w:t xml:space="preserve">orma pentru cereri online ar trebui să permită stocarea temporară a datelor. Odată ce solicitantul a depus cererea online și statele membre efectuează verificările corespunzătoare, dosarul de cerere va fi transferat în sistemul național al statului membru </w:t>
            </w:r>
            <w:r>
              <w:t>competent și va fi stocat în acest sistem. Consulatele ar urma să consulte informațiile stocate la nivel național și să transmită în sistemul central al VIS numai datele necesare.</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w:t>
      </w:r>
      <w:r>
        <w:rPr>
          <w:rStyle w:val="HideTWBExt"/>
          <w:b w:val="0"/>
        </w:rPr>
        <w:t>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14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(14)</w:t>
            </w:r>
            <w:r>
              <w:tab/>
              <w:t xml:space="preserve">Dispozițiile speciale care ar trebui să se aplice în cazuri individuale din motive umanitare ar putea să includă </w:t>
            </w:r>
            <w:r>
              <w:rPr>
                <w:b/>
                <w:i/>
              </w:rPr>
              <w:t>problemele</w:t>
            </w:r>
            <w:r>
              <w:t xml:space="preserve"> legate de accesibilitatea digitală.</w:t>
            </w:r>
          </w:p>
        </w:tc>
        <w:tc>
          <w:tcPr>
            <w:tcW w:w="4876" w:type="dxa"/>
          </w:tcPr>
          <w:p w:rsidR="006A6174" w:rsidRPr="00ED6CB5" w:rsidRDefault="00D07ECF" w:rsidP="00987D80">
            <w:pPr>
              <w:pStyle w:val="Normal6"/>
              <w:rPr>
                <w:szCs w:val="24"/>
              </w:rPr>
            </w:pPr>
            <w:r>
              <w:t>(14)</w:t>
            </w:r>
            <w:r>
              <w:tab/>
              <w:t xml:space="preserve">Dispozițiile speciale care ar trebui să se aplice în cazuri individuale din motive umanitare ar putea să includă </w:t>
            </w:r>
            <w:r>
              <w:rPr>
                <w:b/>
                <w:i/>
              </w:rPr>
              <w:t>persoane cu probleme</w:t>
            </w:r>
            <w:r>
              <w:t xml:space="preserve"> legate de accesibilitatea digitală</w:t>
            </w:r>
            <w:r>
              <w:rPr>
                <w:b/>
                <w:i/>
              </w:rPr>
              <w:t xml:space="preserve"> sau cu competențe digitale limitate. Ar trebu</w:t>
            </w:r>
            <w:r>
              <w:rPr>
                <w:b/>
                <w:i/>
              </w:rPr>
              <w:t>i să se acorde o atenție deosebită persoanelor cu dizabilități.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16 a (nou)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 xml:space="preserve">Textul propus de </w:t>
            </w:r>
            <w:r>
              <w:t>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293E6E">
            <w:pPr>
              <w:pStyle w:val="Normal6"/>
              <w:rPr>
                <w:szCs w:val="24"/>
              </w:rPr>
            </w:pPr>
            <w:r>
              <w:rPr>
                <w:b/>
                <w:i/>
              </w:rPr>
              <w:t>(16a)</w:t>
            </w:r>
            <w:r>
              <w:rPr>
                <w:b/>
                <w:i/>
              </w:rPr>
              <w:tab/>
              <w:t>În anumite țări terțe, acoperirea rețelelor de internet este încă extrem de limitată. Ar trebui să se acorde o atenție deosebită situațiilor în care sunt lansate mai multe cereri din același loc și din aceeași adresă IP. O adre</w:t>
            </w:r>
            <w:r>
              <w:rPr>
                <w:b/>
                <w:i/>
              </w:rPr>
              <w:t>să IP marcată nu ar trebui să conducă în mod automat la descalificarea cererii de viză.</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17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(17)</w:t>
            </w:r>
            <w:r>
              <w:tab/>
              <w:t>Plata taxei de viză ar trebui să se efectueze prin intermediul unui portal al unui terț conectat la platforma pentru cereri</w:t>
            </w:r>
            <w:r>
              <w:rPr>
                <w:b/>
                <w:i/>
              </w:rPr>
              <w:t xml:space="preserve"> online</w:t>
            </w:r>
            <w:r>
              <w:t>, iar plățile ar fi transferate direct către statul membru corespunzător. Datele n</w:t>
            </w:r>
            <w:r>
              <w:t>ecesare pentru efectuarea plății electronice nu ar trebui să facă parte din datele stocate în VIS.</w:t>
            </w:r>
          </w:p>
        </w:tc>
        <w:tc>
          <w:tcPr>
            <w:tcW w:w="4876" w:type="dxa"/>
          </w:tcPr>
          <w:p w:rsidR="006A6174" w:rsidRPr="00ED6CB5" w:rsidRDefault="00D07ECF" w:rsidP="00D7587E">
            <w:pPr>
              <w:pStyle w:val="Normal6"/>
              <w:rPr>
                <w:szCs w:val="24"/>
              </w:rPr>
            </w:pPr>
            <w:r>
              <w:t>(17)</w:t>
            </w:r>
            <w:r>
              <w:tab/>
              <w:t xml:space="preserve">Plata taxei de viză ar trebui să se efectueze prin intermediul unui portal al unui terț conectat la platforma </w:t>
            </w:r>
            <w:r>
              <w:rPr>
                <w:b/>
                <w:i/>
              </w:rPr>
              <w:t xml:space="preserve">UE </w:t>
            </w:r>
            <w:r>
              <w:t>pentru cereri, iar plățile ar fi transf</w:t>
            </w:r>
            <w:r>
              <w:t>erate direct către statul membru corespunzător. Datele necesare pentru efectuarea plății electronice nu ar trebui să facă parte din datele stocate în VIS.</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rsidR="006A6174" w:rsidRPr="00ED6CB5" w:rsidRDefault="00D07ECF" w:rsidP="006A6174">
      <w:pPr>
        <w:pStyle w:val="NormalBold12b"/>
        <w:keepNext/>
      </w:pPr>
      <w:r>
        <w:rPr>
          <w:rStyle w:val="HideTWBExt"/>
          <w:b w:val="0"/>
        </w:rPr>
        <w:t>&lt;DocAmend&gt;</w:t>
      </w:r>
      <w:r>
        <w:t>Propunere d</w:t>
      </w:r>
      <w:r>
        <w:t>e regulament</w:t>
      </w:r>
      <w:r>
        <w:rPr>
          <w:rStyle w:val="HideTWBExt"/>
          <w:b w:val="0"/>
        </w:rPr>
        <w:t>&lt;/DocAmend&gt;</w:t>
      </w:r>
    </w:p>
    <w:p w:rsidR="006A6174" w:rsidRPr="00ED6CB5" w:rsidRDefault="00D07ECF" w:rsidP="006A6174">
      <w:pPr>
        <w:pStyle w:val="NormalBold"/>
      </w:pPr>
      <w:r>
        <w:rPr>
          <w:rStyle w:val="HideTWBExt"/>
          <w:b w:val="0"/>
        </w:rPr>
        <w:t>&lt;Article&gt;</w:t>
      </w:r>
      <w:r>
        <w:t>Considerentul 18 a (nou)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984186">
            <w:pPr>
              <w:pStyle w:val="Normal6"/>
              <w:rPr>
                <w:szCs w:val="24"/>
              </w:rPr>
            </w:pPr>
            <w:r>
              <w:rPr>
                <w:b/>
                <w:i/>
              </w:rPr>
              <w:t>(18a)</w:t>
            </w:r>
            <w:r>
              <w:rPr>
                <w:b/>
                <w:i/>
              </w:rPr>
              <w:tab/>
              <w:t>Cooperarea locală Schengen ar trebui, de asemenea, să determine, în cazuri specifice, utilizarea limbilor neoficiale vorbite pe scară largă,</w:t>
            </w:r>
            <w:r>
              <w:rPr>
                <w:b/>
                <w:i/>
              </w:rPr>
              <w:t xml:space="preserve"> în cadrul procedurilor de acordare a vizelor sau pentru traducerea formularului de cerere. </w:t>
            </w:r>
            <w:r>
              <w:rPr>
                <w:b/>
                <w:i/>
              </w:rPr>
              <w:lastRenderedPageBreak/>
              <w:t xml:space="preserve">Cooperarea locală Schengen ar trebui, de asemenea, să stabilească proceduri pentru transferul de date electronice pentru prestatorii externi de servicii sau pentru </w:t>
            </w:r>
            <w:r>
              <w:rPr>
                <w:b/>
                <w:i/>
              </w:rPr>
              <w:t>reprezentanții statelor membre în cazurile în care, în temeiul legislației locale, țările terțe interzic astfel de transferuri în afara teritoriului lor.</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6</w:t>
      </w:r>
      <w:r>
        <w:rPr>
          <w:rStyle w:val="HideTWBExt"/>
          <w:b w:val="0"/>
        </w:rPr>
        <w:t>&lt;/NumAm&gt;</w:t>
      </w:r>
    </w:p>
    <w:p w:rsidR="006A6174" w:rsidRPr="00ED6CB5" w:rsidRDefault="00D07ECF" w:rsidP="006A6174">
      <w:pPr>
        <w:pStyle w:val="NormalBold12b"/>
        <w:keepNext/>
      </w:pPr>
      <w:r>
        <w:rPr>
          <w:rStyle w:val="HideTWBExt"/>
          <w:b w:val="0"/>
        </w:rPr>
        <w:t>&lt;DocAmend&gt;</w:t>
      </w:r>
      <w:r>
        <w:t>Propunere de</w:t>
      </w:r>
      <w:r>
        <w:t xml:space="preserve"> regulament</w:t>
      </w:r>
      <w:r>
        <w:rPr>
          <w:rStyle w:val="HideTWBExt"/>
          <w:b w:val="0"/>
        </w:rPr>
        <w:t>&lt;/DocAmend&gt;</w:t>
      </w:r>
    </w:p>
    <w:p w:rsidR="006A6174" w:rsidRPr="00ED6CB5" w:rsidRDefault="00D07ECF" w:rsidP="006A6174">
      <w:pPr>
        <w:pStyle w:val="NormalBold"/>
      </w:pPr>
      <w:r>
        <w:rPr>
          <w:rStyle w:val="HideTWBExt"/>
          <w:b w:val="0"/>
        </w:rPr>
        <w:t>&lt;Article&gt;</w:t>
      </w:r>
      <w:r>
        <w:t>Considerentul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(20)</w:t>
            </w:r>
            <w:r>
              <w:tab/>
              <w:t xml:space="preserve">În cazul în care consulatul competent sau autoritățile centrale ale statului membru competent este (sunt) informat(e) că este (sunt) responsabil(e) cu </w:t>
            </w:r>
            <w:r>
              <w:t xml:space="preserve">examinarea cererii, ar trebui să accepte cererea și datele ar trebui să fie importate în sistemul național din capacitatea de stocare temporară, astfel cum a fost instituită prin Regulamentul privind VIS, și șterse din capacitatea de stocare temporară, cu </w:t>
            </w:r>
            <w:r>
              <w:t>excepția datelor de contact.</w:t>
            </w:r>
          </w:p>
        </w:tc>
        <w:tc>
          <w:tcPr>
            <w:tcW w:w="4876" w:type="dxa"/>
          </w:tcPr>
          <w:p w:rsidR="006A6174" w:rsidRPr="00ED6CB5" w:rsidRDefault="00D07ECF" w:rsidP="00293E6E">
            <w:pPr>
              <w:pStyle w:val="Normal6"/>
              <w:rPr>
                <w:szCs w:val="24"/>
              </w:rPr>
            </w:pPr>
            <w:r>
              <w:t>(20)</w:t>
            </w:r>
            <w:r>
              <w:tab/>
              <w:t>În cazul în care consulatul competent sau autoritățile centrale ale statului membru competent este (sunt) informat(e) că este (sunt) responsabil(e) cu examinarea cererii, ar trebui să accepte cererea și datele ar trebui să</w:t>
            </w:r>
            <w:r>
              <w:t xml:space="preserve"> fie importate în sistemul național din capacitatea de stocare temporară, astfel cum a fost instituită prin Regulamentul privind VIS, și șterse din capacitatea de stocare temporară, cu excepția datelor de contact. </w:t>
            </w:r>
            <w:r>
              <w:rPr>
                <w:b/>
                <w:i/>
              </w:rPr>
              <w:t>Fiecare stat membru ar trebui să desemneze</w:t>
            </w:r>
            <w:r>
              <w:rPr>
                <w:b/>
                <w:i/>
              </w:rPr>
              <w:t xml:space="preserve"> o autoritate competentă care să fie considerată operator de date și care să aibă responsabilitatea centrală pentru prelucrarea datelor de către statul membru respectiv.</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7</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28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(28)</w:t>
            </w:r>
            <w:r>
              <w:tab/>
              <w:t xml:space="preserve">Platforma UE pentru cereri ar trebui să conțină o funcționalitate care să le permită solicitanților să </w:t>
            </w:r>
            <w:r>
              <w:rPr>
                <w:b/>
                <w:i/>
              </w:rPr>
              <w:t xml:space="preserve">își </w:t>
            </w:r>
            <w:r>
              <w:t xml:space="preserve">verifice </w:t>
            </w:r>
            <w:r>
              <w:rPr>
                <w:b/>
                <w:i/>
              </w:rPr>
              <w:t>vizele</w:t>
            </w:r>
            <w:r>
              <w:t xml:space="preserve"> digitale.</w:t>
            </w:r>
          </w:p>
        </w:tc>
        <w:tc>
          <w:tcPr>
            <w:tcW w:w="4876" w:type="dxa"/>
          </w:tcPr>
          <w:p w:rsidR="006A6174" w:rsidRPr="00ED6CB5" w:rsidRDefault="00D07ECF" w:rsidP="00D7587E">
            <w:pPr>
              <w:pStyle w:val="Normal6"/>
              <w:rPr>
                <w:szCs w:val="24"/>
              </w:rPr>
            </w:pPr>
            <w:r>
              <w:t>(28)</w:t>
            </w:r>
            <w:r>
              <w:tab/>
              <w:t xml:space="preserve">Platforma UE pentru cereri ar trebui să conțină o funcționalitate care să le permită solicitanților să verifice </w:t>
            </w:r>
            <w:r>
              <w:rPr>
                <w:b/>
                <w:i/>
              </w:rPr>
              <w:t>valabilitatea vizelor lor</w:t>
            </w:r>
            <w:r>
              <w:t xml:space="preserve"> digitale.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37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(37)</w:t>
            </w:r>
            <w:r>
              <w:tab/>
              <w:t xml:space="preserve">Pentru a </w:t>
            </w:r>
            <w:r>
              <w:rPr>
                <w:b/>
                <w:i/>
              </w:rPr>
              <w:t xml:space="preserve">se asigura faptul că formularul de cerere și formularele de refuz țin seama de opțiunile oferite solicitanților de viză, care pot </w:t>
            </w:r>
            <w:r>
              <w:rPr>
                <w:b/>
                <w:i/>
              </w:rPr>
              <w:t>să depună sau nu cererile prin intermediul platformei UE pentru cereri</w:t>
            </w:r>
            <w:r>
              <w:t xml:space="preserve">, competența de a adopta acte delegate în conformitate cu articolul 290 din Tratatul privind funcționarea Uniunii Europene ar trebui delegată Comisiei pentru a </w:t>
            </w:r>
            <w:r>
              <w:rPr>
                <w:b/>
                <w:i/>
              </w:rPr>
              <w:t>modifica lista informațiil</w:t>
            </w:r>
            <w:r>
              <w:rPr>
                <w:b/>
                <w:i/>
              </w:rPr>
              <w:t>or pe care platforma UE pentru cereri ar trebui să le conțină</w:t>
            </w:r>
            <w:r>
              <w:t xml:space="preserve"> și pentru a </w:t>
            </w:r>
            <w:r>
              <w:rPr>
                <w:b/>
                <w:i/>
              </w:rPr>
              <w:t>modifica formularele</w:t>
            </w:r>
            <w:r>
              <w:t xml:space="preserve"> și </w:t>
            </w:r>
            <w:r>
              <w:rPr>
                <w:b/>
                <w:i/>
              </w:rPr>
              <w:t>modelele standard adecvate</w:t>
            </w:r>
            <w:r>
              <w:t>. Este deosebit de important ca, în cursul lucrărilor sale pregătitoare, Comisia să organizeze consultări adecvate, inclusiv la nive</w:t>
            </w:r>
            <w:r>
              <w:t>l de experți, și ca respectivele consultări să se desfășoare în conformitate cu principiile stabilite în Acordul interinstituțional din 13 aprilie 2016 privind o mai bună legiferare</w:t>
            </w:r>
            <w:r>
              <w:rPr>
                <w:vertAlign w:val="superscript"/>
              </w:rPr>
              <w:t>55</w:t>
            </w:r>
            <w:r>
              <w:t xml:space="preserve">. </w:t>
            </w:r>
            <w:r>
              <w:t xml:space="preserve">Mai precis, pentru a se asigura o participare egală la elaborarea actelor delegate, Parlamentul European și Consiliul </w:t>
            </w:r>
            <w:r>
              <w:rPr>
                <w:b/>
                <w:i/>
              </w:rPr>
              <w:t>ar trebui să primească</w:t>
            </w:r>
            <w:r>
              <w:t xml:space="preserve"> toate documentele în același timp cu experții statelor membre, iar experții acestor instituții </w:t>
            </w:r>
            <w:r>
              <w:rPr>
                <w:b/>
                <w:i/>
              </w:rPr>
              <w:t>ar trebui să aibă</w:t>
            </w:r>
            <w:r>
              <w:t xml:space="preserve"> în</w:t>
            </w:r>
            <w:r>
              <w:t xml:space="preserve"> mod sistematic acces la reuniunile grupurilor de experți ale Comisiei care sunt însărcinate cu elaborarea actelor delegate.</w:t>
            </w:r>
          </w:p>
        </w:tc>
        <w:tc>
          <w:tcPr>
            <w:tcW w:w="4876" w:type="dxa"/>
          </w:tcPr>
          <w:p w:rsidR="006A6174" w:rsidRPr="00ED6CB5" w:rsidRDefault="00D07ECF" w:rsidP="006213D7">
            <w:pPr>
              <w:pStyle w:val="Normal6"/>
              <w:rPr>
                <w:szCs w:val="24"/>
              </w:rPr>
            </w:pPr>
            <w:r>
              <w:t>(37)</w:t>
            </w:r>
            <w:r>
              <w:tab/>
              <w:t xml:space="preserve">Pentru a </w:t>
            </w:r>
            <w:r>
              <w:rPr>
                <w:b/>
                <w:i/>
              </w:rPr>
              <w:t xml:space="preserve">modifica anumite aspecte tehnice detaliate ale Regulamentului (CE) nr. 810/2009 și pentru a completa Regulamentul </w:t>
            </w:r>
            <w:r>
              <w:rPr>
                <w:b/>
                <w:i/>
              </w:rPr>
              <w:t>(CE) nr. 767/2008</w:t>
            </w:r>
            <w:r>
              <w:t xml:space="preserve">, competența de a adopta acte delegate în conformitate cu articolul 290 din Tratatul privind funcționarea Uniunii Europene ar trebui delegată Comisiei pentru a </w:t>
            </w:r>
            <w:r>
              <w:rPr>
                <w:b/>
                <w:i/>
              </w:rPr>
              <w:t>actualiza formularul de cerere, a modifica formularul de refuz, a defini cerinț</w:t>
            </w:r>
            <w:r>
              <w:rPr>
                <w:b/>
                <w:i/>
              </w:rPr>
              <w:t>ele serviciului de cont securizat, precum</w:t>
            </w:r>
            <w:r>
              <w:t xml:space="preserve"> și pentru a </w:t>
            </w:r>
            <w:r>
              <w:rPr>
                <w:b/>
                <w:i/>
              </w:rPr>
              <w:t>defini conținutul formularelor de cerere simplificate pentru confirmarea vizelor valabile într-un nou document de călătorie</w:t>
            </w:r>
            <w:r>
              <w:t xml:space="preserve"> și </w:t>
            </w:r>
            <w:r>
              <w:rPr>
                <w:b/>
                <w:i/>
              </w:rPr>
              <w:t>pentru prelungirea vizelor</w:t>
            </w:r>
            <w:r>
              <w:t>. Este deosebit de important ca, în cursul lucrăr</w:t>
            </w:r>
            <w:r>
              <w:t>ilor sale pregătitoare, Comisia să organizeze consultări adecvate, inclusiv la nivel de experți, și ca respectivele consultări să se desfășoare în conformitate cu principiile stabilite în Acordul interinstituțional din 13 aprilie 2016 privind o mai bună le</w:t>
            </w:r>
            <w:r>
              <w:t>giferare</w:t>
            </w:r>
            <w:r>
              <w:rPr>
                <w:vertAlign w:val="superscript"/>
              </w:rPr>
              <w:t>55</w:t>
            </w:r>
            <w:r>
              <w:t xml:space="preserve">. Mai precis, pentru a se asigura o participare egală la elaborarea actelor delegate, Parlamentul European și Consiliul </w:t>
            </w:r>
            <w:r>
              <w:rPr>
                <w:b/>
                <w:i/>
              </w:rPr>
              <w:t>primesc</w:t>
            </w:r>
            <w:r>
              <w:t xml:space="preserve"> toate documentele în același timp cu experții statelor membre, iar experții acestor instituții</w:t>
            </w:r>
            <w:r w:rsidR="005F3803">
              <w:t xml:space="preserve"> </w:t>
            </w:r>
            <w:r>
              <w:rPr>
                <w:b/>
                <w:i/>
              </w:rPr>
              <w:t>au</w:t>
            </w:r>
            <w:r>
              <w:t xml:space="preserve"> în mod sistematic acc</w:t>
            </w:r>
            <w:r>
              <w:t xml:space="preserve">es la reuniunile grupurilor de experți ale </w:t>
            </w:r>
            <w:r>
              <w:lastRenderedPageBreak/>
              <w:t>Comisiei care sunt însărcinate cu elaborarea actelor delegate.</w:t>
            </w:r>
          </w:p>
        </w:tc>
      </w:tr>
      <w:tr w:rsidR="00422711" w:rsidTr="00D7587E">
        <w:trPr>
          <w:jc w:val="center"/>
        </w:trPr>
        <w:tc>
          <w:tcPr>
            <w:tcW w:w="4876" w:type="dxa"/>
          </w:tcPr>
          <w:p w:rsidR="006A6174" w:rsidRPr="00ED6CB5" w:rsidRDefault="00D07ECF" w:rsidP="00D7587E">
            <w:pPr>
              <w:pStyle w:val="Normal6"/>
            </w:pPr>
            <w:r>
              <w:lastRenderedPageBreak/>
              <w:t>__________________</w:t>
            </w:r>
          </w:p>
        </w:tc>
        <w:tc>
          <w:tcPr>
            <w:tcW w:w="4876" w:type="dxa"/>
          </w:tcPr>
          <w:p w:rsidR="006A6174" w:rsidRPr="00ED6CB5" w:rsidRDefault="00D07ECF" w:rsidP="00D7587E">
            <w:pPr>
              <w:pStyle w:val="Normal6"/>
              <w:rPr>
                <w:szCs w:val="24"/>
              </w:rPr>
            </w:pPr>
            <w:r>
              <w:t>__________________</w:t>
            </w:r>
          </w:p>
        </w:tc>
      </w:tr>
      <w:tr w:rsidR="00422711" w:rsidTr="00D7587E">
        <w:trPr>
          <w:jc w:val="center"/>
        </w:trPr>
        <w:tc>
          <w:tcPr>
            <w:tcW w:w="4876" w:type="dxa"/>
          </w:tcPr>
          <w:p w:rsidR="006A6174" w:rsidRPr="00ED6CB5" w:rsidRDefault="00D07ECF" w:rsidP="00D7587E">
            <w:pPr>
              <w:pStyle w:val="Normal6"/>
            </w:pPr>
            <w:r>
              <w:rPr>
                <w:vertAlign w:val="superscript"/>
              </w:rPr>
              <w:t>55</w:t>
            </w:r>
            <w:r>
              <w:t xml:space="preserve"> JO L 123, 12.5.2016, p. 1.</w:t>
            </w:r>
          </w:p>
        </w:tc>
        <w:tc>
          <w:tcPr>
            <w:tcW w:w="4876" w:type="dxa"/>
          </w:tcPr>
          <w:p w:rsidR="006A6174" w:rsidRPr="00ED6CB5" w:rsidRDefault="00D07ECF" w:rsidP="00D7587E">
            <w:pPr>
              <w:pStyle w:val="Normal6"/>
              <w:rPr>
                <w:szCs w:val="24"/>
              </w:rPr>
            </w:pPr>
            <w:r>
              <w:rPr>
                <w:vertAlign w:val="superscript"/>
              </w:rPr>
              <w:t>55</w:t>
            </w:r>
            <w:r>
              <w:t xml:space="preserve"> JO L 123, 12.5.2016, p. 1.</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w:t>
      </w:r>
      <w:r>
        <w:t>mendamentul</w:t>
      </w:r>
      <w:r>
        <w:tab/>
      </w:r>
      <w:r>
        <w:tab/>
      </w:r>
      <w:r>
        <w:rPr>
          <w:rStyle w:val="HideTWBExt"/>
          <w:b w:val="0"/>
        </w:rPr>
        <w:t>&lt;NumAm&gt;</w:t>
      </w:r>
      <w:r>
        <w:t>9</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37 a (nou)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(37a)</w:t>
            </w:r>
            <w:r>
              <w:rPr>
                <w:b/>
                <w:i/>
              </w:rPr>
              <w:tab/>
              <w:t xml:space="preserve">În vederea asigurării unor condiții uniforme pentru punerea în aplicare a Regulamentului </w:t>
            </w:r>
            <w:r>
              <w:rPr>
                <w:b/>
                <w:i/>
              </w:rPr>
              <w:t>(CE) nr. 767/2008, ar trebui conferite competențe de executare Comisiei. Respectivele competențe ar trebui exercitate în conformitate cu Regulamentul (UE) nr. 182/2011 al Parlamentului European și al Consiliului</w:t>
            </w:r>
            <w:r>
              <w:rPr>
                <w:b/>
                <w:i/>
                <w:vertAlign w:val="superscript"/>
              </w:rPr>
              <w:t>1a</w:t>
            </w:r>
            <w:r>
              <w:rPr>
                <w:b/>
                <w:i/>
              </w:rPr>
              <w:t>.</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__________________</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vertAlign w:val="superscript"/>
              </w:rPr>
              <w:t>1a</w:t>
            </w:r>
            <w:r>
              <w:rPr>
                <w:b/>
                <w:i/>
              </w:rPr>
              <w:t xml:space="preserve"> Regulamentul (U</w:t>
            </w:r>
            <w:r>
              <w:rPr>
                <w:b/>
                <w:i/>
              </w:rPr>
              <w:t>E) nr. 182/2011 al Parlamentului European și al Consiliului din 16 februarie 2011 de stabilire a normelor și principiilor generale privind mecanismele de control de către statele membre al exercitării competențelor de executare de către Comisie (JO L 55, 2</w:t>
            </w:r>
            <w:r>
              <w:rPr>
                <w:b/>
                <w:i/>
              </w:rPr>
              <w:t>8.2.2011, p. 13)</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10</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Considerentul 40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(40)</w:t>
            </w:r>
            <w:r>
              <w:tab/>
              <w:t xml:space="preserve">Prezentul regulament respectă </w:t>
            </w:r>
            <w:r>
              <w:lastRenderedPageBreak/>
              <w:t>drepturile fundamentale și principiile recunoscute în special în Carta drepturilor fundamentale a Uniunii Europene. Introducerea unei platforme a UE pentru cereri și a unei vize digitale va respecta pe deplin dreptul la protecția datelor cu caracter person</w:t>
            </w:r>
            <w:r>
              <w:t>al, respectarea vieții private și de familie, drepturile copilului și protecția persoanelor vulnerabile. Toate garanțiile în materie de drepturi fundamentale prevăzute în Regulamentul privind Sistemul de informații privind vizele vor rămâne pe deplin aplic</w:t>
            </w:r>
            <w:r>
              <w:t>abile în contextul viitoarei platforme a UE pentru cererile de viză și al vizei digitale, în special în ceea ce privește drepturile copilului. Platforma va trebui să țină seama de cerințele stabilite în Directiva privind accesibilitatea</w:t>
            </w:r>
            <w:r>
              <w:rPr>
                <w:vertAlign w:val="superscript"/>
              </w:rPr>
              <w:t>56</w:t>
            </w:r>
            <w:r>
              <w:t xml:space="preserve"> pentru a asigura </w:t>
            </w:r>
            <w:r>
              <w:t>accesul cu ușurință al persoanelor cu handicap.</w:t>
            </w:r>
          </w:p>
        </w:tc>
        <w:tc>
          <w:tcPr>
            <w:tcW w:w="4876" w:type="dxa"/>
          </w:tcPr>
          <w:p w:rsidR="006A6174" w:rsidRPr="00ED6CB5" w:rsidRDefault="00D07ECF" w:rsidP="00984186">
            <w:pPr>
              <w:pStyle w:val="Normal6"/>
              <w:rPr>
                <w:szCs w:val="24"/>
              </w:rPr>
            </w:pPr>
            <w:r>
              <w:lastRenderedPageBreak/>
              <w:t>(40)</w:t>
            </w:r>
            <w:r>
              <w:tab/>
              <w:t xml:space="preserve">Prezentul regulament respectă </w:t>
            </w:r>
            <w:r>
              <w:lastRenderedPageBreak/>
              <w:t xml:space="preserve">drepturile fundamentale și principiile recunoscute în special în Carta drepturilor fundamentale a Uniunii Europene. Introducerea unei platforme a UE pentru cereri și a unei </w:t>
            </w:r>
            <w:r>
              <w:t>vize digitale va respecta pe deplin dreptul la protecția datelor cu caracter personal, respectarea vieții private și de familie, drepturile copilului și protecția persoanelor vulnerabile. Toate garanțiile în materie de drepturi fundamentale prevăzute în Re</w:t>
            </w:r>
            <w:r>
              <w:t>gulamentul privind Sistemul de informații privind vizele vor rămâne pe deplin aplicabile în contextul viitoarei platforme a UE pentru cererile de viză și al vizei digitale, în special în ceea ce privește drepturile copilului. Platforma va trebui să țină se</w:t>
            </w:r>
            <w:r>
              <w:t>ama de cerințele stabilite în Directiva privind accesibilitatea</w:t>
            </w:r>
            <w:r>
              <w:rPr>
                <w:vertAlign w:val="superscript"/>
              </w:rPr>
              <w:t>56</w:t>
            </w:r>
            <w:r>
              <w:t xml:space="preserve"> pentru a asigura accesul cu ușurință al persoanelor cu handicap. </w:t>
            </w:r>
            <w:r>
              <w:rPr>
                <w:b/>
                <w:i/>
              </w:rPr>
              <w:t>O atenție deosebită ar trebui acordată persoanelor cu competențe digitale limitate, care folosesc limbi neoficiale vorbite pe</w:t>
            </w:r>
            <w:r>
              <w:rPr>
                <w:b/>
                <w:i/>
              </w:rPr>
              <w:t xml:space="preserve"> scară largă și au probleme legate de accesul la internet.</w:t>
            </w:r>
          </w:p>
        </w:tc>
      </w:tr>
      <w:tr w:rsidR="00422711" w:rsidTr="00D7587E">
        <w:trPr>
          <w:jc w:val="center"/>
        </w:trPr>
        <w:tc>
          <w:tcPr>
            <w:tcW w:w="4876" w:type="dxa"/>
          </w:tcPr>
          <w:p w:rsidR="006A6174" w:rsidRPr="00ED6CB5" w:rsidRDefault="00D07ECF" w:rsidP="00D7587E">
            <w:pPr>
              <w:pStyle w:val="Normal6"/>
            </w:pPr>
            <w:r>
              <w:lastRenderedPageBreak/>
              <w:t>__________________</w:t>
            </w:r>
          </w:p>
        </w:tc>
        <w:tc>
          <w:tcPr>
            <w:tcW w:w="4876" w:type="dxa"/>
          </w:tcPr>
          <w:p w:rsidR="006A6174" w:rsidRPr="00ED6CB5" w:rsidRDefault="00D07ECF" w:rsidP="00D7587E">
            <w:pPr>
              <w:pStyle w:val="Normal6"/>
              <w:rPr>
                <w:szCs w:val="24"/>
              </w:rPr>
            </w:pPr>
            <w:r>
              <w:t>__________________</w:t>
            </w:r>
          </w:p>
        </w:tc>
      </w:tr>
      <w:tr w:rsidR="00422711" w:rsidTr="00D7587E">
        <w:trPr>
          <w:jc w:val="center"/>
        </w:trPr>
        <w:tc>
          <w:tcPr>
            <w:tcW w:w="4876" w:type="dxa"/>
          </w:tcPr>
          <w:p w:rsidR="006A6174" w:rsidRPr="00ED6CB5" w:rsidRDefault="00D07ECF" w:rsidP="00D7587E">
            <w:pPr>
              <w:pStyle w:val="Normal6"/>
            </w:pPr>
            <w:r>
              <w:rPr>
                <w:vertAlign w:val="superscript"/>
              </w:rPr>
              <w:t>56</w:t>
            </w:r>
            <w:r>
              <w:t xml:space="preserve"> Directiva (UE) 2016/2102 a Parlamentului European și a Consiliului din 26 octombrie 2016 privind accesibilitatea site-urilor web și a aplicațiilor mobile ale organismelor din sectorul public (JO L 327, 2.12.2016, p. 1-15).</w:t>
            </w:r>
          </w:p>
        </w:tc>
        <w:tc>
          <w:tcPr>
            <w:tcW w:w="4876" w:type="dxa"/>
          </w:tcPr>
          <w:p w:rsidR="006A6174" w:rsidRPr="00ED6CB5" w:rsidRDefault="00D07ECF" w:rsidP="00D7587E">
            <w:pPr>
              <w:pStyle w:val="Normal6"/>
              <w:rPr>
                <w:szCs w:val="24"/>
              </w:rPr>
            </w:pPr>
            <w:r>
              <w:rPr>
                <w:vertAlign w:val="superscript"/>
              </w:rPr>
              <w:t>56</w:t>
            </w:r>
            <w:r>
              <w:t xml:space="preserve"> Directiva (UE) 2016/2102 a Pa</w:t>
            </w:r>
            <w:r>
              <w:t>rlamentului European și a Consiliului din 26 octombrie 2016 privind accesibilitatea site-urilor web și a aplicațiilor mobile ale organismelor din sectorul public (JO L 327, 2.12.2016, p. 1-15).</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11</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 xml:space="preserve">Articolul 1 – paragraful 1 – punctul 6 – litera a </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 xml:space="preserve">Articolul 9 – alineatul 1b – litera aa (nouă) </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6213D7">
            <w:pPr>
              <w:pStyle w:val="Normal6"/>
              <w:rPr>
                <w:szCs w:val="24"/>
              </w:rPr>
            </w:pPr>
            <w:r>
              <w:rPr>
                <w:b/>
                <w:i/>
              </w:rPr>
              <w:t>(aa)</w:t>
            </w:r>
            <w:r>
              <w:rPr>
                <w:b/>
                <w:i/>
              </w:rPr>
              <w:tab/>
              <w:t xml:space="preserve">resortisanții țărilor terțe cu </w:t>
            </w:r>
            <w:r>
              <w:rPr>
                <w:b/>
                <w:i/>
              </w:rPr>
              <w:lastRenderedPageBreak/>
              <w:t>dizabilități;</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t>&lt;TitreJust&gt;</w:t>
      </w:r>
      <w:r>
        <w:t>Justificare</w:t>
      </w:r>
      <w:r>
        <w:rPr>
          <w:rStyle w:val="HideTWBExt"/>
          <w:i w:val="0"/>
        </w:rPr>
        <w:t>&lt;/TitreJust&gt;</w:t>
      </w:r>
    </w:p>
    <w:p w:rsidR="006A6174" w:rsidRPr="00ED6CB5" w:rsidRDefault="00D07ECF" w:rsidP="006A6174">
      <w:pPr>
        <w:pStyle w:val="Normal12Italic"/>
        <w:rPr>
          <w:noProof w:val="0"/>
        </w:rPr>
      </w:pPr>
      <w:r>
        <w:t xml:space="preserve">Ar trebui să se acorde o atenție deosebită accesibilității pentru persoanele cu dizabilități, </w:t>
      </w:r>
      <w:r>
        <w:t>inclusiv printr-o posibilă derogare de la utilizarea platformei UE pentru cereri.</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12</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8 – litera ca (nouă)</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11 – alineatul 3 – litera b</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F51B56">
            <w:pPr>
              <w:pStyle w:val="ColumnHeading"/>
              <w:keepNext/>
            </w:pPr>
            <w:r>
              <w:t>Textul în vigoare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(ca)</w:t>
            </w:r>
            <w:r>
              <w:rPr>
                <w:b/>
                <w:i/>
              </w:rPr>
              <w:tab/>
              <w:t>alineatul (3) litera (b) se modifică după cum urmează:</w:t>
            </w:r>
          </w:p>
        </w:tc>
      </w:tr>
      <w:tr w:rsidR="00422711" w:rsidTr="00D7587E">
        <w:trPr>
          <w:jc w:val="center"/>
        </w:trPr>
        <w:tc>
          <w:tcPr>
            <w:tcW w:w="4876" w:type="dxa"/>
          </w:tcPr>
          <w:p w:rsidR="006A6174" w:rsidRPr="00ED6CB5" w:rsidRDefault="00D07ECF" w:rsidP="00D7587E">
            <w:pPr>
              <w:pStyle w:val="Normal6"/>
            </w:pPr>
            <w:r>
              <w:t xml:space="preserve">(b) </w:t>
            </w:r>
            <w:r>
              <w:rPr>
                <w:b/>
                <w:i/>
              </w:rPr>
              <w:tab/>
            </w:r>
            <w:r>
              <w:t xml:space="preserve">limba (limbile) oficială (oficiale) a(le) </w:t>
            </w:r>
            <w:r>
              <w:t>țării gazdă;</w:t>
            </w:r>
          </w:p>
        </w:tc>
        <w:tc>
          <w:tcPr>
            <w:tcW w:w="4876" w:type="dxa"/>
          </w:tcPr>
          <w:p w:rsidR="006A6174" w:rsidRPr="00ED6CB5" w:rsidRDefault="00D07ECF" w:rsidP="00984186">
            <w:pPr>
              <w:pStyle w:val="Normal6"/>
              <w:rPr>
                <w:szCs w:val="24"/>
              </w:rPr>
            </w:pPr>
            <w:r>
              <w:t xml:space="preserve">„(b) </w:t>
            </w:r>
            <w:r>
              <w:tab/>
              <w:t>limba (limbile) oficială (oficiale) a(le) țării gazdă</w:t>
            </w:r>
            <w:r>
              <w:rPr>
                <w:b/>
                <w:i/>
              </w:rPr>
              <w:t xml:space="preserve"> sau limba (limbile) neoficială (neoficiale) a(le) țării gazdă</w:t>
            </w:r>
            <w:r>
              <w:t>;</w:t>
            </w:r>
            <w:r>
              <w:rPr>
                <w:b/>
                <w:i/>
              </w:rPr>
              <w: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t>&lt;TitreJust&gt;</w:t>
      </w:r>
      <w:r>
        <w:t>Justificare</w:t>
      </w:r>
      <w:r>
        <w:rPr>
          <w:rStyle w:val="HideTWBExt"/>
          <w:i w:val="0"/>
        </w:rPr>
        <w:t>&lt;/TitreJust&gt;</w:t>
      </w:r>
    </w:p>
    <w:p w:rsidR="006A6174" w:rsidRPr="00ED6CB5" w:rsidRDefault="00D07ECF" w:rsidP="006A6174">
      <w:pPr>
        <w:pStyle w:val="Normal12Italic"/>
        <w:rPr>
          <w:noProof w:val="0"/>
        </w:rPr>
      </w:pPr>
      <w:r>
        <w:t>După caz, ar trebui să se acorde o atenție deosebit</w:t>
      </w:r>
      <w:r>
        <w:t>ă luării în considerare, de asemenea, a limbilor locale neoficiale care sunt vorbite pe scară largă pentru care ar trebui să fie disponibilă traducerea platformei UE pentru cereri.</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13</w:t>
      </w:r>
      <w:r>
        <w:rPr>
          <w:rStyle w:val="HideTWBExt"/>
          <w:b w:val="0"/>
        </w:rPr>
        <w:t>&lt;/NumAm&gt;</w:t>
      </w:r>
    </w:p>
    <w:p w:rsidR="006A6174" w:rsidRPr="00ED6CB5" w:rsidRDefault="00D07ECF" w:rsidP="006A6174">
      <w:pPr>
        <w:pStyle w:val="NormalBold12b"/>
        <w:keepNext/>
      </w:pPr>
      <w:r>
        <w:rPr>
          <w:rStyle w:val="HideTWBExt"/>
          <w:b w:val="0"/>
        </w:rPr>
        <w:t>&lt;DocAmend&gt;</w:t>
      </w:r>
      <w:r>
        <w:t xml:space="preserve">Propunere de </w:t>
      </w:r>
      <w:r>
        <w:t>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8 – litera cb (nouă)</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11 – alineatul 4</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F51B56">
            <w:pPr>
              <w:pStyle w:val="ColumnHeading"/>
              <w:keepNext/>
            </w:pPr>
            <w:r>
              <w:t xml:space="preserve">Textul în vigoare </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(cb)</w:t>
            </w:r>
            <w:r>
              <w:rPr>
                <w:b/>
                <w:i/>
              </w:rPr>
              <w:tab/>
              <w:t xml:space="preserve">alineatul (4) </w:t>
            </w:r>
            <w:r>
              <w:rPr>
                <w:b/>
                <w:i/>
              </w:rPr>
              <w:t>se modifică după cum urmează:</w:t>
            </w:r>
          </w:p>
        </w:tc>
      </w:tr>
      <w:tr w:rsidR="00422711" w:rsidTr="00D7587E">
        <w:trPr>
          <w:jc w:val="center"/>
        </w:trPr>
        <w:tc>
          <w:tcPr>
            <w:tcW w:w="4876" w:type="dxa"/>
          </w:tcPr>
          <w:p w:rsidR="006A6174" w:rsidRPr="00ED6CB5" w:rsidRDefault="00D07ECF" w:rsidP="00D7587E">
            <w:pPr>
              <w:pStyle w:val="Normal6"/>
            </w:pPr>
            <w:r>
              <w:t>4.</w:t>
            </w:r>
            <w:r>
              <w:rPr>
                <w:b/>
                <w:i/>
              </w:rPr>
              <w:tab/>
            </w:r>
            <w:r>
              <w:t xml:space="preserve">În cazul în care formularul nu este disponibil în limba (limbile) oficială </w:t>
            </w:r>
            <w:r>
              <w:lastRenderedPageBreak/>
              <w:t>(oficiale) a(le) țării gazdă, se pune la dispoziția solicitanților de viză, separat, o traducere a acestuia în limba (limbile) respectivă (respecti</w:t>
            </w:r>
            <w:r>
              <w:t>ve).</w:t>
            </w:r>
          </w:p>
        </w:tc>
        <w:tc>
          <w:tcPr>
            <w:tcW w:w="4876" w:type="dxa"/>
          </w:tcPr>
          <w:p w:rsidR="006A6174" w:rsidRPr="00ED6CB5" w:rsidRDefault="00D07ECF" w:rsidP="00984186">
            <w:pPr>
              <w:pStyle w:val="Normal6"/>
              <w:rPr>
                <w:szCs w:val="24"/>
              </w:rPr>
            </w:pPr>
            <w:r>
              <w:lastRenderedPageBreak/>
              <w:t xml:space="preserve">„4. </w:t>
            </w:r>
            <w:r>
              <w:tab/>
              <w:t>În cazul în care formularul</w:t>
            </w:r>
            <w:r>
              <w:rPr>
                <w:b/>
                <w:i/>
              </w:rPr>
              <w:t xml:space="preserve"> de cerere</w:t>
            </w:r>
            <w:r>
              <w:t xml:space="preserve"> nu este disponibil în limba (limbile) </w:t>
            </w:r>
            <w:r>
              <w:lastRenderedPageBreak/>
              <w:t>oficială (oficiale) a(le) țării gazdă, se pune la dispoziția solicitanților de viză, separat, o traducere a acestuia în limba (limbile) respectivă (respective)</w:t>
            </w:r>
            <w:r>
              <w:rPr>
                <w:b/>
                <w:i/>
              </w:rPr>
              <w:t xml:space="preserve"> sau în lim</w:t>
            </w:r>
            <w:r>
              <w:rPr>
                <w:b/>
                <w:i/>
              </w:rPr>
              <w:t>ba (limbile) neoficială (neoficiale) vorbită (vorbite) pe scară largă a(le) țării gazdă</w:t>
            </w:r>
            <w:r>
              <w:t>.</w:t>
            </w:r>
            <w:r>
              <w:rPr>
                <w:b/>
                <w:i/>
              </w:rPr>
              <w:t>”</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t>&lt;TitreJust&gt;</w:t>
      </w:r>
      <w:r>
        <w:t>Justificare</w:t>
      </w:r>
      <w:r>
        <w:rPr>
          <w:rStyle w:val="HideTWBExt"/>
          <w:i w:val="0"/>
        </w:rPr>
        <w:t>&lt;/TitreJust&gt;</w:t>
      </w:r>
    </w:p>
    <w:p w:rsidR="006A6174" w:rsidRPr="00ED6CB5" w:rsidRDefault="00D07ECF" w:rsidP="006A6174">
      <w:pPr>
        <w:pStyle w:val="Normal12Italic"/>
        <w:rPr>
          <w:noProof w:val="0"/>
        </w:rPr>
      </w:pPr>
      <w:r>
        <w:t xml:space="preserve">După caz, ar trebui să se acorde o atenție deosebită luării în considerare, de asemenea, a </w:t>
      </w:r>
      <w:r>
        <w:t>limbilor locale neoficiale care sunt vorbite pe scară largă pentru care ar trebui să fie realizată traducerea formularului de cerere.</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14</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 xml:space="preserve">Articolul 1 – </w:t>
      </w:r>
      <w:r>
        <w:t>paragraful 1 – punctul 8 – litera cc (nouă)</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11 – alineatul 5</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F51B56">
            <w:pPr>
              <w:pStyle w:val="ColumnHeading"/>
              <w:keepNext/>
            </w:pPr>
            <w:r>
              <w:t xml:space="preserve">Textul în vigoare </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(cc)</w:t>
            </w:r>
            <w:r>
              <w:rPr>
                <w:b/>
                <w:i/>
              </w:rPr>
              <w:tab/>
              <w:t>alineatul (5) se modifică după cum urmează:</w:t>
            </w:r>
          </w:p>
        </w:tc>
      </w:tr>
      <w:tr w:rsidR="00422711" w:rsidTr="00D7587E">
        <w:trPr>
          <w:jc w:val="center"/>
        </w:trPr>
        <w:tc>
          <w:tcPr>
            <w:tcW w:w="4876" w:type="dxa"/>
          </w:tcPr>
          <w:p w:rsidR="006A6174" w:rsidRPr="00ED6CB5" w:rsidRDefault="00D07ECF" w:rsidP="00D7587E">
            <w:pPr>
              <w:pStyle w:val="Normal6"/>
            </w:pPr>
            <w:r>
              <w:t>5.</w:t>
            </w:r>
            <w:r>
              <w:rPr>
                <w:b/>
                <w:i/>
              </w:rPr>
              <w:tab/>
            </w:r>
            <w:r>
              <w:t xml:space="preserve">În cadrul </w:t>
            </w:r>
            <w:r>
              <w:t>cooperării locale Schengen prevăzute la articolul 48, se efectuează o traducere a formularului de cerere în limba (limbile) oficială (oficiale) a(le) țării gazdă.</w:t>
            </w:r>
          </w:p>
        </w:tc>
        <w:tc>
          <w:tcPr>
            <w:tcW w:w="4876" w:type="dxa"/>
          </w:tcPr>
          <w:p w:rsidR="006A6174" w:rsidRPr="00ED6CB5" w:rsidRDefault="00D07ECF" w:rsidP="00984186">
            <w:pPr>
              <w:pStyle w:val="Normal6"/>
              <w:rPr>
                <w:szCs w:val="24"/>
              </w:rPr>
            </w:pPr>
            <w:r>
              <w:t xml:space="preserve">„5. </w:t>
            </w:r>
            <w:r>
              <w:tab/>
              <w:t>În cadrul cooperării locale Schengen prevăzute la articolul 48, se efectuează o traducer</w:t>
            </w:r>
            <w:r>
              <w:t>e a formularului de cerere în limba (limbile) oficială (oficiale)</w:t>
            </w:r>
            <w:r>
              <w:rPr>
                <w:b/>
                <w:i/>
              </w:rPr>
              <w:t xml:space="preserve"> sau în limba (limbile) neoficială (neoficiale) vorbită (vorbite) pe scară largă</w:t>
            </w:r>
            <w:r>
              <w:t xml:space="preserve"> a(le) țării gazdă.”</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t>&lt;TitreJust&gt;</w:t>
      </w:r>
      <w:r>
        <w:t>Justificare</w:t>
      </w:r>
      <w:r>
        <w:rPr>
          <w:rStyle w:val="HideTWBExt"/>
          <w:i w:val="0"/>
        </w:rPr>
        <w:t>&lt;/TitreJust&gt;</w:t>
      </w:r>
    </w:p>
    <w:p w:rsidR="006A6174" w:rsidRPr="00ED6CB5" w:rsidRDefault="00D07ECF" w:rsidP="006A6174">
      <w:pPr>
        <w:pStyle w:val="Normal12Italic"/>
        <w:rPr>
          <w:noProof w:val="0"/>
        </w:rPr>
      </w:pPr>
      <w:r>
        <w:t>Statele membre ar treb</w:t>
      </w:r>
      <w:r>
        <w:t>ui să stabilească, în cazuri specifice, în cadrul cooperării locale Schengen, și limbile locale neoficiale în care ar trebui tradusă cererea.</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15</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 xml:space="preserve">Articolul 1 </w:t>
      </w:r>
      <w:r>
        <w:t>– paragraful 1 – punctul 9</w:t>
      </w:r>
      <w:r>
        <w:rPr>
          <w:rStyle w:val="HideTWBExt"/>
          <w:b w:val="0"/>
        </w:rPr>
        <w:t>&lt;/Article&gt;</w:t>
      </w:r>
    </w:p>
    <w:p w:rsidR="006A6174" w:rsidRPr="00ED6CB5" w:rsidRDefault="00D07ECF" w:rsidP="006A6174">
      <w:pPr>
        <w:keepNext/>
      </w:pPr>
      <w:r>
        <w:rPr>
          <w:rStyle w:val="HideTWBExt"/>
        </w:rPr>
        <w:lastRenderedPageBreak/>
        <w:t>&lt;DocAmend2&gt;</w:t>
      </w:r>
      <w:r>
        <w:t>Regulamentul (CE) nr. 810/2009</w:t>
      </w:r>
      <w:r>
        <w:rPr>
          <w:rStyle w:val="HideTWBExt"/>
        </w:rPr>
        <w:t>&lt;/DocAmend2&gt;</w:t>
      </w:r>
    </w:p>
    <w:p w:rsidR="006A6174" w:rsidRPr="00ED6CB5" w:rsidRDefault="00D07ECF" w:rsidP="006A6174">
      <w:r>
        <w:rPr>
          <w:rStyle w:val="HideTWBExt"/>
        </w:rPr>
        <w:t>&lt;Article2&gt;</w:t>
      </w:r>
      <w:r>
        <w:t>Articolul 12 – alineatul 4 – paragraful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În cazul în care cererea este depusă prin intermediul platformei UE pentru cereri, consulatul sau prestatorul extern de servicii verifică dacă documentul de călătorie prezentat, care este prezentat personal în conformitate cu alineatul (2), corespunde copi</w:t>
            </w:r>
            <w:r>
              <w:t xml:space="preserve">ei </w:t>
            </w:r>
            <w:r>
              <w:rPr>
                <w:b/>
                <w:i/>
              </w:rPr>
              <w:t>scanate</w:t>
            </w:r>
            <w:r>
              <w:t xml:space="preserve"> încărcate de solicitant.</w:t>
            </w:r>
          </w:p>
        </w:tc>
        <w:tc>
          <w:tcPr>
            <w:tcW w:w="4876" w:type="dxa"/>
          </w:tcPr>
          <w:p w:rsidR="006A6174" w:rsidRPr="00ED6CB5" w:rsidRDefault="00D07ECF" w:rsidP="00D7587E">
            <w:pPr>
              <w:pStyle w:val="Normal6"/>
              <w:rPr>
                <w:szCs w:val="24"/>
              </w:rPr>
            </w:pPr>
            <w:r>
              <w:t>În cazul în care cererea este depusă prin intermediul platformei UE pentru cereri, consulatul sau prestatorul extern de servicii verifică dacă documentul de călătorie prezentat, care este prezentat personal în conformita</w:t>
            </w:r>
            <w:r>
              <w:t xml:space="preserve">te cu alineatul (2), corespunde copiei </w:t>
            </w:r>
            <w:r>
              <w:rPr>
                <w:b/>
                <w:i/>
              </w:rPr>
              <w:t>electronice</w:t>
            </w:r>
            <w:r>
              <w:t xml:space="preserve"> încărcate de solicitant.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16</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9</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12 – alineatul 5</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5.</w:t>
            </w:r>
            <w:r>
              <w:tab/>
              <w:t xml:space="preserve">În cazul în care calitatea copiei </w:t>
            </w:r>
            <w:r>
              <w:rPr>
                <w:b/>
                <w:i/>
              </w:rPr>
              <w:t>scanate</w:t>
            </w:r>
            <w:r>
              <w:t xml:space="preserve"> menționate la alineatul (4) este nesatisfăcătoare sau în </w:t>
            </w:r>
            <w:r>
              <w:t>cazul în care există îndoieli, în special în ceea ce privește autenticitatea, consulatul competent sau prestatorul extern de servicii efectuează o nouă scanare și încarcă respectiva copie pe platforma UE pentru cereri.</w:t>
            </w:r>
          </w:p>
        </w:tc>
        <w:tc>
          <w:tcPr>
            <w:tcW w:w="4876" w:type="dxa"/>
          </w:tcPr>
          <w:p w:rsidR="006A6174" w:rsidRPr="00ED6CB5" w:rsidRDefault="00D07ECF" w:rsidP="00D7587E">
            <w:pPr>
              <w:pStyle w:val="Normal6"/>
              <w:rPr>
                <w:szCs w:val="24"/>
              </w:rPr>
            </w:pPr>
            <w:r>
              <w:t>5.</w:t>
            </w:r>
            <w:r>
              <w:tab/>
              <w:t xml:space="preserve">În cazul în care calitatea copiei </w:t>
            </w:r>
            <w:r>
              <w:rPr>
                <w:b/>
                <w:i/>
              </w:rPr>
              <w:t>electronice</w:t>
            </w:r>
            <w:r>
              <w:t xml:space="preserve"> menționate la alineatul (4) este nesatisfăcătoare sau în cazul în care există îndoieli, în special în ceea ce privește autenticitatea, consulatul competent sau prestatorul extern de servicii efectuează o nouă scanare și încarcă respectiva copie</w:t>
            </w:r>
            <w:r>
              <w:t xml:space="preserve"> pe platforma UE pentru cereri.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17</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20</w:t>
      </w:r>
      <w:r>
        <w:rPr>
          <w:rStyle w:val="HideTWBExt"/>
          <w:b w:val="0"/>
        </w:rPr>
        <w:t>&lt;/Article&gt;</w:t>
      </w:r>
    </w:p>
    <w:p w:rsidR="006A6174" w:rsidRPr="00ED6CB5" w:rsidRDefault="00D07ECF" w:rsidP="006A6174">
      <w:pPr>
        <w:keepNext/>
      </w:pPr>
      <w:r>
        <w:rPr>
          <w:rStyle w:val="HideTWBExt"/>
        </w:rPr>
        <w:t>&lt;DocAmend2&gt;</w:t>
      </w:r>
      <w:r>
        <w:t xml:space="preserve">Regulamentul (CE) nr. </w:t>
      </w:r>
      <w:r>
        <w:t>810/2009</w:t>
      </w:r>
      <w:r>
        <w:rPr>
          <w:rStyle w:val="HideTWBExt"/>
        </w:rPr>
        <w:t>&lt;/DocAmend2&gt;</w:t>
      </w:r>
    </w:p>
    <w:p w:rsidR="006A6174" w:rsidRPr="00ED6CB5" w:rsidRDefault="00D07ECF" w:rsidP="006A6174">
      <w:r>
        <w:rPr>
          <w:rStyle w:val="HideTWBExt"/>
        </w:rPr>
        <w:t>&lt;Article2&gt;</w:t>
      </w:r>
      <w:r>
        <w:t>Articolul 26a – paragraful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 xml:space="preserve">Vizele se eliberează în format digital ca </w:t>
            </w:r>
            <w:r>
              <w:lastRenderedPageBreak/>
              <w:t>înregistrare în VIS, care include un număr unic de viză. ;</w:t>
            </w:r>
          </w:p>
        </w:tc>
        <w:tc>
          <w:tcPr>
            <w:tcW w:w="4876" w:type="dxa"/>
          </w:tcPr>
          <w:p w:rsidR="006A6174" w:rsidRPr="00ED6CB5" w:rsidRDefault="00D07ECF" w:rsidP="00D7587E">
            <w:pPr>
              <w:pStyle w:val="Normal6"/>
              <w:rPr>
                <w:szCs w:val="24"/>
              </w:rPr>
            </w:pPr>
            <w:r>
              <w:lastRenderedPageBreak/>
              <w:t xml:space="preserve">Vizele se eliberează în format digital ca </w:t>
            </w:r>
            <w:r>
              <w:lastRenderedPageBreak/>
              <w:t>î</w:t>
            </w:r>
            <w:r>
              <w:t>nregistrare în VIS, care include un număr unic de viză</w:t>
            </w:r>
            <w:r>
              <w:rPr>
                <w:b/>
                <w:i/>
              </w:rPr>
              <w:t xml:space="preserve"> digitală</w:t>
            </w:r>
            <w:r>
              <w:t>. ;</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18</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21 – litera a</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32 – alineatul 2 – paragraful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 xml:space="preserve">În cazul cererilor depuse prin intermediul platformei UE pentru cereri, </w:t>
            </w:r>
            <w:r>
              <w:rPr>
                <w:b/>
                <w:i/>
              </w:rPr>
              <w:t xml:space="preserve">informațiile </w:t>
            </w:r>
            <w:r>
              <w:rPr>
                <w:b/>
                <w:i/>
              </w:rPr>
              <w:t>privind deciziile</w:t>
            </w:r>
            <w:r>
              <w:t xml:space="preserve"> de refuzare </w:t>
            </w:r>
            <w:r>
              <w:rPr>
                <w:b/>
                <w:i/>
              </w:rPr>
              <w:t>și motivele pe care se întemeiază acestea</w:t>
            </w:r>
            <w:r>
              <w:t xml:space="preserve"> i se notifică solicitantului prin mijloace electronice</w:t>
            </w:r>
            <w:r>
              <w:rPr>
                <w:b/>
                <w:i/>
              </w:rPr>
              <w:t xml:space="preserve"> securizate</w:t>
            </w:r>
            <w:r>
              <w:t>, în conformitate cu articolul 7f alineatul (1) din Regulamentul (CE) nr. 767/2008.</w:t>
            </w:r>
            <w:r>
              <w:rPr>
                <w:b/>
                <w:i/>
              </w:rPr>
              <w:t xml:space="preserve"> Notificarea va conține aceleași inf</w:t>
            </w:r>
            <w:r>
              <w:rPr>
                <w:b/>
                <w:i/>
              </w:rPr>
              <w:t>ormații ca cele prevăzute</w:t>
            </w:r>
            <w:r>
              <w:t xml:space="preserve"> în anexa VI, în limba statului membru care a luat decizia finală cu privire la cerere și într-o altă limbă oficială a Uniunii.</w:t>
            </w:r>
          </w:p>
        </w:tc>
        <w:tc>
          <w:tcPr>
            <w:tcW w:w="4876" w:type="dxa"/>
          </w:tcPr>
          <w:p w:rsidR="006A6174" w:rsidRPr="00ED6CB5" w:rsidRDefault="00D07ECF" w:rsidP="00D7587E">
            <w:pPr>
              <w:pStyle w:val="Normal6"/>
              <w:rPr>
                <w:szCs w:val="24"/>
              </w:rPr>
            </w:pPr>
            <w:r>
              <w:t xml:space="preserve">În cazul cererilor depuse prin intermediul platformei UE pentru cereri, </w:t>
            </w:r>
            <w:r>
              <w:rPr>
                <w:b/>
                <w:i/>
              </w:rPr>
              <w:t>de îndată ce decizia</w:t>
            </w:r>
            <w:r>
              <w:t xml:space="preserve"> de refuzar</w:t>
            </w:r>
            <w:r>
              <w:t xml:space="preserve">e </w:t>
            </w:r>
            <w:r>
              <w:rPr>
                <w:b/>
                <w:i/>
              </w:rPr>
              <w:t>este disponibilă,</w:t>
            </w:r>
            <w:r>
              <w:t xml:space="preserve"> i se notifică solicitantului prin mijloace electronice, în conformitate cu articolul 7f alineatul (1) din Regulamentul (CE) nr. 767/2008.</w:t>
            </w:r>
            <w:r>
              <w:rPr>
                <w:b/>
                <w:i/>
              </w:rPr>
              <w:t xml:space="preserve"> O decizie de refuzare și motivele pe care se întemeiază aceasta, astfel cum se prevede</w:t>
            </w:r>
            <w:r>
              <w:t xml:space="preserve"> în anexa VI</w:t>
            </w:r>
            <w:r>
              <w:t>,</w:t>
            </w:r>
            <w:r>
              <w:rPr>
                <w:b/>
                <w:i/>
              </w:rPr>
              <w:t xml:space="preserve"> se pun la dispoziția solicitantului în contul securizat. Decizia de refuzare va fi</w:t>
            </w:r>
            <w:r>
              <w:t xml:space="preserve"> în limba statului membru care a luat decizia finală cu privire la cerere și într-o altă limbă oficială a Uniunii.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w:t>
      </w:r>
      <w:r>
        <w:t>ntul</w:t>
      </w:r>
      <w:r>
        <w:tab/>
      </w:r>
      <w:r>
        <w:tab/>
      </w:r>
      <w:r>
        <w:rPr>
          <w:rStyle w:val="HideTWBExt"/>
          <w:b w:val="0"/>
        </w:rPr>
        <w:t>&lt;NumAm&gt;</w:t>
      </w:r>
      <w:r>
        <w:t>19</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21 – litera a</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32 – alineatul 2 – paragraful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 xml:space="preserve">Statele membre pot adăuga documente suplimentare la notificarea standard care </w:t>
            </w:r>
            <w:r>
              <w:rPr>
                <w:b/>
                <w:i/>
              </w:rPr>
              <w:t>justifică refuzul</w:t>
            </w:r>
            <w:r>
              <w:t>.</w:t>
            </w:r>
          </w:p>
        </w:tc>
        <w:tc>
          <w:tcPr>
            <w:tcW w:w="4876" w:type="dxa"/>
          </w:tcPr>
          <w:p w:rsidR="006A6174" w:rsidRPr="00ED6CB5" w:rsidRDefault="00D07ECF" w:rsidP="006213D7">
            <w:pPr>
              <w:pStyle w:val="Normal6"/>
              <w:rPr>
                <w:szCs w:val="24"/>
              </w:rPr>
            </w:pPr>
            <w:r>
              <w:t xml:space="preserve">Statele membre pot adăuga documente suplimentare la notificarea standard care </w:t>
            </w:r>
            <w:r>
              <w:rPr>
                <w:b/>
                <w:i/>
              </w:rPr>
              <w:t>motivează decizia de refuzare</w:t>
            </w:r>
            <w:r>
              <w: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lastRenderedPageBreak/>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20</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21 – litera a</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w:t>
      </w:r>
      <w:r>
        <w:t>rticolul 32 – alineatul 2 – paragraful 2 a (nou)</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Perioada căii de atac se inițiază de îndată ce solicitantul de viză consultă decizia în contul securizat de pe platforma UE pentru cereri.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21</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21 – litera a</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 xml:space="preserve">Articolul </w:t>
      </w:r>
      <w:r>
        <w:t>32 – alineatul 2 – paragraful 4</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Comisia adoptă acte delegate în conformitate cu articolul 51a pentru a actualiza formularul de refuz prevăzut în anexa VI</w:t>
            </w:r>
            <w:r>
              <w:rPr>
                <w:b/>
                <w:i/>
              </w:rPr>
              <w:t xml:space="preserve"> sau cel care are forma notificării menționate în c</w:t>
            </w:r>
            <w:r>
              <w:rPr>
                <w:b/>
                <w:i/>
              </w:rPr>
              <w:t>apitolul Ia din Regulamentul (CE) nr. 767/2008.”</w:t>
            </w:r>
            <w:r>
              <w:t>;</w:t>
            </w:r>
          </w:p>
        </w:tc>
        <w:tc>
          <w:tcPr>
            <w:tcW w:w="4876" w:type="dxa"/>
          </w:tcPr>
          <w:p w:rsidR="006A6174" w:rsidRPr="00ED6CB5" w:rsidRDefault="00D07ECF" w:rsidP="00D7587E">
            <w:pPr>
              <w:pStyle w:val="Normal6"/>
              <w:rPr>
                <w:szCs w:val="24"/>
              </w:rPr>
            </w:pPr>
            <w:r>
              <w:t>Comisia adoptă acte delegate în conformitate cu articolul 51a pentru a actualiza formularul de refuz prevăzut în anexa VI;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22</w:t>
      </w:r>
      <w:r>
        <w:rPr>
          <w:rStyle w:val="HideTWBExt"/>
          <w:b w:val="0"/>
        </w:rPr>
        <w:t>&lt;/NumAm&gt;</w:t>
      </w:r>
    </w:p>
    <w:p w:rsidR="006A6174" w:rsidRPr="00ED6CB5" w:rsidRDefault="00D07ECF" w:rsidP="006A6174">
      <w:pPr>
        <w:pStyle w:val="NormalBold12b"/>
        <w:keepNext/>
      </w:pPr>
      <w:r>
        <w:rPr>
          <w:rStyle w:val="HideTWBExt"/>
          <w:b w:val="0"/>
        </w:rPr>
        <w:t>&lt;D</w:t>
      </w:r>
      <w:r>
        <w:rPr>
          <w:rStyle w:val="HideTWBExt"/>
          <w:b w:val="0"/>
        </w:rPr>
        <w:t>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22</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32a – alineatul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1.</w:t>
            </w:r>
            <w:r>
              <w:tab/>
            </w:r>
            <w:r>
              <w:t xml:space="preserve">Titularii de viză al căror document </w:t>
            </w:r>
            <w:r>
              <w:lastRenderedPageBreak/>
              <w:t xml:space="preserve">de călătorie a fost pierdut sau furat ori a expirat și a căror viză este încă valabilă </w:t>
            </w:r>
            <w:r>
              <w:rPr>
                <w:b/>
                <w:i/>
              </w:rPr>
              <w:t>pot solicita</w:t>
            </w:r>
            <w:r>
              <w:t xml:space="preserve"> confirmarea vizei pentru un nou document de călătorie.</w:t>
            </w:r>
          </w:p>
        </w:tc>
        <w:tc>
          <w:tcPr>
            <w:tcW w:w="4876" w:type="dxa"/>
          </w:tcPr>
          <w:p w:rsidR="006A6174" w:rsidRPr="00ED6CB5" w:rsidRDefault="00D07ECF" w:rsidP="00D7587E">
            <w:pPr>
              <w:pStyle w:val="Normal6"/>
              <w:rPr>
                <w:szCs w:val="24"/>
              </w:rPr>
            </w:pPr>
            <w:r>
              <w:lastRenderedPageBreak/>
              <w:t>1.</w:t>
            </w:r>
            <w:r>
              <w:tab/>
              <w:t xml:space="preserve">Titularii de viză al căror document </w:t>
            </w:r>
            <w:r>
              <w:lastRenderedPageBreak/>
              <w:t>de călătorie a fost pierdu</w:t>
            </w:r>
            <w:r>
              <w:t xml:space="preserve">t sau furat ori a expirat </w:t>
            </w:r>
            <w:r>
              <w:rPr>
                <w:b/>
                <w:i/>
              </w:rPr>
              <w:t xml:space="preserve">sau a fost anulat </w:t>
            </w:r>
            <w:r>
              <w:t xml:space="preserve">și a căror viză este încă valabilă </w:t>
            </w:r>
            <w:r>
              <w:rPr>
                <w:b/>
                <w:i/>
              </w:rPr>
              <w:t>solicită</w:t>
            </w:r>
            <w:r>
              <w:t xml:space="preserve"> confirmarea vizei pentru un nou document de călătorie</w:t>
            </w:r>
            <w:r>
              <w:rPr>
                <w:b/>
                <w:i/>
              </w:rPr>
              <w:t>, dacă doresc să folosească viza în continuare.</w:t>
            </w:r>
            <w:r>
              <w:t xml:space="preserve"> </w:t>
            </w:r>
            <w:r>
              <w:rPr>
                <w:b/>
                <w:i/>
              </w:rPr>
              <w:t xml:space="preserve">Confirmarea vizei se poate face, în principiu, la autoritatea care </w:t>
            </w:r>
            <w:r>
              <w:rPr>
                <w:b/>
                <w:i/>
              </w:rPr>
              <w:t>a eliberat viza sau în condițiile comunicate de statul membru.</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Decizia de confirmare a vizei într-un nou document de călătorie i se notifică solicitantului prin mijloace electronice, în conformitate cu articolul 7f din Regulamentul (CE) nr. 767/2008.</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Decizia de confirmare a vizei într-un nou document de călătorie este pusă la dispoziția solicitantului în contul securizat.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23</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w:t>
      </w:r>
      <w:r>
        <w:rPr>
          <w:rStyle w:val="HideTWBExt"/>
          <w:b w:val="0"/>
        </w:rPr>
        <w:t>le&gt;</w:t>
      </w:r>
      <w:r>
        <w:t>Articolul 1 – paragraful 1 – punctul 22</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32a – alineatul 2 – litera b</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(b)</w:t>
            </w:r>
            <w:r>
              <w:tab/>
              <w:t>numărul vizei;</w:t>
            </w:r>
          </w:p>
        </w:tc>
        <w:tc>
          <w:tcPr>
            <w:tcW w:w="4876" w:type="dxa"/>
          </w:tcPr>
          <w:p w:rsidR="006A6174" w:rsidRPr="00ED6CB5" w:rsidRDefault="00D07ECF" w:rsidP="00D7587E">
            <w:pPr>
              <w:pStyle w:val="Normal6"/>
              <w:rPr>
                <w:szCs w:val="24"/>
              </w:rPr>
            </w:pPr>
            <w:r>
              <w:t>(b)</w:t>
            </w:r>
            <w:r>
              <w:tab/>
              <w:t>numărul vizei</w:t>
            </w:r>
            <w:r>
              <w:rPr>
                <w:b/>
                <w:i/>
              </w:rPr>
              <w:t xml:space="preserve"> digitale</w:t>
            </w:r>
            <w:r>
              <w: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24</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22</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w:t>
      </w:r>
      <w:r>
        <w:t>l 32a – alineatul 4</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4.</w:t>
            </w:r>
            <w:r>
              <w:tab/>
              <w:t xml:space="preserve">Titularul vizei are obligația de a se </w:t>
            </w:r>
            <w:r>
              <w:lastRenderedPageBreak/>
              <w:t xml:space="preserve">deplasa personal în vederea prezentării noului document de călătorie pentru a se verifica dacă acest document de călătorie corespunde copiei </w:t>
            </w:r>
            <w:r>
              <w:rPr>
                <w:b/>
                <w:i/>
              </w:rPr>
              <w:t>scanate</w:t>
            </w:r>
            <w:r>
              <w:t xml:space="preserve"> încărcate prin intermediul platformei UE pentru cereri și dacă titularul documentului de călătorie corespunde persoanei căreia i s-a eliberat viza.</w:t>
            </w:r>
          </w:p>
        </w:tc>
        <w:tc>
          <w:tcPr>
            <w:tcW w:w="4876" w:type="dxa"/>
          </w:tcPr>
          <w:p w:rsidR="006A6174" w:rsidRPr="00ED6CB5" w:rsidRDefault="00D07ECF" w:rsidP="00D7587E">
            <w:pPr>
              <w:pStyle w:val="Normal6"/>
              <w:rPr>
                <w:szCs w:val="24"/>
              </w:rPr>
            </w:pPr>
            <w:r>
              <w:lastRenderedPageBreak/>
              <w:t>4.</w:t>
            </w:r>
            <w:r>
              <w:tab/>
              <w:t xml:space="preserve">Titularul vizei are obligația de a se </w:t>
            </w:r>
            <w:r>
              <w:lastRenderedPageBreak/>
              <w:t xml:space="preserve">deplasa personal în vederea prezentării noului document de </w:t>
            </w:r>
            <w:r>
              <w:t xml:space="preserve">călătorie pentru a se verifica dacă acest document de călătorie corespunde copiei </w:t>
            </w:r>
            <w:r>
              <w:rPr>
                <w:b/>
                <w:i/>
              </w:rPr>
              <w:t>electronice</w:t>
            </w:r>
            <w:r>
              <w:t xml:space="preserve"> încărcate prin intermediul platformei UE pentru cereri și dacă titularul documentului de călătorie corespunde persoanei căreia i s-a eliberat viza.</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w:t>
      </w:r>
      <w:r w:rsidRPr="00ED6CB5">
        <w:rPr>
          <w:rStyle w:val="HideTWBExt"/>
          <w:noProof w:val="0"/>
        </w:rPr>
        <w:t>&gt;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25</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23 – litera b</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 xml:space="preserve">Articolul </w:t>
      </w:r>
      <w:r>
        <w:t>33 – alineatul 8</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8.</w:t>
            </w:r>
            <w:r>
              <w:tab/>
            </w:r>
            <w:r>
              <w:rPr>
                <w:b/>
                <w:i/>
              </w:rPr>
              <w:t>În cazul în care o viză este prelungită în temeiul alineatelor (1)-(7) ale prezentului articol</w:t>
            </w:r>
            <w:r>
              <w:t xml:space="preserve"> prin intermediul platformei UE pentru cereri</w:t>
            </w:r>
            <w:r>
              <w:rPr>
                <w:b/>
                <w:i/>
              </w:rPr>
              <w:t>, prelungirea</w:t>
            </w:r>
            <w:r>
              <w:t xml:space="preserve"> i se notifică solicitantului pr</w:t>
            </w:r>
            <w:r>
              <w:t>in mijloace electronice</w:t>
            </w:r>
            <w:r>
              <w:rPr>
                <w:b/>
                <w:i/>
              </w:rPr>
              <w:t xml:space="preserve"> securizate</w:t>
            </w:r>
            <w:r>
              <w:t>, în conformitate cu articolul 7f din Regulamentul (CE) nr. 767/2008.</w:t>
            </w:r>
          </w:p>
        </w:tc>
        <w:tc>
          <w:tcPr>
            <w:tcW w:w="4876" w:type="dxa"/>
          </w:tcPr>
          <w:p w:rsidR="006A6174" w:rsidRPr="00ED6CB5" w:rsidRDefault="00D07ECF" w:rsidP="00D7587E">
            <w:pPr>
              <w:pStyle w:val="Normal6"/>
              <w:rPr>
                <w:szCs w:val="24"/>
              </w:rPr>
            </w:pPr>
            <w:r>
              <w:t>8.</w:t>
            </w:r>
            <w:r>
              <w:tab/>
            </w:r>
            <w:r>
              <w:rPr>
                <w:b/>
                <w:i/>
              </w:rPr>
              <w:t>Decizia de prelungire a vizei solicitate</w:t>
            </w:r>
            <w:r>
              <w:t xml:space="preserve"> prin intermediul platformei UE pentru cereri i se notifică solicitantului prin mijloace electronice, în conf</w:t>
            </w:r>
            <w:r>
              <w:t>ormitate cu articolul 7f din Regulamentul (CE) nr. 767/2008.</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Decizia de prelungire a vizei este pusă la dispoziția solicitantului în contul securizat.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26</w:t>
      </w:r>
      <w:r>
        <w:rPr>
          <w:rStyle w:val="HideTWBExt"/>
          <w:b w:val="0"/>
        </w:rPr>
        <w:t>&lt;/NumAm&gt;</w:t>
      </w:r>
    </w:p>
    <w:p w:rsidR="006A6174" w:rsidRPr="00ED6CB5" w:rsidRDefault="00D07ECF" w:rsidP="006A6174">
      <w:pPr>
        <w:pStyle w:val="NormalBold12b"/>
        <w:keepNext/>
      </w:pPr>
      <w:r>
        <w:rPr>
          <w:rStyle w:val="HideTWBExt"/>
          <w:b w:val="0"/>
        </w:rPr>
        <w:t>&lt;DocAmend&gt;</w:t>
      </w:r>
      <w:r>
        <w:t>Propunere de</w:t>
      </w:r>
      <w:r>
        <w:t xml:space="preserve"> regulament</w:t>
      </w:r>
      <w:r>
        <w:rPr>
          <w:rStyle w:val="HideTWBExt"/>
          <w:b w:val="0"/>
        </w:rPr>
        <w:t>&lt;/DocAmend&gt;</w:t>
      </w:r>
    </w:p>
    <w:p w:rsidR="006A6174" w:rsidRPr="00ED6CB5" w:rsidRDefault="00D07ECF" w:rsidP="006A6174">
      <w:pPr>
        <w:pStyle w:val="NormalBold"/>
      </w:pPr>
      <w:r>
        <w:rPr>
          <w:rStyle w:val="HideTWBExt"/>
          <w:b w:val="0"/>
        </w:rPr>
        <w:t>&lt;Article&gt;</w:t>
      </w:r>
      <w:r>
        <w:t>Articolul 1 – paragraful 1 – punctul 24 – litera a</w:t>
      </w:r>
      <w:r>
        <w:rPr>
          <w:rStyle w:val="HideTWBExt"/>
          <w:b w:val="0"/>
        </w:rPr>
        <w:t>&lt;/Article&gt;</w:t>
      </w:r>
    </w:p>
    <w:p w:rsidR="006A6174" w:rsidRPr="00ED6CB5" w:rsidRDefault="00D07ECF" w:rsidP="006A6174">
      <w:pPr>
        <w:keepNext/>
      </w:pPr>
      <w:r>
        <w:rPr>
          <w:rStyle w:val="HideTWBExt"/>
        </w:rPr>
        <w:t>&lt;DocAmend2&gt;</w:t>
      </w:r>
      <w:r>
        <w:t>Regulamentul (CE) nr. 810/2009</w:t>
      </w:r>
      <w:r>
        <w:rPr>
          <w:rStyle w:val="HideTWBExt"/>
        </w:rPr>
        <w:t>&lt;/DocAmend2&gt;</w:t>
      </w:r>
    </w:p>
    <w:p w:rsidR="006A6174" w:rsidRPr="00ED6CB5" w:rsidRDefault="00D07ECF" w:rsidP="006A6174">
      <w:r>
        <w:rPr>
          <w:rStyle w:val="HideTWBExt"/>
        </w:rPr>
        <w:t>&lt;Article2&gt;</w:t>
      </w:r>
      <w:r>
        <w:t>Articolul 34 – alineatul 6</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6.</w:t>
            </w:r>
            <w:r>
              <w:tab/>
            </w:r>
            <w:r>
              <w:rPr>
                <w:b/>
                <w:i/>
              </w:rPr>
              <w:t>O</w:t>
            </w:r>
            <w:r>
              <w:t xml:space="preserve"> decizie de anulare sau de revocare a unei vize și motivele pe care se </w:t>
            </w:r>
            <w:r>
              <w:lastRenderedPageBreak/>
              <w:t xml:space="preserve">întemeiază aceasta se emite în format digital prin introducerea datelor în VIS, în </w:t>
            </w:r>
            <w:r>
              <w:rPr>
                <w:b/>
                <w:i/>
              </w:rPr>
              <w:t>temeiul articolului 12 din Regulamentul (CE) nr. 767/2008, și i se notifică solicitantului prin mijloa</w:t>
            </w:r>
            <w:r>
              <w:rPr>
                <w:b/>
                <w:i/>
              </w:rPr>
              <w:t xml:space="preserve">ce electronice securizate în </w:t>
            </w:r>
            <w:r>
              <w:t>conformitate cu articolul </w:t>
            </w:r>
            <w:r>
              <w:rPr>
                <w:b/>
                <w:i/>
              </w:rPr>
              <w:t>7f</w:t>
            </w:r>
            <w:r>
              <w:t xml:space="preserve"> din Regulamentul (CE) nr. 767/2008</w:t>
            </w:r>
            <w:r>
              <w:rPr>
                <w:b/>
                <w:i/>
              </w:rPr>
              <w:t xml:space="preserve"> sau prin utilizarea formularului standard prevăzut în anexa VI în cazul cererilor care nu au fost depuse prin intermediul platformei UE pentru cereri</w:t>
            </w:r>
            <w:r>
              <w:t>.</w:t>
            </w:r>
            <w:r>
              <w:rPr>
                <w:b/>
                <w:i/>
              </w:rPr>
              <w:t xml:space="preserve"> Notificarea </w:t>
            </w:r>
            <w:r>
              <w:rPr>
                <w:b/>
                <w:i/>
              </w:rPr>
              <w:t>trebuie să conțină informațiile prevăzute în anexa VI.”;</w:t>
            </w:r>
          </w:p>
        </w:tc>
        <w:tc>
          <w:tcPr>
            <w:tcW w:w="4876" w:type="dxa"/>
          </w:tcPr>
          <w:p w:rsidR="006A6174" w:rsidRPr="00ED6CB5" w:rsidRDefault="00D07ECF" w:rsidP="00D7587E">
            <w:pPr>
              <w:pStyle w:val="Normal6"/>
              <w:rPr>
                <w:szCs w:val="24"/>
              </w:rPr>
            </w:pPr>
            <w:r>
              <w:lastRenderedPageBreak/>
              <w:t>6.</w:t>
            </w:r>
            <w:r>
              <w:tab/>
            </w:r>
            <w:r>
              <w:rPr>
                <w:b/>
                <w:i/>
              </w:rPr>
              <w:t xml:space="preserve">În cazul cererilor depuse prin intermediul platformei UE pentru cereri, </w:t>
            </w:r>
            <w:r>
              <w:rPr>
                <w:b/>
                <w:i/>
              </w:rPr>
              <w:lastRenderedPageBreak/>
              <w:t>o</w:t>
            </w:r>
            <w:r>
              <w:t xml:space="preserve"> decizie de anulare sau de revocare a unei vize și motivele pe care se întemeiază aceasta se emite în format digital prin i</w:t>
            </w:r>
            <w:r>
              <w:t>ntroducerea datelor în VIS, în conformitate cu articolul </w:t>
            </w:r>
            <w:r>
              <w:rPr>
                <w:b/>
                <w:i/>
              </w:rPr>
              <w:t>13</w:t>
            </w:r>
            <w:r>
              <w:t xml:space="preserve"> din Regulamentul (CE) nr. 767/2008.</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 xml:space="preserve">De îndată ce decizia de anulare sau de revocare este disponibilă, i se notifică solicitantului prin mijloace electronice, în conformitate cu articolul 7f </w:t>
            </w:r>
            <w:r>
              <w:rPr>
                <w:b/>
                <w:i/>
              </w:rPr>
              <w:t>alineatul (1) din Regulamentul (CE) nr. 767/2008.</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6213D7">
            <w:pPr>
              <w:pStyle w:val="Normal6"/>
              <w:rPr>
                <w:szCs w:val="24"/>
              </w:rPr>
            </w:pPr>
            <w:r>
              <w:rPr>
                <w:b/>
                <w:i/>
              </w:rPr>
              <w:t>O decizie de anulare sau de revocare și motivele pe care se întemeiază aceasta, astfel cum se prevede în anexa VI, se pun la dispoziția solicitantului în contul securizat.</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D7587E">
            <w:pPr>
              <w:pStyle w:val="Normal6"/>
              <w:rPr>
                <w:szCs w:val="24"/>
              </w:rPr>
            </w:pPr>
            <w:r>
              <w:rPr>
                <w:b/>
                <w:i/>
              </w:rPr>
              <w:t xml:space="preserve">În cazul cererilor care nu au </w:t>
            </w:r>
            <w:r>
              <w:rPr>
                <w:b/>
                <w:i/>
              </w:rPr>
              <w:t>fost depuse prin intermediul platformei UE pentru cereri, decizia de anulare sau revocare a unei vize și motivele pe care se întemeiază se comunică solicitantului prin formularul tipizat care figurează în anexa VI.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27</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7a – titlu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2711" w:rsidTr="00465535">
        <w:trPr>
          <w:jc w:val="center"/>
        </w:trPr>
        <w:tc>
          <w:tcPr>
            <w:tcW w:w="9752" w:type="dxa"/>
            <w:gridSpan w:val="2"/>
          </w:tcPr>
          <w:p w:rsidR="006A6174" w:rsidRPr="00ED6CB5" w:rsidRDefault="006A6174" w:rsidP="00D7587E">
            <w:pPr>
              <w:keepNext/>
            </w:pPr>
          </w:p>
        </w:tc>
      </w:tr>
      <w:tr w:rsidR="00422711" w:rsidTr="00465535">
        <w:trPr>
          <w:jc w:val="center"/>
        </w:trPr>
        <w:tc>
          <w:tcPr>
            <w:tcW w:w="4876" w:type="dxa"/>
          </w:tcPr>
          <w:p w:rsidR="006A6174" w:rsidRPr="00ED6CB5" w:rsidRDefault="00D07ECF" w:rsidP="00D7587E">
            <w:pPr>
              <w:pStyle w:val="ColumnHeading"/>
              <w:keepNext/>
            </w:pPr>
            <w:r>
              <w:t xml:space="preserve">Textul propus </w:t>
            </w:r>
            <w:r>
              <w:t>de Comisie</w:t>
            </w:r>
          </w:p>
        </w:tc>
        <w:tc>
          <w:tcPr>
            <w:tcW w:w="4876" w:type="dxa"/>
          </w:tcPr>
          <w:p w:rsidR="006A6174" w:rsidRPr="00ED6CB5" w:rsidRDefault="00D07ECF" w:rsidP="00D7587E">
            <w:pPr>
              <w:pStyle w:val="ColumnHeading"/>
              <w:keepNext/>
            </w:pPr>
            <w:r>
              <w:t>Amendamentul</w:t>
            </w:r>
          </w:p>
        </w:tc>
      </w:tr>
      <w:tr w:rsidR="00422711" w:rsidTr="00465535">
        <w:trPr>
          <w:jc w:val="center"/>
        </w:trPr>
        <w:tc>
          <w:tcPr>
            <w:tcW w:w="4876" w:type="dxa"/>
          </w:tcPr>
          <w:p w:rsidR="006A6174" w:rsidRPr="00ED6CB5" w:rsidRDefault="00D07ECF" w:rsidP="00D7587E">
            <w:pPr>
              <w:pStyle w:val="Normal6"/>
            </w:pPr>
            <w:r>
              <w:t>Informații destinate publicului larg furnizate de platforma UE pentru cereri</w:t>
            </w:r>
          </w:p>
        </w:tc>
        <w:tc>
          <w:tcPr>
            <w:tcW w:w="4876" w:type="dxa"/>
          </w:tcPr>
          <w:p w:rsidR="006A6174" w:rsidRPr="00ED6CB5" w:rsidRDefault="00D07ECF" w:rsidP="00D7587E">
            <w:pPr>
              <w:pStyle w:val="Normal6"/>
              <w:rPr>
                <w:szCs w:val="24"/>
              </w:rPr>
            </w:pPr>
            <w:r>
              <w:rPr>
                <w:i/>
              </w:rPr>
              <w:t>(Nu privește versiunea în limba română.)</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28</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w:t>
      </w:r>
      <w:r>
        <w:t>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7a – alineatul 2 – paragraful 1 – partea introductivă</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eu-LISA este responsabilă cu publicarea și actualizarea următoarelor informații destinate publicului larg pe platforma UE pentru cereri, după primirea următoarelor informații din partea Comisiei sau a statelor membre:</w:t>
            </w:r>
          </w:p>
        </w:tc>
        <w:tc>
          <w:tcPr>
            <w:tcW w:w="4876" w:type="dxa"/>
          </w:tcPr>
          <w:p w:rsidR="006A6174" w:rsidRPr="00ED6CB5" w:rsidRDefault="00D07ECF" w:rsidP="00D7587E">
            <w:pPr>
              <w:pStyle w:val="Normal6"/>
              <w:rPr>
                <w:szCs w:val="24"/>
              </w:rPr>
            </w:pPr>
            <w:r>
              <w:rPr>
                <w:i/>
              </w:rPr>
              <w:t>(Nu privește versiunea în limba română</w:t>
            </w:r>
            <w:r>
              <w:rPr>
                <w:i/>
              </w:rPr>
              <w: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29</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7b – alineatul 2 – paragraful 1 – partea introductivă</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Fără a aduce atingere articolului 7ba, solicitantul trebuie să furnizeze următoarele date cu caracter personal în formularul de cerere:</w:t>
            </w:r>
          </w:p>
        </w:tc>
        <w:tc>
          <w:tcPr>
            <w:tcW w:w="4876" w:type="dxa"/>
          </w:tcPr>
          <w:p w:rsidR="006A6174" w:rsidRPr="00ED6CB5" w:rsidRDefault="00D07ECF" w:rsidP="00D7587E">
            <w:pPr>
              <w:pStyle w:val="Normal6"/>
              <w:rPr>
                <w:szCs w:val="24"/>
              </w:rPr>
            </w:pPr>
            <w:r>
              <w:t>Fără</w:t>
            </w:r>
            <w:r>
              <w:t xml:space="preserve"> a aduce atingere articolului 7ba, solicitantul trebuie să furnizeze următoarele date cu caracter personal în formularul de cerere</w:t>
            </w:r>
            <w:r>
              <w:rPr>
                <w:b/>
                <w:i/>
              </w:rPr>
              <w:t>, dacă este cazul</w:t>
            </w:r>
            <w:r>
              <w: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494634" w:rsidRPr="00ED6CB5" w:rsidRDefault="00D07ECF" w:rsidP="00494634">
      <w:pPr>
        <w:pStyle w:val="AMNumberTabs0"/>
        <w:keepNext/>
      </w:pPr>
      <w:r>
        <w:rPr>
          <w:rStyle w:val="HideTWBExt"/>
          <w:b w:val="0"/>
        </w:rPr>
        <w:t>&lt;Amend&gt;</w:t>
      </w:r>
      <w:r>
        <w:t>Amendamentul</w:t>
      </w:r>
      <w:r>
        <w:tab/>
      </w:r>
      <w:r>
        <w:tab/>
      </w:r>
      <w:r>
        <w:rPr>
          <w:rStyle w:val="HideTWBExt"/>
          <w:b w:val="0"/>
        </w:rPr>
        <w:t>&lt;NumAm&gt;</w:t>
      </w:r>
      <w:r>
        <w:t>30</w:t>
      </w:r>
      <w:r>
        <w:rPr>
          <w:rStyle w:val="HideTWBExt"/>
          <w:b w:val="0"/>
        </w:rPr>
        <w:t>&lt;/NumAm&gt;</w:t>
      </w:r>
    </w:p>
    <w:p w:rsidR="006A6174" w:rsidRPr="00ED6CB5" w:rsidRDefault="00D07ECF" w:rsidP="006A6174">
      <w:pPr>
        <w:pStyle w:val="NormalBold12b"/>
        <w:keepNext/>
      </w:pPr>
      <w:r>
        <w:rPr>
          <w:rStyle w:val="HideTWBExt"/>
          <w:b w:val="0"/>
        </w:rPr>
        <w:t>&lt;DocAmend&gt;</w:t>
      </w:r>
      <w:r>
        <w:t xml:space="preserve">Propunere de </w:t>
      </w:r>
      <w:r>
        <w:t>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7b – alineatul 2 – paragraful 1 – punctul 28</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(28)</w:t>
            </w:r>
            <w:r>
              <w:tab/>
            </w:r>
            <w:r>
              <w:t>amprentele digitale prelevate anterior, în scopul solicitării unei vize Schengen; data (dacă se cunoaște); numărul vizei, dacă se cunoaște;</w:t>
            </w:r>
          </w:p>
        </w:tc>
        <w:tc>
          <w:tcPr>
            <w:tcW w:w="4876" w:type="dxa"/>
          </w:tcPr>
          <w:p w:rsidR="006A6174" w:rsidRPr="00ED6CB5" w:rsidRDefault="00D07ECF" w:rsidP="00D7587E">
            <w:pPr>
              <w:pStyle w:val="Normal6"/>
              <w:rPr>
                <w:szCs w:val="24"/>
              </w:rPr>
            </w:pPr>
            <w:r>
              <w:t>(28)</w:t>
            </w:r>
            <w:r>
              <w:tab/>
              <w:t>amprentele digitale prelevate anterior, în scopul solicitării unei vize Schengen; data (dacă se cunoaște); numă</w:t>
            </w:r>
            <w:r>
              <w:t>rul vizei</w:t>
            </w:r>
            <w:r>
              <w:rPr>
                <w:b/>
                <w:i/>
              </w:rPr>
              <w:t xml:space="preserve"> digitale</w:t>
            </w:r>
            <w:r>
              <w:t>, dacă se cunoaște;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31</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w:t>
      </w:r>
      <w:r>
        <w:t>67/2008</w:t>
      </w:r>
      <w:r>
        <w:rPr>
          <w:rStyle w:val="HideTWBExt"/>
        </w:rPr>
        <w:t>&lt;/DocAmend2&gt;</w:t>
      </w:r>
    </w:p>
    <w:p w:rsidR="006A6174" w:rsidRPr="00ED6CB5" w:rsidRDefault="00D07ECF" w:rsidP="006A6174">
      <w:r>
        <w:rPr>
          <w:rStyle w:val="HideTWBExt"/>
        </w:rPr>
        <w:t>&lt;Article2&gt;</w:t>
      </w:r>
      <w:r>
        <w:t>Articolul 7b – alineatul 2 – paragraful 3 a (nou)</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6213D7">
            <w:pPr>
              <w:pStyle w:val="Normal6"/>
              <w:rPr>
                <w:szCs w:val="24"/>
              </w:rPr>
            </w:pPr>
            <w:r>
              <w:rPr>
                <w:b/>
                <w:i/>
              </w:rPr>
              <w:t xml:space="preserve">În ceea ce privește stocarea temporară a datelor, eu-LISA este considerată autoritatea competentă și operatorul, în </w:t>
            </w:r>
            <w:r>
              <w:rPr>
                <w:b/>
                <w:i/>
              </w:rPr>
              <w:t>conformitate cu articolul 4 punctul 7 din Regulamentul (UE) 2016/679, și are principala responsabilitate pentru prelucrarea datelor.</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32</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7b – alineatul 5 – paragraful 1 a (nou)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2711" w:rsidTr="00465535">
        <w:trPr>
          <w:jc w:val="center"/>
        </w:trPr>
        <w:tc>
          <w:tcPr>
            <w:tcW w:w="9752" w:type="dxa"/>
            <w:gridSpan w:val="2"/>
          </w:tcPr>
          <w:p w:rsidR="006A6174" w:rsidRPr="00ED6CB5" w:rsidRDefault="006A6174" w:rsidP="00D7587E">
            <w:pPr>
              <w:keepNext/>
            </w:pPr>
          </w:p>
        </w:tc>
      </w:tr>
      <w:tr w:rsidR="00422711" w:rsidTr="00465535">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465535">
        <w:trPr>
          <w:jc w:val="center"/>
        </w:trPr>
        <w:tc>
          <w:tcPr>
            <w:tcW w:w="4876" w:type="dxa"/>
          </w:tcPr>
          <w:p w:rsidR="006A6174" w:rsidRPr="00ED6CB5" w:rsidRDefault="006A6174" w:rsidP="00D7587E">
            <w:pPr>
              <w:pStyle w:val="Normal6"/>
            </w:pPr>
          </w:p>
        </w:tc>
        <w:tc>
          <w:tcPr>
            <w:tcW w:w="4876" w:type="dxa"/>
          </w:tcPr>
          <w:p w:rsidR="006A6174" w:rsidRPr="00ED6CB5" w:rsidRDefault="00D07ECF" w:rsidP="006213D7">
            <w:pPr>
              <w:pStyle w:val="Normal6"/>
              <w:rPr>
                <w:szCs w:val="24"/>
              </w:rPr>
            </w:pPr>
            <w:r>
              <w:rPr>
                <w:b/>
                <w:i/>
              </w:rPr>
              <w:t>O adresă IP marcată</w:t>
            </w:r>
            <w:r>
              <w:rPr>
                <w:b/>
                <w:i/>
              </w:rPr>
              <w:t xml:space="preserve"> nu conduce în mod automat la descalificarea cererii de viză.</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lastRenderedPageBreak/>
        <w:t>&lt;TitreJust&gt;</w:t>
      </w:r>
      <w:r>
        <w:t>Justificare</w:t>
      </w:r>
      <w:r>
        <w:rPr>
          <w:rStyle w:val="HideTWBExt"/>
          <w:i w:val="0"/>
        </w:rPr>
        <w:t>&lt;/TitreJust&gt;</w:t>
      </w:r>
    </w:p>
    <w:p w:rsidR="006A6174" w:rsidRPr="00ED6CB5" w:rsidRDefault="00D07ECF" w:rsidP="006A6174">
      <w:pPr>
        <w:pStyle w:val="Normal12Italic"/>
        <w:rPr>
          <w:noProof w:val="0"/>
        </w:rPr>
      </w:pPr>
      <w:r>
        <w:t>În anumite țări terțe, acoperirea rețelelor de internet este încă extrem de limitată. Ar trebui să se acorde o atenție deosebi</w:t>
      </w:r>
      <w:r>
        <w:t>tă situației în care sunt lansate mai multe cereri din același loc și de la aceeași adresă IP. O adresă IP marcată nu ar trebui să conducă în mod automat la descalificarea cererii de viză.</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33</w:t>
      </w:r>
      <w:r>
        <w:rPr>
          <w:rStyle w:val="HideTWBExt"/>
          <w:b w:val="0"/>
        </w:rPr>
        <w:t>&lt;/NumAm&gt;</w:t>
      </w:r>
    </w:p>
    <w:p w:rsidR="006A6174" w:rsidRPr="00ED6CB5" w:rsidRDefault="00D07ECF" w:rsidP="006A6174">
      <w:pPr>
        <w:pStyle w:val="NormalBold12b"/>
        <w:keepNext/>
      </w:pPr>
      <w:r>
        <w:rPr>
          <w:rStyle w:val="HideTWBExt"/>
          <w:b w:val="0"/>
        </w:rPr>
        <w:t>&lt;DocAmend&gt;</w:t>
      </w:r>
      <w:r>
        <w:t>Propunere</w:t>
      </w:r>
      <w:r>
        <w:t xml:space="preserv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7b – alineatul 6</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6.</w:t>
            </w:r>
            <w:r>
              <w:tab/>
              <w:t xml:space="preserve">Comisia </w:t>
            </w:r>
            <w:r>
              <w:rPr>
                <w:b/>
                <w:i/>
              </w:rPr>
              <w:t xml:space="preserve">definește, prin </w:t>
            </w:r>
            <w:r>
              <w:rPr>
                <w:b/>
                <w:i/>
              </w:rPr>
              <w:t>intermediul unor acte de punere în aplicare,</w:t>
            </w:r>
            <w:r>
              <w:t xml:space="preserve"> conținutul </w:t>
            </w:r>
            <w:r>
              <w:rPr>
                <w:b/>
                <w:i/>
              </w:rPr>
              <w:t>unor formulare</w:t>
            </w:r>
            <w:r>
              <w:t xml:space="preserve"> de cerere simplificată pentru confirmarea vizelor valabile într-un nou document de călătorie, astfel cum se menționează la articolul 32a din Regulamentul (CE) nr. 810/2009, și pentru pr</w:t>
            </w:r>
            <w:r>
              <w:t xml:space="preserve">elungirea vizelor, astfel cum se menționează la articolul 33 din regulamentul menționat, prin intermediul platformei UE pentru cereri. </w:t>
            </w:r>
            <w:r>
              <w:rPr>
                <w:b/>
                <w:i/>
              </w:rPr>
              <w:t>Respectivele acte de punere în aplicare se adoptă în conformitate cu procedura de examinare menționată la articolul 49 al</w:t>
            </w:r>
            <w:r>
              <w:rPr>
                <w:b/>
                <w:i/>
              </w:rPr>
              <w:t>ineatul (2).</w:t>
            </w:r>
          </w:p>
        </w:tc>
        <w:tc>
          <w:tcPr>
            <w:tcW w:w="4876" w:type="dxa"/>
          </w:tcPr>
          <w:p w:rsidR="006A6174" w:rsidRPr="00ED6CB5" w:rsidRDefault="00D07ECF" w:rsidP="00D7587E">
            <w:pPr>
              <w:pStyle w:val="Normal6"/>
              <w:rPr>
                <w:szCs w:val="24"/>
              </w:rPr>
            </w:pPr>
            <w:r>
              <w:t>6.</w:t>
            </w:r>
            <w:r>
              <w:tab/>
              <w:t xml:space="preserve">Comisia </w:t>
            </w:r>
            <w:r>
              <w:rPr>
                <w:b/>
                <w:i/>
              </w:rPr>
              <w:t>adoptă acte delegate în temeiul articolului 48a pentru a defini</w:t>
            </w:r>
            <w:r>
              <w:t xml:space="preserve"> conținutul </w:t>
            </w:r>
            <w:r>
              <w:rPr>
                <w:b/>
                <w:i/>
              </w:rPr>
              <w:t>formularelor</w:t>
            </w:r>
            <w:r>
              <w:t xml:space="preserve"> de cerere simplificată pentru confirmarea vizelor valabile într-un nou document de călătorie, astfel cum se menționează la articolul 32a din Reg</w:t>
            </w:r>
            <w:r>
              <w:t>ulamentul (CE) nr. 810/2009, și pentru prelungirea vizelor, astfel cum se menționează la articolul 33 din regulamentul menționat, prin intermediul platformei UE pentru cereri.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34</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7c – alineatul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2.</w:t>
            </w:r>
            <w:r>
              <w:tab/>
            </w:r>
            <w:r>
              <w:t xml:space="preserve">Solicitanții trebuie să poată utiliza platforma UE pentru cereri pentru a furniza o copie </w:t>
            </w:r>
            <w:r>
              <w:rPr>
                <w:b/>
                <w:i/>
              </w:rPr>
              <w:t xml:space="preserve">scanată </w:t>
            </w:r>
            <w:r>
              <w:t xml:space="preserve">a documentului de </w:t>
            </w:r>
            <w:r>
              <w:lastRenderedPageBreak/>
              <w:t>călătorie în format electronic, precum și documente justificative și dovada asigurării medicale de călătorie în format digital, după caz, în</w:t>
            </w:r>
            <w:r>
              <w:t xml:space="preserve"> temeiul Regulamentului (CE) nr. 810/2009 sau al Directivei 2004/38/CE.</w:t>
            </w:r>
          </w:p>
        </w:tc>
        <w:tc>
          <w:tcPr>
            <w:tcW w:w="4876" w:type="dxa"/>
          </w:tcPr>
          <w:p w:rsidR="006A6174" w:rsidRPr="00ED6CB5" w:rsidRDefault="00D07ECF" w:rsidP="00D7587E">
            <w:pPr>
              <w:pStyle w:val="Normal6"/>
              <w:rPr>
                <w:szCs w:val="24"/>
              </w:rPr>
            </w:pPr>
            <w:r>
              <w:lastRenderedPageBreak/>
              <w:t>2.</w:t>
            </w:r>
            <w:r>
              <w:tab/>
              <w:t xml:space="preserve">Solicitanții trebuie să poată utiliza platforma UE pentru cereri pentru a furniza o copie a documentului de călătorie în </w:t>
            </w:r>
            <w:r>
              <w:lastRenderedPageBreak/>
              <w:t>format electronic, precum și documente justificative și dova</w:t>
            </w:r>
            <w:r>
              <w:t>da asigurării medicale de călătorie în format digital, după caz, în temeiul Regulamentului (CE) nr. 810/2009 sau al Directivei 2004/38/CE.</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35</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w:t>
      </w:r>
      <w:r>
        <w:rPr>
          <w:rStyle w:val="HideTWBExt"/>
          <w:b w:val="0"/>
        </w:rPr>
        <w:t>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7c – alineatul 9 – paragraful 3</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Platforma pentru cereri trebuie</w:t>
            </w:r>
            <w:r>
              <w:t xml:space="preserve"> să fie concepută astfel încât să asigure faptul că este posibil să se aplice articolul 19 alineatele (4) și (4a) din Regulamentul (CE) nr. 810/2009, pentru ca cererile să poată fi considerate admisibile.</w:t>
            </w:r>
          </w:p>
        </w:tc>
        <w:tc>
          <w:tcPr>
            <w:tcW w:w="4876" w:type="dxa"/>
          </w:tcPr>
          <w:p w:rsidR="006A6174" w:rsidRPr="00ED6CB5" w:rsidRDefault="00D07ECF" w:rsidP="00D7587E">
            <w:pPr>
              <w:pStyle w:val="Normal6"/>
              <w:rPr>
                <w:szCs w:val="24"/>
              </w:rPr>
            </w:pPr>
            <w:r>
              <w:t xml:space="preserve">Platforma </w:t>
            </w:r>
            <w:r>
              <w:rPr>
                <w:b/>
                <w:i/>
              </w:rPr>
              <w:t xml:space="preserve">UE </w:t>
            </w:r>
            <w:r>
              <w:t>pentru cereri trebuie să fie concepută</w:t>
            </w:r>
            <w:r>
              <w:t xml:space="preserve"> astfel încât să asigure faptul că este posibil să se aplice articolul 19 alineatele (4) și (4a) din Regulamentul (CE) nr. 810/2009, pentru ca cererile să poată fi considerate admisibile.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w:t>
      </w:r>
      <w:r>
        <w:rPr>
          <w:rStyle w:val="HideTWBExt"/>
          <w:b w:val="0"/>
        </w:rPr>
        <w:t>m&gt;</w:t>
      </w:r>
      <w:r>
        <w:t>36</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7c – alineatul 13 a (nou)</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6A6174" w:rsidP="00D7587E">
            <w:pPr>
              <w:pStyle w:val="Normal6"/>
            </w:pPr>
          </w:p>
        </w:tc>
        <w:tc>
          <w:tcPr>
            <w:tcW w:w="4876" w:type="dxa"/>
          </w:tcPr>
          <w:p w:rsidR="006A6174" w:rsidRPr="00ED6CB5" w:rsidRDefault="00D07ECF" w:rsidP="006213D7">
            <w:pPr>
              <w:pStyle w:val="Normal6"/>
              <w:rPr>
                <w:szCs w:val="24"/>
              </w:rPr>
            </w:pPr>
            <w:r>
              <w:rPr>
                <w:b/>
                <w:i/>
              </w:rPr>
              <w:t>13a.</w:t>
            </w:r>
            <w:r>
              <w:rPr>
                <w:b/>
                <w:i/>
              </w:rPr>
              <w:tab/>
              <w:t>În ceea ce privește datele transferate menționate la alineatele (11) și (12), fiecare stat membru desemnează o autoritate competentă care trebuie considerată operator de date, în conformitate cu articolul 4 punctul 7 din Regulamentul (U</w:t>
            </w:r>
            <w:r>
              <w:rPr>
                <w:b/>
                <w:i/>
              </w:rPr>
              <w:t xml:space="preserve">E) 2016/679, și care are principala responsabilitate pentru prelucrarea datelor de către statul membru respectiv. Fiecare stat membru </w:t>
            </w:r>
            <w:r>
              <w:rPr>
                <w:b/>
                <w:i/>
              </w:rPr>
              <w:lastRenderedPageBreak/>
              <w:t>informează Comisia în legătură cu această desemnare.</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w:t>
      </w:r>
      <w:r>
        <w:rPr>
          <w:rStyle w:val="HideTWBExt"/>
          <w:b w:val="0"/>
        </w:rPr>
        <w:t>&gt;</w:t>
      </w:r>
      <w:r>
        <w:t>37</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7e – alineatul 1 – litera 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(a)</w:t>
            </w:r>
            <w:r>
              <w:tab/>
              <w:t xml:space="preserve">a examina și a efectua verificări ale calității datelor încărcate în capacitatea de stocare temporară, în special a copiei </w:t>
            </w:r>
            <w:r>
              <w:rPr>
                <w:b/>
                <w:i/>
              </w:rPr>
              <w:t>scanate</w:t>
            </w:r>
            <w:r>
              <w:t xml:space="preserve"> a documentului de călătorie;</w:t>
            </w:r>
          </w:p>
        </w:tc>
        <w:tc>
          <w:tcPr>
            <w:tcW w:w="4876" w:type="dxa"/>
          </w:tcPr>
          <w:p w:rsidR="006A6174" w:rsidRPr="00ED6CB5" w:rsidRDefault="00D07ECF" w:rsidP="00D7587E">
            <w:pPr>
              <w:pStyle w:val="Normal6"/>
              <w:rPr>
                <w:szCs w:val="24"/>
              </w:rPr>
            </w:pPr>
            <w:r>
              <w:t>(a)</w:t>
            </w:r>
            <w:r>
              <w:tab/>
            </w:r>
            <w:r>
              <w:t xml:space="preserve">a examina și a efectua verificări ale calității datelor încărcate în capacitatea de stocare temporară, în special a copiei </w:t>
            </w:r>
            <w:r>
              <w:rPr>
                <w:b/>
                <w:i/>
              </w:rPr>
              <w:t>electronice</w:t>
            </w:r>
            <w:r>
              <w:t xml:space="preserve"> a documentului de călătorie;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38</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7f – alineatul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1.</w:t>
            </w:r>
            <w:r>
              <w:tab/>
              <w:t>Solicitanților și</w:t>
            </w:r>
            <w:r>
              <w:t xml:space="preserve"> titularilor de viză li se notifică prin mijloace electronice </w:t>
            </w:r>
            <w:r>
              <w:rPr>
                <w:b/>
                <w:i/>
              </w:rPr>
              <w:t xml:space="preserve">securizate </w:t>
            </w:r>
            <w:r>
              <w:t>deciziile luate de statele membre cu privire la cererile lor sau la vizele eliberate.</w:t>
            </w:r>
          </w:p>
        </w:tc>
        <w:tc>
          <w:tcPr>
            <w:tcW w:w="4876" w:type="dxa"/>
          </w:tcPr>
          <w:p w:rsidR="006A6174" w:rsidRPr="00ED6CB5" w:rsidRDefault="00D07ECF" w:rsidP="00D7587E">
            <w:pPr>
              <w:pStyle w:val="Normal6"/>
              <w:rPr>
                <w:szCs w:val="24"/>
              </w:rPr>
            </w:pPr>
            <w:r>
              <w:t>1.</w:t>
            </w:r>
            <w:r>
              <w:tab/>
              <w:t>Solicitanților și titularilor de viză li se notifică prin mijloace electronice deciziile luate</w:t>
            </w:r>
            <w:r>
              <w:t xml:space="preserve"> de statele membre cu privire la cererile lor sau la vizele eliberate.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39</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3</w:t>
      </w:r>
      <w:r>
        <w:rPr>
          <w:rStyle w:val="HideTWBExt"/>
          <w:b w:val="0"/>
        </w:rPr>
        <w:t>&lt;/Article&gt;</w:t>
      </w:r>
    </w:p>
    <w:p w:rsidR="006A6174" w:rsidRPr="00ED6CB5" w:rsidRDefault="00D07ECF" w:rsidP="006A6174">
      <w:pPr>
        <w:keepNext/>
      </w:pPr>
      <w:r>
        <w:rPr>
          <w:rStyle w:val="HideTWBExt"/>
        </w:rPr>
        <w:lastRenderedPageBreak/>
        <w:t>&lt;DocAmend2&gt;</w:t>
      </w:r>
      <w:r>
        <w:t>Regulamentul (CE) nr. 767/2008</w:t>
      </w:r>
      <w:r>
        <w:rPr>
          <w:rStyle w:val="HideTWBExt"/>
        </w:rPr>
        <w:t>&lt;/DocAmend2&gt;</w:t>
      </w:r>
    </w:p>
    <w:p w:rsidR="006A6174" w:rsidRPr="00ED6CB5" w:rsidRDefault="00D07ECF" w:rsidP="006A6174">
      <w:r>
        <w:rPr>
          <w:rStyle w:val="HideTWBExt"/>
        </w:rPr>
        <w:t>&lt;Article2&gt;</w:t>
      </w:r>
      <w:r>
        <w:t>Articolul 7g – alineatul 3</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3.</w:t>
            </w:r>
            <w:r>
              <w:tab/>
            </w:r>
            <w:r>
              <w:t xml:space="preserve">Platforma UE pentru cereri trebuie să le ofere solicitanților o funcționalitate de serviciu web care să le permită să verifice </w:t>
            </w:r>
            <w:r>
              <w:rPr>
                <w:b/>
                <w:i/>
              </w:rPr>
              <w:t>viza digitală</w:t>
            </w:r>
            <w:r>
              <w:t xml:space="preserve"> fără serviciul de cont securizat.</w:t>
            </w:r>
          </w:p>
        </w:tc>
        <w:tc>
          <w:tcPr>
            <w:tcW w:w="4876" w:type="dxa"/>
          </w:tcPr>
          <w:p w:rsidR="006A6174" w:rsidRPr="00ED6CB5" w:rsidRDefault="00D07ECF" w:rsidP="00D7587E">
            <w:pPr>
              <w:pStyle w:val="Normal6"/>
              <w:rPr>
                <w:szCs w:val="24"/>
              </w:rPr>
            </w:pPr>
            <w:r>
              <w:t>3.</w:t>
            </w:r>
            <w:r>
              <w:tab/>
              <w:t>Platforma UE pentru cereri trebuie să le ofere solicitanților o funcționalitat</w:t>
            </w:r>
            <w:r>
              <w:t xml:space="preserve">e de serviciu web care să le permită să verifice </w:t>
            </w:r>
            <w:r>
              <w:rPr>
                <w:b/>
                <w:i/>
              </w:rPr>
              <w:t>valabilitatea vizei digitale</w:t>
            </w:r>
            <w:r>
              <w:t xml:space="preserve"> fără serviciul de cont securizat.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40</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w:t>
      </w:r>
      <w:r>
        <w:t xml:space="preserve"> 2 – paragraful 1 – punctul 6 – litera a</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10 – alineatul 1 – litera e</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(e)</w:t>
            </w:r>
            <w:r>
              <w:tab/>
              <w:t>numărul vizei</w:t>
            </w:r>
            <w:r>
              <w:rPr>
                <w:b/>
                <w:i/>
              </w:rPr>
              <w:t>;”</w:t>
            </w:r>
            <w:r>
              <w:t>;</w:t>
            </w:r>
          </w:p>
        </w:tc>
        <w:tc>
          <w:tcPr>
            <w:tcW w:w="4876" w:type="dxa"/>
          </w:tcPr>
          <w:p w:rsidR="006A6174" w:rsidRPr="00ED6CB5" w:rsidRDefault="00D07ECF" w:rsidP="00D7587E">
            <w:pPr>
              <w:pStyle w:val="Normal6"/>
              <w:rPr>
                <w:szCs w:val="24"/>
              </w:rPr>
            </w:pPr>
            <w:r>
              <w:t>(e)</w:t>
            </w:r>
            <w:r>
              <w:tab/>
              <w:t>numărul vizei</w:t>
            </w:r>
            <w:r>
              <w:rPr>
                <w:b/>
                <w:i/>
              </w:rPr>
              <w:t xml:space="preserve"> digitale</w:t>
            </w:r>
            <w:r>
              <w: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41</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8</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w:t>
      </w:r>
      <w:r>
        <w:t xml:space="preserve"> 14 – alineatul 1 – litera d</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(d)</w:t>
            </w:r>
            <w:r>
              <w:tab/>
              <w:t>numărul vizei prelungite;</w:t>
            </w:r>
          </w:p>
        </w:tc>
        <w:tc>
          <w:tcPr>
            <w:tcW w:w="4876" w:type="dxa"/>
          </w:tcPr>
          <w:p w:rsidR="006A6174" w:rsidRPr="00ED6CB5" w:rsidRDefault="00D07ECF" w:rsidP="00D7587E">
            <w:pPr>
              <w:pStyle w:val="Normal6"/>
              <w:rPr>
                <w:szCs w:val="24"/>
              </w:rPr>
            </w:pPr>
            <w:r>
              <w:t>(d)</w:t>
            </w:r>
            <w:r>
              <w:tab/>
              <w:t xml:space="preserve">numărul </w:t>
            </w:r>
            <w:r>
              <w:rPr>
                <w:b/>
                <w:i/>
              </w:rPr>
              <w:t xml:space="preserve">vizei digitale al </w:t>
            </w:r>
            <w:r>
              <w:t>vizei prelungite;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lastRenderedPageBreak/>
        <w:t>&lt;Amend&gt;</w:t>
      </w:r>
      <w:r>
        <w:t>Amendamentul</w:t>
      </w:r>
      <w:r>
        <w:tab/>
      </w:r>
      <w:r>
        <w:tab/>
      </w:r>
      <w:r>
        <w:rPr>
          <w:rStyle w:val="HideTWBExt"/>
          <w:b w:val="0"/>
        </w:rPr>
        <w:t>&lt;NumAm&gt;</w:t>
      </w:r>
      <w:r>
        <w:t>42</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9</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15 – alineatul 2 – litera f</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(f)</w:t>
            </w:r>
            <w:r>
              <w:tab/>
            </w:r>
            <w:r>
              <w:t>numărul vizei, al vizei de lungă ședere sau al permisului de ședere și data eliberării oricărei vize anterioare, a oricărei vize de lungă ședere anterioare sau a oricărui permis de ședere anterior;</w:t>
            </w:r>
          </w:p>
        </w:tc>
        <w:tc>
          <w:tcPr>
            <w:tcW w:w="4876" w:type="dxa"/>
          </w:tcPr>
          <w:p w:rsidR="006A6174" w:rsidRPr="00ED6CB5" w:rsidRDefault="00D07ECF" w:rsidP="00D7587E">
            <w:pPr>
              <w:pStyle w:val="Normal6"/>
              <w:rPr>
                <w:szCs w:val="24"/>
              </w:rPr>
            </w:pPr>
            <w:r>
              <w:t>(f)</w:t>
            </w:r>
            <w:r>
              <w:tab/>
              <w:t>numărul vizei</w:t>
            </w:r>
            <w:r>
              <w:rPr>
                <w:b/>
                <w:i/>
              </w:rPr>
              <w:t xml:space="preserve"> digitale</w:t>
            </w:r>
            <w:r>
              <w:t>, al vizei de lungă ședere sau a</w:t>
            </w:r>
            <w:r>
              <w:t>l permisului de ședere și data eliberării oricărei vize anterioare, a oricărei vize de lungă ședere anterioare sau a oricărui permis de ședere anterior;</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43</w:t>
      </w:r>
      <w:r>
        <w:rPr>
          <w:rStyle w:val="HideTWBExt"/>
          <w:b w:val="0"/>
        </w:rPr>
        <w:t>&lt;/NumAm&gt;</w:t>
      </w:r>
    </w:p>
    <w:p w:rsidR="006A6174" w:rsidRPr="00ED6CB5" w:rsidRDefault="00D07ECF" w:rsidP="006A6174">
      <w:pPr>
        <w:pStyle w:val="NormalBold12b"/>
        <w:keepNext/>
      </w:pPr>
      <w:r>
        <w:rPr>
          <w:rStyle w:val="HideTWBExt"/>
          <w:b w:val="0"/>
        </w:rPr>
        <w:t>&lt;DocAmend&gt;</w:t>
      </w:r>
      <w:r>
        <w:t>Propunere de</w:t>
      </w:r>
      <w:r>
        <w:t xml:space="preserve"> regulament</w:t>
      </w:r>
      <w:r>
        <w:rPr>
          <w:rStyle w:val="HideTWBExt"/>
          <w:b w:val="0"/>
        </w:rPr>
        <w:t>&lt;/DocAmend&gt;</w:t>
      </w:r>
    </w:p>
    <w:p w:rsidR="006A6174" w:rsidRPr="00ED6CB5" w:rsidRDefault="00D07ECF" w:rsidP="006A6174">
      <w:pPr>
        <w:pStyle w:val="NormalBold"/>
      </w:pPr>
      <w:r>
        <w:rPr>
          <w:rStyle w:val="HideTWBExt"/>
          <w:b w:val="0"/>
        </w:rPr>
        <w:t>&lt;Article&gt;</w:t>
      </w:r>
      <w:r>
        <w:t>Articolul 2 – paragraful 1 – punctul 17 – litera b</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22o – alineatul 3 – litera f</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rPr>
                <w:b/>
                <w:i/>
              </w:rPr>
              <w:t>(f)</w:t>
            </w:r>
            <w:r>
              <w:rPr>
                <w:b/>
                <w:i/>
              </w:rPr>
              <w:tab/>
            </w:r>
            <w:r>
              <w:rPr>
                <w:b/>
                <w:i/>
              </w:rPr>
              <w:t>adresa IP;</w:t>
            </w:r>
          </w:p>
        </w:tc>
        <w:tc>
          <w:tcPr>
            <w:tcW w:w="4876" w:type="dxa"/>
          </w:tcPr>
          <w:p w:rsidR="006A6174" w:rsidRPr="00ED6CB5" w:rsidRDefault="00D07ECF" w:rsidP="00D7587E">
            <w:pPr>
              <w:pStyle w:val="Normal6"/>
              <w:rPr>
                <w:szCs w:val="24"/>
              </w:rPr>
            </w:pPr>
            <w:r>
              <w:rPr>
                <w:b/>
                <w:i/>
              </w:rPr>
              <w:t>eliminat</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t>&lt;TitreJust&gt;</w:t>
      </w:r>
      <w:r>
        <w:t>Justificare</w:t>
      </w:r>
      <w:r>
        <w:rPr>
          <w:rStyle w:val="HideTWBExt"/>
          <w:i w:val="0"/>
        </w:rPr>
        <w:t>&lt;/TitreJust&gt;</w:t>
      </w:r>
    </w:p>
    <w:p w:rsidR="006A6174" w:rsidRPr="00ED6CB5" w:rsidRDefault="00D07ECF" w:rsidP="006A6174">
      <w:pPr>
        <w:pStyle w:val="Normal12Italic"/>
        <w:rPr>
          <w:noProof w:val="0"/>
        </w:rPr>
      </w:pPr>
      <w:r>
        <w:t xml:space="preserve">Acest articol se referă la datele care trebuie adăugate de autoritățile competente în scopul prelungirii unei vize de lungă ședere sau al reînnoirii permisului de </w:t>
      </w:r>
      <w:r>
        <w:t>ședere. Raportorul consideră că colectarea adresei IP în acest scop nu este necesară sau justificată suficient.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44</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 xml:space="preserve">Articolul 2 – paragraful 1 – punctul 18 – </w:t>
      </w:r>
      <w:r>
        <w:t>litera a</w:t>
      </w:r>
      <w:r>
        <w:rPr>
          <w:rStyle w:val="HideTWBExt"/>
          <w:b w:val="0"/>
        </w:rPr>
        <w:t>&lt;/Article&gt;</w:t>
      </w:r>
    </w:p>
    <w:p w:rsidR="006A6174" w:rsidRPr="00ED6CB5" w:rsidRDefault="00D07ECF" w:rsidP="006A6174">
      <w:pPr>
        <w:keepNext/>
      </w:pPr>
      <w:r>
        <w:rPr>
          <w:rStyle w:val="HideTWBExt"/>
        </w:rPr>
        <w:t>&lt;DocAmend2&gt;</w:t>
      </w:r>
      <w:r>
        <w:t>Regulamentul (CE) nr. 767/2008</w:t>
      </w:r>
      <w:r>
        <w:rPr>
          <w:rStyle w:val="HideTWBExt"/>
        </w:rPr>
        <w:t>&lt;/DocAmend2&gt;</w:t>
      </w:r>
    </w:p>
    <w:p w:rsidR="006A6174" w:rsidRPr="00ED6CB5" w:rsidRDefault="00D07ECF" w:rsidP="006A6174">
      <w:r>
        <w:rPr>
          <w:rStyle w:val="HideTWBExt"/>
        </w:rPr>
        <w:t>&lt;Article2&gt;</w:t>
      </w:r>
      <w:r>
        <w:t>Articolul 22r – alineatul 3 – litera f</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(c)</w:t>
            </w:r>
            <w:r>
              <w:tab/>
              <w:t xml:space="preserve">numărul vizei sau numărul vizei de </w:t>
            </w:r>
            <w:r>
              <w:lastRenderedPageBreak/>
              <w:t>lungă ședere sau al permisului de ședere și</w:t>
            </w:r>
            <w:r>
              <w:t xml:space="preserve"> data de expirare a valabilității vizei, a vizei de lungă ședere sau a permisului de ședere, după caz;”;</w:t>
            </w:r>
          </w:p>
        </w:tc>
        <w:tc>
          <w:tcPr>
            <w:tcW w:w="4876" w:type="dxa"/>
          </w:tcPr>
          <w:p w:rsidR="006A6174" w:rsidRPr="00ED6CB5" w:rsidRDefault="00D07ECF" w:rsidP="00D7587E">
            <w:pPr>
              <w:pStyle w:val="Normal6"/>
              <w:rPr>
                <w:szCs w:val="24"/>
              </w:rPr>
            </w:pPr>
            <w:r>
              <w:lastRenderedPageBreak/>
              <w:t>(c)</w:t>
            </w:r>
            <w:r>
              <w:tab/>
              <w:t xml:space="preserve">numărul vizei </w:t>
            </w:r>
            <w:r>
              <w:rPr>
                <w:b/>
                <w:i/>
              </w:rPr>
              <w:t xml:space="preserve">digitale </w:t>
            </w:r>
            <w:r>
              <w:t xml:space="preserve">sau numărul </w:t>
            </w:r>
            <w:r>
              <w:lastRenderedPageBreak/>
              <w:t>vizei de lungă ședere sau al permisului de ședere și data de expirare a valabilității vizei, a vizei de lungă șe</w:t>
            </w:r>
            <w:r>
              <w:t>dere sau a permisului de ședere, după caz;”;</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45</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8 – paragraful 1 – punctul 1</w:t>
      </w:r>
      <w:r>
        <w:rPr>
          <w:rStyle w:val="HideTWBExt"/>
          <w:b w:val="0"/>
        </w:rPr>
        <w:t>&lt;/Article&gt;</w:t>
      </w:r>
    </w:p>
    <w:p w:rsidR="006A6174" w:rsidRPr="00ED6CB5" w:rsidRDefault="00D07ECF" w:rsidP="006A6174">
      <w:pPr>
        <w:keepNext/>
      </w:pPr>
      <w:r>
        <w:rPr>
          <w:rStyle w:val="HideTWBExt"/>
        </w:rPr>
        <w:t>&lt;DocAmend2&gt;</w:t>
      </w:r>
      <w:r>
        <w:t xml:space="preserve">Regulamentul </w:t>
      </w:r>
      <w:r>
        <w:t>(UE) 2017/2226</w:t>
      </w:r>
      <w:r>
        <w:rPr>
          <w:rStyle w:val="HideTWBExt"/>
        </w:rPr>
        <w:t>&lt;/DocAmend2&gt;</w:t>
      </w:r>
    </w:p>
    <w:p w:rsidR="006A6174" w:rsidRPr="00ED6CB5" w:rsidRDefault="00D07ECF" w:rsidP="006A6174">
      <w:r>
        <w:rPr>
          <w:rStyle w:val="HideTWBExt"/>
        </w:rPr>
        <w:t>&lt;Article2&gt;</w:t>
      </w:r>
      <w:r>
        <w:t>Articolul 16 – alineatul 2 – litera d</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(d)</w:t>
            </w:r>
            <w:r>
              <w:tab/>
              <w:t xml:space="preserve">dacă este cazul, numărul vizei de scurtă ședere, inclusiv codul din trei litere al statului membru emitent, tipul vizei de </w:t>
            </w:r>
            <w:r>
              <w:t>scurtă ședere, data de expirare a duratei maxime de ședere autorizată de viza de scurtă ședere, care trebuie actualizată la fiecare intrare, și data de expirare a valabilității vizei de scurtă ședere;</w:t>
            </w:r>
          </w:p>
        </w:tc>
        <w:tc>
          <w:tcPr>
            <w:tcW w:w="4876" w:type="dxa"/>
          </w:tcPr>
          <w:p w:rsidR="006A6174" w:rsidRPr="00ED6CB5" w:rsidRDefault="00D07ECF" w:rsidP="00D7587E">
            <w:pPr>
              <w:pStyle w:val="Normal6"/>
              <w:rPr>
                <w:szCs w:val="24"/>
              </w:rPr>
            </w:pPr>
            <w:r>
              <w:t>(d)</w:t>
            </w:r>
            <w:r>
              <w:tab/>
              <w:t xml:space="preserve">dacă este cazul, numărul vizei </w:t>
            </w:r>
            <w:r>
              <w:rPr>
                <w:b/>
                <w:i/>
              </w:rPr>
              <w:t xml:space="preserve">digitale </w:t>
            </w:r>
            <w:r>
              <w:t>de scurtă ș</w:t>
            </w:r>
            <w:r>
              <w:t>edere, inclusiv codul din trei litere al statului membru emitent, tipul vizei de scurtă ședere, data de expirare a duratei maxime de ședere autorizată de viza de scurtă ședere, care trebuie actualizată la fiecare intrare, și data de expirare a valabilități</w:t>
            </w:r>
            <w:r>
              <w:t>i vizei de scurtă ședere;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46</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8 – paragraful 1 – punctul 2 – litera a</w:t>
      </w:r>
      <w:r>
        <w:rPr>
          <w:rStyle w:val="HideTWBExt"/>
          <w:b w:val="0"/>
        </w:rPr>
        <w:t>&lt;/Article&gt;</w:t>
      </w:r>
    </w:p>
    <w:p w:rsidR="006A6174" w:rsidRPr="00ED6CB5" w:rsidRDefault="00D07ECF" w:rsidP="006A6174">
      <w:pPr>
        <w:keepNext/>
      </w:pPr>
      <w:r>
        <w:rPr>
          <w:rStyle w:val="HideTWBExt"/>
        </w:rPr>
        <w:t>&lt;DocAmend2&gt;</w:t>
      </w:r>
      <w:r>
        <w:t>Regulamentul (UE) 2017/2</w:t>
      </w:r>
      <w:r>
        <w:t>226</w:t>
      </w:r>
      <w:r>
        <w:rPr>
          <w:rStyle w:val="HideTWBExt"/>
        </w:rPr>
        <w:t>&lt;/DocAmend2&gt;</w:t>
      </w:r>
    </w:p>
    <w:p w:rsidR="006A6174" w:rsidRPr="00ED6CB5" w:rsidRDefault="00D07ECF" w:rsidP="006A6174">
      <w:r>
        <w:rPr>
          <w:rStyle w:val="HideTWBExt"/>
        </w:rPr>
        <w:t>&lt;Article2&gt;</w:t>
      </w:r>
      <w:r>
        <w:t>Articolul 19 – alineatul 1 – litera d</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(d)</w:t>
            </w:r>
            <w:r>
              <w:tab/>
              <w:t>dacă este cazul, noul număr de viză, inclusiv codul din trei litere al țării emitente;</w:t>
            </w:r>
          </w:p>
        </w:tc>
        <w:tc>
          <w:tcPr>
            <w:tcW w:w="4876" w:type="dxa"/>
          </w:tcPr>
          <w:p w:rsidR="006A6174" w:rsidRPr="00ED6CB5" w:rsidRDefault="00D07ECF" w:rsidP="00D7587E">
            <w:pPr>
              <w:pStyle w:val="Normal6"/>
              <w:rPr>
                <w:szCs w:val="24"/>
              </w:rPr>
            </w:pPr>
            <w:r>
              <w:t>(d)</w:t>
            </w:r>
            <w:r>
              <w:tab/>
              <w:t>dacă este cazul, noul număr de viză</w:t>
            </w:r>
            <w:r>
              <w:rPr>
                <w:b/>
                <w:i/>
              </w:rPr>
              <w:t xml:space="preserve"> digitală</w:t>
            </w:r>
            <w:r>
              <w:t>,</w:t>
            </w:r>
            <w:r>
              <w:t xml:space="preserve"> inclusiv codul din trei litere al țării emitente;</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lastRenderedPageBreak/>
        <w:t>&lt;Amend&gt;</w:t>
      </w:r>
      <w:r>
        <w:t>Amendamentul</w:t>
      </w:r>
      <w:r>
        <w:tab/>
      </w:r>
      <w:r>
        <w:tab/>
      </w:r>
      <w:r>
        <w:rPr>
          <w:rStyle w:val="HideTWBExt"/>
          <w:b w:val="0"/>
        </w:rPr>
        <w:t>&lt;NumAm&gt;</w:t>
      </w:r>
      <w:r>
        <w:t>47</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8 – paragraful 1 – punctul 3</w:t>
      </w:r>
      <w:r>
        <w:rPr>
          <w:rStyle w:val="HideTWBExt"/>
          <w:b w:val="0"/>
        </w:rPr>
        <w:t>&lt;/Article&gt;</w:t>
      </w:r>
    </w:p>
    <w:p w:rsidR="006A6174" w:rsidRPr="00ED6CB5" w:rsidRDefault="00D07ECF" w:rsidP="006A6174">
      <w:pPr>
        <w:keepNext/>
      </w:pPr>
      <w:r>
        <w:rPr>
          <w:rStyle w:val="HideTWBExt"/>
        </w:rPr>
        <w:t>&lt;DocAmend2&gt;</w:t>
      </w:r>
      <w:r>
        <w:t>Regulament</w:t>
      </w:r>
      <w:r>
        <w:t>ul (UE) 2017/2226</w:t>
      </w:r>
      <w:r>
        <w:rPr>
          <w:rStyle w:val="HideTWBExt"/>
        </w:rPr>
        <w:t>&lt;/DocAmend2&gt;</w:t>
      </w:r>
    </w:p>
    <w:p w:rsidR="006A6174" w:rsidRPr="00ED6CB5" w:rsidRDefault="00D07ECF" w:rsidP="006A6174">
      <w:r>
        <w:rPr>
          <w:rStyle w:val="HideTWBExt"/>
        </w:rPr>
        <w:t>&lt;Article2&gt;</w:t>
      </w:r>
      <w:r>
        <w:t>Articolul 24 – alineatul 2 – litera b</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(b)</w:t>
            </w:r>
            <w:r>
              <w:tab/>
              <w:t xml:space="preserve">numărul vizei de scurtă ședere, inclusiv codul din trei litere al statului membru emitent, astfel cum se menționează la </w:t>
            </w:r>
            <w:r>
              <w:t>articolul 16 alineatul (2) litera (d);”.</w:t>
            </w:r>
          </w:p>
        </w:tc>
        <w:tc>
          <w:tcPr>
            <w:tcW w:w="4876" w:type="dxa"/>
          </w:tcPr>
          <w:p w:rsidR="006A6174" w:rsidRPr="00ED6CB5" w:rsidRDefault="00D07ECF" w:rsidP="00D7587E">
            <w:pPr>
              <w:pStyle w:val="Normal6"/>
              <w:rPr>
                <w:szCs w:val="24"/>
              </w:rPr>
            </w:pPr>
            <w:r>
              <w:t>(b)</w:t>
            </w:r>
            <w:r>
              <w:tab/>
              <w:t xml:space="preserve">numărul vizei </w:t>
            </w:r>
            <w:r>
              <w:rPr>
                <w:b/>
                <w:i/>
              </w:rPr>
              <w:t xml:space="preserve">digitale </w:t>
            </w:r>
            <w:r>
              <w:t>de scurtă ședere, inclusiv codul din trei litere al statului membru emitent, astfel cum se menționează la articolul 16 alineatul (2) litera (d);”.</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48</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8 – paragraful 1 – punctul 4</w:t>
      </w:r>
      <w:r>
        <w:rPr>
          <w:rStyle w:val="HideTWBExt"/>
          <w:b w:val="0"/>
        </w:rPr>
        <w:t>&lt;/Article&gt;</w:t>
      </w:r>
    </w:p>
    <w:p w:rsidR="006A6174" w:rsidRPr="00ED6CB5" w:rsidRDefault="00D07ECF" w:rsidP="006A6174">
      <w:pPr>
        <w:keepNext/>
      </w:pPr>
      <w:r>
        <w:rPr>
          <w:rStyle w:val="HideTWBExt"/>
        </w:rPr>
        <w:t>&lt;DocAmend2&gt;</w:t>
      </w:r>
      <w:r>
        <w:t>Regulamentul (UE) 2017/2226</w:t>
      </w:r>
      <w:r>
        <w:rPr>
          <w:rStyle w:val="HideTWBExt"/>
        </w:rPr>
        <w:t>&lt;/DocAmend2&gt;</w:t>
      </w:r>
    </w:p>
    <w:p w:rsidR="006A6174" w:rsidRPr="00ED6CB5" w:rsidRDefault="00D07ECF" w:rsidP="006A6174">
      <w:r>
        <w:rPr>
          <w:rStyle w:val="HideTWBExt"/>
        </w:rPr>
        <w:t>&lt;Article2&gt;</w:t>
      </w:r>
      <w:r>
        <w:t>Articolul 32 – alineatul 5 – litera c</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(c)</w:t>
            </w:r>
            <w:r>
              <w:tab/>
              <w:t>numărul vizei și data de expirare a valabilității vizei;”.</w:t>
            </w:r>
          </w:p>
        </w:tc>
        <w:tc>
          <w:tcPr>
            <w:tcW w:w="4876" w:type="dxa"/>
          </w:tcPr>
          <w:p w:rsidR="006A6174" w:rsidRPr="00ED6CB5" w:rsidRDefault="00D07ECF" w:rsidP="00D7587E">
            <w:pPr>
              <w:pStyle w:val="Normal6"/>
              <w:rPr>
                <w:szCs w:val="24"/>
              </w:rPr>
            </w:pPr>
            <w:r>
              <w:t>(c)</w:t>
            </w:r>
            <w:r>
              <w:tab/>
              <w:t xml:space="preserve">numărul vizei </w:t>
            </w:r>
            <w:r>
              <w:rPr>
                <w:b/>
                <w:i/>
              </w:rPr>
              <w:t xml:space="preserve">digitale </w:t>
            </w:r>
            <w:r>
              <w:t>și data de expirare a valabilității vizei;”.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&lt;NumAm&gt;</w:t>
      </w:r>
      <w:r>
        <w:t>49</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9 – alineatul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1.</w:t>
            </w:r>
            <w:r>
              <w:tab/>
              <w:t xml:space="preserve">La </w:t>
            </w:r>
            <w:r>
              <w:rPr>
                <w:b/>
                <w:i/>
              </w:rPr>
              <w:t>cinci</w:t>
            </w:r>
            <w:r>
              <w:t xml:space="preserve"> ani de la data intrării în funcțiune în conformitate cu articolul 12 din prezentul regulament, Comisia evaluează funcționarea platformei UE pentru cereri. Această evaluare include o examinare a rezultatelor obținute în raport cu obiectivele și a punerii î</w:t>
            </w:r>
            <w:r>
              <w:t xml:space="preserve">n aplicare a </w:t>
            </w:r>
            <w:r>
              <w:lastRenderedPageBreak/>
              <w:t>dispozițiilor Regulamentului (CE) nr. 810/2009 și ale Regulamentului (CE) nr. 767/2008, astfel cum au fost modificate prin prezentul regulament.</w:t>
            </w:r>
          </w:p>
        </w:tc>
        <w:tc>
          <w:tcPr>
            <w:tcW w:w="4876" w:type="dxa"/>
          </w:tcPr>
          <w:p w:rsidR="006A6174" w:rsidRPr="00ED6CB5" w:rsidRDefault="00D07ECF" w:rsidP="00D7587E">
            <w:pPr>
              <w:pStyle w:val="Normal6"/>
              <w:rPr>
                <w:szCs w:val="24"/>
              </w:rPr>
            </w:pPr>
            <w:r>
              <w:lastRenderedPageBreak/>
              <w:t>1.</w:t>
            </w:r>
            <w:r>
              <w:tab/>
              <w:t xml:space="preserve">La </w:t>
            </w:r>
            <w:r>
              <w:rPr>
                <w:b/>
                <w:i/>
              </w:rPr>
              <w:t>trei</w:t>
            </w:r>
            <w:r>
              <w:t xml:space="preserve"> ani de la data intrării în funcțiune în conformitate cu articolul 12 din prezentul regu</w:t>
            </w:r>
            <w:r>
              <w:t xml:space="preserve">lament, Comisia evaluează funcționarea platformei UE pentru cereri. Această evaluare include o examinare a rezultatelor obținute în raport cu obiectivele și a punerii în aplicare a </w:t>
            </w:r>
            <w:r>
              <w:lastRenderedPageBreak/>
              <w:t>dispozițiilor Regulamentului (CE) nr. 810/2009 și ale Regulamentului (CE) n</w:t>
            </w:r>
            <w:r>
              <w:t>r. 767/2008, astfel cum au fost modificate prin prezentul regulament.</w:t>
            </w:r>
          </w:p>
        </w:tc>
      </w:tr>
    </w:tbl>
    <w:p w:rsidR="006A6174" w:rsidRPr="00ED6CB5" w:rsidRDefault="00D07ECF" w:rsidP="006A6174">
      <w:pPr>
        <w:pStyle w:val="Olang"/>
        <w:rPr>
          <w:noProof w:val="0"/>
        </w:rPr>
      </w:pPr>
      <w:r w:rsidRPr="00ED6CB5">
        <w:rPr>
          <w:noProof w:val="0"/>
        </w:rPr>
        <w:lastRenderedPageBreak/>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6A6174" w:rsidRPr="00ED6CB5" w:rsidRDefault="00D07ECF" w:rsidP="006A6174">
      <w:pPr>
        <w:pStyle w:val="JustificationTitle"/>
        <w:rPr>
          <w:noProof w:val="0"/>
        </w:rPr>
      </w:pPr>
      <w:r>
        <w:rPr>
          <w:rStyle w:val="HideTWBExt"/>
          <w:i w:val="0"/>
        </w:rPr>
        <w:t>&lt;TitreJust&gt;</w:t>
      </w:r>
      <w:r>
        <w:t>Justificare</w:t>
      </w:r>
      <w:r>
        <w:rPr>
          <w:rStyle w:val="HideTWBExt"/>
          <w:i w:val="0"/>
        </w:rPr>
        <w:t>&lt;/TitreJust&gt;</w:t>
      </w:r>
    </w:p>
    <w:p w:rsidR="006A6174" w:rsidRPr="00ED6CB5" w:rsidRDefault="00D07ECF" w:rsidP="006A6174">
      <w:pPr>
        <w:pStyle w:val="Normal12Italic"/>
        <w:rPr>
          <w:noProof w:val="0"/>
        </w:rPr>
      </w:pPr>
      <w:r>
        <w:t xml:space="preserve">Raportorul consideră că o perioadă de cinci ani este lungă pentru evaluarea unui instrument care va dura cel puțin 4 </w:t>
      </w:r>
      <w:r>
        <w:t>ani. Trei ani de la data începerii funcționării este mai adecvată și mai conformă cu dispozițiile similare din alte acte juridice, cum ar fi VIS, EES, ETIAS, SIS, care au prevăzut o evaluare după trei ani de funcționare.</w:t>
      </w:r>
    </w:p>
    <w:p w:rsidR="006A6174" w:rsidRPr="00ED6CB5" w:rsidRDefault="00D07ECF" w:rsidP="006A6174">
      <w:r>
        <w:rPr>
          <w:rStyle w:val="HideTWBExt"/>
        </w:rPr>
        <w:t>&lt;/Amend&gt;</w:t>
      </w:r>
    </w:p>
    <w:p w:rsidR="006A6174" w:rsidRPr="00ED6CB5" w:rsidRDefault="00D07ECF" w:rsidP="006A6174">
      <w:pPr>
        <w:pStyle w:val="AMNumberTabs0"/>
        <w:keepNext/>
      </w:pPr>
      <w:r>
        <w:rPr>
          <w:rStyle w:val="HideTWBExt"/>
          <w:b w:val="0"/>
        </w:rPr>
        <w:t>&lt;Amend&gt;</w:t>
      </w:r>
      <w:r>
        <w:t>Amendamentul</w:t>
      </w:r>
      <w:r>
        <w:tab/>
      </w:r>
      <w:r>
        <w:tab/>
      </w:r>
      <w:r>
        <w:rPr>
          <w:rStyle w:val="HideTWBExt"/>
          <w:b w:val="0"/>
        </w:rPr>
        <w:t>&lt;NumA</w:t>
      </w:r>
      <w:r>
        <w:rPr>
          <w:rStyle w:val="HideTWBExt"/>
          <w:b w:val="0"/>
        </w:rPr>
        <w:t>m&gt;</w:t>
      </w:r>
      <w:r>
        <w:t>50</w:t>
      </w:r>
      <w:r>
        <w:rPr>
          <w:rStyle w:val="HideTWBExt"/>
          <w:b w:val="0"/>
        </w:rPr>
        <w:t>&lt;/NumAm&gt;</w:t>
      </w:r>
    </w:p>
    <w:p w:rsidR="006A6174" w:rsidRPr="00ED6CB5" w:rsidRDefault="00D07ECF" w:rsidP="006A6174">
      <w:pPr>
        <w:pStyle w:val="NormalBold12b"/>
        <w:keepNext/>
      </w:pPr>
      <w:r>
        <w:rPr>
          <w:rStyle w:val="HideTWBExt"/>
          <w:b w:val="0"/>
        </w:rPr>
        <w:t>&lt;DocAmend&gt;</w:t>
      </w:r>
      <w:r>
        <w:t>Propunere de regulament</w:t>
      </w:r>
      <w:r>
        <w:rPr>
          <w:rStyle w:val="HideTWBExt"/>
          <w:b w:val="0"/>
        </w:rPr>
        <w:t>&lt;/DocAmend&gt;</w:t>
      </w:r>
    </w:p>
    <w:p w:rsidR="006A6174" w:rsidRPr="00ED6CB5" w:rsidRDefault="00D07ECF" w:rsidP="006A6174">
      <w:pPr>
        <w:pStyle w:val="NormalBold"/>
      </w:pPr>
      <w:r>
        <w:rPr>
          <w:rStyle w:val="HideTWBExt"/>
          <w:b w:val="0"/>
        </w:rPr>
        <w:t>&lt;Article&gt;</w:t>
      </w:r>
      <w:r>
        <w:t>Articolul 10 – alineatul 3 – paragraful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2711" w:rsidTr="00D7587E">
        <w:trPr>
          <w:jc w:val="center"/>
        </w:trPr>
        <w:tc>
          <w:tcPr>
            <w:tcW w:w="9752" w:type="dxa"/>
            <w:gridSpan w:val="2"/>
          </w:tcPr>
          <w:p w:rsidR="006A6174" w:rsidRPr="00ED6CB5" w:rsidRDefault="006A6174" w:rsidP="00D7587E">
            <w:pPr>
              <w:keepNext/>
            </w:pPr>
          </w:p>
        </w:tc>
      </w:tr>
      <w:tr w:rsidR="00422711" w:rsidTr="00D7587E">
        <w:trPr>
          <w:jc w:val="center"/>
        </w:trPr>
        <w:tc>
          <w:tcPr>
            <w:tcW w:w="4876" w:type="dxa"/>
          </w:tcPr>
          <w:p w:rsidR="006A6174" w:rsidRPr="00ED6CB5" w:rsidRDefault="00D07ECF" w:rsidP="00D7587E">
            <w:pPr>
              <w:pStyle w:val="ColumnHeading"/>
              <w:keepNext/>
            </w:pPr>
            <w:r>
              <w:t>Textul propus de Comisie</w:t>
            </w:r>
          </w:p>
        </w:tc>
        <w:tc>
          <w:tcPr>
            <w:tcW w:w="4876" w:type="dxa"/>
          </w:tcPr>
          <w:p w:rsidR="006A6174" w:rsidRPr="00ED6CB5" w:rsidRDefault="00D07ECF" w:rsidP="00D7587E">
            <w:pPr>
              <w:pStyle w:val="ColumnHeading"/>
              <w:keepNext/>
            </w:pPr>
            <w:r>
              <w:t>Amendamentul</w:t>
            </w:r>
          </w:p>
        </w:tc>
      </w:tr>
      <w:tr w:rsidR="00422711" w:rsidTr="00D7587E">
        <w:trPr>
          <w:jc w:val="center"/>
        </w:trPr>
        <w:tc>
          <w:tcPr>
            <w:tcW w:w="4876" w:type="dxa"/>
          </w:tcPr>
          <w:p w:rsidR="006A6174" w:rsidRPr="00ED6CB5" w:rsidRDefault="00D07ECF" w:rsidP="00D7587E">
            <w:pPr>
              <w:pStyle w:val="Normal6"/>
            </w:pPr>
            <w:r>
              <w:t xml:space="preserve">În cursul acestei perioade de tranziție, titularii de viză trebuie să poată verifica </w:t>
            </w:r>
            <w:r>
              <w:rPr>
                <w:b/>
                <w:i/>
              </w:rPr>
              <w:t>vizele digi</w:t>
            </w:r>
            <w:r>
              <w:rPr>
                <w:b/>
                <w:i/>
              </w:rPr>
              <w:t>tale</w:t>
            </w:r>
            <w:r>
              <w:t xml:space="preserve"> prin intermediul serviciului web al platformei pentru cererile de viză online, menționat la articolul 7g din Regulamentul (CE) nr. 767/2008, în cazul în care statul membru care le prelucrează cererea de viză a decis să nu utilizeze platforma UE pentru</w:t>
            </w:r>
            <w:r>
              <w:t xml:space="preserve"> cereri.</w:t>
            </w:r>
          </w:p>
        </w:tc>
        <w:tc>
          <w:tcPr>
            <w:tcW w:w="4876" w:type="dxa"/>
          </w:tcPr>
          <w:p w:rsidR="006A6174" w:rsidRPr="00ED6CB5" w:rsidRDefault="00D07ECF" w:rsidP="00D7587E">
            <w:pPr>
              <w:pStyle w:val="Normal6"/>
              <w:rPr>
                <w:szCs w:val="24"/>
              </w:rPr>
            </w:pPr>
            <w:r>
              <w:t xml:space="preserve">În cursul acestei perioade de tranziție, titularii de viză trebuie să poată verifica </w:t>
            </w:r>
            <w:r>
              <w:rPr>
                <w:b/>
                <w:i/>
              </w:rPr>
              <w:t>valabilitatea vizelor digitale</w:t>
            </w:r>
            <w:r>
              <w:t xml:space="preserve"> prin intermediul serviciului web al platformei</w:t>
            </w:r>
            <w:r>
              <w:rPr>
                <w:b/>
                <w:i/>
              </w:rPr>
              <w:t xml:space="preserve"> UE</w:t>
            </w:r>
            <w:r>
              <w:t xml:space="preserve"> pentru cererile de viză online, menționat la articolul 7g din Regulamentul (CE) nr. 767/2008, în cazul în care statul membru care le prelucrează cererea de viză a decis să nu utilizeze platforma UE pentru cereri.</w:t>
            </w:r>
          </w:p>
        </w:tc>
      </w:tr>
    </w:tbl>
    <w:p w:rsidR="006A6174" w:rsidRPr="00ED6CB5" w:rsidRDefault="00D07ECF" w:rsidP="006A6174">
      <w:pPr>
        <w:pStyle w:val="Olang"/>
        <w:rPr>
          <w:noProof w:val="0"/>
        </w:rPr>
      </w:pPr>
      <w:r w:rsidRPr="00ED6CB5">
        <w:rPr>
          <w:noProof w:val="0"/>
        </w:rPr>
        <w:t xml:space="preserve">Or. </w:t>
      </w:r>
      <w:r w:rsidRPr="00ED6CB5">
        <w:rPr>
          <w:rStyle w:val="HideTWBExt"/>
          <w:noProof w:val="0"/>
        </w:rPr>
        <w:t>&lt;Original&gt;</w:t>
      </w:r>
      <w:r w:rsidRPr="00ED6CB5">
        <w:rPr>
          <w:rStyle w:val="HideTWBInt"/>
          <w:noProof w:val="0"/>
        </w:rPr>
        <w:t>{EN}</w:t>
      </w:r>
      <w:r w:rsidRPr="00ED6CB5">
        <w:rPr>
          <w:noProof w:val="0"/>
        </w:rPr>
        <w:t>en</w:t>
      </w:r>
      <w:r w:rsidRPr="00ED6CB5">
        <w:rPr>
          <w:rStyle w:val="HideTWBExt"/>
          <w:noProof w:val="0"/>
        </w:rPr>
        <w:t>&lt;/Original&gt;</w:t>
      </w:r>
    </w:p>
    <w:p w:rsidR="00142026" w:rsidRPr="00ED6CB5" w:rsidRDefault="00D07ECF" w:rsidP="002669B6">
      <w:pPr>
        <w:sectPr w:rsidR="00142026" w:rsidRPr="00ED6CB5" w:rsidSect="00661A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Pr>
          <w:rStyle w:val="HideTWBExt"/>
        </w:rPr>
        <w:t>&lt;</w:t>
      </w:r>
      <w:r>
        <w:rPr>
          <w:rStyle w:val="HideTWBExt"/>
        </w:rPr>
        <w:t>/Amend&gt;&lt;/RepeatBlock-Amend&gt;</w:t>
      </w:r>
    </w:p>
    <w:p w:rsidR="002669B6" w:rsidRPr="00ED6CB5" w:rsidRDefault="00D07ECF" w:rsidP="000E37F8">
      <w:pPr>
        <w:pStyle w:val="PageHeading"/>
      </w:pPr>
      <w:bookmarkStart w:id="2" w:name="_Toc118718765"/>
      <w:r>
        <w:lastRenderedPageBreak/>
        <w:t>EXPUNERE DE MOTIVE</w:t>
      </w:r>
      <w:bookmarkEnd w:id="2"/>
    </w:p>
    <w:p w:rsidR="00AB3008" w:rsidRPr="00ED6CB5" w:rsidRDefault="00D07ECF" w:rsidP="00AB3008">
      <w:pPr>
        <w:pStyle w:val="Body"/>
        <w:spacing w:after="240"/>
      </w:pPr>
      <w:r>
        <w:t xml:space="preserve">La 27 aprilie 2022, Comisia a prezentat propunerea privind digitalizarea procedurii în materie de vize. Propunerea vizează introducerea posibilității de a depune online cererile de viză prin intermediul unei </w:t>
      </w:r>
      <w:r>
        <w:t>platforme digitale a UE pentru cererile de viză și înlocuirea autocolantului de viză cu o viză digitală. Aceasta va raționaliza și armoniza procedurile în contextul politicii comune în domeniul vizelor și va alinia cerințele privind călătoriile, condițiile</w:t>
      </w:r>
      <w:r>
        <w:t xml:space="preserve"> de intrare și verificările la frontiere în spațiul Schengen prin intermediul digitalizării și al cadrului pentru interoperabilitatea la frontiere.</w:t>
      </w:r>
    </w:p>
    <w:p w:rsidR="00D80700" w:rsidRPr="00ED6CB5" w:rsidRDefault="00D07ECF" w:rsidP="000E37F8">
      <w:pPr>
        <w:pStyle w:val="Body"/>
        <w:spacing w:after="240"/>
      </w:pPr>
      <w:r>
        <w:t>Temeiul juridic al prezentei inițiative legislative este articolul 77 alineatul (2) din Tratatul privind fun</w:t>
      </w:r>
      <w:r>
        <w:t>cționarea Uniunii Europene (TFUE). Articolul 77 alineatul (2) litera (a) din TFUE îi conferă Uniunii competența de a elabora măsuri privind „politica comună a vizelor și a altor permise de ședere de scurtă durată”. Articolul 77 alineatul (2) litera (b) din</w:t>
      </w:r>
      <w:r>
        <w:t xml:space="preserve"> TFUE îi conferă Uniunii competența de a elabora măsuri privind „controalele la care sunt supuse persoanele la trecerea frontierelor externe”. Articolul 79 alineatul (2) litera (a) îi conferă Uniunii competența de a elabora măsuri privind „condițiile de in</w:t>
      </w:r>
      <w:r>
        <w:t>trare și de ședere, precum și normele privind acordarea de către statele membre a vizelor și a permiselor de ședere pe termen lung”. Întrucât instrumentul juridic vizează digitalizarea atât a vizelor de scurtă ședere, cât și a vizelor de lungă ședere (numa</w:t>
      </w:r>
      <w:r>
        <w:t>i modelul vizei digitale pentru acestea din urmă), este necesar un temei juridic comun, alcătuit din articolul 77 alineatul (2) și articolul 79 alineatul (2) din TFUE.</w:t>
      </w:r>
    </w:p>
    <w:p w:rsidR="00D80700" w:rsidRPr="00ED6CB5" w:rsidRDefault="00D07ECF" w:rsidP="00D80700">
      <w:pPr>
        <w:pStyle w:val="Body"/>
        <w:spacing w:after="240"/>
      </w:pPr>
      <w:r>
        <w:t>De la intrarea în vigoare, în 2010, a Codului de vize</w:t>
      </w:r>
      <w:r>
        <w:rPr>
          <w:vertAlign w:val="superscript"/>
        </w:rPr>
        <w:footnoteReference w:id="1"/>
      </w:r>
      <w:r>
        <w:t xml:space="preserve"> și de la punerea în funcțiune</w:t>
      </w:r>
      <w:r>
        <w:rPr>
          <w:vertAlign w:val="superscript"/>
        </w:rPr>
        <w:footnoteReference w:id="2"/>
      </w:r>
      <w:r>
        <w:t>, î</w:t>
      </w:r>
      <w:r>
        <w:t>n 2011, a Sistemului de informații privind Vizele (VIS), contextul în care se aplică politica în domeniul vizelor s-a modificat în mod considerabil. Pe de o parte, provocările în materie de migrație și securitate au sporit în ultimii ani; pe de altă parte,</w:t>
      </w:r>
      <w:r>
        <w:t xml:space="preserve"> evoluțiile tehnologice semnificative oferă noi oportunități de facilitare a procesului de solicitare a vizelor Schengen, atât pentru călători, cât și pentru consulate.</w:t>
      </w:r>
    </w:p>
    <w:p w:rsidR="00D80700" w:rsidRPr="00ED6CB5" w:rsidRDefault="00D07ECF" w:rsidP="00D80700">
      <w:pPr>
        <w:pStyle w:val="Body"/>
        <w:spacing w:after="240"/>
      </w:pPr>
      <w:r>
        <w:t>Deși prelucrarea cererilor de viză este deja parțial digitalizată, cererile și deciziil</w:t>
      </w:r>
      <w:r>
        <w:t>e luate cu privire la acestea fiind înregistrate în VIS, două etape importante rămân pe suport de hârtie: procesul de solicitare a vizelor și autocolantul de viză.</w:t>
      </w:r>
    </w:p>
    <w:p w:rsidR="00D80700" w:rsidRPr="00ED6CB5" w:rsidRDefault="00D07ECF" w:rsidP="000E37F8">
      <w:pPr>
        <w:pStyle w:val="Body"/>
        <w:spacing w:after="240"/>
      </w:pPr>
      <w:r>
        <w:t>Cu ocazia revizuirii, în 2019, a Codului de vize al UE, Parlamentul European și Consiliul au</w:t>
      </w:r>
      <w:r>
        <w:t xml:space="preserve"> afirmat în mod explicit obiectivul dezvoltării în viitor a unei soluții comune care să permită depunerea online a cererilor de viză Schengen, valorificând astfel pe deplin evoluțiile juridice și tehnologice recente</w:t>
      </w:r>
      <w:r>
        <w:rPr>
          <w:rFonts w:eastAsia="Times New Roman" w:cs="Times New Roman"/>
          <w:vertAlign w:val="superscript"/>
        </w:rPr>
        <w:footnoteReference w:id="3"/>
      </w:r>
      <w:r>
        <w:t>. Prin introducerea opțiunii oferite sol</w:t>
      </w:r>
      <w:r>
        <w:t>icitanților de viză de a semna electronic formularele de cerere, Codul de vize modificat</w:t>
      </w:r>
      <w:r>
        <w:rPr>
          <w:rFonts w:eastAsia="Times New Roman" w:cs="Times New Roman"/>
          <w:vertAlign w:val="superscript"/>
        </w:rPr>
        <w:footnoteReference w:id="4"/>
      </w:r>
      <w:r>
        <w:t xml:space="preserve"> a creat posibilitatea ca cererile de viză să fie transmise și prelucrate în format digital.</w:t>
      </w:r>
    </w:p>
    <w:p w:rsidR="00D80700" w:rsidRPr="00ED6CB5" w:rsidRDefault="00D07ECF" w:rsidP="000E37F8">
      <w:pPr>
        <w:pStyle w:val="Body"/>
        <w:spacing w:after="240"/>
      </w:pPr>
      <w:r>
        <w:lastRenderedPageBreak/>
        <w:t>Digitalizarea procedurii în materie de vize oferă ocazia de a îmbunătăți p</w:t>
      </w:r>
      <w:r>
        <w:t>rocesul de solicitare a vizelor, reducând costurile și sarcina suportate de părțile interesate, îmbunătățind totodată securitatea spațiului Schengen. În plus, digitalizarea procesului de solicitare a vizelor este în concordanță cu evoluțiile legislative re</w:t>
      </w:r>
      <w:r>
        <w:t>cente privind peisajul informatic pentru gestionarea frontierelor, contribuind la consolidarea securității spațiului Schengen.</w:t>
      </w:r>
    </w:p>
    <w:p w:rsidR="00D80700" w:rsidRPr="00ED6CB5" w:rsidRDefault="00D07ECF" w:rsidP="000E37F8">
      <w:pPr>
        <w:pStyle w:val="Body"/>
        <w:spacing w:after="240"/>
      </w:pPr>
      <w:r>
        <w:t>Digitalizarea procedurii de acordare a vizelor constituie o evoluție pozitivă în ceea ce privește situația actuală, în care fragm</w:t>
      </w:r>
      <w:r>
        <w:t>entarea în ceea ce privește practicile naționale de gestionare a procesului de solicitare a vizelor afectează în mod negativ funcționarea politicii UE în materie de vize și percepția Uniunii Europene ca entitate geografică unică.</w:t>
      </w:r>
    </w:p>
    <w:p w:rsidR="00D80700" w:rsidRPr="00ED6CB5" w:rsidRDefault="00D07ECF" w:rsidP="000E37F8">
      <w:pPr>
        <w:pStyle w:val="Body"/>
        <w:spacing w:after="240"/>
      </w:pPr>
      <w:r>
        <w:t>Deși raportorul salută pro</w:t>
      </w:r>
      <w:r>
        <w:t>punerea Comisiei de digitalizare a procedurii de acordare a vizelor, el urmărește să o îmbunătățească și să o consolideze în continuare. Având în vedere că noul sistem va fi complet digital, propunerea merită consolidarea garanțiilor în ceea ce privește pe</w:t>
      </w:r>
      <w:r>
        <w:t>rsoanele cu dizabilități, precum și abordarea aspectelor legate de alfabetizarea digitală și de accesibilitatea internetului. În plus, raportorul consideră că este important să se abordeze, de asemenea, aspectele legate de accesibilitatea limbilor platform</w:t>
      </w:r>
      <w:r>
        <w:t>ei UE pentru cereri și ale procedurii. În conformitate cu avizul AEPD, raportorul propune, de asemenea, consolidarea responsabilității și a rolurilor eu-LISA și ale autorităților naționale în diferite etape ale prelucrării datelor.</w:t>
      </w:r>
    </w:p>
    <w:p w:rsidR="00D80700" w:rsidRPr="00ED6CB5" w:rsidRDefault="00D07ECF" w:rsidP="000E37F8">
      <w:pPr>
        <w:pStyle w:val="Body"/>
        <w:spacing w:after="240"/>
      </w:pPr>
      <w:r>
        <w:t>În ceea ce privește cole</w:t>
      </w:r>
      <w:r>
        <w:t>ctarea și prelucrarea adresei IP a solicitantului, raportorul pune sub semnul întrebării necesitatea și valoarea adăugată a unor astfel de date și consideră, de asemenea, că sunt necesare garanții suplimentare pentru a se asigura că o cerere de viză nu est</w:t>
      </w:r>
      <w:r>
        <w:t>e niciodată descalificată numai din cauza adreselor IP marcate, de exemplu din cauza accesibilității reduse a rețelei într-un anumit loc sau zonă.</w:t>
      </w:r>
    </w:p>
    <w:p w:rsidR="00193AEF" w:rsidRPr="00ED6CB5" w:rsidRDefault="00D07ECF" w:rsidP="00193AEF">
      <w:pPr>
        <w:pStyle w:val="Body"/>
        <w:spacing w:after="240"/>
      </w:pPr>
      <w:r>
        <w:t>În plus, raportorul consideră că o soluție digitală modernă și ușor de utilizat, procedura administrativă sim</w:t>
      </w:r>
      <w:r>
        <w:t>plificată și armonizată pentru cererile de viză și înlocuirea autocolantului de viză cu o viză digitală constituie o îmbunătățire binevenită a politicii UE în materie de vize și reduc riscurile de securitate pe care le prezintă autocolantele fizice de viză</w:t>
      </w:r>
      <w:r>
        <w:t>. Prin urmare, și luând în considerare importanța digitalizării vizelor pentru cetățeni și pentru Uniunea Europeană în ansamblu, raportorul recomandă membrilor Comisiei pentru libertăți civile, justiție și afaceri interne să sprijine prezentul raport.</w:t>
      </w:r>
    </w:p>
    <w:p w:rsidR="00193AEF" w:rsidRPr="00ED6CB5" w:rsidRDefault="00193AEF" w:rsidP="00193AEF">
      <w:pPr>
        <w:pStyle w:val="Body"/>
        <w:spacing w:after="240"/>
      </w:pPr>
    </w:p>
    <w:p w:rsidR="00193AEF" w:rsidRPr="00ED6CB5" w:rsidRDefault="00193AEF" w:rsidP="00193AEF">
      <w:pPr>
        <w:pStyle w:val="Body"/>
        <w:spacing w:after="240"/>
        <w:sectPr w:rsidR="00193AEF" w:rsidRPr="00ED6CB5" w:rsidSect="00193AE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3AEF" w:rsidRPr="00ED6CB5" w:rsidRDefault="00D07ECF" w:rsidP="00193AEF">
      <w:pPr>
        <w:pStyle w:val="PageHeading"/>
      </w:pPr>
      <w:bookmarkStart w:id="3" w:name="_Toc118718766"/>
      <w:r>
        <w:lastRenderedPageBreak/>
        <w:t>ANEXĂ: LISTA ENTITĂȚILOR SAU PERSOANELOR</w:t>
      </w:r>
      <w:r>
        <w:br/>
        <w:t>DE LA CARE RAPORTORUL A PRIMIT CONTRIBUȚII</w:t>
      </w:r>
      <w:bookmarkEnd w:id="3"/>
    </w:p>
    <w:p w:rsidR="00193AEF" w:rsidRPr="00ED6CB5" w:rsidRDefault="00193AEF" w:rsidP="00193AEF"/>
    <w:tbl>
      <w:tblPr>
        <w:tblW w:w="9067" w:type="dxa"/>
        <w:tblInd w:w="98" w:type="dxa"/>
        <w:tblLayout w:type="fixed"/>
        <w:tblLook w:val="0000" w:firstRow="0" w:lastRow="0" w:firstColumn="0" w:lastColumn="0" w:noHBand="0" w:noVBand="0"/>
      </w:tblPr>
      <w:tblGrid>
        <w:gridCol w:w="9067"/>
      </w:tblGrid>
      <w:tr w:rsidR="00422711" w:rsidTr="00F51B56">
        <w:trPr>
          <w:trHeight w:val="278"/>
        </w:trPr>
        <w:tc>
          <w:tcPr>
            <w:tcW w:w="9067" w:type="dxa"/>
            <w:tcBorders>
              <w:top w:val="single" w:sz="4" w:space="0" w:color="000000"/>
              <w:left w:val="single" w:sz="4" w:space="0" w:color="000000"/>
              <w:bottom w:val="single" w:sz="4" w:space="0" w:color="000000"/>
              <w:right w:val="single" w:sz="4" w:space="0" w:color="000000"/>
            </w:tcBorders>
          </w:tcPr>
          <w:p w:rsidR="00DB03A0" w:rsidRPr="00ED6CB5" w:rsidRDefault="00D07ECF" w:rsidP="00F51B56">
            <w:pPr>
              <w:spacing w:line="260" w:lineRule="auto"/>
              <w:ind w:right="-10"/>
              <w:jc w:val="center"/>
              <w:rPr>
                <w:b/>
                <w:sz w:val="22"/>
                <w:szCs w:val="22"/>
              </w:rPr>
            </w:pPr>
            <w:r>
              <w:rPr>
                <w:b/>
                <w:sz w:val="22"/>
              </w:rPr>
              <w:t>Entitatea și/sau persoana</w:t>
            </w:r>
          </w:p>
        </w:tc>
      </w:tr>
      <w:tr w:rsidR="00422711" w:rsidTr="00F51B56">
        <w:trPr>
          <w:trHeight w:val="278"/>
        </w:trPr>
        <w:tc>
          <w:tcPr>
            <w:tcW w:w="9067" w:type="dxa"/>
            <w:tcBorders>
              <w:top w:val="single" w:sz="4" w:space="0" w:color="000000"/>
              <w:left w:val="single" w:sz="4" w:space="0" w:color="000000"/>
              <w:bottom w:val="single" w:sz="4" w:space="0" w:color="000000"/>
              <w:right w:val="single" w:sz="4" w:space="0" w:color="000000"/>
            </w:tcBorders>
          </w:tcPr>
          <w:p w:rsidR="00DB03A0" w:rsidRPr="00ED6CB5" w:rsidRDefault="00D07ECF" w:rsidP="003112E8">
            <w:pPr>
              <w:ind w:left="720" w:hanging="360"/>
              <w:rPr>
                <w:b/>
              </w:rPr>
            </w:pPr>
            <w:r>
              <w:rPr>
                <w:b/>
              </w:rPr>
              <w:t>1.</w:t>
            </w:r>
            <w:r>
              <w:rPr>
                <w:b/>
              </w:rPr>
              <w:tab/>
              <w:t>TLScontact</w:t>
            </w:r>
          </w:p>
        </w:tc>
      </w:tr>
    </w:tbl>
    <w:p w:rsidR="00193AEF" w:rsidRPr="00ED6CB5" w:rsidRDefault="00193AEF" w:rsidP="00193AEF"/>
    <w:sectPr w:rsidR="00193AEF" w:rsidRPr="00ED6CB5" w:rsidSect="00193A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07ECF">
      <w:r>
        <w:separator/>
      </w:r>
    </w:p>
  </w:endnote>
  <w:endnote w:type="continuationSeparator" w:id="0">
    <w:p w:rsidR="00000000" w:rsidRDefault="00D0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A02" w:rsidRPr="00ED6CB5" w:rsidRDefault="00D07ECF" w:rsidP="00661A02">
    <w:pPr>
      <w:pStyle w:val="EPFooter"/>
    </w:pPr>
    <w:r w:rsidRPr="00ED6CB5">
      <w:t>PE</w:t>
    </w:r>
    <w:r w:rsidRPr="00ED6CB5">
      <w:rPr>
        <w:rStyle w:val="HideTWBExt"/>
      </w:rPr>
      <w:t>&lt;NoPE&gt;</w:t>
    </w:r>
    <w:r w:rsidRPr="00ED6CB5">
      <w:t>737.330</w:t>
    </w:r>
    <w:r w:rsidRPr="00ED6CB5">
      <w:rPr>
        <w:rStyle w:val="HideTWBExt"/>
      </w:rPr>
      <w:t>&lt;/NoPE&gt;&lt;Version&gt;</w:t>
    </w:r>
    <w:r w:rsidRPr="00ED6CB5">
      <w:t>v01-00</w:t>
    </w:r>
    <w:r w:rsidRPr="00ED6CB5">
      <w:rPr>
        <w:rStyle w:val="HideTWBExt"/>
      </w:rPr>
      <w:t>&lt;/Version&gt;</w:t>
    </w:r>
    <w:r w:rsidRPr="00ED6CB5">
      <w:tab/>
    </w:r>
    <w:r w:rsidRPr="00ED6CB5">
      <w:fldChar w:fldCharType="begin"/>
    </w:r>
    <w:r w:rsidRPr="00ED6CB5">
      <w:instrText xml:space="preserve"> PAGE  \* MERGEFORMAT </w:instrText>
    </w:r>
    <w:r w:rsidRPr="00ED6CB5">
      <w:fldChar w:fldCharType="separate"/>
    </w:r>
    <w:r>
      <w:rPr>
        <w:noProof/>
      </w:rPr>
      <w:t>2</w:t>
    </w:r>
    <w:r w:rsidRPr="00ED6CB5">
      <w:fldChar w:fldCharType="end"/>
    </w:r>
    <w:r w:rsidRPr="00ED6CB5">
      <w:t>/</w:t>
    </w:r>
    <w:r w:rsidR="007F3C43">
      <w:fldChar w:fldCharType="begin"/>
    </w:r>
    <w:r>
      <w:instrText xml:space="preserve"> NUMPAGES  \* MERGEFORMAT </w:instrText>
    </w:r>
    <w:r w:rsidR="007F3C43">
      <w:fldChar w:fldCharType="separate"/>
    </w:r>
    <w:r>
      <w:rPr>
        <w:noProof/>
      </w:rPr>
      <w:t>33</w:t>
    </w:r>
    <w:r w:rsidR="007F3C43">
      <w:rPr>
        <w:noProof/>
      </w:rPr>
      <w:fldChar w:fldCharType="end"/>
    </w:r>
    <w:r w:rsidRPr="00ED6CB5">
      <w:tab/>
    </w:r>
    <w:r w:rsidRPr="00ED6CB5">
      <w:rPr>
        <w:rStyle w:val="HideTWBExt"/>
      </w:rPr>
      <w:t>&lt;PathFdR&gt;</w:t>
    </w:r>
    <w:r w:rsidRPr="00ED6CB5">
      <w:t>PR\1265121RO.docx</w:t>
    </w:r>
    <w:r w:rsidRPr="00ED6CB5">
      <w:rPr>
        <w:rStyle w:val="HideTWBExt"/>
      </w:rPr>
      <w:t>&lt;/PathFdR&gt;</w:t>
    </w:r>
  </w:p>
  <w:p w:rsidR="00984186" w:rsidRPr="00ED6CB5" w:rsidRDefault="00D07ECF" w:rsidP="00661A02">
    <w:pPr>
      <w:pStyle w:val="EPFooter2"/>
    </w:pPr>
    <w:r w:rsidRPr="00ED6CB5">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A02" w:rsidRPr="00ED6CB5" w:rsidRDefault="00D07ECF" w:rsidP="00661A02">
    <w:pPr>
      <w:pStyle w:val="EPFooter"/>
    </w:pPr>
    <w:r w:rsidRPr="00ED6CB5">
      <w:rPr>
        <w:rStyle w:val="HideTWBExt"/>
      </w:rPr>
      <w:t>&lt;PathFdR&gt;</w:t>
    </w:r>
    <w:r w:rsidRPr="00ED6CB5">
      <w:t>PR\1265121RO.docx</w:t>
    </w:r>
    <w:r w:rsidRPr="00ED6CB5">
      <w:rPr>
        <w:rStyle w:val="HideTWBExt"/>
      </w:rPr>
      <w:t>&lt;/PathFdR&gt;</w:t>
    </w:r>
    <w:r w:rsidRPr="00ED6CB5">
      <w:tab/>
    </w:r>
    <w:r w:rsidRPr="00ED6CB5">
      <w:fldChar w:fldCharType="begin"/>
    </w:r>
    <w:r w:rsidRPr="00ED6CB5">
      <w:instrText xml:space="preserve"> PAGE  \* MERGEFORMAT </w:instrText>
    </w:r>
    <w:r w:rsidRPr="00ED6CB5">
      <w:fldChar w:fldCharType="separate"/>
    </w:r>
    <w:r>
      <w:rPr>
        <w:noProof/>
      </w:rPr>
      <w:t>29</w:t>
    </w:r>
    <w:r w:rsidRPr="00ED6CB5">
      <w:fldChar w:fldCharType="end"/>
    </w:r>
    <w:r w:rsidRPr="00ED6CB5">
      <w:t>/</w:t>
    </w:r>
    <w:r w:rsidR="007F3C43">
      <w:fldChar w:fldCharType="begin"/>
    </w:r>
    <w:r>
      <w:instrText xml:space="preserve"> NUMPAGES  \* MERGEFORMAT </w:instrText>
    </w:r>
    <w:r w:rsidR="007F3C43">
      <w:fldChar w:fldCharType="separate"/>
    </w:r>
    <w:r>
      <w:rPr>
        <w:noProof/>
      </w:rPr>
      <w:t>33</w:t>
    </w:r>
    <w:r w:rsidR="007F3C43">
      <w:rPr>
        <w:noProof/>
      </w:rPr>
      <w:fldChar w:fldCharType="end"/>
    </w:r>
    <w:r w:rsidRPr="00ED6CB5">
      <w:tab/>
      <w:t>PE</w:t>
    </w:r>
    <w:r w:rsidRPr="00ED6CB5">
      <w:rPr>
        <w:rStyle w:val="HideTWBExt"/>
      </w:rPr>
      <w:t>&lt;NoPE&gt;</w:t>
    </w:r>
    <w:r w:rsidRPr="00ED6CB5">
      <w:t>737.330</w:t>
    </w:r>
    <w:r w:rsidRPr="00ED6CB5">
      <w:rPr>
        <w:rStyle w:val="HideTWBExt"/>
      </w:rPr>
      <w:t>&lt;/NoPE&gt;&lt;Version&gt;</w:t>
    </w:r>
    <w:r w:rsidRPr="00ED6CB5">
      <w:t>v01-00</w:t>
    </w:r>
    <w:r w:rsidRPr="00ED6CB5">
      <w:rPr>
        <w:rStyle w:val="HideTWBExt"/>
      </w:rPr>
      <w:t>&lt;/Version&gt;</w:t>
    </w:r>
  </w:p>
  <w:p w:rsidR="00984186" w:rsidRPr="00ED6CB5" w:rsidRDefault="00D07ECF" w:rsidP="00661A02">
    <w:pPr>
      <w:pStyle w:val="EPFooter2"/>
    </w:pPr>
    <w:r w:rsidRPr="00ED6CB5">
      <w:tab/>
    </w:r>
    <w:r w:rsidRPr="00ED6CB5">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A02" w:rsidRPr="00ED6CB5" w:rsidRDefault="00D07ECF" w:rsidP="00661A02">
    <w:pPr>
      <w:pStyle w:val="EPFooter"/>
    </w:pPr>
    <w:r w:rsidRPr="00ED6CB5">
      <w:rPr>
        <w:rStyle w:val="HideTWBExt"/>
      </w:rPr>
      <w:t>&lt;PathFdR&gt;</w:t>
    </w:r>
    <w:r w:rsidRPr="00ED6CB5">
      <w:t>PR\1265121RO.docx</w:t>
    </w:r>
    <w:r w:rsidRPr="00ED6CB5">
      <w:rPr>
        <w:rStyle w:val="HideTWBExt"/>
      </w:rPr>
      <w:t>&lt;/PathFdR&gt;</w:t>
    </w:r>
    <w:r w:rsidRPr="00ED6CB5">
      <w:tab/>
    </w:r>
    <w:r w:rsidRPr="00ED6CB5">
      <w:tab/>
      <w:t>PE</w:t>
    </w:r>
    <w:r w:rsidRPr="00ED6CB5">
      <w:rPr>
        <w:rStyle w:val="HideTWBExt"/>
      </w:rPr>
      <w:t>&lt;NoPE&gt;</w:t>
    </w:r>
    <w:r w:rsidRPr="00ED6CB5">
      <w:t>737.330</w:t>
    </w:r>
    <w:r w:rsidRPr="00ED6CB5">
      <w:rPr>
        <w:rStyle w:val="HideTWBExt"/>
      </w:rPr>
      <w:t>&lt;/NoPE&gt;&lt;Version&gt;</w:t>
    </w:r>
    <w:r w:rsidRPr="00ED6CB5">
      <w:t>v01-00</w:t>
    </w:r>
    <w:r w:rsidRPr="00ED6CB5">
      <w:rPr>
        <w:rStyle w:val="HideTWBExt"/>
      </w:rPr>
      <w:t>&lt;/Version&gt;</w:t>
    </w:r>
  </w:p>
  <w:p w:rsidR="00984186" w:rsidRPr="00ED6CB5" w:rsidRDefault="00D07ECF" w:rsidP="00661A02">
    <w:pPr>
      <w:pStyle w:val="EPFooter2"/>
    </w:pPr>
    <w:r w:rsidRPr="00ED6CB5">
      <w:t>RO</w:t>
    </w:r>
    <w:r w:rsidRPr="00ED6CB5">
      <w:tab/>
    </w:r>
    <w:r w:rsidRPr="00ED6CB5">
      <w:rPr>
        <w:b w:val="0"/>
        <w:i/>
        <w:color w:val="C0C0C0"/>
        <w:sz w:val="22"/>
      </w:rPr>
      <w:t>Unită în diversitate</w:t>
    </w:r>
    <w:r w:rsidRPr="00ED6CB5">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186" w:rsidRPr="00ED6CB5" w:rsidRDefault="00D07ECF">
      <w:r w:rsidRPr="00ED6CB5">
        <w:separator/>
      </w:r>
    </w:p>
  </w:footnote>
  <w:footnote w:type="continuationSeparator" w:id="0">
    <w:p w:rsidR="00984186" w:rsidRPr="00ED6CB5" w:rsidRDefault="00D07ECF">
      <w:r w:rsidRPr="00ED6CB5">
        <w:continuationSeparator/>
      </w:r>
    </w:p>
  </w:footnote>
  <w:footnote w:id="1">
    <w:p w:rsidR="00984186" w:rsidRPr="00ED6CB5" w:rsidRDefault="00D07ECF" w:rsidP="000E37F8">
      <w:pPr>
        <w:pStyle w:val="FootnoteText"/>
      </w:pPr>
      <w:r>
        <w:rPr>
          <w:vertAlign w:val="superscript"/>
        </w:rPr>
        <w:footnoteRef/>
      </w:r>
      <w:r>
        <w:t xml:space="preserve"> </w:t>
      </w:r>
      <w:r>
        <w:tab/>
      </w:r>
      <w:r>
        <w:t>Regulamentul (CE) nr. 810/2009 al Parlamentului European și al Consiliului din 13 iulie 2009 privind instituirea unui Cod comunitar de vize (Codul de vize), (JO L 243, 15.9.2009, p. 1).</w:t>
      </w:r>
    </w:p>
  </w:footnote>
  <w:footnote w:id="2">
    <w:p w:rsidR="00984186" w:rsidRPr="00ED6CB5" w:rsidRDefault="00D07ECF" w:rsidP="000E37F8">
      <w:pPr>
        <w:pStyle w:val="FootnoteText"/>
      </w:pPr>
      <w:r>
        <w:rPr>
          <w:vertAlign w:val="superscript"/>
        </w:rPr>
        <w:footnoteRef/>
      </w:r>
      <w:r>
        <w:t xml:space="preserve"> </w:t>
      </w:r>
      <w:r>
        <w:tab/>
      </w:r>
      <w:r>
        <w:t>Regulamentul (CE) nr. 767/2008 al Parlamentului European și al Cons</w:t>
      </w:r>
      <w:r>
        <w:t>iliului din 9 iulie 2008 privind Sistemul de informații privind vizele (VIS) și schimbul de date între statele membre cu privire la vizele de scurtă ședere (JO L 218, 13.8.2008, p. 60).</w:t>
      </w:r>
    </w:p>
  </w:footnote>
  <w:footnote w:id="3">
    <w:p w:rsidR="00984186" w:rsidRPr="00ED6CB5" w:rsidRDefault="00D07ECF" w:rsidP="000E37F8">
      <w:pPr>
        <w:pStyle w:val="FootnoteText"/>
      </w:pPr>
      <w:r>
        <w:rPr>
          <w:vertAlign w:val="superscript"/>
        </w:rPr>
        <w:footnoteRef/>
      </w:r>
      <w:r>
        <w:t xml:space="preserve"> </w:t>
      </w:r>
      <w:r>
        <w:tab/>
      </w:r>
      <w:r>
        <w:t>Considerentul 20 din Regulamentul (UE) 2019/1155.</w:t>
      </w:r>
    </w:p>
  </w:footnote>
  <w:footnote w:id="4">
    <w:p w:rsidR="00984186" w:rsidRPr="00ED6CB5" w:rsidRDefault="00D07ECF" w:rsidP="000E37F8">
      <w:pPr>
        <w:pStyle w:val="FootnoteText"/>
      </w:pPr>
      <w:r>
        <w:rPr>
          <w:vertAlign w:val="superscript"/>
        </w:rPr>
        <w:footnoteRef/>
      </w:r>
      <w:r>
        <w:t xml:space="preserve"> </w:t>
      </w:r>
      <w:r>
        <w:tab/>
      </w:r>
      <w:r>
        <w:t>Regulamentul (CE</w:t>
      </w:r>
      <w:r>
        <w:t xml:space="preserve">) nr. 810/2009 al Parlamentului European și al Consiliului din 13 iulie 2009 privind instituirea unui Cod comunitar de vize (Codul de vize) (JO L 243, 15.9.2009, p. 1) și Regulamentul (UE) 2019/1155 al Parlamentului European și al Consiliului din 20 iunie </w:t>
      </w:r>
      <w:r>
        <w:t>2019 de modificare a Regulamentului (CE) nr. 810/2009 privind instituirea unui Cod comunitar de vize (Codul de vize) (JO L 188, 12.7.2019, p. 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C43" w:rsidRDefault="007F3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C43" w:rsidRDefault="007F3C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C43" w:rsidRDefault="007F3C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065D1A"/>
    <w:multiLevelType w:val="multilevel"/>
    <w:tmpl w:val="128E3B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7287 HideTWBExt;}{\*\cs18 \additive \v\f1\fs20\cf15 _x000d__x000a_\spriority0 \styrsid7887287 HideTWBInt;}{\s19\ql \li0\ri0\sa120\nowidctlpar\wrapdefault\aspalpha\aspnum\faauto\adjustright\rin0\lin0\itap0 \rtlch\fcs1 \af0\afs20\alang1025 \ltrch\fcs0 \fs24\lang2057\langfe2057\cgrid\langnp2057\langfenp2057 _x000d__x000a_\sbasedon0 \snext19 \spriority0 \styrsid7887287 Normal6a;}{\s20\ql \li0\ri0\nowidctlpar\wrapdefault\aspalpha\aspnum\faauto\adjustright\rin0\lin0\itap0 \rtlch\fcs1 \af0\afs20\alang1025 \ltrch\fcs0 \b\fs24\lang2057\langfe2057\cgrid\langnp2057\langfenp2057 _x000d__x000a_\sbasedon0 \snext20 \spriority0 \styrsid7887287 NormalBold;}{\s21\ql \li0\ri0\sa240\nowidctlpar\wrapdefault\aspalpha\aspnum\faauto\adjustright\rin0\lin0\itap0 \rtlch\fcs1 \af0\afs20\alang1025 \ltrch\fcs0 _x000d__x000a_\i\fs24\lang2057\langfe2057\cgrid\langnp2057\langfenp2057 \sbasedon0 \snext21 \spriority0 \styrsid7887287 AmJustText;}{\s22\qc \li0\ri0\sb240\sa240\nowidctlpar\wrapdefault\aspalpha\aspnum\faauto\adjustright\rin0\lin0\itap0 \rtlch\fcs1 _x000d__x000a_\af0\afs20\alang1025 \ltrch\fcs0 \i\fs24\lang2057\langfe2057\cgrid\langnp2057\langfenp2057 \sbasedon0 \snext22 \spriority0 \styrsid7887287 AmCrossRef;}{_x000d__x000a_\s23\qc \li0\ri0\sb240\sa240\keepn\nowidctlpar\wrapdefault\aspalpha\aspnum\faauto\adjustright\rin0\lin0\itap0 \rtlch\fcs1 \af0\afs20\alang1025 \ltrch\fcs0 \i\fs24\lang2057\langfe2057\cgrid\langnp2057\langfenp2057 _x000d__x000a_\sbasedon0 \snext21 \spriority0 \styrsid7887287 AmJustTitle;}{\s24\qr \li0\ri0\sb240\sa240\nowidctlpar\wrapdefault\aspalpha\aspnum\faauto\adjustright\rin0\lin0\itap0 \rtlch\fcs1 \af0\afs20\alang1025 \ltrch\fcs0 _x000d__x000a_\fs24\lang2057\langfe2057\cgrid\langnp2057\langfenp2057 \sbasedon0 \snext24 \spriority0 \styrsid7887287 AmOrLang;}{\s25\qc \li0\ri0\sa240\nowidctlpar\wrapdefault\aspalpha\aspnum\faauto\adjustright\rin0\lin0\itap0 \rtlch\fcs1 \af0\afs20\alang1025 _x000d__x000a_\ltrch\fcs0 \i\fs24\lang2057\langfe2057\cgrid\langnp2057\langfenp2057 \sbasedon0 \snext25 \spriority0 \styrsid78872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7287 AmNumberTabs;}{\s27\ql \li0\ri0\sb240\nowidctlpar\wrapdefault\aspalpha\aspnum\faauto\adjustright\rin0\lin0\itap0 \rtlch\fcs1 _x000d__x000a_\af0\afs20\alang1025 \ltrch\fcs0 \b\fs24\lang2057\langfe2057\cgrid\langnp2057\langfenp2057 \sbasedon0 \snext27 \spriority0 \styrsid7887287 NormalBold12b;}}{\*\rsidtbl \rsid24658\rsid223860\rsid735077\rsid1718133\rsid2892074\rsid3565327\rsid4666813_x000d__x000a_\rsid5383212\rsid6641733\rsid7823322\rsid788728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10\dy11\hr16\min11}{\revtim\yr2022\mo10\dy11\hr16\min11}{\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8728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83212 \chftnsep _x000d__x000a_\par }}{\*\ftnsepc \ltrpar \pard\plain \ltrpar\ql \li0\ri0\widctlpar\wrapdefault\aspalpha\aspnum\faauto\adjustright\rin0\lin0\itap0 \rtlch\fcs1 \af0\afs20\alang1025 \ltrch\fcs0 \fs24\lang2057\langfe2057\cgrid\langnp2057\langfenp2057 {\rtlch\fcs1 \af0 _x000d__x000a_\ltrch\fcs0 \insrsid5383212 \chftnsepc _x000d__x000a_\par }}{\*\aftnsep \ltrpar \pard\plain \ltrpar\ql \li0\ri0\widctlpar\wrapdefault\aspalpha\aspnum\faauto\adjustright\rin0\lin0\itap0 \rtlch\fcs1 \af0\afs20\alang1025 \ltrch\fcs0 \fs24\lang2057\langfe2057\cgrid\langnp2057\langfenp2057 {\rtlch\fcs1 \af0 _x000d__x000a_\ltrch\fcs0 \insrsid5383212 \chftnsep _x000d__x000a_\par }}{\*\aftnsepc \ltrpar \pard\plain \ltrpar\ql \li0\ri0\widctlpar\wrapdefault\aspalpha\aspnum\faauto\adjustright\rin0\lin0\itap0 \rtlch\fcs1 \af0\afs20\alang1025 \ltrch\fcs0 \fs24\lang2057\langfe2057\cgrid\langnp2057\langfenp2057 {\rtlch\fcs1 \af0 _x000d__x000a_\ltrch\fcs0 \insrsid5383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87287 \rtlch\fcs1 _x000d__x000a_\af0\afs20\alang1025 \ltrch\fcs0 \b\fs24\lang2057\langfe2057\cgrid\langnp2057\langfenp2057 {\rtlch\fcs1 \af0 \ltrch\fcs0 \cs17\b0\v\fs20\cf9\loch\af1\hich\af1\dbch\af31501\insrsid7887287\charrsid11894566 {\*\bkmkstart restart}_x000d__x000a_\hich\af1\dbch\af31501\loch\f1 &lt;Amend&gt;}{\rtlch\fcs1 \af0 \ltrch\fcs0 \insrsid7887287\charrsid11894566 Amendment\tab \tab }{\rtlch\fcs1 \af0 \ltrch\fcs0 \cs17\b0\v\fs20\cf9\loch\af1\hich\af1\dbch\af31501\insrsid7887287\charrsid11894566 _x000d__x000a_\hich\af1\dbch\af31501\loch\f1 &lt;NumAm&gt;}{\rtlch\fcs1 \af0 \ltrch\fcs0 \insrsid7887287\charrsid11894566 #}{\rtlch\fcs1 \af1 \ltrch\fcs0 \cs18\v\f1\fs20\cf15\insrsid7887287\charrsid11894566 ENMIENDA@NRAM@}{\rtlch\fcs1 \af0 \ltrch\fcs0 _x000d__x000a_\insrsid7887287\charrsid11894566 #}{\rtlch\fcs1 \af0 \ltrch\fcs0 \cs17\b0\v\fs20\cf9\loch\af1\hich\af1\dbch\af31501\insrsid7887287\charrsid11894566 \hich\af1\dbch\af31501\loch\f1 &lt;/NumAm&gt;}{\rtlch\fcs1 \af0 \ltrch\fcs0 \insrsid7887287\charrsid11894566 _x000d__x000a__x000d__x000a_\par }\pard\plain \ltrpar\s27\ql \li0\ri0\sb240\keepn\nowidctlpar\wrapdefault\aspalpha\aspnum\faauto\adjustright\rin0\lin0\itap0\pararsid7887287 \rtlch\fcs1 \af0\afs20\alang1025 \ltrch\fcs0 \b\fs24\lang2057\langfe2057\cgrid\langnp2057\langfenp2057 {_x000d__x000a_\rtlch\fcs1 \af0 \ltrch\fcs0 \cs17\b0\v\fs20\cf9\loch\af1\hich\af1\dbch\af31501\insrsid7887287\charrsid11894566 \hich\af1\dbch\af31501\loch\f1 &lt;DocAmend&gt;}{\rtlch\fcs1 \af0 \ltrch\fcs0 \insrsid7887287\charrsid11894566 Proposal for a #}{\rtlch\fcs1 \af1 _x000d__x000a_\ltrch\fcs0 \cs18\v\f1\fs20\cf15\insrsid7887287\charrsid11894566 MNU[DOC1][DOC2][DOC3]@DOCMSG@DOCMNU}{\rtlch\fcs1 \af0 \ltrch\fcs0 \insrsid7887287\charrsid11894566 ##}{\rtlch\fcs1 \af1 \ltrch\fcs0 \cs18\v\f1\fs20\cf15\insrsid7887287\charrsid11894566 _x000d__x000a_MNU[AMACTYES][NOTAPP]@CHOICE@AMACTMNU}{\rtlch\fcs1 \af0 \ltrch\fcs0 \insrsid7887287\charrsid11894566 #}{\rtlch\fcs1 \af0 \ltrch\fcs0 \cs17\b0\v\fs20\cf9\loch\af1\hich\af1\dbch\af31501\insrsid7887287\charrsid11894566 \hich\af1\dbch\af31501\loch\f1 _x000d__x000a_&lt;/DocAmend&gt;}{\rtlch\fcs1 \af0 \ltrch\fcs0 \insrsid7887287\charrsid11894566 _x000d__x000a_\par }\pard\plain \ltrpar\s20\ql \li0\ri0\keepn\nowidctlpar\wrapdefault\aspalpha\aspnum\faauto\adjustright\rin0\lin0\itap0\pararsid7887287 \rtlch\fcs1 \af0\afs20\alang1025 \ltrch\fcs0 \b\fs24\lang2057\langfe2057\cgrid\langnp2057\langfenp2057 {\rtlch\fcs1 \af0 _x000d__x000a_\ltrch\fcs0 \cs17\b0\v\fs20\cf9\loch\af1\hich\af1\dbch\af31501\insrsid7887287\charrsid11894566 \hich\af1\dbch\af31501\loch\f1 &lt;Article&gt;}{\rtlch\fcs1 \af0 \ltrch\fcs0 \insrsid7887287\charrsid11894566 #}{\rtlch\fcs1 \af1 \ltrch\fcs0 _x000d__x000a_\cs18\v\f1\fs20\cf15\insrsid7887287\charrsid11894566 MNU[AMACTPARTYES][AMACTPARTNO]@CHOICE@AMACTMNU}{\rtlch\fcs1 \af0 \ltrch\fcs0 \insrsid7887287\charrsid11894566 #}{\rtlch\fcs1 \af0 \ltrch\fcs0 _x000d__x000a_\cs17\b0\v\fs20\cf9\loch\af1\hich\af1\dbch\af31501\insrsid7887287\charrsid11894566 \hich\af1\dbch\af31501\loch\f1 &lt;/Article&gt;}{\rtlch\fcs1 \af0 \ltrch\fcs0 \insrsid7887287\charrsid11894566 _x000d__x000a_\par }\pard\plain \ltrpar\ql \li0\ri0\keepn\widctlpar\wrapdefault\aspalpha\aspnum\faauto\adjustright\rin0\lin0\itap0\pararsid7887287 \rtlch\fcs1 \af0\afs20\alang1025 \ltrch\fcs0 \fs24\lang2057\langfe2057\cgrid\langnp2057\langfenp2057 {\rtlch\fcs1 \af0 _x000d__x000a_\ltrch\fcs0 \cs17\v\fs20\cf9\loch\af1\hich\af1\dbch\af31501\insrsid7887287\charrsid11894566 \hich\af1\dbch\af31501\loch\f1 &lt;DocAmend2&gt;&lt;OptDel&gt;}{\rtlch\fcs1 \af0 \ltrch\fcs0 \insrsid7887287\charrsid11894566 #}{\rtlch\fcs1 \af1 \ltrch\fcs0 _x000d__x000a_\cs18\v\f1\fs20\cf15\insrsid7887287\charrsid11894566 MNU[OPTNRACTYES][NOTAPP]@CHOICE@AMACTMNU}{\rtlch\fcs1 \af0 \ltrch\fcs0 \insrsid7887287\charrsid11894566 #}{\rtlch\fcs1 \af0 \ltrch\fcs0 _x000d__x000a_\cs17\v\fs20\cf9\loch\af1\hich\af1\dbch\af31501\insrsid7887287\charrsid11894566 \hich\af1\dbch\af31501\loch\f1 &lt;/OptDel&gt;&lt;/DocAmend2&gt;}{\rtlch\fcs1 \af0 \ltrch\fcs0 \insrsid7887287\charrsid11894566 _x000d__x000a_\par }\pard \ltrpar\ql \li0\ri0\widctlpar\wrapdefault\aspalpha\aspnum\faauto\adjustright\rin0\lin0\itap0\pararsid7887287 {\rtlch\fcs1 \af0 \ltrch\fcs0 \cs17\v\fs20\cf9\loch\af1\hich\af1\dbch\af31501\insrsid7887287\charrsid11894566 _x000d__x000a_\hich\af1\dbch\af31501\loch\f1 &lt;Article2&gt;&lt;OptDel&gt;}{\rtlch\fcs1 \af0 \ltrch\fcs0 \insrsid7887287\charrsid11894566 #}{\rtlch\fcs1 \af1 \ltrch\fcs0 \cs18\v\f1\fs20\cf15\insrsid7887287\charrsid11894566 MNU[OPTACTPARTYES][NOTAPP]@CHOICE@AMACTMNU}{\rtlch\fcs1 _x000d__x000a_\af0 \ltrch\fcs0 \insrsid7887287\charrsid11894566 #}{\rtlch\fcs1 \af0 \ltrch\fcs0 \cs17\v\fs20\cf9\loch\af1\hich\af1\dbch\af31501\insrsid7887287\charrsid11894566 \hich\af1\dbch\af31501\loch\f1 &lt;/OptDel&gt;&lt;/Article2&gt;}{\rtlch\fcs1 \af0 \ltrch\fcs0 _x000d__x000a_\insrsid7887287\charrsid1189456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887287\charrsid11894566 \cell }\pard\plain \ltrpar\ql \li0\ri0\widctlpar\intbl\wrapdefault\aspalpha\aspnum\faauto\adjustright\rin0\lin0 \rtlch\fcs1 _x000d__x000a_\af0\afs20\alang1025 \ltrch\fcs0 \fs24\lang2057\langfe2057\cgrid\langnp2057\langfenp2057 {\rtlch\fcs1 \af0 \ltrch\fcs0 \insrsid7887287\charrsid1189456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887287\charrsid11894566 #}{\rtlch\fcs1 \af1 \ltrch\fcs0 \cs18\v\f1\fs20\cf15\insrsid7887287\charrsid11894566 MNU[OPTLEFTAMACT][LEFTPROP]@CHOICE@AMACTMNU}{\rtlch\fcs1 \af0 \ltrch\fcs0 \insrsid7887287\charrsid11894566 #\cell Amendment\cell _x000d__x000a_}\pard\plain \ltrpar\ql \li0\ri0\widctlpar\intbl\wrapdefault\aspalpha\aspnum\faauto\adjustright\rin0\lin0 \rtlch\fcs1 \af0\afs20\alang1025 \ltrch\fcs0 \fs24\lang2057\langfe2057\cgrid\langnp2057\langfenp2057 {\rtlch\fcs1 \af0 \ltrch\fcs0 _x000d__x000a_\insrsid7887287\charrsid1189456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887287\charrsid11894566 ##\cell ##}{\rtlch\fcs1 \af0\afs24 \ltrch\fcs0 \insrsid7887287\charrsid11894566 \cell }\pard\plain \ltrpar\ql \li0\ri0\widctlpar\intbl\wrapdefault\aspalpha\aspnum\faauto\adjustright\rin0\lin0 _x000d__x000a_\rtlch\fcs1 \af0\afs20\alang1025 \ltrch\fcs0 \fs24\lang2057\langfe2057\cgrid\langnp2057\langfenp2057 {\rtlch\fcs1 \af0 \ltrch\fcs0 \insrsid7887287\charrsid1189456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887287 \rtlch\fcs1 \af0\afs20\alang1025 \ltrch\fcs0 \fs24\lang2057\langfe2057\cgrid\langnp2057\langfenp2057 {\rtlch\fcs1 \af0 \ltrch\fcs0 _x000d__x000a_\insrsid7887287\charrsid11894566 Or. }{\rtlch\fcs1 \af0 \ltrch\fcs0 \cs17\v\fs20\cf9\loch\af1\hich\af1\dbch\af31501\insrsid7887287\charrsid11894566 \hich\af1\dbch\af31501\loch\f1 &lt;Original&gt;}{\rtlch\fcs1 \af0 \ltrch\fcs0 \insrsid7887287\charrsid11894566 #}_x000d__x000a_{\rtlch\fcs1 \af1 \ltrch\fcs0 \cs18\v\f1\fs20\cf15\insrsid7887287\charrsid11894566 MNU[ORLANGONE][ORLANGMORE]@CHOICE@ORLANGMNU}{\rtlch\fcs1 \af0 \ltrch\fcs0 \insrsid7887287\charrsid11894566 #}{\rtlch\fcs1 \af0 \ltrch\fcs0 _x000d__x000a_\cs17\v\fs20\cf9\loch\af1\hich\af1\dbch\af31501\insrsid7887287\charrsid11894566 \hich\af1\dbch\af31501\loch\f1 &lt;/Original&gt;}{\rtlch\fcs1 \af0 \ltrch\fcs0 \insrsid7887287\charrsid11894566 _x000d__x000a_\par }\pard\plain \ltrpar\s22\qc \li0\ri0\sb240\sa240\nowidctlpar\wrapdefault\aspalpha\aspnum\faauto\adjustright\rin0\lin0\itap0\pararsid7887287 \rtlch\fcs1 \af0\afs20\alang1025 \ltrch\fcs0 \i\fs24\lang2057\langfe2057\cgrid\langnp2057\langfenp2057 {_x000d__x000a_\rtlch\fcs1 \af0 \ltrch\fcs0 \cs17\i0\v\fs20\cf9\loch\af1\hich\af1\dbch\af31501\insrsid7887287\charrsid11894566 \hich\af1\dbch\af31501\loch\f1 &lt;OptDel&gt;}{\rtlch\fcs1 \af0 \ltrch\fcs0 \insrsid7887287\charrsid11894566 #}{\rtlch\fcs1 \af1 \ltrch\fcs0 _x000d__x000a_\cs18\v\f1\fs20\cf15\insrsid7887287\charrsid11894566 MNU[CROSSREFNO][CROSSREFYES]@CHOICE@}{\rtlch\fcs1 \af0 \ltrch\fcs0 \insrsid7887287\charrsid11894566 #}{\rtlch\fcs1 \af0 \ltrch\fcs0 _x000d__x000a_\cs17\i0\v\fs20\cf9\loch\af1\hich\af1\dbch\af31501\insrsid7887287\charrsid11894566 \hich\af1\dbch\af31501\loch\f1 &lt;/OptDel&gt;}{\rtlch\fcs1 \af0 \ltrch\fcs0 \insrsid7887287\charrsid11894566 _x000d__x000a_\par }\pard\plain \ltrpar\s23\qc \li0\ri0\sb240\sa240\keepn\nowidctlpar\wrapdefault\aspalpha\aspnum\faauto\adjustright\rin0\lin0\itap0\pararsid7887287 \rtlch\fcs1 \af0\afs20\alang1025 \ltrch\fcs0 \i\fs24\lang2057\langfe2057\cgrid\langnp2057\langfenp2057 {_x000d__x000a_\rtlch\fcs1 \af0 \ltrch\fcs0 \cs17\i0\v\fs20\cf9\loch\af1\hich\af1\dbch\af31501\insrsid7887287\charrsid11894566 \hich\af1\dbch\af31501\loch\f1 &lt;TitreJust&gt;}{\rtlch\fcs1 \af0 \ltrch\fcs0 \insrsid7887287\charrsid11894566 Justification}{\rtlch\fcs1 \af0 _x000d__x000a_\ltrch\fcs0 \cs17\i0\v\fs20\cf9\loch\af1\hich\af1\dbch\af31501\insrsid7887287\charrsid11894566 \hich\af1\dbch\af31501\loch\f1 &lt;/TitreJust&gt;}{\rtlch\fcs1 \af0 \ltrch\fcs0 \insrsid7887287\charrsid11894566 _x000d__x000a_\par }\pard\plain \ltrpar\s21\ql \li0\ri0\sa240\nowidctlpar\wrapdefault\aspalpha\aspnum\faauto\adjustright\rin0\lin0\itap0\pararsid7887287 \rtlch\fcs1 \af0\afs20\alang1025 \ltrch\fcs0 \i\fs24\lang2057\langfe2057\cgrid\langnp2057\langfenp2057 {\rtlch\fcs1 \af0 _x000d__x000a_\ltrch\fcs0 \cs17\i0\v\fs20\cf9\loch\af1\hich\af1\dbch\af31501\insrsid7887287\charrsid11894566 \hich\af1\dbch\af31501\loch\f1 &lt;OptDelPrev&gt;}{\rtlch\fcs1 \af0 \ltrch\fcs0 \insrsid7887287\charrsid11894566 #}{\rtlch\fcs1 \af1 \ltrch\fcs0 _x000d__x000a_\cs18\v\f1\fs20\cf15\insrsid7887287\charrsid11894566 MNU[TEXTJUSTYES][TEXTJUSTNO]@CHOICE@}{\rtlch\fcs1 \af0 \ltrch\fcs0 \insrsid7887287\charrsid11894566 #}{\rtlch\fcs1 \af0 \ltrch\fcs0 _x000d__x000a_\cs17\i0\v\fs20\cf9\loch\af1\hich\af1\dbch\af31501\insrsid7887287\charrsid11894566 \hich\af1\dbch\af31501\loch\f1 &lt;/OptDelPrev&gt;}{\rtlch\fcs1 \af0 \ltrch\fcs0 \insrsid7887287\charrsid11894566 _x000d__x000a_\par }\pard\plain \ltrpar\ql \li0\ri0\widctlpar\wrapdefault\aspalpha\aspnum\faauto\adjustright\rin0\lin0\itap0\pararsid7887287 \rtlch\fcs1 \af0\afs20\alang1025 \ltrch\fcs0 \fs24\lang2057\langfe2057\cgrid\langnp2057\langfenp2057 {\rtlch\fcs1 \af0 \ltrch\fcs0 _x000d__x000a_\cs17\v\fs20\cf9\loch\af1\hich\af1\dbch\af31501\insrsid7887287\charrsid1189456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8_x000d__x000a_d8577b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5"/>
    <w:docVar w:name="TXTAUTHOR" w:val="Matjaž Nemec"/>
    <w:docVar w:name="TXTLANGUE" w:val="RO"/>
    <w:docVar w:name="TXTLANGUEMIN" w:val="ro"/>
    <w:docVar w:name="TXTNRC" w:val="0165/2022"/>
    <w:docVar w:name="TXTNRCOD" w:val="2022/0132"/>
    <w:docVar w:name="TXTNRCOM" w:val="(2022)0658"/>
    <w:docVar w:name="TXTNRFIRSTAM" w:val="1"/>
    <w:docVar w:name="TXTNRLASTAM" w:val="1"/>
    <w:docVar w:name="TXTNRPE" w:val="737.330"/>
    <w:docVar w:name="TXTPEorAP" w:val="PE"/>
    <w:docVar w:name="TXTROUTE" w:val="PR\1265121RO.docx"/>
    <w:docVar w:name="TXTTITLE" w:val="amending Regulations (EC) No 767/2008, (EC) No 810/2009 and (EU) 2017/2226 of the European Parliament and of the Council, Council Regulations (EC) No 1683/95, (EC) No 333/2002, (EC) No 693/2003 and (EC) No 694/2003 and Convention implementing the Schengen Agreement, as regards the digitalisation of the visa procedure"/>
    <w:docVar w:name="TXTVERSION" w:val="01-00"/>
  </w:docVars>
  <w:rsids>
    <w:rsidRoot w:val="00FD0C5D"/>
    <w:rsid w:val="00011AAB"/>
    <w:rsid w:val="00012351"/>
    <w:rsid w:val="000139E5"/>
    <w:rsid w:val="00050A74"/>
    <w:rsid w:val="00051B00"/>
    <w:rsid w:val="000573B7"/>
    <w:rsid w:val="00084DD2"/>
    <w:rsid w:val="00084E89"/>
    <w:rsid w:val="000A6BBA"/>
    <w:rsid w:val="000B7489"/>
    <w:rsid w:val="000D2E7D"/>
    <w:rsid w:val="000E37F8"/>
    <w:rsid w:val="000F1096"/>
    <w:rsid w:val="000F584D"/>
    <w:rsid w:val="001065EA"/>
    <w:rsid w:val="00120948"/>
    <w:rsid w:val="00120E34"/>
    <w:rsid w:val="00123DD5"/>
    <w:rsid w:val="001277AE"/>
    <w:rsid w:val="00142026"/>
    <w:rsid w:val="00142215"/>
    <w:rsid w:val="001767E2"/>
    <w:rsid w:val="00187008"/>
    <w:rsid w:val="00193AEF"/>
    <w:rsid w:val="001B3829"/>
    <w:rsid w:val="001C5592"/>
    <w:rsid w:val="001C5B44"/>
    <w:rsid w:val="001C6FFC"/>
    <w:rsid w:val="001D0E90"/>
    <w:rsid w:val="001F7C7C"/>
    <w:rsid w:val="0020071A"/>
    <w:rsid w:val="00212B84"/>
    <w:rsid w:val="002133DE"/>
    <w:rsid w:val="002346B0"/>
    <w:rsid w:val="00235D27"/>
    <w:rsid w:val="002667C3"/>
    <w:rsid w:val="002669B6"/>
    <w:rsid w:val="00290BED"/>
    <w:rsid w:val="00293E6E"/>
    <w:rsid w:val="002D13EE"/>
    <w:rsid w:val="002E33EE"/>
    <w:rsid w:val="002F40BB"/>
    <w:rsid w:val="002F4B02"/>
    <w:rsid w:val="003112E8"/>
    <w:rsid w:val="00323EF8"/>
    <w:rsid w:val="003316DD"/>
    <w:rsid w:val="00352B44"/>
    <w:rsid w:val="00366A46"/>
    <w:rsid w:val="00370AC3"/>
    <w:rsid w:val="003824EE"/>
    <w:rsid w:val="00395787"/>
    <w:rsid w:val="003B4689"/>
    <w:rsid w:val="003C2068"/>
    <w:rsid w:val="003C37CF"/>
    <w:rsid w:val="003C7988"/>
    <w:rsid w:val="004100B1"/>
    <w:rsid w:val="00422711"/>
    <w:rsid w:val="00426E47"/>
    <w:rsid w:val="00455743"/>
    <w:rsid w:val="00461601"/>
    <w:rsid w:val="00465535"/>
    <w:rsid w:val="00470029"/>
    <w:rsid w:val="00480B1D"/>
    <w:rsid w:val="00490B0B"/>
    <w:rsid w:val="00494634"/>
    <w:rsid w:val="004C0915"/>
    <w:rsid w:val="004D424E"/>
    <w:rsid w:val="004E42C8"/>
    <w:rsid w:val="004E733D"/>
    <w:rsid w:val="004F3FA5"/>
    <w:rsid w:val="0051271F"/>
    <w:rsid w:val="00521F46"/>
    <w:rsid w:val="0052765F"/>
    <w:rsid w:val="00551111"/>
    <w:rsid w:val="00551123"/>
    <w:rsid w:val="00570A6A"/>
    <w:rsid w:val="00586E50"/>
    <w:rsid w:val="0059583D"/>
    <w:rsid w:val="005A42D9"/>
    <w:rsid w:val="005C2BEF"/>
    <w:rsid w:val="005D1A99"/>
    <w:rsid w:val="005D6756"/>
    <w:rsid w:val="005D7609"/>
    <w:rsid w:val="005D7EE8"/>
    <w:rsid w:val="005E5817"/>
    <w:rsid w:val="005F1B63"/>
    <w:rsid w:val="005F3803"/>
    <w:rsid w:val="006213D7"/>
    <w:rsid w:val="00642325"/>
    <w:rsid w:val="0065596F"/>
    <w:rsid w:val="00661A02"/>
    <w:rsid w:val="006A2F5D"/>
    <w:rsid w:val="006A6174"/>
    <w:rsid w:val="006D644D"/>
    <w:rsid w:val="006E0A55"/>
    <w:rsid w:val="006F7907"/>
    <w:rsid w:val="007003ED"/>
    <w:rsid w:val="0072568C"/>
    <w:rsid w:val="00733724"/>
    <w:rsid w:val="00743189"/>
    <w:rsid w:val="00743D33"/>
    <w:rsid w:val="00763900"/>
    <w:rsid w:val="00775070"/>
    <w:rsid w:val="00777356"/>
    <w:rsid w:val="007932B3"/>
    <w:rsid w:val="00793EA9"/>
    <w:rsid w:val="007B202B"/>
    <w:rsid w:val="007B2322"/>
    <w:rsid w:val="007B4434"/>
    <w:rsid w:val="007C466D"/>
    <w:rsid w:val="007D2943"/>
    <w:rsid w:val="007D6F68"/>
    <w:rsid w:val="007F3C43"/>
    <w:rsid w:val="008051D0"/>
    <w:rsid w:val="00823E6B"/>
    <w:rsid w:val="00826780"/>
    <w:rsid w:val="0083350D"/>
    <w:rsid w:val="00837CCD"/>
    <w:rsid w:val="008633CC"/>
    <w:rsid w:val="00865190"/>
    <w:rsid w:val="008719B9"/>
    <w:rsid w:val="00894ECE"/>
    <w:rsid w:val="00896BB4"/>
    <w:rsid w:val="008A7FB8"/>
    <w:rsid w:val="009022B8"/>
    <w:rsid w:val="00914537"/>
    <w:rsid w:val="00917AE3"/>
    <w:rsid w:val="00917CC4"/>
    <w:rsid w:val="0094796B"/>
    <w:rsid w:val="009763DA"/>
    <w:rsid w:val="00984186"/>
    <w:rsid w:val="00987D80"/>
    <w:rsid w:val="009975B3"/>
    <w:rsid w:val="009A216D"/>
    <w:rsid w:val="009B20C4"/>
    <w:rsid w:val="009B4B93"/>
    <w:rsid w:val="009C185B"/>
    <w:rsid w:val="009C26A4"/>
    <w:rsid w:val="009D6FE5"/>
    <w:rsid w:val="009D7B9D"/>
    <w:rsid w:val="009F1E73"/>
    <w:rsid w:val="009F24BE"/>
    <w:rsid w:val="009F6C2F"/>
    <w:rsid w:val="009F767A"/>
    <w:rsid w:val="00A22533"/>
    <w:rsid w:val="00A26F46"/>
    <w:rsid w:val="00A34FD3"/>
    <w:rsid w:val="00A36929"/>
    <w:rsid w:val="00A50548"/>
    <w:rsid w:val="00A60EE7"/>
    <w:rsid w:val="00A70FAF"/>
    <w:rsid w:val="00A74BEC"/>
    <w:rsid w:val="00A80598"/>
    <w:rsid w:val="00A90F84"/>
    <w:rsid w:val="00A910C9"/>
    <w:rsid w:val="00A94916"/>
    <w:rsid w:val="00AA35B0"/>
    <w:rsid w:val="00AB2631"/>
    <w:rsid w:val="00AB3008"/>
    <w:rsid w:val="00AB34A8"/>
    <w:rsid w:val="00AD18C8"/>
    <w:rsid w:val="00AD7FA6"/>
    <w:rsid w:val="00AE4643"/>
    <w:rsid w:val="00AF0416"/>
    <w:rsid w:val="00B10CB4"/>
    <w:rsid w:val="00B13D6F"/>
    <w:rsid w:val="00B23B72"/>
    <w:rsid w:val="00B42702"/>
    <w:rsid w:val="00B57B8B"/>
    <w:rsid w:val="00B81CAD"/>
    <w:rsid w:val="00B85407"/>
    <w:rsid w:val="00B85A2A"/>
    <w:rsid w:val="00B95702"/>
    <w:rsid w:val="00BA34B6"/>
    <w:rsid w:val="00BC1D5B"/>
    <w:rsid w:val="00BC6489"/>
    <w:rsid w:val="00BD1B28"/>
    <w:rsid w:val="00BD480C"/>
    <w:rsid w:val="00BD5450"/>
    <w:rsid w:val="00BE0731"/>
    <w:rsid w:val="00BF2B0B"/>
    <w:rsid w:val="00C11717"/>
    <w:rsid w:val="00C20954"/>
    <w:rsid w:val="00C23324"/>
    <w:rsid w:val="00C42A41"/>
    <w:rsid w:val="00C47E74"/>
    <w:rsid w:val="00C57A72"/>
    <w:rsid w:val="00C73602"/>
    <w:rsid w:val="00C844CE"/>
    <w:rsid w:val="00CA280E"/>
    <w:rsid w:val="00CB5692"/>
    <w:rsid w:val="00CF60C8"/>
    <w:rsid w:val="00D07ECF"/>
    <w:rsid w:val="00D151F4"/>
    <w:rsid w:val="00D2452A"/>
    <w:rsid w:val="00D30DE2"/>
    <w:rsid w:val="00D32924"/>
    <w:rsid w:val="00D503A3"/>
    <w:rsid w:val="00D7587E"/>
    <w:rsid w:val="00D80700"/>
    <w:rsid w:val="00DA6ED0"/>
    <w:rsid w:val="00DB03A0"/>
    <w:rsid w:val="00DC5011"/>
    <w:rsid w:val="00E171B6"/>
    <w:rsid w:val="00E31338"/>
    <w:rsid w:val="00E45C33"/>
    <w:rsid w:val="00E72695"/>
    <w:rsid w:val="00E85532"/>
    <w:rsid w:val="00E8739C"/>
    <w:rsid w:val="00EB1753"/>
    <w:rsid w:val="00EB6CFF"/>
    <w:rsid w:val="00ED6CB5"/>
    <w:rsid w:val="00EE3996"/>
    <w:rsid w:val="00EF708B"/>
    <w:rsid w:val="00F07062"/>
    <w:rsid w:val="00F07B47"/>
    <w:rsid w:val="00F20B07"/>
    <w:rsid w:val="00F23CFC"/>
    <w:rsid w:val="00F433E2"/>
    <w:rsid w:val="00F51B56"/>
    <w:rsid w:val="00F904AE"/>
    <w:rsid w:val="00F934F8"/>
    <w:rsid w:val="00FB52FE"/>
    <w:rsid w:val="00FC0A34"/>
    <w:rsid w:val="00FD0C5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3FFE1"/>
  <w15:chartTrackingRefBased/>
  <w15:docId w15:val="{CD665FAE-27C4-4C13-9CC2-8CC97043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90F84"/>
    <w:pPr>
      <w:tabs>
        <w:tab w:val="right" w:pos="454"/>
        <w:tab w:val="left" w:pos="737"/>
      </w:tabs>
      <w:ind w:left="737" w:hanging="737"/>
    </w:pPr>
    <w:rPr>
      <w:snapToGrid w:val="0"/>
      <w:sz w:val="18"/>
      <w:lang w:eastAsia="en-US"/>
    </w:rPr>
  </w:style>
  <w:style w:type="paragraph" w:customStyle="1" w:styleId="Lgendetitre">
    <w:name w:val="Légende titre"/>
    <w:basedOn w:val="Normal"/>
    <w:rsid w:val="00A90F84"/>
    <w:pPr>
      <w:spacing w:before="240" w:after="240"/>
    </w:pPr>
    <w:rPr>
      <w:b/>
      <w:i/>
      <w:snapToGrid w:val="0"/>
      <w:lang w:eastAsia="en-US"/>
    </w:rPr>
  </w:style>
  <w:style w:type="paragraph" w:customStyle="1" w:styleId="Lgendestandard">
    <w:name w:val="Légende standard"/>
    <w:basedOn w:val="Normal"/>
    <w:rsid w:val="00A90F84"/>
    <w:rPr>
      <w:sz w:val="18"/>
    </w:rPr>
  </w:style>
  <w:style w:type="paragraph" w:customStyle="1" w:styleId="EntPE">
    <w:name w:val="EntPE"/>
    <w:basedOn w:val="Normal12"/>
    <w:rsid w:val="006A6174"/>
    <w:pPr>
      <w:jc w:val="center"/>
    </w:pPr>
    <w:rPr>
      <w:noProof w:val="0"/>
      <w:sz w:val="56"/>
    </w:rPr>
  </w:style>
  <w:style w:type="paragraph" w:customStyle="1" w:styleId="Normal12">
    <w:name w:val="Normal12"/>
    <w:basedOn w:val="Normal"/>
    <w:link w:val="Normal12Char"/>
    <w:rsid w:val="006A6174"/>
    <w:pPr>
      <w:spacing w:after="240"/>
    </w:pPr>
    <w:rPr>
      <w:noProof/>
    </w:rPr>
  </w:style>
  <w:style w:type="paragraph" w:customStyle="1" w:styleId="CommitteeAM">
    <w:name w:val="CommitteeAM"/>
    <w:basedOn w:val="Normal"/>
    <w:rsid w:val="006A6174"/>
    <w:pPr>
      <w:spacing w:before="240" w:after="600"/>
      <w:jc w:val="center"/>
    </w:pPr>
    <w:rPr>
      <w:i/>
    </w:rPr>
  </w:style>
  <w:style w:type="paragraph" w:customStyle="1" w:styleId="ZDateAM">
    <w:name w:val="ZDateAM"/>
    <w:basedOn w:val="Normal"/>
    <w:rsid w:val="006A6174"/>
    <w:pPr>
      <w:tabs>
        <w:tab w:val="right" w:pos="9356"/>
      </w:tabs>
      <w:spacing w:after="480"/>
    </w:pPr>
    <w:rPr>
      <w:noProof/>
    </w:rPr>
  </w:style>
  <w:style w:type="paragraph" w:customStyle="1" w:styleId="ProjRap">
    <w:name w:val="ProjRap"/>
    <w:basedOn w:val="Normal"/>
    <w:rsid w:val="006A6174"/>
    <w:pPr>
      <w:tabs>
        <w:tab w:val="right" w:pos="9356"/>
      </w:tabs>
    </w:pPr>
    <w:rPr>
      <w:b/>
      <w:noProof/>
    </w:rPr>
  </w:style>
  <w:style w:type="character" w:customStyle="1" w:styleId="Normal12Char">
    <w:name w:val="Normal12 Char"/>
    <w:basedOn w:val="DefaultParagraphFont"/>
    <w:link w:val="Normal12"/>
    <w:locked/>
    <w:rsid w:val="006A6174"/>
    <w:rPr>
      <w:noProof/>
      <w:sz w:val="24"/>
    </w:rPr>
  </w:style>
  <w:style w:type="paragraph" w:customStyle="1" w:styleId="PELeft">
    <w:name w:val="PELeft"/>
    <w:basedOn w:val="Normal"/>
    <w:rsid w:val="006A6174"/>
    <w:pPr>
      <w:spacing w:before="40" w:after="40"/>
    </w:pPr>
    <w:rPr>
      <w:rFonts w:ascii="Arial" w:hAnsi="Arial" w:cs="Arial"/>
      <w:sz w:val="22"/>
      <w:szCs w:val="22"/>
    </w:rPr>
  </w:style>
  <w:style w:type="paragraph" w:customStyle="1" w:styleId="PERight">
    <w:name w:val="PERight"/>
    <w:basedOn w:val="Normal"/>
    <w:next w:val="Normal"/>
    <w:rsid w:val="006A6174"/>
    <w:pPr>
      <w:jc w:val="right"/>
    </w:pPr>
    <w:rPr>
      <w:rFonts w:ascii="Arial" w:hAnsi="Arial" w:cs="Arial"/>
      <w:sz w:val="22"/>
      <w:szCs w:val="22"/>
    </w:rPr>
  </w:style>
  <w:style w:type="paragraph" w:customStyle="1" w:styleId="Normal6">
    <w:name w:val="Normal6"/>
    <w:basedOn w:val="Normal"/>
    <w:link w:val="Normal6Char"/>
    <w:rsid w:val="006A6174"/>
    <w:pPr>
      <w:spacing w:after="120"/>
    </w:pPr>
  </w:style>
  <w:style w:type="paragraph" w:customStyle="1" w:styleId="Normal12Italic">
    <w:name w:val="Normal12Italic"/>
    <w:basedOn w:val="Normal12"/>
    <w:rsid w:val="006A6174"/>
    <w:rPr>
      <w:i/>
    </w:rPr>
  </w:style>
  <w:style w:type="character" w:customStyle="1" w:styleId="NormalBoldChar">
    <w:name w:val="NormalBold Char"/>
    <w:basedOn w:val="DefaultParagraphFont"/>
    <w:link w:val="NormalBold"/>
    <w:rsid w:val="006A6174"/>
    <w:rPr>
      <w:b/>
      <w:sz w:val="24"/>
    </w:rPr>
  </w:style>
  <w:style w:type="paragraph" w:customStyle="1" w:styleId="JustificationTitle">
    <w:name w:val="JustificationTitle"/>
    <w:basedOn w:val="Normal"/>
    <w:next w:val="Normal12"/>
    <w:rsid w:val="006A6174"/>
    <w:pPr>
      <w:keepNext/>
      <w:spacing w:before="240" w:after="240"/>
      <w:jc w:val="center"/>
    </w:pPr>
    <w:rPr>
      <w:i/>
      <w:noProof/>
    </w:rPr>
  </w:style>
  <w:style w:type="paragraph" w:customStyle="1" w:styleId="Olang">
    <w:name w:val="Olang"/>
    <w:basedOn w:val="Normal"/>
    <w:rsid w:val="006A6174"/>
    <w:pPr>
      <w:spacing w:before="240" w:after="240"/>
      <w:jc w:val="right"/>
    </w:pPr>
    <w:rPr>
      <w:noProof/>
      <w:szCs w:val="24"/>
    </w:rPr>
  </w:style>
  <w:style w:type="character" w:customStyle="1" w:styleId="Normal6Char">
    <w:name w:val="Normal6 Char"/>
    <w:basedOn w:val="DefaultParagraphFont"/>
    <w:link w:val="Normal6"/>
    <w:rsid w:val="006A6174"/>
    <w:rPr>
      <w:sz w:val="24"/>
      <w:lang w:val="ro-RO"/>
    </w:rPr>
  </w:style>
  <w:style w:type="paragraph" w:customStyle="1" w:styleId="ColumnHeading">
    <w:name w:val="ColumnHeading"/>
    <w:basedOn w:val="Normal"/>
    <w:rsid w:val="006A6174"/>
    <w:pPr>
      <w:spacing w:after="240"/>
      <w:jc w:val="center"/>
    </w:pPr>
    <w:rPr>
      <w:i/>
    </w:rPr>
  </w:style>
  <w:style w:type="paragraph" w:customStyle="1" w:styleId="AMNumberTabs0">
    <w:name w:val="AMNumberTabs"/>
    <w:basedOn w:val="Normal"/>
    <w:rsid w:val="006A61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A6174"/>
    <w:pPr>
      <w:spacing w:before="240"/>
      <w:jc w:val="center"/>
    </w:pPr>
    <w:rPr>
      <w:i/>
    </w:rPr>
  </w:style>
  <w:style w:type="paragraph" w:styleId="Footer">
    <w:name w:val="footer"/>
    <w:basedOn w:val="Normal"/>
    <w:link w:val="FooterChar"/>
    <w:semiHidden/>
    <w:rsid w:val="00D07ECF"/>
    <w:pPr>
      <w:tabs>
        <w:tab w:val="center" w:pos="4513"/>
        <w:tab w:val="right" w:pos="9026"/>
      </w:tabs>
    </w:pPr>
  </w:style>
  <w:style w:type="character" w:customStyle="1" w:styleId="FooterChar">
    <w:name w:val="Footer Char"/>
    <w:basedOn w:val="DefaultParagraphFont"/>
    <w:link w:val="Footer"/>
    <w:semiHidden/>
    <w:rsid w:val="00D07ECF"/>
    <w:rPr>
      <w:sz w:val="24"/>
    </w:rPr>
  </w:style>
  <w:style w:type="paragraph" w:customStyle="1" w:styleId="Footer2">
    <w:name w:val="Footer2"/>
    <w:basedOn w:val="Normal12"/>
    <w:rsid w:val="006A6174"/>
    <w:pPr>
      <w:tabs>
        <w:tab w:val="center" w:pos="4535"/>
        <w:tab w:val="right" w:pos="9923"/>
      </w:tabs>
      <w:spacing w:line="480" w:lineRule="auto"/>
      <w:ind w:left="-851"/>
    </w:pPr>
    <w:rPr>
      <w:rFonts w:ascii="Arial" w:cs="Arial"/>
      <w:b/>
      <w:sz w:val="48"/>
    </w:rPr>
  </w:style>
  <w:style w:type="character" w:customStyle="1" w:styleId="Footer2Middle">
    <w:name w:val="Footer2Middle"/>
    <w:rsid w:val="006A6174"/>
    <w:rPr>
      <w:rFonts w:ascii="Arial" w:cs="Arial"/>
      <w:b w:val="0"/>
      <w:i/>
      <w:color w:val="C0C0C0"/>
      <w:sz w:val="22"/>
    </w:rPr>
  </w:style>
  <w:style w:type="paragraph" w:styleId="BalloonText">
    <w:name w:val="Balloon Text"/>
    <w:basedOn w:val="Normal"/>
    <w:link w:val="BalloonTextChar"/>
    <w:semiHidden/>
    <w:unhideWhenUsed/>
    <w:rsid w:val="007B4434"/>
    <w:rPr>
      <w:rFonts w:ascii="Segoe UI" w:hAnsi="Segoe UI" w:cs="Segoe UI"/>
      <w:sz w:val="18"/>
      <w:szCs w:val="18"/>
    </w:rPr>
  </w:style>
  <w:style w:type="character" w:customStyle="1" w:styleId="BalloonTextChar">
    <w:name w:val="Balloon Text Char"/>
    <w:basedOn w:val="DefaultParagraphFont"/>
    <w:link w:val="BalloonText"/>
    <w:semiHidden/>
    <w:rsid w:val="007B4434"/>
    <w:rPr>
      <w:rFonts w:ascii="Segoe UI" w:hAnsi="Segoe UI" w:cs="Segoe UI"/>
      <w:sz w:val="18"/>
      <w:szCs w:val="18"/>
    </w:rPr>
  </w:style>
  <w:style w:type="paragraph" w:customStyle="1" w:styleId="Body">
    <w:name w:val="Body"/>
    <w:rsid w:val="000E37F8"/>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noteText">
    <w:name w:val="footnote text"/>
    <w:link w:val="FootnoteTextChar"/>
    <w:rsid w:val="000E37F8"/>
    <w:pPr>
      <w:pBdr>
        <w:top w:val="nil"/>
        <w:left w:val="nil"/>
        <w:bottom w:val="nil"/>
        <w:right w:val="nil"/>
        <w:between w:val="nil"/>
        <w:bar w:val="nil"/>
      </w:pBdr>
      <w:ind w:left="720" w:hanging="720"/>
      <w:jc w:val="both"/>
    </w:pPr>
    <w:rPr>
      <w:color w:val="000000"/>
      <w:u w:color="000000"/>
      <w:bdr w:val="nil"/>
    </w:rPr>
  </w:style>
  <w:style w:type="character" w:customStyle="1" w:styleId="FootnoteTextChar">
    <w:name w:val="Footnote Text Char"/>
    <w:basedOn w:val="DefaultParagraphFont"/>
    <w:link w:val="FootnoteText"/>
    <w:rsid w:val="000E37F8"/>
    <w:rPr>
      <w:color w:val="000000"/>
      <w:u w:color="000000"/>
      <w:bdr w:val="nil"/>
      <w:lang w:val="ro-RO"/>
    </w:rPr>
  </w:style>
  <w:style w:type="character" w:styleId="CommentReference">
    <w:name w:val="annotation reference"/>
    <w:basedOn w:val="DefaultParagraphFont"/>
    <w:rsid w:val="00F51B56"/>
    <w:rPr>
      <w:sz w:val="16"/>
      <w:szCs w:val="16"/>
    </w:rPr>
  </w:style>
  <w:style w:type="paragraph" w:styleId="CommentText">
    <w:name w:val="annotation text"/>
    <w:basedOn w:val="Normal"/>
    <w:link w:val="CommentTextChar"/>
    <w:rsid w:val="00F51B56"/>
    <w:rPr>
      <w:sz w:val="20"/>
    </w:rPr>
  </w:style>
  <w:style w:type="character" w:customStyle="1" w:styleId="CommentTextChar">
    <w:name w:val="Comment Text Char"/>
    <w:basedOn w:val="DefaultParagraphFont"/>
    <w:link w:val="CommentText"/>
    <w:rsid w:val="00F51B56"/>
  </w:style>
  <w:style w:type="paragraph" w:styleId="CommentSubject">
    <w:name w:val="annotation subject"/>
    <w:basedOn w:val="CommentText"/>
    <w:next w:val="CommentText"/>
    <w:link w:val="CommentSubjectChar"/>
    <w:semiHidden/>
    <w:unhideWhenUsed/>
    <w:rsid w:val="00F51B56"/>
    <w:rPr>
      <w:b/>
      <w:bCs/>
    </w:rPr>
  </w:style>
  <w:style w:type="character" w:customStyle="1" w:styleId="CommentSubjectChar">
    <w:name w:val="Comment Subject Char"/>
    <w:basedOn w:val="CommentTextChar"/>
    <w:link w:val="CommentSubject"/>
    <w:semiHidden/>
    <w:rsid w:val="00F51B56"/>
    <w:rPr>
      <w:b/>
      <w:bCs/>
    </w:rPr>
  </w:style>
  <w:style w:type="character" w:customStyle="1" w:styleId="FooterChar1">
    <w:name w:val="Footer Char1"/>
    <w:uiPriority w:val="99"/>
    <w:semiHidden/>
    <w:locked/>
    <w:rsid w:val="007F3C4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4F9C2-9C58-4D1C-A6E7-A37915617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8177</Words>
  <Characters>47269</Characters>
  <Application>Microsoft Office Word</Application>
  <DocSecurity>0</DocSecurity>
  <Lines>1688</Lines>
  <Paragraphs>759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OBADA Liliana</cp:lastModifiedBy>
  <cp:revision>2</cp:revision>
  <cp:lastPrinted>2022-10-17T09:05:00Z</cp:lastPrinted>
  <dcterms:created xsi:type="dcterms:W3CDTF">2022-11-07T12:05:00Z</dcterms:created>
  <dcterms:modified xsi:type="dcterms:W3CDTF">2022-11-07T12:05:00Z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1265121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PR\1265121RO.docx</vt:lpwstr>
  </property>
  <property fmtid="{D5CDD505-2E9C-101B-9397-08002B2CF9AE}" pid="10" name="LastEdited with">
    <vt:lpwstr>9.11.0 Build [20211103]</vt:lpwstr>
  </property>
  <property fmtid="{D5CDD505-2E9C-101B-9397-08002B2CF9AE}" pid="11" name="PE number">
    <vt:lpwstr>737.330</vt:lpwstr>
  </property>
  <property fmtid="{D5CDD505-2E9C-101B-9397-08002B2CF9AE}" pid="12" name="SDLStudio">
    <vt:lpwstr/>
  </property>
  <property fmtid="{D5CDD505-2E9C-101B-9397-08002B2CF9AE}" pid="13" name="SendToEpades">
    <vt:lpwstr>OK - 2022/10/18 12:42</vt:lpwstr>
  </property>
  <property fmtid="{D5CDD505-2E9C-101B-9397-08002B2CF9AE}" pid="14" name="Bookout">
    <vt:lpwstr>OK - 2022/11/07 13:05</vt:lpwstr>
  </property>
</Properties>
</file>