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B67C4" w:rsidRPr="00F02096" w:rsidTr="00D7587E">
        <w:trPr>
          <w:trHeight w:hRule="exact" w:val="1418"/>
        </w:trPr>
        <w:tc>
          <w:tcPr>
            <w:tcW w:w="6804" w:type="dxa"/>
            <w:shd w:val="clear" w:color="auto" w:fill="auto"/>
            <w:vAlign w:val="center"/>
          </w:tcPr>
          <w:p w:rsidR="00B13D6F" w:rsidRPr="00F02096" w:rsidRDefault="00812665" w:rsidP="00D7587E">
            <w:pPr>
              <w:pStyle w:val="EPName"/>
            </w:pPr>
            <w:r w:rsidRPr="00F02096">
              <w:t>Europaparlamentet</w:t>
            </w:r>
          </w:p>
          <w:p w:rsidR="00B13D6F" w:rsidRPr="00F02096" w:rsidRDefault="00812665" w:rsidP="00A90F84">
            <w:pPr>
              <w:pStyle w:val="EPTerm"/>
            </w:pPr>
            <w:r w:rsidRPr="00F02096">
              <w:t>2019-2024</w:t>
            </w:r>
          </w:p>
        </w:tc>
        <w:tc>
          <w:tcPr>
            <w:tcW w:w="2268" w:type="dxa"/>
            <w:shd w:val="clear" w:color="auto" w:fill="auto"/>
          </w:tcPr>
          <w:p w:rsidR="00B13D6F" w:rsidRPr="00F02096" w:rsidRDefault="00812665" w:rsidP="00D7587E">
            <w:pPr>
              <w:pStyle w:val="EPLogo"/>
            </w:pPr>
            <w:r w:rsidRPr="00F02096">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1431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02096" w:rsidRDefault="00461601" w:rsidP="00461601">
      <w:pPr>
        <w:pStyle w:val="LineTop"/>
      </w:pPr>
    </w:p>
    <w:p w:rsidR="00461601" w:rsidRPr="00F02096" w:rsidRDefault="00812665" w:rsidP="00461601">
      <w:pPr>
        <w:pStyle w:val="EPBody"/>
      </w:pPr>
      <w:r w:rsidRPr="00F02096">
        <w:rPr>
          <w:rStyle w:val="HideTWBExt"/>
          <w:i w:val="0"/>
          <w:szCs w:val="20"/>
        </w:rPr>
        <w:t>&lt;Commission&gt;</w:t>
      </w:r>
      <w:r w:rsidRPr="00F02096">
        <w:rPr>
          <w:rStyle w:val="HideTWBInt"/>
          <w:i w:val="0"/>
          <w:szCs w:val="20"/>
        </w:rPr>
        <w:t>{LIBE}</w:t>
      </w:r>
      <w:r w:rsidRPr="00F02096">
        <w:t>Utskottet för medborgerliga fri- och rättigheter samt rättsliga och inrikes frågor</w:t>
      </w:r>
      <w:r w:rsidRPr="00F02096">
        <w:rPr>
          <w:rStyle w:val="HideTWBExt"/>
          <w:i w:val="0"/>
          <w:szCs w:val="20"/>
        </w:rPr>
        <w:t>&lt;/Commission&gt;</w:t>
      </w:r>
    </w:p>
    <w:p w:rsidR="00461601" w:rsidRPr="00F02096" w:rsidRDefault="00461601" w:rsidP="00461601">
      <w:pPr>
        <w:pStyle w:val="LineBottom"/>
      </w:pPr>
    </w:p>
    <w:p w:rsidR="00793EA9" w:rsidRPr="00F02096" w:rsidRDefault="00812665">
      <w:pPr>
        <w:pStyle w:val="CoverReference"/>
      </w:pPr>
      <w:r w:rsidRPr="00F02096">
        <w:rPr>
          <w:rStyle w:val="HideTWBExt"/>
          <w:b w:val="0"/>
        </w:rPr>
        <w:t>&lt;RefProc&gt;</w:t>
      </w:r>
      <w:r w:rsidRPr="00F02096">
        <w:t>2022/0132</w:t>
      </w:r>
      <w:r w:rsidRPr="00F02096">
        <w:rPr>
          <w:rStyle w:val="HideTWBExt"/>
          <w:b w:val="0"/>
        </w:rPr>
        <w:t>&lt;/RefProc&gt;&lt;RefTypeProc&gt;</w:t>
      </w:r>
      <w:r w:rsidRPr="00F02096">
        <w:t>(COD)</w:t>
      </w:r>
      <w:r w:rsidRPr="00F02096">
        <w:rPr>
          <w:rStyle w:val="HideTWBExt"/>
          <w:b w:val="0"/>
        </w:rPr>
        <w:t>&lt;/RefTypeProc&gt;</w:t>
      </w:r>
    </w:p>
    <w:p w:rsidR="00793EA9" w:rsidRPr="00F02096" w:rsidRDefault="00812665">
      <w:pPr>
        <w:pStyle w:val="CoverDate"/>
      </w:pPr>
      <w:r w:rsidRPr="00F02096">
        <w:rPr>
          <w:rStyle w:val="HideTWBExt"/>
        </w:rPr>
        <w:t>&lt;Date&gt;</w:t>
      </w:r>
      <w:r w:rsidRPr="00F02096">
        <w:rPr>
          <w:rStyle w:val="HideTWBInt"/>
        </w:rPr>
        <w:t>{18/10/2022}</w:t>
      </w:r>
      <w:r w:rsidRPr="00F02096">
        <w:t>18.10.2022</w:t>
      </w:r>
      <w:r w:rsidRPr="00F02096">
        <w:rPr>
          <w:rStyle w:val="HideTWBExt"/>
        </w:rPr>
        <w:t>&lt;/Date&gt;</w:t>
      </w:r>
    </w:p>
    <w:p w:rsidR="00793EA9" w:rsidRPr="00F02096" w:rsidRDefault="00812665">
      <w:pPr>
        <w:pStyle w:val="CoverDocType"/>
      </w:pPr>
      <w:r w:rsidRPr="00F02096">
        <w:rPr>
          <w:rStyle w:val="HideTWBExt"/>
          <w:b w:val="0"/>
        </w:rPr>
        <w:t>&lt;RefProcLect&gt;</w:t>
      </w:r>
      <w:r w:rsidRPr="00F02096">
        <w:t>***I</w:t>
      </w:r>
      <w:r w:rsidRPr="00F02096">
        <w:rPr>
          <w:rStyle w:val="HideTWBExt"/>
          <w:b w:val="0"/>
        </w:rPr>
        <w:t>&lt;/RefProcLect&gt;</w:t>
      </w:r>
    </w:p>
    <w:p w:rsidR="00793EA9" w:rsidRPr="00F02096" w:rsidRDefault="00812665">
      <w:pPr>
        <w:pStyle w:val="CoverDocType24a"/>
      </w:pPr>
      <w:r w:rsidRPr="00F02096">
        <w:rPr>
          <w:rStyle w:val="HideTWBExt"/>
          <w:b w:val="0"/>
        </w:rPr>
        <w:t>&lt;TitreType&gt;</w:t>
      </w:r>
      <w:r w:rsidRPr="00F02096">
        <w:t>FÖRSLAG TILL BETÄNKANDE</w:t>
      </w:r>
      <w:r w:rsidRPr="00F02096">
        <w:rPr>
          <w:rStyle w:val="HideTWBExt"/>
          <w:b w:val="0"/>
        </w:rPr>
        <w:t>&lt;/TitreType&gt;</w:t>
      </w:r>
    </w:p>
    <w:p w:rsidR="00793EA9" w:rsidRPr="00F02096" w:rsidRDefault="00812665">
      <w:pPr>
        <w:pStyle w:val="CoverNormal"/>
      </w:pPr>
      <w:r w:rsidRPr="00F02096">
        <w:rPr>
          <w:rStyle w:val="HideTWBExt"/>
        </w:rPr>
        <w:t>&lt;Titre&gt;</w:t>
      </w:r>
      <w:r w:rsidRPr="00F02096">
        <w:t>om förslaget till Europaparlamentets och rådets förordning om ändring av Europaparlamentets och rådets förordningar (EG) nr 767/2008, (EG) nr 810/2009 och (EU) 2017/2226, rådets förordningar (EG) nr 1683/95, (EG) nr 333/2002, (EG) nr 693/2003 och (EG) nr 694/2003 och konventionen om tillämpning av Schengenavtalet vad gäller digitaliseringen av viseringsförfarandet</w:t>
      </w:r>
      <w:r w:rsidRPr="00F02096">
        <w:rPr>
          <w:rStyle w:val="HideTWBExt"/>
        </w:rPr>
        <w:t>&lt;/Titre&gt;</w:t>
      </w:r>
    </w:p>
    <w:p w:rsidR="00793EA9" w:rsidRPr="00F02096" w:rsidRDefault="00812665">
      <w:pPr>
        <w:pStyle w:val="CoverNormal24a"/>
      </w:pPr>
      <w:r w:rsidRPr="00F02096">
        <w:rPr>
          <w:rStyle w:val="HideTWBExt"/>
        </w:rPr>
        <w:t>&lt;DocRef&gt;</w:t>
      </w:r>
      <w:r w:rsidRPr="00F02096">
        <w:t>(COM(2022)0658 – C9</w:t>
      </w:r>
      <w:r w:rsidRPr="00F02096">
        <w:noBreakHyphen/>
        <w:t>0165/2022 – 2022/0132(COD))</w:t>
      </w:r>
      <w:r w:rsidRPr="00F02096">
        <w:rPr>
          <w:rStyle w:val="HideTWBExt"/>
        </w:rPr>
        <w:t>&lt;/DocRef&gt;</w:t>
      </w:r>
    </w:p>
    <w:p w:rsidR="00793EA9" w:rsidRPr="00F02096" w:rsidRDefault="00812665">
      <w:pPr>
        <w:pStyle w:val="CoverNormal24a"/>
      </w:pPr>
      <w:r w:rsidRPr="00F02096">
        <w:rPr>
          <w:rStyle w:val="HideTWBExt"/>
        </w:rPr>
        <w:t>&lt;Commission&gt;</w:t>
      </w:r>
      <w:r w:rsidRPr="00F02096">
        <w:rPr>
          <w:rStyle w:val="HideTWBInt"/>
        </w:rPr>
        <w:t>{LIBE}</w:t>
      </w:r>
      <w:r w:rsidRPr="00F02096">
        <w:t>Utskottet för medborgerliga fri- och rättigheter samt rättsliga och inrikes frågor</w:t>
      </w:r>
      <w:r w:rsidRPr="00F02096">
        <w:rPr>
          <w:rStyle w:val="HideTWBExt"/>
        </w:rPr>
        <w:t>&lt;/Commission&gt;</w:t>
      </w:r>
    </w:p>
    <w:p w:rsidR="00793EA9" w:rsidRPr="00F02096" w:rsidRDefault="00812665">
      <w:pPr>
        <w:pStyle w:val="CoverNormal24a"/>
      </w:pPr>
      <w:r w:rsidRPr="00F02096">
        <w:t xml:space="preserve">Föredragande: </w:t>
      </w:r>
      <w:r w:rsidRPr="00F02096">
        <w:rPr>
          <w:rStyle w:val="HideTWBExt"/>
        </w:rPr>
        <w:t>&lt;Depute&gt;</w:t>
      </w:r>
      <w:r w:rsidRPr="00F02096">
        <w:t>Matjaž Nemec</w:t>
      </w:r>
      <w:r w:rsidRPr="00F02096">
        <w:rPr>
          <w:rStyle w:val="HideTWBExt"/>
        </w:rPr>
        <w:t>&lt;/Depute&gt;</w:t>
      </w:r>
    </w:p>
    <w:p w:rsidR="001C5B44" w:rsidRPr="00F02096" w:rsidRDefault="001C5B44" w:rsidP="001C5B44">
      <w:pPr>
        <w:pStyle w:val="CoverNormal"/>
      </w:pPr>
    </w:p>
    <w:p w:rsidR="00A90F84" w:rsidRPr="00F02096" w:rsidRDefault="00812665" w:rsidP="00D7587E">
      <w:r w:rsidRPr="00F02096">
        <w:br w:type="page"/>
      </w:r>
      <w:fldSimple w:instr=" TITLE  \* MERGEFORMAT ">
        <w:r w:rsidR="00F02096">
          <w:t>PR_COD_1amCom</w:t>
        </w:r>
      </w:fldSimple>
    </w:p>
    <w:p w:rsidR="00A90F84" w:rsidRPr="00F02096" w:rsidRDefault="00A90F84" w:rsidP="00D7587E"/>
    <w:p w:rsidR="00A90F84" w:rsidRPr="00F02096" w:rsidRDefault="00A90F84" w:rsidP="00D7587E"/>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B67C4" w:rsidRPr="00F02096">
        <w:tc>
          <w:tcPr>
            <w:tcW w:w="5811" w:type="dxa"/>
          </w:tcPr>
          <w:p w:rsidR="00A90F84" w:rsidRPr="00F02096" w:rsidRDefault="00812665" w:rsidP="00D7587E">
            <w:pPr>
              <w:pStyle w:val="Lgendetitre"/>
            </w:pPr>
            <w:r w:rsidRPr="00F02096">
              <w:t>Teckenförklaring</w:t>
            </w:r>
          </w:p>
        </w:tc>
      </w:tr>
      <w:tr w:rsidR="003B67C4" w:rsidRPr="00F02096" w:rsidTr="00D7587E">
        <w:trPr>
          <w:cantSplit/>
          <w:trHeight w:val="1807"/>
        </w:trPr>
        <w:tc>
          <w:tcPr>
            <w:tcW w:w="5811" w:type="dxa"/>
            <w:tcBorders>
              <w:bottom w:val="single" w:sz="4" w:space="0" w:color="auto"/>
            </w:tcBorders>
          </w:tcPr>
          <w:p w:rsidR="00A90F84" w:rsidRPr="00F02096" w:rsidRDefault="00812665" w:rsidP="00D7587E">
            <w:pPr>
              <w:pStyle w:val="Lgendesigne"/>
            </w:pPr>
            <w:r w:rsidRPr="00F02096">
              <w:tab/>
              <w:t>*</w:t>
            </w:r>
            <w:r w:rsidRPr="00F02096">
              <w:tab/>
              <w:t>Samrådsförfarande</w:t>
            </w:r>
          </w:p>
          <w:p w:rsidR="00A90F84" w:rsidRPr="00F02096" w:rsidRDefault="00812665" w:rsidP="00D7587E">
            <w:pPr>
              <w:pStyle w:val="Lgendesigne"/>
            </w:pPr>
            <w:r w:rsidRPr="00F02096">
              <w:tab/>
              <w:t>***</w:t>
            </w:r>
            <w:r w:rsidRPr="00F02096">
              <w:tab/>
              <w:t>Godkännandeförfarande</w:t>
            </w:r>
          </w:p>
          <w:p w:rsidR="00A90F84" w:rsidRPr="00F02096" w:rsidRDefault="00812665" w:rsidP="00D7587E">
            <w:pPr>
              <w:pStyle w:val="Lgendesigne"/>
            </w:pPr>
            <w:r w:rsidRPr="00F02096">
              <w:tab/>
              <w:t>***I</w:t>
            </w:r>
            <w:r w:rsidRPr="00F02096">
              <w:tab/>
              <w:t>Ordinarie lagstiftningsförfarande (första behandlingen)</w:t>
            </w:r>
          </w:p>
          <w:p w:rsidR="00A90F84" w:rsidRPr="00F02096" w:rsidRDefault="00812665" w:rsidP="00D7587E">
            <w:pPr>
              <w:pStyle w:val="Lgendesigne"/>
            </w:pPr>
            <w:r w:rsidRPr="00F02096">
              <w:tab/>
              <w:t>***II</w:t>
            </w:r>
            <w:r w:rsidRPr="00F02096">
              <w:tab/>
              <w:t>Ordinarie lagstiftningsförfarande (andra behandlingen)</w:t>
            </w:r>
          </w:p>
          <w:p w:rsidR="00A90F84" w:rsidRPr="00F02096" w:rsidRDefault="00812665" w:rsidP="00D7587E">
            <w:pPr>
              <w:pStyle w:val="Lgendesigne"/>
            </w:pPr>
            <w:r w:rsidRPr="00F02096">
              <w:tab/>
              <w:t>***III</w:t>
            </w:r>
            <w:r w:rsidRPr="00F02096">
              <w:tab/>
              <w:t>Ordinarie lagstiftningsförfarande (tredje behandlingen)</w:t>
            </w:r>
          </w:p>
          <w:p w:rsidR="00A90F84" w:rsidRPr="00F02096" w:rsidRDefault="00A90F84" w:rsidP="00D7587E">
            <w:pPr>
              <w:pStyle w:val="Lgendestandard"/>
            </w:pPr>
          </w:p>
          <w:p w:rsidR="00A90F84" w:rsidRPr="00F02096" w:rsidRDefault="00812665" w:rsidP="00D7587E">
            <w:pPr>
              <w:pStyle w:val="Lgendestandard"/>
            </w:pPr>
            <w:r w:rsidRPr="00F02096">
              <w:t>(Det angivna förfarandet baseras på den rättsliga grund som angetts i förslaget till akt.)</w:t>
            </w:r>
          </w:p>
          <w:p w:rsidR="00A90F84" w:rsidRPr="00F02096" w:rsidRDefault="00A90F84" w:rsidP="00D7587E">
            <w:pPr>
              <w:pStyle w:val="Lgendestandard"/>
            </w:pPr>
          </w:p>
        </w:tc>
      </w:tr>
    </w:tbl>
    <w:p w:rsidR="00A90F84" w:rsidRPr="00F02096" w:rsidRDefault="00A90F84" w:rsidP="00D7587E"/>
    <w:p w:rsidR="00A90F84" w:rsidRPr="00F02096" w:rsidRDefault="00A90F84" w:rsidP="00D7587E"/>
    <w:p w:rsidR="00A90F84" w:rsidRPr="00F02096" w:rsidRDefault="00A90F84" w:rsidP="00D7587E"/>
    <w:p w:rsidR="00A90F84" w:rsidRPr="00F02096" w:rsidRDefault="00A90F84" w:rsidP="00D7587E"/>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B67C4" w:rsidRPr="00F02096">
        <w:tc>
          <w:tcPr>
            <w:tcW w:w="5811" w:type="dxa"/>
          </w:tcPr>
          <w:p w:rsidR="00A90F84" w:rsidRPr="00F02096" w:rsidRDefault="00812665" w:rsidP="00D7587E">
            <w:pPr>
              <w:pStyle w:val="Lgendetitre"/>
            </w:pPr>
            <w:r w:rsidRPr="00F02096">
              <w:t>Ändringsförslag till ett förslag till akt</w:t>
            </w:r>
          </w:p>
        </w:tc>
      </w:tr>
      <w:tr w:rsidR="003B67C4" w:rsidRPr="00F02096" w:rsidTr="00D7587E">
        <w:trPr>
          <w:trHeight w:val="4496"/>
        </w:trPr>
        <w:tc>
          <w:tcPr>
            <w:tcW w:w="5811" w:type="dxa"/>
          </w:tcPr>
          <w:p w:rsidR="00A90F84" w:rsidRPr="00F02096" w:rsidRDefault="00812665" w:rsidP="00D7587E">
            <w:pPr>
              <w:pStyle w:val="Lgendestandard"/>
              <w:rPr>
                <w:szCs w:val="24"/>
              </w:rPr>
            </w:pPr>
            <w:r w:rsidRPr="00F02096">
              <w:rPr>
                <w:b/>
              </w:rPr>
              <w:t>När parlamentets ändringsförslag utformas i två spalter gäller följande:</w:t>
            </w:r>
          </w:p>
          <w:p w:rsidR="00A90F84" w:rsidRPr="00F02096" w:rsidRDefault="00A90F84" w:rsidP="00D7587E">
            <w:pPr>
              <w:pStyle w:val="Lgendestandard"/>
              <w:rPr>
                <w:szCs w:val="24"/>
              </w:rPr>
            </w:pPr>
          </w:p>
          <w:p w:rsidR="00A90F84" w:rsidRPr="00F02096" w:rsidRDefault="00812665" w:rsidP="00D7587E">
            <w:pPr>
              <w:pStyle w:val="Lgendestandard"/>
              <w:rPr>
                <w:szCs w:val="24"/>
              </w:rPr>
            </w:pPr>
            <w:r w:rsidRPr="00F02096">
              <w:t xml:space="preserve">Text som utgår markeras med </w:t>
            </w:r>
            <w:r w:rsidRPr="00F02096">
              <w:rPr>
                <w:b/>
                <w:bCs/>
                <w:i/>
                <w:iCs/>
              </w:rPr>
              <w:t>fetkursiv</w:t>
            </w:r>
            <w:r w:rsidRPr="00F02096">
              <w:t xml:space="preserve"> stil i vänsterspalten. Text som ersätts markeras med </w:t>
            </w:r>
            <w:r w:rsidRPr="00F02096">
              <w:rPr>
                <w:b/>
                <w:bCs/>
                <w:i/>
                <w:iCs/>
              </w:rPr>
              <w:t>fetkursiv</w:t>
            </w:r>
            <w:r w:rsidRPr="00F02096">
              <w:t xml:space="preserve"> stil i båda spalterna. Ny text markeras med </w:t>
            </w:r>
            <w:r w:rsidRPr="00F02096">
              <w:rPr>
                <w:b/>
                <w:bCs/>
                <w:i/>
                <w:iCs/>
              </w:rPr>
              <w:t>fetkursiv</w:t>
            </w:r>
            <w:r w:rsidRPr="00F02096">
              <w:t xml:space="preserve"> stil i högerspalten.</w:t>
            </w:r>
          </w:p>
          <w:p w:rsidR="00A90F84" w:rsidRPr="00F02096" w:rsidRDefault="00A90F84" w:rsidP="00D7587E">
            <w:pPr>
              <w:pStyle w:val="Lgendestandard"/>
              <w:rPr>
                <w:szCs w:val="24"/>
              </w:rPr>
            </w:pPr>
          </w:p>
          <w:p w:rsidR="00A90F84" w:rsidRPr="00F02096" w:rsidRDefault="00812665" w:rsidP="00D7587E">
            <w:pPr>
              <w:pStyle w:val="Lgendestandard"/>
              <w:rPr>
                <w:szCs w:val="24"/>
              </w:rPr>
            </w:pPr>
            <w:r w:rsidRPr="00F02096">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A90F84" w:rsidRPr="00F02096" w:rsidRDefault="00A90F84" w:rsidP="00D7587E">
            <w:pPr>
              <w:pStyle w:val="Lgendestandard"/>
              <w:rPr>
                <w:szCs w:val="24"/>
              </w:rPr>
            </w:pPr>
          </w:p>
          <w:p w:rsidR="00A90F84" w:rsidRPr="00F02096" w:rsidRDefault="00812665" w:rsidP="00D7587E">
            <w:pPr>
              <w:pStyle w:val="Lgendestandard"/>
              <w:rPr>
                <w:b/>
                <w:szCs w:val="24"/>
              </w:rPr>
            </w:pPr>
            <w:r w:rsidRPr="00F02096">
              <w:rPr>
                <w:b/>
              </w:rPr>
              <w:t>När parlamentets ändringsförslag utformas som en konsoliderad text gäller följande:</w:t>
            </w:r>
          </w:p>
          <w:p w:rsidR="00A90F84" w:rsidRPr="00F02096" w:rsidRDefault="00A90F84" w:rsidP="00D7587E">
            <w:pPr>
              <w:pStyle w:val="Lgendestandard"/>
              <w:rPr>
                <w:szCs w:val="24"/>
              </w:rPr>
            </w:pPr>
          </w:p>
          <w:p w:rsidR="00A90F84" w:rsidRPr="00F02096" w:rsidRDefault="00812665" w:rsidP="00D7587E">
            <w:pPr>
              <w:pStyle w:val="Lgendestandard"/>
              <w:rPr>
                <w:szCs w:val="24"/>
              </w:rPr>
            </w:pPr>
            <w:r w:rsidRPr="00F02096">
              <w:t xml:space="preserve">Nya textdelar markeras med </w:t>
            </w:r>
            <w:r w:rsidRPr="00F02096">
              <w:rPr>
                <w:b/>
                <w:bCs/>
                <w:i/>
                <w:iCs/>
              </w:rPr>
              <w:t>fetkursiv</w:t>
            </w:r>
            <w:r w:rsidRPr="00F02096">
              <w:t xml:space="preserve"> stil. Textdelar som utgår markeras med symbolen ▌eller med genomstrykning. Textdelar som ersätts anges genom att ny text markeras med </w:t>
            </w:r>
            <w:r w:rsidRPr="00F02096">
              <w:rPr>
                <w:b/>
                <w:bCs/>
                <w:i/>
                <w:iCs/>
              </w:rPr>
              <w:t>fetkursiv</w:t>
            </w:r>
            <w:r w:rsidRPr="00F02096">
              <w:t xml:space="preserve"> stil och text som utgår stryks eller markeras med genomstrykning. </w:t>
            </w:r>
          </w:p>
          <w:p w:rsidR="00A90F84" w:rsidRPr="00F02096" w:rsidRDefault="00812665" w:rsidP="00D7587E">
            <w:pPr>
              <w:pStyle w:val="Lgendestandard"/>
            </w:pPr>
            <w:r w:rsidRPr="00F02096">
              <w:t>Sådana ändringar som endast är tekniska och som gjorts av de berörda avdelningarna vid färdigställandet av den slutliga texten markeras däremot inte.</w:t>
            </w:r>
          </w:p>
          <w:p w:rsidR="00A90F84" w:rsidRPr="00F02096" w:rsidRDefault="00A90F84" w:rsidP="00D7587E">
            <w:pPr>
              <w:pStyle w:val="Lgendestandard"/>
            </w:pPr>
          </w:p>
        </w:tc>
      </w:tr>
    </w:tbl>
    <w:p w:rsidR="00A90F84" w:rsidRPr="00F02096" w:rsidRDefault="00A90F84" w:rsidP="00D7587E"/>
    <w:p w:rsidR="00793EA9" w:rsidRPr="00F02096" w:rsidRDefault="00793EA9" w:rsidP="00012351">
      <w:pPr>
        <w:widowControl/>
        <w:tabs>
          <w:tab w:val="center" w:pos="4677"/>
        </w:tabs>
      </w:pPr>
    </w:p>
    <w:p w:rsidR="00793EA9" w:rsidRPr="00F02096" w:rsidRDefault="00812665">
      <w:pPr>
        <w:pStyle w:val="TOCHeading"/>
      </w:pPr>
      <w:r w:rsidRPr="00F02096">
        <w:br w:type="page"/>
        <w:t>INNEHÅLL</w:t>
      </w:r>
    </w:p>
    <w:p w:rsidR="00793EA9" w:rsidRPr="00F02096" w:rsidRDefault="00812665">
      <w:pPr>
        <w:pStyle w:val="TOCPage"/>
      </w:pPr>
      <w:r w:rsidRPr="00F02096">
        <w:t>Sida</w:t>
      </w:r>
    </w:p>
    <w:p w:rsidR="00F02096" w:rsidRDefault="00812665">
      <w:pPr>
        <w:pStyle w:val="TOC1"/>
        <w:tabs>
          <w:tab w:val="right" w:leader="dot" w:pos="9060"/>
        </w:tabs>
        <w:rPr>
          <w:rFonts w:asciiTheme="minorHAnsi" w:eastAsiaTheme="minorEastAsia" w:hAnsiTheme="minorHAnsi" w:cstheme="minorBidi"/>
          <w:noProof/>
          <w:sz w:val="22"/>
          <w:szCs w:val="22"/>
          <w:lang w:eastAsia="sv-SE"/>
        </w:rPr>
      </w:pPr>
      <w:r w:rsidRPr="00F02096">
        <w:rPr>
          <w:b/>
        </w:rPr>
        <w:fldChar w:fldCharType="begin"/>
      </w:r>
      <w:r w:rsidRPr="00F02096">
        <w:rPr>
          <w:b/>
        </w:rPr>
        <w:instrText xml:space="preserve"> TOC \t "PageHeading</w:instrText>
      </w:r>
      <w:r w:rsidR="00054C15" w:rsidRPr="00F02096">
        <w:rPr>
          <w:b/>
        </w:rPr>
        <w:instrText>;</w:instrText>
      </w:r>
      <w:r w:rsidRPr="00F02096">
        <w:rPr>
          <w:b/>
        </w:rPr>
        <w:instrText xml:space="preserve">1" </w:instrText>
      </w:r>
      <w:r w:rsidRPr="00F02096">
        <w:rPr>
          <w:b/>
        </w:rPr>
        <w:fldChar w:fldCharType="separate"/>
      </w:r>
      <w:r w:rsidR="00F02096">
        <w:rPr>
          <w:noProof/>
        </w:rPr>
        <w:t>FÖRSLAG TILL EUROPAPARLAMENTETS LAGSTIFTNINGSRESOLUTION</w:t>
      </w:r>
      <w:r w:rsidR="00F02096">
        <w:rPr>
          <w:noProof/>
        </w:rPr>
        <w:tab/>
      </w:r>
      <w:r w:rsidR="00F02096">
        <w:rPr>
          <w:noProof/>
        </w:rPr>
        <w:fldChar w:fldCharType="begin"/>
      </w:r>
      <w:r w:rsidR="00F02096">
        <w:rPr>
          <w:noProof/>
        </w:rPr>
        <w:instrText xml:space="preserve"> PAGEREF _Toc118700383 \h </w:instrText>
      </w:r>
      <w:r w:rsidR="00F02096">
        <w:rPr>
          <w:noProof/>
        </w:rPr>
      </w:r>
      <w:r w:rsidR="00F02096">
        <w:rPr>
          <w:noProof/>
        </w:rPr>
        <w:fldChar w:fldCharType="separate"/>
      </w:r>
      <w:r w:rsidR="00F02096">
        <w:rPr>
          <w:noProof/>
        </w:rPr>
        <w:t>5</w:t>
      </w:r>
      <w:r w:rsidR="00F02096">
        <w:rPr>
          <w:noProof/>
        </w:rPr>
        <w:fldChar w:fldCharType="end"/>
      </w:r>
    </w:p>
    <w:p w:rsidR="00F02096" w:rsidRDefault="00F02096">
      <w:pPr>
        <w:pStyle w:val="TOC1"/>
        <w:tabs>
          <w:tab w:val="right" w:leader="dot" w:pos="9060"/>
        </w:tabs>
        <w:rPr>
          <w:rFonts w:asciiTheme="minorHAnsi" w:eastAsiaTheme="minorEastAsia" w:hAnsiTheme="minorHAnsi" w:cstheme="minorBidi"/>
          <w:noProof/>
          <w:sz w:val="22"/>
          <w:szCs w:val="22"/>
          <w:lang w:eastAsia="sv-SE"/>
        </w:rPr>
      </w:pPr>
      <w:r>
        <w:rPr>
          <w:noProof/>
        </w:rPr>
        <w:t>MOTIVERING</w:t>
      </w:r>
      <w:r>
        <w:rPr>
          <w:noProof/>
        </w:rPr>
        <w:tab/>
      </w:r>
      <w:r>
        <w:rPr>
          <w:noProof/>
        </w:rPr>
        <w:fldChar w:fldCharType="begin"/>
      </w:r>
      <w:r>
        <w:rPr>
          <w:noProof/>
        </w:rPr>
        <w:instrText xml:space="preserve"> PAGEREF _Toc118700384 \h </w:instrText>
      </w:r>
      <w:r>
        <w:rPr>
          <w:noProof/>
        </w:rPr>
      </w:r>
      <w:r>
        <w:rPr>
          <w:noProof/>
        </w:rPr>
        <w:fldChar w:fldCharType="separate"/>
      </w:r>
      <w:r>
        <w:rPr>
          <w:noProof/>
        </w:rPr>
        <w:t>30</w:t>
      </w:r>
      <w:r>
        <w:rPr>
          <w:noProof/>
        </w:rPr>
        <w:fldChar w:fldCharType="end"/>
      </w:r>
    </w:p>
    <w:p w:rsidR="00F02096" w:rsidRDefault="00F02096">
      <w:pPr>
        <w:pStyle w:val="TOC1"/>
        <w:tabs>
          <w:tab w:val="right" w:leader="dot" w:pos="9060"/>
        </w:tabs>
        <w:rPr>
          <w:rFonts w:asciiTheme="minorHAnsi" w:eastAsiaTheme="minorEastAsia" w:hAnsiTheme="minorHAnsi" w:cstheme="minorBidi"/>
          <w:noProof/>
          <w:sz w:val="22"/>
          <w:szCs w:val="22"/>
          <w:lang w:eastAsia="sv-SE"/>
        </w:rPr>
      </w:pPr>
      <w:r>
        <w:rPr>
          <w:noProof/>
        </w:rPr>
        <w:t>BILAGA: FÖRTECKNING ÖVER ENHETER ELLER PERSONER SOM FÖREDRAGANDEN HAR FÅTT INFORMATION FRÅN</w:t>
      </w:r>
      <w:r>
        <w:rPr>
          <w:noProof/>
        </w:rPr>
        <w:tab/>
      </w:r>
      <w:r>
        <w:rPr>
          <w:noProof/>
        </w:rPr>
        <w:fldChar w:fldCharType="begin"/>
      </w:r>
      <w:r>
        <w:rPr>
          <w:noProof/>
        </w:rPr>
        <w:instrText xml:space="preserve"> PAGEREF _Toc118700385 \h </w:instrText>
      </w:r>
      <w:r>
        <w:rPr>
          <w:noProof/>
        </w:rPr>
      </w:r>
      <w:r>
        <w:rPr>
          <w:noProof/>
        </w:rPr>
        <w:fldChar w:fldCharType="separate"/>
      </w:r>
      <w:r>
        <w:rPr>
          <w:noProof/>
        </w:rPr>
        <w:t>32</w:t>
      </w:r>
      <w:r>
        <w:rPr>
          <w:noProof/>
        </w:rPr>
        <w:fldChar w:fldCharType="end"/>
      </w:r>
    </w:p>
    <w:p w:rsidR="002346B0" w:rsidRPr="00F02096" w:rsidRDefault="00812665" w:rsidP="00C23324">
      <w:r w:rsidRPr="00F02096">
        <w:rPr>
          <w:b/>
        </w:rPr>
        <w:fldChar w:fldCharType="end"/>
      </w:r>
    </w:p>
    <w:p w:rsidR="00793EA9" w:rsidRPr="00F02096" w:rsidRDefault="00812665">
      <w:pPr>
        <w:pStyle w:val="PageHeading"/>
      </w:pPr>
      <w:r w:rsidRPr="00F02096">
        <w:br w:type="page"/>
      </w:r>
      <w:r w:rsidRPr="00F02096">
        <w:br w:type="page"/>
      </w:r>
      <w:bookmarkStart w:id="0" w:name="_Toc118700383"/>
      <w:r w:rsidRPr="00F02096">
        <w:t>FÖRSLAG TILL EUROPAPARLAMENTETS LAGSTIFTNINGSRESOLUTION</w:t>
      </w:r>
      <w:bookmarkEnd w:id="0"/>
    </w:p>
    <w:p w:rsidR="00793EA9" w:rsidRPr="00F02096" w:rsidRDefault="00812665">
      <w:pPr>
        <w:pStyle w:val="NormalBold"/>
      </w:pPr>
      <w:r w:rsidRPr="00F02096">
        <w:t>om förslaget till Europaparlamentets och rådets förordning om ändring av Europaparlamentets och rådets förordningar (EG) nr 767/2008, (EG) nr 810/2009 och (EU) 2017/2226, rådets förordningar (EG) nr 1683/95, (EG) nr 333/2002, (EG) nr 693/2003 och (EG) nr 694/2003 och konventionen om tillämpning av Schengenavtalet vad gäller digitaliseringen av viseringsförfarandet</w:t>
      </w:r>
    </w:p>
    <w:p w:rsidR="00793EA9" w:rsidRPr="00F02096" w:rsidRDefault="00812665">
      <w:pPr>
        <w:pStyle w:val="NormalBold12a"/>
      </w:pPr>
      <w:r w:rsidRPr="00F02096">
        <w:t>(COM(2022)0658 – C9</w:t>
      </w:r>
      <w:r w:rsidRPr="00F02096">
        <w:noBreakHyphen/>
        <w:t>0165/2022 – 2022/0132(COD))</w:t>
      </w:r>
    </w:p>
    <w:p w:rsidR="00793EA9" w:rsidRPr="00F02096" w:rsidRDefault="00812665" w:rsidP="00A910C9">
      <w:pPr>
        <w:pStyle w:val="NormalBold"/>
      </w:pPr>
      <w:r w:rsidRPr="00F02096">
        <w:t>(Ordinarie lagstiftningsförfarande: första behandlingen)</w:t>
      </w:r>
    </w:p>
    <w:p w:rsidR="00793EA9" w:rsidRPr="00F02096" w:rsidRDefault="00812665" w:rsidP="00A910C9">
      <w:pPr>
        <w:pStyle w:val="EPComma"/>
      </w:pPr>
      <w:r w:rsidRPr="00F02096">
        <w:rPr>
          <w:i/>
          <w:iCs/>
        </w:rPr>
        <w:t>Europaparlamentet utfärdar denna resolution</w:t>
      </w:r>
    </w:p>
    <w:p w:rsidR="00793EA9" w:rsidRPr="00F02096" w:rsidRDefault="00812665">
      <w:pPr>
        <w:pStyle w:val="NormalHanging12a"/>
      </w:pPr>
      <w:r w:rsidRPr="00F02096">
        <w:t>–</w:t>
      </w:r>
      <w:r w:rsidRPr="00F02096">
        <w:tab/>
        <w:t>med beaktande av kommissionens förslag till Europaparlamentet och rådet (COM(2022)0658),</w:t>
      </w:r>
    </w:p>
    <w:p w:rsidR="00793EA9" w:rsidRPr="00F02096" w:rsidRDefault="00812665">
      <w:pPr>
        <w:pStyle w:val="NormalHanging12a"/>
      </w:pPr>
      <w:r w:rsidRPr="00F02096">
        <w:t>–</w:t>
      </w:r>
      <w:r w:rsidRPr="00F02096">
        <w:tab/>
        <w:t>med beaktande av artiklarna 294.2 och 2 i fördraget om Europeiska unionens funktionssätt, i enlighet med vilka kommissionen har lagt fram sitt förslag för parlamentet (C9</w:t>
      </w:r>
      <w:r w:rsidRPr="00F02096">
        <w:noBreakHyphen/>
        <w:t>0165/2022),</w:t>
      </w:r>
    </w:p>
    <w:p w:rsidR="00A26F46" w:rsidRPr="00F02096" w:rsidRDefault="00812665" w:rsidP="00A26F46">
      <w:pPr>
        <w:pStyle w:val="NormalHanging12a"/>
      </w:pPr>
      <w:r w:rsidRPr="00F02096">
        <w:t>–</w:t>
      </w:r>
      <w:r w:rsidRPr="00F02096">
        <w:tab/>
        <w:t>med beaktande av artikel 294.3 i fördraget om Europeiska unionens funktionssätt,</w:t>
      </w:r>
    </w:p>
    <w:p w:rsidR="00793EA9" w:rsidRPr="00F02096" w:rsidRDefault="00812665">
      <w:pPr>
        <w:pStyle w:val="NormalHanging12a"/>
      </w:pPr>
      <w:r w:rsidRPr="00F02096">
        <w:t>–</w:t>
      </w:r>
      <w:r w:rsidRPr="00F02096">
        <w:tab/>
        <w:t>med beaktande av artikel 59 i arbetsordningen,</w:t>
      </w:r>
    </w:p>
    <w:p w:rsidR="006A2F5D" w:rsidRPr="00F02096" w:rsidRDefault="00812665" w:rsidP="006A2F5D">
      <w:pPr>
        <w:pStyle w:val="NormalHanging12a"/>
      </w:pPr>
      <w:r w:rsidRPr="00F02096">
        <w:t>–</w:t>
      </w:r>
      <w:r w:rsidRPr="00F02096">
        <w:tab/>
        <w:t>med beaktande av skrivelsen från budgetutskottet,</w:t>
      </w:r>
    </w:p>
    <w:p w:rsidR="006A2F5D" w:rsidRPr="00F02096" w:rsidRDefault="00812665" w:rsidP="006A2F5D">
      <w:pPr>
        <w:pStyle w:val="NormalHanging12a"/>
      </w:pPr>
      <w:r w:rsidRPr="00F02096">
        <w:t>–</w:t>
      </w:r>
      <w:r w:rsidRPr="00F02096">
        <w:tab/>
        <w:t>med beaktande av betänkandet från utskottet för medborgerliga fri- och rättigheter samt rättsliga och inrikes frågor (A9-0000/2022),</w:t>
      </w:r>
    </w:p>
    <w:p w:rsidR="009F6C2F" w:rsidRPr="00F02096" w:rsidRDefault="00812665" w:rsidP="009F6C2F">
      <w:pPr>
        <w:pStyle w:val="NormalHanging12a"/>
      </w:pPr>
      <w:r w:rsidRPr="00F02096">
        <w:t>1.</w:t>
      </w:r>
      <w:r w:rsidRPr="00F02096">
        <w:tab/>
        <w:t>Europaparlamentet antar nedanstående ståndpunkt vid första behandlingen.</w:t>
      </w:r>
    </w:p>
    <w:p w:rsidR="009F6C2F" w:rsidRPr="00F02096" w:rsidRDefault="00812665" w:rsidP="009F6C2F">
      <w:pPr>
        <w:pStyle w:val="NormalHanging12a"/>
      </w:pPr>
      <w:r w:rsidRPr="00F02096">
        <w:t>2.</w:t>
      </w:r>
      <w:r w:rsidRPr="00F02096">
        <w:tab/>
        <w:t>Europaparlamentet uppmanar kommissionen att på nytt lägga fram ärendet för parlamentet om den ersätter, väsentligt ändrar eller har för avsikt att väsentligt ändra sitt förslag.</w:t>
      </w:r>
    </w:p>
    <w:p w:rsidR="009F6C2F" w:rsidRPr="00F02096" w:rsidRDefault="00812665" w:rsidP="009F6C2F">
      <w:pPr>
        <w:pStyle w:val="NormalHanging12a"/>
      </w:pPr>
      <w:r w:rsidRPr="00F02096">
        <w:t>3.</w:t>
      </w:r>
      <w:r w:rsidRPr="00F02096">
        <w:tab/>
        <w:t>Europaparlamentet uppdrar åt talmannen att översända parlamentets ståndpunkt till rådet, kommissionen och de nationella parlamenten.</w:t>
      </w:r>
    </w:p>
    <w:p w:rsidR="00D30DE2" w:rsidRPr="00F02096" w:rsidRDefault="00D30DE2" w:rsidP="00D30DE2"/>
    <w:p w:rsidR="006A6174" w:rsidRPr="00F02096" w:rsidRDefault="00812665" w:rsidP="006A6174">
      <w:pPr>
        <w:pStyle w:val="AMNumberTabs0"/>
        <w:keepNext/>
      </w:pPr>
      <w:r w:rsidRPr="00F02096">
        <w:rPr>
          <w:rStyle w:val="HideTWBExt"/>
          <w:b w:val="0"/>
        </w:rPr>
        <w:t>&lt;RepeatBlock-Amend&gt;&lt;Amend&gt;</w:t>
      </w:r>
      <w:r w:rsidRPr="00F02096">
        <w:t>Ändringsförslag</w:t>
      </w:r>
      <w:r w:rsidRPr="00F02096">
        <w:tab/>
      </w:r>
      <w:r w:rsidRPr="00F02096">
        <w:tab/>
      </w:r>
      <w:r w:rsidRPr="00F02096">
        <w:rPr>
          <w:rStyle w:val="HideTWBExt"/>
          <w:b w:val="0"/>
        </w:rPr>
        <w:t>&lt;NumAm&gt;</w:t>
      </w:r>
      <w:r w:rsidRPr="00F02096">
        <w:t>1</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8</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(8)</w:t>
            </w:r>
            <w:r w:rsidRPr="00F02096">
              <w:tab/>
              <w:t>Viseringssökande bör kunna lämna in sin ansökan, lämna uppgifter som krävs i ansökningsformuläret, lämna en skannad kopia av resehandlingen och tillhandahålla styrkande handlingar och medicinsk reseförsäkring i digitalt format via EU-ansökningsplattformen. För att sökande ska kunna spara information om sin ansökan bör den nätbaserade ansökningsplattformen kunna lagra uppgifter tillfälligt. När sökanden väl har lämnat in onlineansökan och medlemsstaterna utför lämpliga kontroller kommer ansökningsakten att överföras till den behöriga medlemsstatens nationella system och lagras där. Konsulaten skulle konsultera den information som lagras på nationell nivå och överföra endast de uppgifter som krävs till det centrala VIS.</w:t>
            </w:r>
          </w:p>
        </w:tc>
        <w:tc>
          <w:tcPr>
            <w:tcW w:w="4876" w:type="dxa"/>
          </w:tcPr>
          <w:p w:rsidR="006A6174" w:rsidRPr="00F02096" w:rsidRDefault="00812665" w:rsidP="00D7587E">
            <w:pPr>
              <w:pStyle w:val="Normal6"/>
              <w:rPr>
                <w:szCs w:val="24"/>
              </w:rPr>
            </w:pPr>
            <w:r w:rsidRPr="00F02096">
              <w:t>(8)</w:t>
            </w:r>
            <w:r w:rsidRPr="00F02096">
              <w:tab/>
              <w:t xml:space="preserve">Viseringssökande bör kunna lämna in sin ansökan, lämna uppgifter som krävs i ansökningsformuläret, lämna en </w:t>
            </w:r>
            <w:r w:rsidRPr="00F02096">
              <w:rPr>
                <w:b/>
                <w:i/>
              </w:rPr>
              <w:t>elektronisk</w:t>
            </w:r>
            <w:r w:rsidRPr="00F02096">
              <w:t xml:space="preserve"> kopia av resehandlingen och tillhandahålla styrkande handlingar och medicinsk reseförsäkring i digitalt format via EU-ansökningsplattformen. För att sökande ska kunna spara information om sin ansökan bör den nätbaserade ansökningsplattformen kunna lagra uppgifter tillfälligt. När sökanden väl har lämnat in onlineansökan och medlemsstaterna utför lämpliga kontroller kommer ansökningsakten att överföras till den behöriga medlemsstatens nationella system och lagras där. Konsulaten skulle konsultera den information som lagras på nationell nivå och överföra endast de uppgifter som krävs till det centrala VIS.</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14</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(14)</w:t>
            </w:r>
            <w:r w:rsidRPr="00F02096">
              <w:tab/>
              <w:t>Särskilda bestämmelser som bör tillämpas i enskilda fall av humanitära skäl skulle kunna omfatta frågor rörande digital tillgänglighet.</w:t>
            </w:r>
          </w:p>
        </w:tc>
        <w:tc>
          <w:tcPr>
            <w:tcW w:w="4876" w:type="dxa"/>
          </w:tcPr>
          <w:p w:rsidR="006A6174" w:rsidRPr="00F02096" w:rsidRDefault="00812665" w:rsidP="00987D80">
            <w:pPr>
              <w:pStyle w:val="Normal6"/>
              <w:rPr>
                <w:szCs w:val="24"/>
              </w:rPr>
            </w:pPr>
            <w:r w:rsidRPr="00F02096">
              <w:t>(14)</w:t>
            </w:r>
            <w:r w:rsidRPr="00F02096">
              <w:tab/>
              <w:t xml:space="preserve">Särskilda bestämmelser som bör tillämpas i enskilda fall av humanitära skäl skulle kunna omfatta frågor rörande digital tillgänglighet </w:t>
            </w:r>
            <w:r w:rsidRPr="00F02096">
              <w:rPr>
                <w:b/>
                <w:i/>
              </w:rPr>
              <w:t>eller begränsad digital kompetens. Särskild uppmärksamhet bör ägnas åt personer med funktionsnedsättning.</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16a (nytt)</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293E6E">
            <w:pPr>
              <w:pStyle w:val="Normal6"/>
              <w:rPr>
                <w:szCs w:val="24"/>
              </w:rPr>
            </w:pPr>
            <w:r w:rsidRPr="00F02096">
              <w:rPr>
                <w:b/>
                <w:i/>
              </w:rPr>
              <w:t>(16a)</w:t>
            </w:r>
            <w:r w:rsidRPr="00F02096">
              <w:rPr>
                <w:b/>
                <w:i/>
              </w:rPr>
              <w:tab/>
              <w:t>I vissa tredjeländer är internettäckningen fortfarande mycket begränsad. Särskild uppmärksamhet bör ägnas åt sådana omständigheter då flera ansökningar inleds från samma plats och samma IP-adress. En flaggad IP-adress bör inte automatiskt leda till att viseringsansökan diskvalificeras.</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17</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(17)</w:t>
            </w:r>
            <w:r w:rsidRPr="00F02096">
              <w:tab/>
              <w:t xml:space="preserve">Viseringsavgiften bör betalas med hjälp av en tredjepartsnätsluss som är kopplad till </w:t>
            </w:r>
            <w:r w:rsidRPr="00F02096">
              <w:rPr>
                <w:b/>
                <w:bCs/>
                <w:i/>
                <w:iCs/>
              </w:rPr>
              <w:t>den nätbaserade ansökningsplattformen</w:t>
            </w:r>
            <w:r w:rsidRPr="00F02096">
              <w:t xml:space="preserve"> och betalningarna skulle överföras direkt till den berörda medlemsstaten. De uppgifter som krävs för att säkra den elektroniska betalningen bör inte ingå i de uppgifter som lagras i VIS.</w:t>
            </w:r>
          </w:p>
        </w:tc>
        <w:tc>
          <w:tcPr>
            <w:tcW w:w="4876" w:type="dxa"/>
          </w:tcPr>
          <w:p w:rsidR="006A6174" w:rsidRPr="00F02096" w:rsidRDefault="00812665" w:rsidP="00D7587E">
            <w:pPr>
              <w:pStyle w:val="Normal6"/>
              <w:rPr>
                <w:szCs w:val="24"/>
              </w:rPr>
            </w:pPr>
            <w:r w:rsidRPr="00F02096">
              <w:t>(17)</w:t>
            </w:r>
            <w:r w:rsidRPr="00F02096">
              <w:tab/>
              <w:t xml:space="preserve">Viseringsavgiften bör betalas med hjälp av en tredjepartsnätsluss som är kopplad till </w:t>
            </w:r>
            <w:r w:rsidRPr="00F02096">
              <w:rPr>
                <w:b/>
                <w:bCs/>
                <w:i/>
                <w:iCs/>
              </w:rPr>
              <w:t>EU-ansökningsplattformen</w:t>
            </w:r>
            <w:r w:rsidRPr="00F02096">
              <w:t xml:space="preserve"> och betalningarna skulle överföras direkt till den berörda medlemsstaten. De uppgifter som krävs för att säkra den elektroniska betalningen bör inte ingå i de uppgifter som lagras i VIS.</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5</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18a (nytt)</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984186">
            <w:pPr>
              <w:pStyle w:val="Normal6"/>
              <w:rPr>
                <w:szCs w:val="24"/>
              </w:rPr>
            </w:pPr>
            <w:r w:rsidRPr="00F02096">
              <w:rPr>
                <w:b/>
                <w:i/>
              </w:rPr>
              <w:t>(18a)</w:t>
            </w:r>
            <w:r w:rsidRPr="00F02096">
              <w:rPr>
                <w:b/>
                <w:i/>
              </w:rPr>
              <w:tab/>
              <w:t>Det lokala Schengensamarbetet bör också fastställa om allmänt talade inofficiella språk i särskilda fall kan användas i ett viseringsförfarande eller för översättningen av ansökningsformuläret. Det lokala Schengensamarbetet bör också fastställa förfarandena för överföring av elektroniska uppgifter för externa tjänsteleverantörer eller företrädare för medlemsstater i fall där lokal lagstiftning i tredjeländer förbjuder sådana överföringar utanför deras territorium.</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6</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20</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(20)</w:t>
            </w:r>
            <w:r w:rsidRPr="00F02096">
              <w:tab/>
              <w:t>Om det behöriga konsulatet eller de centrala myndigheterna i den behöriga medlemsstaten anser att det/de är ansvarig för att pröva ansökan, bör det/de godta detta och uppgifterna bör importeras till det nationella systemet från den tillfälliga lagringen i enlighet med VIS-förordningen och raderas från den tillfälliga lagringen, med undantag för kontaktuppgifter.</w:t>
            </w:r>
          </w:p>
        </w:tc>
        <w:tc>
          <w:tcPr>
            <w:tcW w:w="4876" w:type="dxa"/>
          </w:tcPr>
          <w:p w:rsidR="006A6174" w:rsidRPr="00F02096" w:rsidRDefault="00812665" w:rsidP="00293E6E">
            <w:pPr>
              <w:pStyle w:val="Normal6"/>
              <w:rPr>
                <w:szCs w:val="24"/>
              </w:rPr>
            </w:pPr>
            <w:r w:rsidRPr="00F02096">
              <w:t>(20)</w:t>
            </w:r>
            <w:r w:rsidRPr="00F02096">
              <w:tab/>
              <w:t xml:space="preserve">Om det behöriga konsulatet eller de centrala myndigheterna i den behöriga medlemsstaten anser att det/de är ansvarig för att pröva ansökan, bör det/de godta detta och uppgifterna bör importeras till det nationella systemet från den tillfälliga lagringen i enlighet med VIS-förordningen och raderas från den tillfälliga lagringen, med undantag för kontaktuppgifter. </w:t>
            </w:r>
            <w:r w:rsidRPr="00F02096">
              <w:rPr>
                <w:b/>
                <w:i/>
              </w:rPr>
              <w:t>Varje medlemsstat bör utse en behörig myndighet som ska anses vara personuppgiftsansvarig och som bör ha centralt ansvar för den medlemsstatens behandling av uppgifter.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7</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28</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(28)</w:t>
            </w:r>
            <w:r w:rsidRPr="00F02096">
              <w:tab/>
              <w:t>EU-ansökningsplattformen bör innehålla en funktion som gör det möjligt för sökande att verifiera sina digitala viseringar.</w:t>
            </w:r>
          </w:p>
        </w:tc>
        <w:tc>
          <w:tcPr>
            <w:tcW w:w="4876" w:type="dxa"/>
          </w:tcPr>
          <w:p w:rsidR="006A6174" w:rsidRPr="00F02096" w:rsidRDefault="00812665" w:rsidP="00D7587E">
            <w:pPr>
              <w:pStyle w:val="Normal6"/>
              <w:rPr>
                <w:szCs w:val="24"/>
              </w:rPr>
            </w:pPr>
            <w:r w:rsidRPr="00F02096">
              <w:t>(28)</w:t>
            </w:r>
            <w:r w:rsidRPr="00F02096">
              <w:tab/>
              <w:t xml:space="preserve">EU-ansökningsplattformen bör innehålla en funktion som gör det möjligt för sökande att verifiera </w:t>
            </w:r>
            <w:r w:rsidRPr="00F02096">
              <w:rPr>
                <w:b/>
                <w:i/>
              </w:rPr>
              <w:t>giltigheten för</w:t>
            </w:r>
            <w:r w:rsidRPr="00F02096">
              <w:t xml:space="preserve"> sina digitala viseringar.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8</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37</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(37)</w:t>
            </w:r>
            <w:r w:rsidRPr="00F02096">
              <w:tab/>
              <w:t xml:space="preserve">För att </w:t>
            </w:r>
            <w:r w:rsidRPr="00F02096">
              <w:rPr>
                <w:b/>
                <w:bCs/>
                <w:i/>
                <w:iCs/>
              </w:rPr>
              <w:t>säkerställa att ansökningsformuläret och avslagsformulären tar hänsyn till de olika möjligheterna beroende på om viseringssökanden lämnar in sin ansökan via EU-ansökningsplattformen eller inte</w:t>
            </w:r>
            <w:r w:rsidRPr="00F02096">
              <w:t xml:space="preserve">, bör befogenheten att anta </w:t>
            </w:r>
            <w:r w:rsidRPr="00F02096">
              <w:rPr>
                <w:b/>
                <w:bCs/>
                <w:i/>
                <w:iCs/>
              </w:rPr>
              <w:t>delegerade</w:t>
            </w:r>
            <w:r w:rsidRPr="00F02096">
              <w:t xml:space="preserve"> akter i enlighet med artikel 290 i fördraget om Europeiska unionens funktionssätt delegeras till kommissionen med avseende på </w:t>
            </w:r>
            <w:r w:rsidRPr="00F02096">
              <w:rPr>
                <w:b/>
                <w:bCs/>
                <w:i/>
                <w:iCs/>
              </w:rPr>
              <w:t>ändring av förteckningen över den information som EU-ansökningsplattformen bör innehålla och</w:t>
            </w:r>
            <w:r w:rsidRPr="00F02096">
              <w:t xml:space="preserve"> </w:t>
            </w:r>
            <w:r w:rsidRPr="00F02096">
              <w:rPr>
                <w:b/>
                <w:bCs/>
                <w:i/>
                <w:iCs/>
              </w:rPr>
              <w:t>att ändra motsvarande standardformulär och format</w:t>
            </w:r>
            <w:r w:rsidRPr="00F02096">
              <w:t>.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F02096">
              <w:rPr>
                <w:vertAlign w:val="superscript"/>
              </w:rPr>
              <w:t>55</w:t>
            </w:r>
            <w:r w:rsidRPr="00F02096">
              <w:t xml:space="preserve">. För att säkerställa lika stor delaktighet i förberedelsen av delegerade akter </w:t>
            </w:r>
            <w:r w:rsidRPr="00F02096">
              <w:rPr>
                <w:b/>
                <w:bCs/>
                <w:i/>
                <w:iCs/>
              </w:rPr>
              <w:t>bör</w:t>
            </w:r>
            <w:r w:rsidRPr="00F02096">
              <w:t xml:space="preserve"> Europaparlamentet och rådet </w:t>
            </w:r>
            <w:r w:rsidRPr="00F02096">
              <w:rPr>
                <w:b/>
                <w:bCs/>
                <w:i/>
                <w:iCs/>
              </w:rPr>
              <w:t>erhålla</w:t>
            </w:r>
            <w:r w:rsidRPr="00F02096">
              <w:t xml:space="preserve"> alla handlingar samtidigt som medlemsstaternas experter, och deras experter </w:t>
            </w:r>
            <w:r w:rsidRPr="00F02096">
              <w:rPr>
                <w:b/>
                <w:bCs/>
                <w:i/>
                <w:iCs/>
              </w:rPr>
              <w:t>bör</w:t>
            </w:r>
            <w:r w:rsidRPr="00F02096">
              <w:t xml:space="preserve"> ges systematiskt tillträde till möten i kommissionens expertgrupper som arbetar med förberedelse av delegerade akter.</w:t>
            </w:r>
          </w:p>
        </w:tc>
        <w:tc>
          <w:tcPr>
            <w:tcW w:w="4876" w:type="dxa"/>
          </w:tcPr>
          <w:p w:rsidR="006A6174" w:rsidRPr="00F02096" w:rsidRDefault="00812665" w:rsidP="006213D7">
            <w:pPr>
              <w:pStyle w:val="Normal6"/>
              <w:rPr>
                <w:szCs w:val="24"/>
              </w:rPr>
            </w:pPr>
            <w:r w:rsidRPr="00F02096">
              <w:t>(37)</w:t>
            </w:r>
            <w:r w:rsidRPr="00F02096">
              <w:tab/>
              <w:t xml:space="preserve">För att </w:t>
            </w:r>
            <w:r w:rsidRPr="00F02096">
              <w:rPr>
                <w:b/>
                <w:i/>
              </w:rPr>
              <w:t>ändra vissa detaljerade tekniska aspekter i förordning (EG) nr 810/2009 och komplettera förordning (EG) nr 767/2008</w:t>
            </w:r>
            <w:r w:rsidRPr="00F02096">
              <w:t xml:space="preserve">, bör befogenheten att anta akter i enlighet med artikel 290 i fördraget om Europeiska unionens funktionssätt delegeras till kommissionen med avseende på </w:t>
            </w:r>
            <w:r w:rsidRPr="00F02096">
              <w:rPr>
                <w:b/>
                <w:bCs/>
                <w:i/>
                <w:iCs/>
              </w:rPr>
              <w:t>att</w:t>
            </w:r>
            <w:r w:rsidRPr="00F02096">
              <w:t xml:space="preserve"> </w:t>
            </w:r>
            <w:r w:rsidRPr="00F02096">
              <w:rPr>
                <w:b/>
                <w:i/>
              </w:rPr>
              <w:t>uppdatera ansökningsformuläret</w:t>
            </w:r>
            <w:r w:rsidRPr="00F02096">
              <w:t xml:space="preserve">, </w:t>
            </w:r>
            <w:r w:rsidRPr="00F02096">
              <w:rPr>
                <w:b/>
                <w:i/>
              </w:rPr>
              <w:t>ändra avslagsformuläret, fastställa kraven för den säkra kontotjänsten, och fastställa innehållet i förenklade ansökningsformulär för bekräftelse av giltiga viseringar i en ny resehandling och för förlängning av viseringar</w:t>
            </w:r>
            <w:r w:rsidRPr="00F02096">
              <w:t>. Det är särskilt viktigt att kommissionen genomför lämpliga samråd under sitt förberedande arbete, inklusive på expertnivå, och att dessa samråd genomförs i enlighet med principerna i det interinstitutionella avtalet av den 13 april 2016 om bättre lagstiftning</w:t>
            </w:r>
            <w:r w:rsidRPr="00F02096">
              <w:rPr>
                <w:b/>
                <w:i/>
                <w:vertAlign w:val="superscript"/>
              </w:rPr>
              <w:t>55</w:t>
            </w:r>
            <w:r w:rsidRPr="00F02096">
              <w:t xml:space="preserve">. För att säkerställa lika stor delaktighet i förberedelsen av delegerade akter </w:t>
            </w:r>
            <w:r w:rsidRPr="00F02096">
              <w:rPr>
                <w:b/>
                <w:bCs/>
                <w:i/>
                <w:iCs/>
              </w:rPr>
              <w:t>erhåller</w:t>
            </w:r>
            <w:r w:rsidRPr="00F02096">
              <w:t xml:space="preserve"> Europaparlamentet och rådet alla handlingar samtidigt som medlemsstaternas experter, och deras experter ges systematiskt tillträde till möten i kommissionens expertgrupper som arbetar med förberedelse av delegerade akter.</w:t>
            </w:r>
          </w:p>
        </w:tc>
      </w:tr>
      <w:tr w:rsidR="003B67C4" w:rsidRPr="00F02096" w:rsidTr="00D7587E">
        <w:trPr>
          <w:jc w:val="center"/>
        </w:trPr>
        <w:tc>
          <w:tcPr>
            <w:tcW w:w="4876" w:type="dxa"/>
          </w:tcPr>
          <w:p w:rsidR="006A6174" w:rsidRPr="00F02096" w:rsidRDefault="00812665" w:rsidP="00D7587E">
            <w:pPr>
              <w:pStyle w:val="Normal6"/>
            </w:pPr>
            <w:r w:rsidRPr="00F02096">
              <w:t>__________________</w:t>
            </w:r>
          </w:p>
        </w:tc>
        <w:tc>
          <w:tcPr>
            <w:tcW w:w="4876" w:type="dxa"/>
          </w:tcPr>
          <w:p w:rsidR="006A6174" w:rsidRPr="00F02096" w:rsidRDefault="00812665" w:rsidP="00D7587E">
            <w:pPr>
              <w:pStyle w:val="Normal6"/>
              <w:rPr>
                <w:szCs w:val="24"/>
              </w:rPr>
            </w:pPr>
            <w:r w:rsidRPr="00F02096">
              <w:t>__________________</w:t>
            </w:r>
          </w:p>
        </w:tc>
      </w:tr>
      <w:tr w:rsidR="003B67C4" w:rsidRPr="00F02096" w:rsidTr="00D7587E">
        <w:trPr>
          <w:jc w:val="center"/>
        </w:trPr>
        <w:tc>
          <w:tcPr>
            <w:tcW w:w="4876" w:type="dxa"/>
          </w:tcPr>
          <w:p w:rsidR="006A6174" w:rsidRPr="00F02096" w:rsidRDefault="00812665" w:rsidP="00D7587E">
            <w:pPr>
              <w:pStyle w:val="Normal6"/>
            </w:pPr>
            <w:r w:rsidRPr="00F02096">
              <w:rPr>
                <w:vertAlign w:val="superscript"/>
              </w:rPr>
              <w:t>55</w:t>
            </w:r>
            <w:r w:rsidRPr="00F02096">
              <w:t xml:space="preserve"> EUT L 123, 12.5.2016, s. 1.</w:t>
            </w:r>
          </w:p>
        </w:tc>
        <w:tc>
          <w:tcPr>
            <w:tcW w:w="4876" w:type="dxa"/>
          </w:tcPr>
          <w:p w:rsidR="006A6174" w:rsidRPr="00F02096" w:rsidRDefault="00812665" w:rsidP="00D7587E">
            <w:pPr>
              <w:pStyle w:val="Normal6"/>
              <w:rPr>
                <w:szCs w:val="24"/>
              </w:rPr>
            </w:pPr>
            <w:r w:rsidRPr="00F02096">
              <w:rPr>
                <w:vertAlign w:val="superscript"/>
              </w:rPr>
              <w:t>55</w:t>
            </w:r>
            <w:r w:rsidRPr="00F02096">
              <w:t xml:space="preserve"> EUT L 123, 12.5.2016, s. 1.</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9</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37a (nytt)</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(37a)</w:t>
            </w:r>
            <w:r w:rsidRPr="00F02096">
              <w:rPr>
                <w:b/>
                <w:i/>
              </w:rPr>
              <w:tab/>
              <w:t>För att säkerställa enhetliga villkor för genomförandet av förordning (EG) nr 767/2008 bör kommissionen tilldelas genomförandebefogenheter. Dessa befogenheter bör utövas i enlighet med Europaparlamentets och rådets förordning (EU) nr 182/2011</w:t>
            </w:r>
            <w:r w:rsidRPr="00F02096">
              <w:rPr>
                <w:b/>
                <w:i/>
                <w:vertAlign w:val="superscript"/>
              </w:rPr>
              <w:t>1a</w:t>
            </w:r>
            <w:r w:rsidRPr="00F02096">
              <w:rPr>
                <w:b/>
                <w:i/>
              </w:rPr>
              <w:t>.</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__________________</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vertAlign w:val="superscript"/>
              </w:rPr>
              <w:t>1a</w:t>
            </w:r>
            <w:r w:rsidRPr="00F02096">
              <w:t xml:space="preserve"> </w:t>
            </w:r>
            <w:r w:rsidRPr="00F02096">
              <w:rPr>
                <w:b/>
                <w:i/>
              </w:rPr>
              <w:t>Europaparlamentets och rådets förordning (EU) nr 182/2011 av den 16 februari 2011 om fastställande av allmänna regler och principer för medlemsstaternas kontroll av kommissionens utövande av sina genomförandebefogenheter (EUT L 55, 28.2.2011, s. 13)</w:t>
            </w:r>
            <w:r w:rsidRPr="00F02096">
              <w: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10</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Skäl 40</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(40)</w:t>
            </w:r>
            <w:r w:rsidRPr="00F02096">
              <w:tab/>
              <w:t>Denna förordning är förenlig med de grundläggande rättigheter och de principer som erkänns särskilt i Europeiska unionens stadga om de grundläggande rättigheterna. Införandet av en EU-ansökningsplattform och en digital visering kommer att till fullo respektera rätten till skydd av personuppgifter, respekten för privatlivet och familjelivet, barnets rättigheter och skyddet av utsatta personer. Alla skyddsåtgärder för grundläggande rättigheter i förordningen om informationssystemet för viseringar kommer att förbli helt tillämpliga i samband med den framtida EU-plattformen för viseringsansökningar och den digitala viseringen, särskilt när det gäller barnets rättigheter. Plattformen måste ta hänsyn till kraven i tillgänglighetsdirektivet</w:t>
            </w:r>
            <w:r w:rsidRPr="00F02096">
              <w:rPr>
                <w:vertAlign w:val="superscript"/>
              </w:rPr>
              <w:t>56</w:t>
            </w:r>
            <w:r w:rsidRPr="00F02096">
              <w:t xml:space="preserve"> för att säkerställa lättillgänglighet för personer med funktionsnedsättning.</w:t>
            </w:r>
          </w:p>
        </w:tc>
        <w:tc>
          <w:tcPr>
            <w:tcW w:w="4876" w:type="dxa"/>
          </w:tcPr>
          <w:p w:rsidR="006A6174" w:rsidRPr="00F02096" w:rsidRDefault="00812665" w:rsidP="00984186">
            <w:pPr>
              <w:pStyle w:val="Normal6"/>
              <w:rPr>
                <w:szCs w:val="24"/>
              </w:rPr>
            </w:pPr>
            <w:r w:rsidRPr="00F02096">
              <w:t>(40)</w:t>
            </w:r>
            <w:r w:rsidRPr="00F02096">
              <w:tab/>
              <w:t>Denna förordning är förenlig med de grundläggande rättigheter och de principer som erkänns särskilt i Europeiska unionens stadga om de grundläggande rättigheterna. Införandet av en EU-ansökningsplattform och en digital visering kommer att till fullo respektera rätten till skydd av personuppgifter, respekten för privatlivet och familjelivet, barnets rättigheter och skyddet av utsatta personer. Alla skyddsåtgärder för grundläggande rättigheter i förordningen om informationssystemet för viseringar kommer att förbli helt tillämpliga i samband med den framtida EU-plattformen för viseringsansökningar och den digitala viseringen, särskilt när det gäller barnets rättigheter. Plattformen måste ta hänsyn till kraven i tillgänglighetsdirektivet</w:t>
            </w:r>
            <w:r w:rsidRPr="00F02096">
              <w:rPr>
                <w:vertAlign w:val="superscript"/>
              </w:rPr>
              <w:t>56</w:t>
            </w:r>
            <w:r w:rsidRPr="00F02096">
              <w:t xml:space="preserve"> för att säkerställa lättillgänglighet för personer med funktionsnedsättning. </w:t>
            </w:r>
            <w:r w:rsidRPr="00F02096">
              <w:rPr>
                <w:b/>
                <w:i/>
              </w:rPr>
              <w:t>Särskild uppmärksamhet bör ägnas åt personer med begränsad digital kompetens, åt allmänt talade inofficiella språk och åt frågor som rör tillgång till internet.</w:t>
            </w:r>
          </w:p>
        </w:tc>
      </w:tr>
      <w:tr w:rsidR="003B67C4" w:rsidRPr="00F02096" w:rsidTr="00D7587E">
        <w:trPr>
          <w:jc w:val="center"/>
        </w:trPr>
        <w:tc>
          <w:tcPr>
            <w:tcW w:w="4876" w:type="dxa"/>
          </w:tcPr>
          <w:p w:rsidR="006A6174" w:rsidRPr="00F02096" w:rsidRDefault="00812665" w:rsidP="00D7587E">
            <w:pPr>
              <w:pStyle w:val="Normal6"/>
            </w:pPr>
            <w:r w:rsidRPr="00F02096">
              <w:t>__________________</w:t>
            </w:r>
          </w:p>
        </w:tc>
        <w:tc>
          <w:tcPr>
            <w:tcW w:w="4876" w:type="dxa"/>
          </w:tcPr>
          <w:p w:rsidR="006A6174" w:rsidRPr="00F02096" w:rsidRDefault="00812665" w:rsidP="00D7587E">
            <w:pPr>
              <w:pStyle w:val="Normal6"/>
              <w:rPr>
                <w:szCs w:val="24"/>
              </w:rPr>
            </w:pPr>
            <w:r w:rsidRPr="00F02096">
              <w:t>__________________</w:t>
            </w:r>
          </w:p>
        </w:tc>
      </w:tr>
      <w:tr w:rsidR="003B67C4" w:rsidRPr="00F02096" w:rsidTr="00D7587E">
        <w:trPr>
          <w:jc w:val="center"/>
        </w:trPr>
        <w:tc>
          <w:tcPr>
            <w:tcW w:w="4876" w:type="dxa"/>
          </w:tcPr>
          <w:p w:rsidR="006A6174" w:rsidRPr="00F02096" w:rsidRDefault="00812665" w:rsidP="00D7587E">
            <w:pPr>
              <w:pStyle w:val="Normal6"/>
            </w:pPr>
            <w:r w:rsidRPr="00F02096">
              <w:rPr>
                <w:vertAlign w:val="superscript"/>
              </w:rPr>
              <w:t>56</w:t>
            </w:r>
            <w:r w:rsidRPr="00F02096">
              <w:t xml:space="preserve"> Europaparlamentets och rådets direktiv (EU) 2016/2102 av den 26 oktober 2016 om tillgänglighet avseende offentliga myndigheters webbplatser och mobila applikationer (EUT L 327, 2.12.2016, s. 1).</w:t>
            </w:r>
          </w:p>
        </w:tc>
        <w:tc>
          <w:tcPr>
            <w:tcW w:w="4876" w:type="dxa"/>
          </w:tcPr>
          <w:p w:rsidR="006A6174" w:rsidRPr="00F02096" w:rsidRDefault="00812665" w:rsidP="00D7587E">
            <w:pPr>
              <w:pStyle w:val="Normal6"/>
              <w:rPr>
                <w:szCs w:val="24"/>
              </w:rPr>
            </w:pPr>
            <w:r w:rsidRPr="00F02096">
              <w:rPr>
                <w:vertAlign w:val="superscript"/>
              </w:rPr>
              <w:t>56</w:t>
            </w:r>
            <w:r w:rsidRPr="00F02096">
              <w:t xml:space="preserve"> Europaparlamentets och rådets direktiv (EU) 2016/2102 av den 26 oktober 2016 om tillgänglighet avseende offentliga myndigheters webbplatser och mobila applikationer (EUT L 327, 2.12.2016, s. 1).</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11</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6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9 – punkt 1b – led aa (nytt)</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6213D7">
            <w:pPr>
              <w:pStyle w:val="Normal6"/>
              <w:rPr>
                <w:szCs w:val="24"/>
              </w:rPr>
            </w:pPr>
            <w:r w:rsidRPr="00F02096">
              <w:rPr>
                <w:b/>
                <w:i/>
              </w:rPr>
              <w:t>aa)</w:t>
            </w:r>
            <w:r w:rsidRPr="00F02096">
              <w:rPr>
                <w:b/>
                <w:i/>
              </w:rPr>
              <w:tab/>
              <w:t>Tredjelandsmedborgare med funktionsnedsättning,</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Särskild uppmärksamhet bör ägnas åt tillgängligheten för personer med funktionsnedsättning, bland annat genom ett möjligt undantag från användningen av EU-ansökningsplattformen.</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12</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8 – led ca (nytt)</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11 – punkt 3 – led b</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F51B56">
            <w:pPr>
              <w:pStyle w:val="ColumnHeading"/>
              <w:keepNext/>
            </w:pPr>
            <w:r w:rsidRPr="00F02096">
              <w:t>Nuvarande lydelse</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(ca)</w:t>
            </w:r>
            <w:r w:rsidRPr="00F02096">
              <w:rPr>
                <w:b/>
                <w:i/>
              </w:rPr>
              <w:tab/>
              <w:t>I punkt 3 ska led b ändras på följande sätt:</w:t>
            </w:r>
          </w:p>
        </w:tc>
      </w:tr>
      <w:tr w:rsidR="003B67C4" w:rsidRPr="00F02096" w:rsidTr="00D7587E">
        <w:trPr>
          <w:jc w:val="center"/>
        </w:trPr>
        <w:tc>
          <w:tcPr>
            <w:tcW w:w="4876" w:type="dxa"/>
          </w:tcPr>
          <w:p w:rsidR="006A6174" w:rsidRPr="00F02096" w:rsidRDefault="00812665" w:rsidP="00D7587E">
            <w:pPr>
              <w:pStyle w:val="Normal6"/>
            </w:pPr>
            <w:r w:rsidRPr="00F02096">
              <w:t xml:space="preserve">(b) </w:t>
            </w:r>
            <w:r w:rsidRPr="00F02096">
              <w:rPr>
                <w:b/>
                <w:i/>
              </w:rPr>
              <w:tab/>
            </w:r>
            <w:r w:rsidRPr="00F02096">
              <w:t>det eller de officiella språken i värdlandet,</w:t>
            </w:r>
          </w:p>
        </w:tc>
        <w:tc>
          <w:tcPr>
            <w:tcW w:w="4876" w:type="dxa"/>
          </w:tcPr>
          <w:p w:rsidR="006A6174" w:rsidRPr="00F02096" w:rsidRDefault="00812665" w:rsidP="00984186">
            <w:pPr>
              <w:pStyle w:val="Normal6"/>
              <w:rPr>
                <w:szCs w:val="24"/>
              </w:rPr>
            </w:pPr>
            <w:r w:rsidRPr="00F02096">
              <w:rPr>
                <w:b/>
                <w:bCs/>
                <w:i/>
                <w:iCs/>
              </w:rPr>
              <w:t>”</w:t>
            </w:r>
            <w:r w:rsidRPr="00F02096">
              <w:t xml:space="preserve">(b) </w:t>
            </w:r>
            <w:r w:rsidRPr="00F02096">
              <w:tab/>
              <w:t xml:space="preserve">det eller de officiella språken i värdlandet </w:t>
            </w:r>
            <w:r w:rsidRPr="00F02096">
              <w:rPr>
                <w:b/>
                <w:i/>
              </w:rPr>
              <w:t>eller allmänt talade inofficiella språk i värdlandet</w:t>
            </w:r>
            <w:r w:rsidRPr="00F02096">
              <w:t>,</w:t>
            </w:r>
            <w:r w:rsidRPr="00F02096">
              <w:rPr>
                <w:b/>
                <w:i/>
              </w:rPr>
              <w: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Särskild uppmärksamhet bör i förekommande fall även ägnas åt inofficiella lokala språk som talas allmänt och vars översättningar bör göras tillgängliga på EU-ansökningsplattformen.</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13</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8 – led cb (nytt)</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11 – punkt 4</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F51B56">
            <w:pPr>
              <w:pStyle w:val="ColumnHeading"/>
              <w:keepNext/>
            </w:pPr>
            <w:r w:rsidRPr="00F02096">
              <w:t xml:space="preserve">Nuvarande lydelse </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(cb)</w:t>
            </w:r>
            <w:r w:rsidRPr="00F02096">
              <w:rPr>
                <w:b/>
                <w:i/>
              </w:rPr>
              <w:tab/>
              <w:t>Punkt 4 ska ändras på följande sätt:</w:t>
            </w:r>
          </w:p>
        </w:tc>
      </w:tr>
      <w:tr w:rsidR="003B67C4" w:rsidRPr="00F02096" w:rsidTr="00D7587E">
        <w:trPr>
          <w:jc w:val="center"/>
        </w:trPr>
        <w:tc>
          <w:tcPr>
            <w:tcW w:w="4876" w:type="dxa"/>
          </w:tcPr>
          <w:p w:rsidR="006A6174" w:rsidRPr="00F02096" w:rsidRDefault="00812665" w:rsidP="00D7587E">
            <w:pPr>
              <w:pStyle w:val="Normal6"/>
            </w:pPr>
            <w:r w:rsidRPr="00F02096">
              <w:t>4.</w:t>
            </w:r>
            <w:r w:rsidRPr="00F02096">
              <w:rPr>
                <w:b/>
                <w:i/>
              </w:rPr>
              <w:tab/>
            </w:r>
            <w:r w:rsidRPr="00F02096">
              <w:t xml:space="preserve">Om det eller de officiella språken i värdlandet </w:t>
            </w:r>
            <w:r w:rsidRPr="00F02096">
              <w:rPr>
                <w:b/>
                <w:bCs/>
                <w:i/>
                <w:iCs/>
              </w:rPr>
              <w:t>inte finns integrerade i formuläret ska en översättning</w:t>
            </w:r>
            <w:r w:rsidRPr="00F02096">
              <w:t xml:space="preserve"> till det eller de språken göras tillgänglig separat för sökande.</w:t>
            </w:r>
          </w:p>
        </w:tc>
        <w:tc>
          <w:tcPr>
            <w:tcW w:w="4876" w:type="dxa"/>
          </w:tcPr>
          <w:p w:rsidR="006A6174" w:rsidRPr="00F02096" w:rsidRDefault="00812665" w:rsidP="00984186">
            <w:pPr>
              <w:pStyle w:val="Normal6"/>
              <w:rPr>
                <w:szCs w:val="24"/>
              </w:rPr>
            </w:pPr>
            <w:r w:rsidRPr="00F02096">
              <w:rPr>
                <w:b/>
                <w:bCs/>
                <w:i/>
                <w:iCs/>
              </w:rPr>
              <w:t>”</w:t>
            </w:r>
            <w:r w:rsidRPr="00F02096">
              <w:t xml:space="preserve">4. </w:t>
            </w:r>
            <w:r w:rsidRPr="00F02096">
              <w:tab/>
              <w:t xml:space="preserve">Om </w:t>
            </w:r>
            <w:r w:rsidRPr="00F02096">
              <w:rPr>
                <w:b/>
                <w:i/>
              </w:rPr>
              <w:t>ansökningsformuläret inte finns tillgängligt på</w:t>
            </w:r>
            <w:r w:rsidRPr="00F02096">
              <w:t xml:space="preserve"> det eller de officiella språken i värdlandet ska </w:t>
            </w:r>
            <w:r w:rsidRPr="00F02096">
              <w:rPr>
                <w:b/>
                <w:bCs/>
                <w:i/>
                <w:iCs/>
              </w:rPr>
              <w:t>översättningen av formuläret</w:t>
            </w:r>
            <w:r w:rsidRPr="00F02096">
              <w:t xml:space="preserve"> till det eller de språken</w:t>
            </w:r>
            <w:r w:rsidRPr="00F02096">
              <w:rPr>
                <w:b/>
                <w:i/>
              </w:rPr>
              <w:t>,</w:t>
            </w:r>
            <w:r w:rsidRPr="00F02096">
              <w:t xml:space="preserve"> </w:t>
            </w:r>
            <w:r w:rsidRPr="00F02096">
              <w:rPr>
                <w:b/>
                <w:i/>
              </w:rPr>
              <w:t>eller till det eller de allmänt talade inofficiella språken i värdlandet,</w:t>
            </w:r>
            <w:r w:rsidRPr="00F02096">
              <w:t xml:space="preserve"> göras tillgänglig separat för de sökande.</w:t>
            </w:r>
            <w:r w:rsidRPr="00F02096">
              <w:rPr>
                <w:b/>
                <w:bCs/>
                <w:i/>
                <w:iCs/>
              </w:rPr>
              <w: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Särskild uppmärksamhet bör i förekommande fall även ägnas åt de inofficiella lokala språk som talas allmänt och till vilka en översättning av ansökningsformuläret också bör göras.</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14</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8 – led cc (nytt)</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11 – punkt 5</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F51B56">
            <w:pPr>
              <w:pStyle w:val="ColumnHeading"/>
              <w:keepNext/>
            </w:pPr>
            <w:r w:rsidRPr="00F02096">
              <w:t xml:space="preserve">Nuvarande lydelse </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(cc)</w:t>
            </w:r>
            <w:r w:rsidRPr="00F02096">
              <w:rPr>
                <w:b/>
                <w:i/>
              </w:rPr>
              <w:tab/>
              <w:t>Punkt 5 ska ändras på följande sätt:</w:t>
            </w:r>
          </w:p>
        </w:tc>
      </w:tr>
      <w:tr w:rsidR="003B67C4" w:rsidRPr="00F02096" w:rsidTr="00D7587E">
        <w:trPr>
          <w:jc w:val="center"/>
        </w:trPr>
        <w:tc>
          <w:tcPr>
            <w:tcW w:w="4876" w:type="dxa"/>
          </w:tcPr>
          <w:p w:rsidR="006A6174" w:rsidRPr="00F02096" w:rsidRDefault="00812665" w:rsidP="00D7587E">
            <w:pPr>
              <w:pStyle w:val="Normal6"/>
            </w:pPr>
            <w:r w:rsidRPr="00F02096">
              <w:t>5.</w:t>
            </w:r>
            <w:r w:rsidRPr="00F02096">
              <w:rPr>
                <w:b/>
                <w:i/>
              </w:rPr>
              <w:tab/>
            </w:r>
            <w:r w:rsidRPr="00F02096">
              <w:t>En översättning av ansökningsformuläret till det eller de officiella språken i värdlandet ska utarbetas inom ramen för det lokala Schengensamarbetet.</w:t>
            </w:r>
          </w:p>
        </w:tc>
        <w:tc>
          <w:tcPr>
            <w:tcW w:w="4876" w:type="dxa"/>
          </w:tcPr>
          <w:p w:rsidR="006A6174" w:rsidRPr="00F02096" w:rsidRDefault="00812665" w:rsidP="00984186">
            <w:pPr>
              <w:pStyle w:val="Normal6"/>
              <w:rPr>
                <w:szCs w:val="24"/>
              </w:rPr>
            </w:pPr>
            <w:r w:rsidRPr="00F02096">
              <w:rPr>
                <w:b/>
                <w:bCs/>
                <w:i/>
                <w:iCs/>
              </w:rPr>
              <w:t>”</w:t>
            </w:r>
            <w:r w:rsidRPr="00F02096">
              <w:t xml:space="preserve">5. </w:t>
            </w:r>
            <w:r w:rsidRPr="00F02096">
              <w:tab/>
              <w:t xml:space="preserve">En översättning av ansökningsformuläret till det eller de officiella språken i värdlandet </w:t>
            </w:r>
            <w:r w:rsidRPr="00F02096">
              <w:rPr>
                <w:b/>
                <w:i/>
              </w:rPr>
              <w:t>eller det eller de allmänt talade inofficiella språken</w:t>
            </w:r>
            <w:r w:rsidRPr="00F02096">
              <w:t xml:space="preserve"> ska utarbetas inom ramen för det lokala Schengensamarbetet enligt artikel 48.</w:t>
            </w:r>
            <w:r w:rsidRPr="00F02096">
              <w:rPr>
                <w:b/>
                <w:bCs/>
                <w:i/>
                <w:iCs/>
              </w:rPr>
              <w: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Inom ramen för det lokala Schengensamarbetet bör medlemsstaterna i särskilda fall även fastställa till vilka lokalt allmänt talade inofficiella språk som ansökan bör översättas.</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15</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9</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12 – punkt 4 – stycke 1</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 xml:space="preserve">När ansökan lämnas in via EU-ansökningsplattformen ska konsulatet eller den externa tjänsteleverantören verifiera att den resehandling som uppvisas personligen i enlighet med punkt 2 motsvarar den </w:t>
            </w:r>
            <w:r w:rsidRPr="00F02096">
              <w:rPr>
                <w:b/>
                <w:bCs/>
                <w:i/>
                <w:iCs/>
              </w:rPr>
              <w:t>skannade</w:t>
            </w:r>
            <w:r w:rsidRPr="00F02096">
              <w:t xml:space="preserve"> kopia som sökanden laddat upp.</w:t>
            </w:r>
          </w:p>
        </w:tc>
        <w:tc>
          <w:tcPr>
            <w:tcW w:w="4876" w:type="dxa"/>
          </w:tcPr>
          <w:p w:rsidR="006A6174" w:rsidRPr="00F02096" w:rsidRDefault="00812665" w:rsidP="00D7587E">
            <w:pPr>
              <w:pStyle w:val="Normal6"/>
              <w:rPr>
                <w:szCs w:val="24"/>
              </w:rPr>
            </w:pPr>
            <w:r w:rsidRPr="00F02096">
              <w:t xml:space="preserve">När ansökan lämnas in via EU-ansökningsplattformen ska konsulatet eller den externa tjänsteleverantören verifiera att den resehandling som uppvisas personligen i enlighet med punkt 2 motsvarar den </w:t>
            </w:r>
            <w:r w:rsidRPr="00F02096">
              <w:rPr>
                <w:b/>
                <w:i/>
              </w:rPr>
              <w:t>elektroniska</w:t>
            </w:r>
            <w:r w:rsidRPr="00F02096">
              <w:t xml:space="preserve"> kopia som sökanden laddat upp.</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16</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9</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12 – punkt 5</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5.</w:t>
            </w:r>
            <w:r w:rsidRPr="00F02096">
              <w:tab/>
              <w:t xml:space="preserve">Om kvaliteten på den </w:t>
            </w:r>
            <w:r w:rsidRPr="00F02096">
              <w:rPr>
                <w:b/>
                <w:bCs/>
                <w:i/>
                <w:iCs/>
              </w:rPr>
              <w:t>skannade</w:t>
            </w:r>
            <w:r w:rsidRPr="00F02096">
              <w:t xml:space="preserve"> kopia som avses i punkt 4 inte är tillfredsställande eller om det råder tvivel, särskilt om äktheten, ska det behöriga konsulatet eller den externa tjänsteleverantören skanna in resehandlingen på nytt och ladda upp bilden på EU-ansökningsplattformen.</w:t>
            </w:r>
          </w:p>
        </w:tc>
        <w:tc>
          <w:tcPr>
            <w:tcW w:w="4876" w:type="dxa"/>
          </w:tcPr>
          <w:p w:rsidR="006A6174" w:rsidRPr="00F02096" w:rsidRDefault="00812665" w:rsidP="00D7587E">
            <w:pPr>
              <w:pStyle w:val="Normal6"/>
              <w:rPr>
                <w:szCs w:val="24"/>
              </w:rPr>
            </w:pPr>
            <w:r w:rsidRPr="00F02096">
              <w:t>5.</w:t>
            </w:r>
            <w:r w:rsidRPr="00F02096">
              <w:tab/>
              <w:t xml:space="preserve">Om kvaliteten på den </w:t>
            </w:r>
            <w:r w:rsidRPr="00F02096">
              <w:rPr>
                <w:b/>
                <w:i/>
              </w:rPr>
              <w:t>elektroniska</w:t>
            </w:r>
            <w:r w:rsidRPr="00F02096">
              <w:t xml:space="preserve"> kopia som avses i punkt 4 inte är tillfredsställande eller om det råder tvivel, särskilt om äktheten, ska det behöriga konsulatet eller den externa tjänsteleverantören skanna in resehandlingen på nytt och ladda upp bilden på EU-ansökningsplattformen.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17</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20</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26a – punkt 1</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Viseringar ska utfärdas i digitalt format som en akt i VIS, inbegripet ett unikt viseringsnummer.</w:t>
            </w:r>
          </w:p>
        </w:tc>
        <w:tc>
          <w:tcPr>
            <w:tcW w:w="4876" w:type="dxa"/>
          </w:tcPr>
          <w:p w:rsidR="006A6174" w:rsidRPr="00F02096" w:rsidRDefault="00812665" w:rsidP="00D7587E">
            <w:pPr>
              <w:pStyle w:val="Normal6"/>
              <w:rPr>
                <w:szCs w:val="24"/>
              </w:rPr>
            </w:pPr>
            <w:r w:rsidRPr="00F02096">
              <w:t xml:space="preserve">Viseringar ska utfärdas i digitalt format som en akt i VIS, inbegripet ett unikt </w:t>
            </w:r>
            <w:r w:rsidRPr="00F02096">
              <w:rPr>
                <w:b/>
                <w:i/>
              </w:rPr>
              <w:t>digitalt</w:t>
            </w:r>
            <w:r w:rsidRPr="00F02096">
              <w:t xml:space="preserve"> viseringsnummer.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18</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21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 – punkt 2 – stycke 1</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 xml:space="preserve">För ansökningar som lämnas in via EU-ansökningsplattformen ska </w:t>
            </w:r>
            <w:r w:rsidRPr="00F02096">
              <w:rPr>
                <w:b/>
                <w:bCs/>
                <w:i/>
                <w:iCs/>
              </w:rPr>
              <w:t>information om</w:t>
            </w:r>
            <w:r w:rsidRPr="00F02096">
              <w:t xml:space="preserve"> beslut om avslag och de skäl som ligger till grund för </w:t>
            </w:r>
            <w:r w:rsidRPr="00F02096">
              <w:rPr>
                <w:b/>
                <w:bCs/>
                <w:i/>
                <w:iCs/>
              </w:rPr>
              <w:t>dem meddelas sökanden på ett säkert elektroniskt sätt i enlighet med artikel 7f.1 i förordning (EG) nr 767/2008. Meddelandet kommer att innehålla samma information som anges i bilaga VI,</w:t>
            </w:r>
            <w:r w:rsidRPr="00F02096">
              <w:t xml:space="preserve"> på språket i den medlemsstat som fattade det slutliga beslutet om ansökan och på ett annat av unionens officiella språk.</w:t>
            </w:r>
          </w:p>
        </w:tc>
        <w:tc>
          <w:tcPr>
            <w:tcW w:w="4876" w:type="dxa"/>
          </w:tcPr>
          <w:p w:rsidR="006A6174" w:rsidRPr="00F02096" w:rsidRDefault="00812665" w:rsidP="00D7587E">
            <w:pPr>
              <w:pStyle w:val="Normal6"/>
              <w:rPr>
                <w:szCs w:val="24"/>
              </w:rPr>
            </w:pPr>
            <w:r w:rsidRPr="00F02096">
              <w:t xml:space="preserve">För ansökningar som lämnas in via EU-ansökningsplattformen ska </w:t>
            </w:r>
            <w:r w:rsidRPr="00F02096">
              <w:rPr>
                <w:b/>
                <w:bCs/>
                <w:i/>
                <w:iCs/>
              </w:rPr>
              <w:t>sökanden</w:t>
            </w:r>
            <w:r w:rsidRPr="00F02096">
              <w:rPr>
                <w:b/>
                <w:i/>
              </w:rPr>
              <w:t xml:space="preserve">, så snart beslutet om avslag finns tillgängligt, meddelas på ett elektroniskt sätt i enlighet med artikel 7f.1 i förordning (EG) nr 767/2008. Ett </w:t>
            </w:r>
            <w:r w:rsidRPr="00F02096">
              <w:t xml:space="preserve">beslut om avslag och de skäl som ligger till grund för </w:t>
            </w:r>
            <w:r w:rsidRPr="00F02096">
              <w:rPr>
                <w:b/>
                <w:i/>
              </w:rPr>
              <w:t>det ska, som anges i bilaga VI,</w:t>
            </w:r>
            <w:r w:rsidRPr="00F02096">
              <w:t xml:space="preserve"> </w:t>
            </w:r>
            <w:r w:rsidRPr="00F02096">
              <w:rPr>
                <w:b/>
                <w:i/>
              </w:rPr>
              <w:t>göras tillgängligt för</w:t>
            </w:r>
            <w:r w:rsidRPr="00F02096">
              <w:t xml:space="preserve"> </w:t>
            </w:r>
            <w:r w:rsidRPr="00F02096">
              <w:rPr>
                <w:b/>
                <w:bCs/>
                <w:i/>
                <w:iCs/>
              </w:rPr>
              <w:t>sökanden</w:t>
            </w:r>
            <w:r w:rsidRPr="00F02096">
              <w:t xml:space="preserve"> </w:t>
            </w:r>
            <w:r w:rsidRPr="00F02096">
              <w:rPr>
                <w:b/>
                <w:i/>
              </w:rPr>
              <w:t>på det</w:t>
            </w:r>
            <w:r w:rsidRPr="00F02096">
              <w:t xml:space="preserve"> </w:t>
            </w:r>
            <w:r w:rsidRPr="00F02096">
              <w:rPr>
                <w:b/>
                <w:i/>
              </w:rPr>
              <w:t>säkra kontot</w:t>
            </w:r>
            <w:r w:rsidRPr="00F02096">
              <w:t>.</w:t>
            </w:r>
            <w:r w:rsidRPr="00F02096">
              <w:rPr>
                <w:b/>
                <w:i/>
              </w:rPr>
              <w:t xml:space="preserve"> Beslutet om avslag ska förmedlas</w:t>
            </w:r>
            <w:r w:rsidRPr="00F02096">
              <w:t xml:space="preserve"> på språket i den medlemsstat som fattade det slutliga beslutet om ansökan och på ett annat av unionens officiella språk.</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19</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21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 – punkt 2 – stycke 2</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 xml:space="preserve">Medlemsstaterna får lägga till ytterligare handlingar </w:t>
            </w:r>
            <w:r w:rsidRPr="00F02096">
              <w:rPr>
                <w:b/>
                <w:bCs/>
                <w:i/>
                <w:iCs/>
              </w:rPr>
              <w:t>till standardmeddelandet för att motivera avslaget</w:t>
            </w:r>
            <w:r w:rsidRPr="00F02096">
              <w:t>.</w:t>
            </w:r>
          </w:p>
        </w:tc>
        <w:tc>
          <w:tcPr>
            <w:tcW w:w="4876" w:type="dxa"/>
          </w:tcPr>
          <w:p w:rsidR="006A6174" w:rsidRPr="00F02096" w:rsidRDefault="00812665" w:rsidP="006213D7">
            <w:pPr>
              <w:pStyle w:val="Normal6"/>
              <w:rPr>
                <w:szCs w:val="24"/>
              </w:rPr>
            </w:pPr>
            <w:r w:rsidRPr="00F02096">
              <w:t xml:space="preserve">Medlemsstaterna får lägga till ytterligare handlingar </w:t>
            </w:r>
            <w:r w:rsidRPr="00F02096">
              <w:rPr>
                <w:b/>
                <w:i/>
              </w:rPr>
              <w:t>som styrker beslutet om avslag</w:t>
            </w:r>
            <w:r w:rsidRPr="00F02096">
              <w: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20</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21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 – punkt 2 – stycke 2a (nytt)</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Överklagandeperioden ska inledas när viseringssökanden tar del av beslutet på det säkra kontot på EU-ansökningsplattformen.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21</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21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 – punkt 2 – stycke 4</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 xml:space="preserve">Kommissionen ska anta delegerade akter i enlighet med artikel 51a för att ändra det avslagsformulär som anges i bilaga VI </w:t>
            </w:r>
            <w:r w:rsidRPr="00F02096">
              <w:rPr>
                <w:b/>
                <w:bCs/>
                <w:i/>
                <w:iCs/>
              </w:rPr>
              <w:t>eller som ett meddelande som avses i kapitel Ia i förordning (EG) nr 767/2008</w:t>
            </w:r>
            <w:r w:rsidRPr="00F02096">
              <w:t>.</w:t>
            </w:r>
          </w:p>
        </w:tc>
        <w:tc>
          <w:tcPr>
            <w:tcW w:w="4876" w:type="dxa"/>
          </w:tcPr>
          <w:p w:rsidR="006A6174" w:rsidRPr="00F02096" w:rsidRDefault="00812665" w:rsidP="00D7587E">
            <w:pPr>
              <w:pStyle w:val="Normal6"/>
              <w:rPr>
                <w:szCs w:val="24"/>
              </w:rPr>
            </w:pPr>
            <w:r w:rsidRPr="00F02096">
              <w:t>Kommissionen ska anta delegerade akter i enlighet med artikel 51a för att ändra avslagsformuläret som anges i bilaga VI.</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22</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22</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32a – punkt 1</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1.</w:t>
            </w:r>
            <w:r w:rsidRPr="00F02096">
              <w:tab/>
              <w:t xml:space="preserve">Viseringsinnehavare vars resehandling har förkommit, stulits eller löpt ut och vars visering fortfarande är giltig </w:t>
            </w:r>
            <w:r w:rsidRPr="00F02096">
              <w:rPr>
                <w:b/>
                <w:bCs/>
                <w:i/>
                <w:iCs/>
              </w:rPr>
              <w:t>får</w:t>
            </w:r>
            <w:r w:rsidRPr="00F02096">
              <w:t xml:space="preserve"> ansöka om bekräftelse av viseringen i anslutning till en ny resehandling.</w:t>
            </w:r>
          </w:p>
        </w:tc>
        <w:tc>
          <w:tcPr>
            <w:tcW w:w="4876" w:type="dxa"/>
          </w:tcPr>
          <w:p w:rsidR="006A6174" w:rsidRPr="00F02096" w:rsidRDefault="00812665" w:rsidP="00D7587E">
            <w:pPr>
              <w:pStyle w:val="Normal6"/>
              <w:rPr>
                <w:szCs w:val="24"/>
              </w:rPr>
            </w:pPr>
            <w:r w:rsidRPr="00F02096">
              <w:t>1.</w:t>
            </w:r>
            <w:r w:rsidRPr="00F02096">
              <w:tab/>
              <w:t xml:space="preserve">Viseringsinnehavare vars resehandling har förkommit, stulits eller löpt ut </w:t>
            </w:r>
            <w:r w:rsidRPr="00F02096">
              <w:rPr>
                <w:b/>
                <w:i/>
              </w:rPr>
              <w:t>eller ogiltigförklarats</w:t>
            </w:r>
            <w:r w:rsidRPr="00F02096">
              <w:t xml:space="preserve"> och vars visering fortfarande är giltig </w:t>
            </w:r>
            <w:r w:rsidRPr="00F02096">
              <w:rPr>
                <w:b/>
                <w:i/>
              </w:rPr>
              <w:t>ska</w:t>
            </w:r>
            <w:r w:rsidRPr="00F02096">
              <w:t xml:space="preserve"> ansöka om bekräftelse av viseringen i anslutning till en ny resehandling</w:t>
            </w:r>
            <w:r w:rsidRPr="00F02096">
              <w:rPr>
                <w:b/>
                <w:i/>
              </w:rPr>
              <w:t>, om de önskar fortsätta använda viseringen.</w:t>
            </w:r>
            <w:r w:rsidRPr="00F02096">
              <w:t xml:space="preserve"> </w:t>
            </w:r>
            <w:r w:rsidRPr="00F02096">
              <w:rPr>
                <w:b/>
                <w:i/>
              </w:rPr>
              <w:t>Viseringen kan i princip bekräftas av den myndighet som utfärdade viseringen eller på de villkor som medlemsstaten meddelat.</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Beslutet om bekräftelse av viseringen i en ny resehandling ska meddelas sökanden på ett elektroniskt sätt i enlighet med artikel 7f i förordning (EG) nr 767/2008.</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Beslutet om huruvida en visering har bekräftats i en ny resehandling ska göras tillgängligt för sökanden på det säkra kontot.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23</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22</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32a – punkt 2 – led b</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(b)</w:t>
            </w:r>
            <w:r w:rsidRPr="00F02096">
              <w:tab/>
              <w:t>Viseringens nummer.</w:t>
            </w:r>
          </w:p>
        </w:tc>
        <w:tc>
          <w:tcPr>
            <w:tcW w:w="4876" w:type="dxa"/>
          </w:tcPr>
          <w:p w:rsidR="006A6174" w:rsidRPr="00F02096" w:rsidRDefault="00812665" w:rsidP="00D7587E">
            <w:pPr>
              <w:pStyle w:val="Normal6"/>
              <w:rPr>
                <w:szCs w:val="24"/>
              </w:rPr>
            </w:pPr>
            <w:r w:rsidRPr="00F02096">
              <w:t>(b)</w:t>
            </w:r>
            <w:r w:rsidRPr="00F02096">
              <w:tab/>
            </w:r>
            <w:r w:rsidRPr="00F02096">
              <w:rPr>
                <w:b/>
                <w:i/>
              </w:rPr>
              <w:t>Den digitala</w:t>
            </w:r>
            <w:r w:rsidRPr="00F02096">
              <w:t xml:space="preserve"> viseringens nummer.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24</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22</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32a – punkt 4</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4.</w:t>
            </w:r>
            <w:r w:rsidRPr="00F02096">
              <w:tab/>
              <w:t xml:space="preserve">Viseringsinnehavaren ska vara skyldig att infinna sig personligen för att visa upp den nya resehandlingen så att det kan verifieras att denna resehandling motsvarar den </w:t>
            </w:r>
            <w:r w:rsidRPr="00F02096">
              <w:rPr>
                <w:b/>
                <w:bCs/>
                <w:i/>
                <w:iCs/>
              </w:rPr>
              <w:t>skannade</w:t>
            </w:r>
            <w:r w:rsidRPr="00F02096">
              <w:t xml:space="preserve"> kopia som laddats upp via EU-ansökningsplattformen och att resehandlingens innehavare är den person som viseringen utfärdats för.</w:t>
            </w:r>
          </w:p>
        </w:tc>
        <w:tc>
          <w:tcPr>
            <w:tcW w:w="4876" w:type="dxa"/>
          </w:tcPr>
          <w:p w:rsidR="006A6174" w:rsidRPr="00F02096" w:rsidRDefault="00812665" w:rsidP="00D7587E">
            <w:pPr>
              <w:pStyle w:val="Normal6"/>
              <w:rPr>
                <w:szCs w:val="24"/>
              </w:rPr>
            </w:pPr>
            <w:r w:rsidRPr="00F02096">
              <w:t>4.</w:t>
            </w:r>
            <w:r w:rsidRPr="00F02096">
              <w:tab/>
              <w:t xml:space="preserve">Viseringsinnehavaren ska vara skyldig att infinna sig personligen för att visa upp den nya resehandlingen så att det kan verifieras att denna resehandling motsvarar den </w:t>
            </w:r>
            <w:r w:rsidRPr="00F02096">
              <w:rPr>
                <w:b/>
                <w:i/>
              </w:rPr>
              <w:t>elektroniska</w:t>
            </w:r>
            <w:r w:rsidRPr="00F02096">
              <w:t xml:space="preserve"> kopia som laddats upp via EU-ansökningsplattformen och att resehandlingens innehavare är den person som viseringen utfärdats för.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25</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23 – led b</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33 – punkt 8</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8.</w:t>
            </w:r>
            <w:r w:rsidRPr="00F02096">
              <w:tab/>
            </w:r>
            <w:r w:rsidRPr="00F02096">
              <w:rPr>
                <w:b/>
                <w:bCs/>
                <w:i/>
                <w:iCs/>
              </w:rPr>
              <w:t>Om en visering förlängs i enlighet med punkterna 1–7 i denna artikel</w:t>
            </w:r>
            <w:r w:rsidRPr="00F02096">
              <w:t xml:space="preserve"> via EU-ansökningsplattformen ska </w:t>
            </w:r>
            <w:r w:rsidRPr="00F02096">
              <w:rPr>
                <w:b/>
                <w:bCs/>
                <w:i/>
                <w:iCs/>
              </w:rPr>
              <w:t>förlängningen</w:t>
            </w:r>
            <w:r w:rsidRPr="00F02096">
              <w:t xml:space="preserve"> meddelas sökanden på ett </w:t>
            </w:r>
            <w:r w:rsidRPr="00F02096">
              <w:rPr>
                <w:b/>
                <w:bCs/>
                <w:i/>
                <w:iCs/>
              </w:rPr>
              <w:t>säkert</w:t>
            </w:r>
            <w:r w:rsidRPr="00F02096">
              <w:t xml:space="preserve"> elektroniskt sätt i enlighet med artikel 7f i förordning (EG) nr 767/2008.</w:t>
            </w:r>
          </w:p>
        </w:tc>
        <w:tc>
          <w:tcPr>
            <w:tcW w:w="4876" w:type="dxa"/>
          </w:tcPr>
          <w:p w:rsidR="006A6174" w:rsidRPr="00F02096" w:rsidRDefault="00812665" w:rsidP="00D7587E">
            <w:pPr>
              <w:pStyle w:val="Normal6"/>
              <w:rPr>
                <w:szCs w:val="24"/>
              </w:rPr>
            </w:pPr>
            <w:r w:rsidRPr="00F02096">
              <w:t>8.</w:t>
            </w:r>
            <w:r w:rsidRPr="00F02096">
              <w:tab/>
            </w:r>
            <w:r w:rsidRPr="00F02096">
              <w:rPr>
                <w:b/>
                <w:i/>
              </w:rPr>
              <w:t>Beslutet om förlängning av den begärda viseringen</w:t>
            </w:r>
            <w:r w:rsidRPr="00F02096">
              <w:t xml:space="preserve"> via EU-ansökningsplattformen ska meddelas sökanden på ett elektroniskt sätt i enlighet med artikel 7f i förordning (EG) nr 767/2008.</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Beslutet om huruvida en visering förlängs ska göras tillgängligt för sökanden på det säkra kontot.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26</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 – led 24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810/2009</w:t>
      </w:r>
      <w:r w:rsidRPr="00F02096">
        <w:rPr>
          <w:rStyle w:val="HideTWBExt"/>
        </w:rPr>
        <w:t>&lt;/DocAmend2&gt;</w:t>
      </w:r>
    </w:p>
    <w:p w:rsidR="006A6174" w:rsidRPr="00F02096" w:rsidRDefault="00812665" w:rsidP="006A6174">
      <w:r w:rsidRPr="00F02096">
        <w:rPr>
          <w:rStyle w:val="HideTWBExt"/>
        </w:rPr>
        <w:t>&lt;Article2&gt;</w:t>
      </w:r>
      <w:r w:rsidRPr="00F02096">
        <w:t>Artikel 34 – punkt 6</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6.</w:t>
            </w:r>
            <w:r w:rsidRPr="00F02096">
              <w:tab/>
              <w:t xml:space="preserve">Ett beslut om upphävande eller återkallande av en visering och de skäl som ligger till grund för detta ska utfärdas i digitalt format genom att uppgifterna förs in i VIS, i enlighet med artikel </w:t>
            </w:r>
            <w:r w:rsidRPr="00F02096">
              <w:rPr>
                <w:b/>
                <w:bCs/>
                <w:i/>
                <w:iCs/>
              </w:rPr>
              <w:t>12</w:t>
            </w:r>
            <w:r w:rsidRPr="00F02096">
              <w:t xml:space="preserve"> i förordning (EG) nr 767/2008</w:t>
            </w:r>
            <w:r w:rsidRPr="00F02096">
              <w:rPr>
                <w:b/>
                <w:bCs/>
                <w:i/>
                <w:iCs/>
              </w:rPr>
              <w:t>, och meddelas</w:t>
            </w:r>
            <w:r w:rsidRPr="00F02096">
              <w:t xml:space="preserve"> sökanden på ett säkert elektroniskt sätt i enlighet med artikel 7f i förordning (EG) nr 767/2008 </w:t>
            </w:r>
            <w:r w:rsidRPr="00F02096">
              <w:rPr>
                <w:b/>
                <w:bCs/>
                <w:i/>
                <w:iCs/>
              </w:rPr>
              <w:t>eller med hjälp av standardformuläret</w:t>
            </w:r>
            <w:r w:rsidRPr="00F02096">
              <w:t xml:space="preserve"> i bilaga VI för ansökningar som inte lämnas in via EU-ansökningsplattformen</w:t>
            </w:r>
            <w:r w:rsidRPr="00F02096">
              <w:rPr>
                <w:b/>
                <w:bCs/>
                <w:i/>
                <w:iCs/>
              </w:rPr>
              <w:t>.</w:t>
            </w:r>
            <w:r w:rsidRPr="00F02096">
              <w:rPr>
                <w:b/>
                <w:i/>
              </w:rPr>
              <w:t xml:space="preserve"> </w:t>
            </w:r>
            <w:r w:rsidRPr="00F02096">
              <w:rPr>
                <w:b/>
                <w:bCs/>
                <w:i/>
                <w:iCs/>
              </w:rPr>
              <w:t>Meddelandet</w:t>
            </w:r>
            <w:r w:rsidRPr="00F02096">
              <w:t xml:space="preserve"> ska </w:t>
            </w:r>
            <w:r w:rsidRPr="00F02096">
              <w:rPr>
                <w:b/>
                <w:bCs/>
                <w:i/>
                <w:iCs/>
              </w:rPr>
              <w:t>innehålla den information</w:t>
            </w:r>
            <w:r w:rsidRPr="00F02096">
              <w:t xml:space="preserve"> som anges i bilaga VI.”</w:t>
            </w:r>
          </w:p>
        </w:tc>
        <w:tc>
          <w:tcPr>
            <w:tcW w:w="4876" w:type="dxa"/>
          </w:tcPr>
          <w:p w:rsidR="006A6174" w:rsidRPr="00F02096" w:rsidRDefault="00812665" w:rsidP="00D7587E">
            <w:pPr>
              <w:pStyle w:val="Normal6"/>
              <w:rPr>
                <w:szCs w:val="24"/>
              </w:rPr>
            </w:pPr>
            <w:r w:rsidRPr="00F02096">
              <w:t>6.</w:t>
            </w:r>
            <w:r w:rsidRPr="00F02096">
              <w:tab/>
            </w:r>
            <w:r w:rsidRPr="00F02096">
              <w:rPr>
                <w:b/>
                <w:i/>
              </w:rPr>
              <w:t>För ansökningar som lämnas in via EU-ansökningsplattformen</w:t>
            </w:r>
            <w:r w:rsidRPr="00F02096">
              <w:t xml:space="preserve"> </w:t>
            </w:r>
            <w:r w:rsidRPr="00F02096">
              <w:rPr>
                <w:b/>
                <w:i/>
              </w:rPr>
              <w:t>ska</w:t>
            </w:r>
            <w:r w:rsidRPr="00F02096">
              <w:t xml:space="preserve"> ett beslut om upphävande eller återkallande av en visering och de skäl som ligger till grund för dem utfärdas i digitalt format genom att uppgifterna förs in i VIS, i enlighet med artikel </w:t>
            </w:r>
            <w:r w:rsidRPr="00F02096">
              <w:rPr>
                <w:b/>
                <w:i/>
              </w:rPr>
              <w:t>13</w:t>
            </w:r>
            <w:r w:rsidRPr="00F02096">
              <w:t xml:space="preserve"> i förordning (EG) nr 767/2008</w:t>
            </w:r>
            <w:r w:rsidRPr="00F02096">
              <w:rPr>
                <w:b/>
                <w:i/>
              </w:rPr>
              <w:t>.</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rPr>
                <w:b/>
                <w:i/>
              </w:rPr>
              <w:t>Så snart beslutet om upphävande eller återkallande finns tillgängligt</w:t>
            </w:r>
            <w:r w:rsidRPr="00F02096">
              <w:t xml:space="preserve"> </w:t>
            </w:r>
            <w:r w:rsidRPr="00F02096">
              <w:rPr>
                <w:b/>
                <w:i/>
              </w:rPr>
              <w:t>ska</w:t>
            </w:r>
            <w:r w:rsidRPr="00F02096">
              <w:t xml:space="preserve"> sökanden </w:t>
            </w:r>
            <w:r w:rsidRPr="00F02096">
              <w:rPr>
                <w:b/>
                <w:i/>
              </w:rPr>
              <w:t>meddelas</w:t>
            </w:r>
            <w:r w:rsidRPr="00F02096">
              <w:t xml:space="preserve"> på ett elektroniskt sätt i enlighet med artikel 7f.</w:t>
            </w:r>
            <w:r w:rsidRPr="00F02096">
              <w:rPr>
                <w:b/>
                <w:i/>
              </w:rPr>
              <w:t>1</w:t>
            </w:r>
            <w:r w:rsidRPr="00F02096">
              <w:t xml:space="preserve"> i förordning (EG) nr 767/2008</w:t>
            </w:r>
            <w:r w:rsidRPr="00F02096">
              <w:rPr>
                <w:b/>
                <w:bCs/>
                <w:i/>
                <w:iCs/>
              </w:rPr>
              <w:t>.</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6213D7">
            <w:pPr>
              <w:pStyle w:val="Normal6"/>
              <w:rPr>
                <w:szCs w:val="24"/>
              </w:rPr>
            </w:pPr>
            <w:r w:rsidRPr="00F02096">
              <w:rPr>
                <w:b/>
                <w:i/>
              </w:rPr>
              <w:t>Ett beslut om upphävande eller återkallande och de skäl som ligger till grund för detta ska,</w:t>
            </w:r>
            <w:r w:rsidRPr="00F02096">
              <w:t xml:space="preserve"> </w:t>
            </w:r>
            <w:r w:rsidRPr="00F02096">
              <w:rPr>
                <w:b/>
                <w:bCs/>
                <w:i/>
                <w:iCs/>
              </w:rPr>
              <w:t>som anges</w:t>
            </w:r>
            <w:r w:rsidRPr="00F02096">
              <w:t xml:space="preserve"> i bilaga VI</w:t>
            </w:r>
            <w:r w:rsidRPr="00F02096">
              <w:rPr>
                <w:b/>
                <w:i/>
              </w:rPr>
              <w:t>, göras tillgängligt för sökanden på det säkra kontot.</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D7587E">
            <w:pPr>
              <w:pStyle w:val="Normal6"/>
              <w:rPr>
                <w:szCs w:val="24"/>
              </w:rPr>
            </w:pPr>
            <w:r w:rsidRPr="00F02096">
              <w:t xml:space="preserve">För ansökningar som inte lämnas in via EU-ansökningsplattformen ska </w:t>
            </w:r>
            <w:r w:rsidRPr="00F02096">
              <w:rPr>
                <w:b/>
                <w:i/>
              </w:rPr>
              <w:t xml:space="preserve">ett beslut om upphävande eller återkallande av en visering och de skäl som ligger till grund för detta meddelas sökanden med hjälp av standardformuläret </w:t>
            </w:r>
            <w:r w:rsidRPr="00F02096">
              <w:t>som anges i bilaga VI.</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27</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7a – rubriken</w:t>
      </w:r>
      <w:r w:rsidRPr="00F0209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465535">
        <w:trPr>
          <w:jc w:val="center"/>
        </w:trPr>
        <w:tc>
          <w:tcPr>
            <w:tcW w:w="9752" w:type="dxa"/>
            <w:gridSpan w:val="2"/>
          </w:tcPr>
          <w:p w:rsidR="006A6174" w:rsidRPr="00F02096" w:rsidRDefault="006A6174" w:rsidP="00D7587E">
            <w:pPr>
              <w:keepNext/>
            </w:pPr>
          </w:p>
        </w:tc>
      </w:tr>
      <w:tr w:rsidR="003B67C4" w:rsidRPr="00F02096" w:rsidTr="00465535">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465535">
        <w:trPr>
          <w:jc w:val="center"/>
        </w:trPr>
        <w:tc>
          <w:tcPr>
            <w:tcW w:w="4876" w:type="dxa"/>
          </w:tcPr>
          <w:p w:rsidR="006A6174" w:rsidRPr="00F02096" w:rsidRDefault="00812665" w:rsidP="00D7587E">
            <w:pPr>
              <w:pStyle w:val="Normal6"/>
            </w:pPr>
            <w:r w:rsidRPr="00F02096">
              <w:t>Information till allmänheten på EU-ansökningsplattformen</w:t>
            </w:r>
          </w:p>
        </w:tc>
        <w:tc>
          <w:tcPr>
            <w:tcW w:w="4876" w:type="dxa"/>
          </w:tcPr>
          <w:p w:rsidR="006A6174" w:rsidRPr="00F02096" w:rsidRDefault="00812665" w:rsidP="00D7587E">
            <w:pPr>
              <w:pStyle w:val="Normal6"/>
              <w:rPr>
                <w:szCs w:val="24"/>
              </w:rPr>
            </w:pPr>
            <w:r w:rsidRPr="00F02096">
              <w:rPr>
                <w:i/>
                <w:iCs/>
              </w:rPr>
              <w:t>(Berör inte den svenska versionen.)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28</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7a – punkt 2 – stycke 1 – inledningen</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Eu-LISA ska ansvara för att offentliggöra och uppdatera följande information till allmänheten på EU-ansökningsplattformen, efter att ha mottagit följande information från kommissionen eller medlemsstaterna:</w:t>
            </w:r>
          </w:p>
        </w:tc>
        <w:tc>
          <w:tcPr>
            <w:tcW w:w="4876" w:type="dxa"/>
          </w:tcPr>
          <w:p w:rsidR="006A6174" w:rsidRPr="00F02096" w:rsidRDefault="00812665" w:rsidP="00D7587E">
            <w:pPr>
              <w:pStyle w:val="Normal6"/>
              <w:rPr>
                <w:szCs w:val="24"/>
              </w:rPr>
            </w:pPr>
            <w:r w:rsidRPr="00F02096">
              <w:rPr>
                <w:i/>
                <w:iCs/>
              </w:rPr>
              <w:t>(Berör inte den svenska versionen.)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29</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7b – punkt 2 – stycke 1 – inledningen</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Utan att det påverkar tillämpningen av artikel 7ba ska sökanden lämna följande personuppgifter i ansökningsformuläret:</w:t>
            </w:r>
          </w:p>
        </w:tc>
        <w:tc>
          <w:tcPr>
            <w:tcW w:w="4876" w:type="dxa"/>
          </w:tcPr>
          <w:p w:rsidR="006A6174" w:rsidRPr="00F02096" w:rsidRDefault="00812665" w:rsidP="00D7587E">
            <w:pPr>
              <w:pStyle w:val="Normal6"/>
              <w:rPr>
                <w:szCs w:val="24"/>
              </w:rPr>
            </w:pPr>
            <w:r w:rsidRPr="00F02096">
              <w:t>Utan att det påverkar tillämpningen av artikel 7ba ska sökanden</w:t>
            </w:r>
            <w:r w:rsidRPr="00F02096">
              <w:rPr>
                <w:b/>
                <w:i/>
              </w:rPr>
              <w:t>, i förekommande fall,</w:t>
            </w:r>
            <w:r w:rsidRPr="00F02096">
              <w:t xml:space="preserve"> lämna följande personuppgifter i ansökningsformuläret: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494634" w:rsidRPr="00F02096" w:rsidRDefault="00812665" w:rsidP="0049463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30</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7b – punkt 2 – stycke 1 – led 28</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(28)</w:t>
            </w:r>
            <w:r w:rsidRPr="00F02096">
              <w:tab/>
              <w:t>Huruvida fingeravtryck tagits tidigare i samband med en ansökan om Schengenvisering; datum, om känt; viseringsnummer, om känt.</w:t>
            </w:r>
          </w:p>
        </w:tc>
        <w:tc>
          <w:tcPr>
            <w:tcW w:w="4876" w:type="dxa"/>
          </w:tcPr>
          <w:p w:rsidR="006A6174" w:rsidRPr="00F02096" w:rsidRDefault="00812665" w:rsidP="00D7587E">
            <w:pPr>
              <w:pStyle w:val="Normal6"/>
              <w:rPr>
                <w:szCs w:val="24"/>
              </w:rPr>
            </w:pPr>
            <w:r w:rsidRPr="00F02096">
              <w:t>(28)</w:t>
            </w:r>
            <w:r w:rsidRPr="00F02096">
              <w:tab/>
              <w:t xml:space="preserve">Huruvida fingeravtryck tagits tidigare i samband med en ansökan om Schengenvisering; datum, om känt; </w:t>
            </w:r>
            <w:r w:rsidRPr="00F02096">
              <w:rPr>
                <w:b/>
                <w:i/>
              </w:rPr>
              <w:t>digitalt</w:t>
            </w:r>
            <w:r w:rsidRPr="00F02096">
              <w:t xml:space="preserve"> viseringsnummer, om känt.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31</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7b – punkt 2 – stycke 3a (nytt)</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6213D7">
            <w:pPr>
              <w:pStyle w:val="Normal6"/>
              <w:rPr>
                <w:szCs w:val="24"/>
              </w:rPr>
            </w:pPr>
            <w:r w:rsidRPr="00F02096">
              <w:rPr>
                <w:b/>
                <w:i/>
              </w:rPr>
              <w:t>När det gäller tillfällig lagring av uppgifter ska eu-LISA anses vara behörig myndighet och personuppgiftsansvarig i enlighet med artikel 4.7 i förordning (EU) 2016/679 och ska ha centralt ansvar för behandling av uppgifter.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32</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7b – punkt 5 – stycke 1a (nytt)</w:t>
      </w:r>
      <w:r w:rsidRPr="00F02096">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465535">
        <w:trPr>
          <w:jc w:val="center"/>
        </w:trPr>
        <w:tc>
          <w:tcPr>
            <w:tcW w:w="9752" w:type="dxa"/>
            <w:gridSpan w:val="2"/>
          </w:tcPr>
          <w:p w:rsidR="006A6174" w:rsidRPr="00F02096" w:rsidRDefault="006A6174" w:rsidP="00D7587E">
            <w:pPr>
              <w:keepNext/>
            </w:pPr>
          </w:p>
        </w:tc>
      </w:tr>
      <w:tr w:rsidR="003B67C4" w:rsidRPr="00F02096" w:rsidTr="00465535">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465535">
        <w:trPr>
          <w:jc w:val="center"/>
        </w:trPr>
        <w:tc>
          <w:tcPr>
            <w:tcW w:w="4876" w:type="dxa"/>
          </w:tcPr>
          <w:p w:rsidR="006A6174" w:rsidRPr="00F02096" w:rsidRDefault="006A6174" w:rsidP="00D7587E">
            <w:pPr>
              <w:pStyle w:val="Normal6"/>
            </w:pPr>
          </w:p>
        </w:tc>
        <w:tc>
          <w:tcPr>
            <w:tcW w:w="4876" w:type="dxa"/>
          </w:tcPr>
          <w:p w:rsidR="006A6174" w:rsidRPr="00F02096" w:rsidRDefault="00812665" w:rsidP="006213D7">
            <w:pPr>
              <w:pStyle w:val="Normal6"/>
              <w:rPr>
                <w:szCs w:val="24"/>
              </w:rPr>
            </w:pPr>
            <w:r w:rsidRPr="00F02096">
              <w:rPr>
                <w:b/>
                <w:i/>
              </w:rPr>
              <w:t>En flaggad IP-adress i sig ska inte automatiskt leda till att viseringsansökan diskvalificeras.</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I vissa tredjeländer är internettäckningen fortfarande mycket begränsad. Särskild uppmärksamhet bör ägnas åt sådana omständigheter då flera ansökningar inleds från samma plats och samma IP-adress. En flaggad IP-adress bör inte automatiskt leda till att viseringsansökan diskvalificeras.</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33</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7b – punkt 6</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6.</w:t>
            </w:r>
            <w:r w:rsidRPr="00F02096">
              <w:tab/>
              <w:t xml:space="preserve">Kommissionen ska </w:t>
            </w:r>
            <w:r w:rsidRPr="00F02096">
              <w:rPr>
                <w:b/>
                <w:bCs/>
                <w:i/>
                <w:iCs/>
              </w:rPr>
              <w:t>genom genomförandeakter</w:t>
            </w:r>
            <w:r w:rsidRPr="00F02096">
              <w:t xml:space="preserve"> fastställa innehållet i </w:t>
            </w:r>
            <w:r w:rsidRPr="00F02096">
              <w:rPr>
                <w:b/>
                <w:bCs/>
                <w:i/>
                <w:iCs/>
              </w:rPr>
              <w:t>ett förenklat ansökningsformulär</w:t>
            </w:r>
            <w:r w:rsidRPr="00F02096">
              <w:t xml:space="preserve"> för bekräftelse av giltiga viseringar i en ny resehandling, enligt artikel 32a i förordning (EG) nr 810/2009, och för förlängning av viseringar, enligt artikel 33 i den förordningen, med hjälp av EU-ansökningsplattformen. </w:t>
            </w:r>
            <w:r w:rsidRPr="00F02096">
              <w:rPr>
                <w:b/>
                <w:i/>
              </w:rPr>
              <w:t>Dessa genomförandeakter ska antas i enlighet med det granskningsförfarande som avses i artikel 49.2.</w:t>
            </w:r>
          </w:p>
        </w:tc>
        <w:tc>
          <w:tcPr>
            <w:tcW w:w="4876" w:type="dxa"/>
          </w:tcPr>
          <w:p w:rsidR="006A6174" w:rsidRPr="00F02096" w:rsidRDefault="00812665" w:rsidP="00D7587E">
            <w:pPr>
              <w:pStyle w:val="Normal6"/>
              <w:rPr>
                <w:szCs w:val="24"/>
              </w:rPr>
            </w:pPr>
            <w:r w:rsidRPr="00F02096">
              <w:t>6.</w:t>
            </w:r>
            <w:r w:rsidRPr="00F02096">
              <w:tab/>
              <w:t xml:space="preserve">Kommissionen </w:t>
            </w:r>
            <w:r w:rsidRPr="00F02096">
              <w:rPr>
                <w:b/>
                <w:i/>
              </w:rPr>
              <w:t>ska anta delegerade akter i enlighet med artikel 48a för att</w:t>
            </w:r>
            <w:r w:rsidRPr="00F02096">
              <w:t xml:space="preserve"> fastställa innehållet i </w:t>
            </w:r>
            <w:r w:rsidRPr="00F02096">
              <w:rPr>
                <w:b/>
                <w:i/>
              </w:rPr>
              <w:t>det förenklade ansökningsformuläret</w:t>
            </w:r>
            <w:r w:rsidRPr="00F02096">
              <w:t xml:space="preserve"> för bekräftelse av giltiga viseringar i en ny resehandling, enligt artikel 32a i förordning (EG) nr 810/2009, och för förlängning av viseringar, enligt artikel 33 i den förordningen, med hjälp av EU-ansökningsplattformen.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34</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7c – punkt 2</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2.</w:t>
            </w:r>
            <w:r w:rsidRPr="00F02096">
              <w:tab/>
              <w:t xml:space="preserve">Sökande ska kunna använda EU-ansökningsplattformen för att lämna in en </w:t>
            </w:r>
            <w:r w:rsidRPr="00F02096">
              <w:rPr>
                <w:b/>
                <w:bCs/>
                <w:i/>
                <w:iCs/>
              </w:rPr>
              <w:t>skannad</w:t>
            </w:r>
            <w:r w:rsidRPr="00F02096">
              <w:t xml:space="preserve"> kopia av resehandlingen i elektroniskt format samt styrkande handlingar och bevis på medicinsk reseförsäkring i digitalt format, i tillämpliga fall, i enlighet med förordning (EG) nr 810/2009 eller direktiv 2004/38/EG.</w:t>
            </w:r>
          </w:p>
        </w:tc>
        <w:tc>
          <w:tcPr>
            <w:tcW w:w="4876" w:type="dxa"/>
          </w:tcPr>
          <w:p w:rsidR="006A6174" w:rsidRPr="00F02096" w:rsidRDefault="00812665" w:rsidP="00D7587E">
            <w:pPr>
              <w:pStyle w:val="Normal6"/>
              <w:rPr>
                <w:szCs w:val="24"/>
              </w:rPr>
            </w:pPr>
            <w:r w:rsidRPr="00F02096">
              <w:t>2.</w:t>
            </w:r>
            <w:r w:rsidRPr="00F02096">
              <w:tab/>
              <w:t>Sökande ska kunna använda EU-ansökningsplattformen för att lämna in en kopia av resehandlingen i elektroniskt format samt styrkande handlingar och bevis på medicinsk reseförsäkring i digitalt format, i tillämpliga fall, i enlighet med förordning (EG) nr 810/2009 eller direktiv 2004/38/EG.</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35</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7c – punkt 9 – stycke 3</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rPr>
                <w:b/>
                <w:bCs/>
                <w:i/>
                <w:iCs/>
              </w:rPr>
              <w:t>Ansökningsplattformen</w:t>
            </w:r>
            <w:r w:rsidRPr="00F02096">
              <w:t xml:space="preserve"> ska vara utformad så att det säkerställs att artikel 19.4 och 19.4a i förordning (EG) nr 810/2009 kan tillämpas, för att ansökningar ska anses kunna tas upp till prövning.</w:t>
            </w:r>
          </w:p>
        </w:tc>
        <w:tc>
          <w:tcPr>
            <w:tcW w:w="4876" w:type="dxa"/>
          </w:tcPr>
          <w:p w:rsidR="006A6174" w:rsidRPr="00F02096" w:rsidRDefault="00812665" w:rsidP="00D7587E">
            <w:pPr>
              <w:pStyle w:val="Normal6"/>
              <w:rPr>
                <w:szCs w:val="24"/>
              </w:rPr>
            </w:pPr>
            <w:r w:rsidRPr="00F02096">
              <w:rPr>
                <w:b/>
                <w:bCs/>
                <w:i/>
                <w:iCs/>
              </w:rPr>
              <w:t>EU-ansökningsplattformen</w:t>
            </w:r>
            <w:r w:rsidRPr="00F02096">
              <w:t xml:space="preserve"> ska vara utformad så att det säkerställs att artikel 19.4 och 19.4a i förordning (EG) nr 810/2009 kan tillämpas, för att ansökningar ska anses kunna tas upp till prövning.</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36</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7c – punkt 13a (ny)</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6A6174" w:rsidP="00D7587E">
            <w:pPr>
              <w:pStyle w:val="Normal6"/>
            </w:pPr>
          </w:p>
        </w:tc>
        <w:tc>
          <w:tcPr>
            <w:tcW w:w="4876" w:type="dxa"/>
          </w:tcPr>
          <w:p w:rsidR="006A6174" w:rsidRPr="00F02096" w:rsidRDefault="00812665" w:rsidP="006213D7">
            <w:pPr>
              <w:pStyle w:val="Normal6"/>
              <w:rPr>
                <w:szCs w:val="24"/>
              </w:rPr>
            </w:pPr>
            <w:r w:rsidRPr="00F02096">
              <w:rPr>
                <w:b/>
                <w:i/>
              </w:rPr>
              <w:t>13a.</w:t>
            </w:r>
            <w:r w:rsidRPr="00F02096">
              <w:rPr>
                <w:b/>
                <w:i/>
              </w:rPr>
              <w:tab/>
              <w:t>När det gäller de överförda uppgifter som avses i punkterna 11 och 12 ska varje medlemsstat utse en behörig myndighet som ska anses vara personuppgiftsansvarig i enlighet med artikel 4.7 i förordning (EU) 2016/679 och som ska ha centralt ansvar för den medlemsstatens behandling av uppgifter. Varje medlemsstat ska underrätta kommissionen om vilken myndighet som har utsetts.</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37</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7e – punkt 1 – led a</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(a)</w:t>
            </w:r>
            <w:r w:rsidRPr="00F02096">
              <w:tab/>
              <w:t xml:space="preserve">verifiera och utföra kvalitetskontroller av de uppgifter som laddats upp i den tillfälliga lagringskapaciteten, särskilt den </w:t>
            </w:r>
            <w:r w:rsidRPr="00F02096">
              <w:rPr>
                <w:b/>
                <w:bCs/>
                <w:i/>
                <w:iCs/>
              </w:rPr>
              <w:t>skannade</w:t>
            </w:r>
            <w:r w:rsidRPr="00F02096">
              <w:t xml:space="preserve"> kopian av resehandlingen,</w:t>
            </w:r>
          </w:p>
        </w:tc>
        <w:tc>
          <w:tcPr>
            <w:tcW w:w="4876" w:type="dxa"/>
          </w:tcPr>
          <w:p w:rsidR="006A6174" w:rsidRPr="00F02096" w:rsidRDefault="00812665" w:rsidP="00D7587E">
            <w:pPr>
              <w:pStyle w:val="Normal6"/>
              <w:rPr>
                <w:szCs w:val="24"/>
              </w:rPr>
            </w:pPr>
            <w:r w:rsidRPr="00F02096">
              <w:t>(a)</w:t>
            </w:r>
            <w:r w:rsidRPr="00F02096">
              <w:tab/>
              <w:t xml:space="preserve">verifiera och utföra kvalitetskontroller av de uppgifter som laddats upp i den tillfälliga lagringskapaciteten, särskilt den </w:t>
            </w:r>
            <w:r w:rsidRPr="00F02096">
              <w:rPr>
                <w:b/>
                <w:i/>
              </w:rPr>
              <w:t>elektroniska</w:t>
            </w:r>
            <w:r w:rsidRPr="00F02096">
              <w:t xml:space="preserve"> kopian av resehandlingen,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38</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7f – punkt 1</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1.</w:t>
            </w:r>
            <w:r w:rsidRPr="00F02096">
              <w:tab/>
              <w:t xml:space="preserve">Sökande och viseringsinnehavare ska meddelas om beslut som fattats av medlemsstaterna om deras ansökningar eller utfärdade viseringar på ett </w:t>
            </w:r>
            <w:r w:rsidRPr="00F02096">
              <w:rPr>
                <w:b/>
                <w:bCs/>
                <w:i/>
                <w:iCs/>
              </w:rPr>
              <w:t>säkert</w:t>
            </w:r>
            <w:r w:rsidRPr="00F02096">
              <w:t xml:space="preserve"> elektroniskt sätt.</w:t>
            </w:r>
          </w:p>
        </w:tc>
        <w:tc>
          <w:tcPr>
            <w:tcW w:w="4876" w:type="dxa"/>
          </w:tcPr>
          <w:p w:rsidR="006A6174" w:rsidRPr="00F02096" w:rsidRDefault="00812665" w:rsidP="00D7587E">
            <w:pPr>
              <w:pStyle w:val="Normal6"/>
              <w:rPr>
                <w:szCs w:val="24"/>
              </w:rPr>
            </w:pPr>
            <w:r w:rsidRPr="00F02096">
              <w:t>1.</w:t>
            </w:r>
            <w:r w:rsidRPr="00F02096">
              <w:tab/>
              <w:t>Sökande och viseringsinnehavare ska meddelas om beslut som fattats av medlemsstaterna om deras ansökningar eller utfärdade viseringar på ett elektroniskt sätt.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39</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7g – punkt 3</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3.</w:t>
            </w:r>
            <w:r w:rsidRPr="00F02096">
              <w:tab/>
              <w:t>EU-ansökningsplattformen ska erbjuda en webbtjänstfunktion så att sökande kan verifiera den digitala viseringen utan den säkra kontotjänsten.</w:t>
            </w:r>
          </w:p>
        </w:tc>
        <w:tc>
          <w:tcPr>
            <w:tcW w:w="4876" w:type="dxa"/>
          </w:tcPr>
          <w:p w:rsidR="006A6174" w:rsidRPr="00F02096" w:rsidRDefault="00812665" w:rsidP="00D7587E">
            <w:pPr>
              <w:pStyle w:val="Normal6"/>
              <w:rPr>
                <w:szCs w:val="24"/>
              </w:rPr>
            </w:pPr>
            <w:r w:rsidRPr="00F02096">
              <w:t>3.</w:t>
            </w:r>
            <w:r w:rsidRPr="00F02096">
              <w:tab/>
              <w:t xml:space="preserve">EU-ansökningsplattformen ska erbjuda en webbtjänstfunktion så att sökande kan verifiera </w:t>
            </w:r>
            <w:r w:rsidRPr="00F02096">
              <w:rPr>
                <w:b/>
                <w:i/>
              </w:rPr>
              <w:t>giltigheten för</w:t>
            </w:r>
            <w:r w:rsidRPr="00F02096">
              <w:t xml:space="preserve"> den digitala viseringen utan den säkra kontotjänsten.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40</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6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10 – punkt 1 – led e</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e)</w:t>
            </w:r>
            <w:r w:rsidRPr="00F02096">
              <w:tab/>
              <w:t>Viseringsnummer.</w:t>
            </w:r>
          </w:p>
        </w:tc>
        <w:tc>
          <w:tcPr>
            <w:tcW w:w="4876" w:type="dxa"/>
          </w:tcPr>
          <w:p w:rsidR="006A6174" w:rsidRPr="00F02096" w:rsidRDefault="00812665" w:rsidP="00D7587E">
            <w:pPr>
              <w:pStyle w:val="Normal6"/>
              <w:rPr>
                <w:szCs w:val="24"/>
              </w:rPr>
            </w:pPr>
            <w:r w:rsidRPr="00F02096">
              <w:t>e)</w:t>
            </w:r>
            <w:r w:rsidRPr="00F02096">
              <w:tab/>
            </w:r>
            <w:r w:rsidRPr="00F02096">
              <w:rPr>
                <w:b/>
                <w:i/>
              </w:rPr>
              <w:t>Digitalt</w:t>
            </w:r>
            <w:r w:rsidRPr="00F02096">
              <w:t xml:space="preserve"> viseringsnummer.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41</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8</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14 – punkt 1 – led d</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d)</w:t>
            </w:r>
            <w:r w:rsidRPr="00F02096">
              <w:tab/>
              <w:t>Viseringsnummer för den förlängda viseringen.</w:t>
            </w:r>
          </w:p>
        </w:tc>
        <w:tc>
          <w:tcPr>
            <w:tcW w:w="4876" w:type="dxa"/>
          </w:tcPr>
          <w:p w:rsidR="006A6174" w:rsidRPr="00F02096" w:rsidRDefault="00812665" w:rsidP="00D7587E">
            <w:pPr>
              <w:pStyle w:val="Normal6"/>
              <w:rPr>
                <w:szCs w:val="24"/>
              </w:rPr>
            </w:pPr>
            <w:r w:rsidRPr="00F02096">
              <w:t>d)</w:t>
            </w:r>
            <w:r w:rsidRPr="00F02096">
              <w:tab/>
            </w:r>
            <w:r w:rsidRPr="00F02096">
              <w:rPr>
                <w:b/>
                <w:i/>
              </w:rPr>
              <w:t>Digitalt</w:t>
            </w:r>
            <w:r w:rsidRPr="00F02096">
              <w:t xml:space="preserve"> viseringsnummer för den förlängda viseringen.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42</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9</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15 – punkt 2 – led f</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f)</w:t>
            </w:r>
            <w:r w:rsidRPr="00F02096">
              <w:tab/>
              <w:t>Viseringsnummer, nummer på viseringen för längre vistelse eller uppehållstillståndet samt dagen för utfärdandet av eventuella tidigare viseringar, viseringar för längre vistelse eller uppehållstillstånd.</w:t>
            </w:r>
          </w:p>
        </w:tc>
        <w:tc>
          <w:tcPr>
            <w:tcW w:w="4876" w:type="dxa"/>
          </w:tcPr>
          <w:p w:rsidR="006A6174" w:rsidRPr="00F02096" w:rsidRDefault="00812665" w:rsidP="00D7587E">
            <w:pPr>
              <w:pStyle w:val="Normal6"/>
              <w:rPr>
                <w:szCs w:val="24"/>
              </w:rPr>
            </w:pPr>
            <w:r w:rsidRPr="00F02096">
              <w:t>f)</w:t>
            </w:r>
            <w:r w:rsidRPr="00F02096">
              <w:tab/>
            </w:r>
            <w:r w:rsidRPr="00F02096">
              <w:rPr>
                <w:b/>
                <w:i/>
              </w:rPr>
              <w:t>Digitalt</w:t>
            </w:r>
            <w:r w:rsidRPr="00F02096">
              <w:t xml:space="preserve"> viseringsnummer, nummer på viseringen för längre vistelse eller uppehållstillståndet samt dagen för utfärdandet av eventuella tidigare viseringar, viseringar för längre vistelse eller uppehållstillstånd.</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43</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17 – led b</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22o – punkt 3 – led f</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rPr>
                <w:b/>
                <w:i/>
              </w:rPr>
              <w:t>f)</w:t>
            </w:r>
            <w:r w:rsidRPr="00F02096">
              <w:rPr>
                <w:b/>
                <w:i/>
              </w:rPr>
              <w:tab/>
              <w:t>IP-adress.</w:t>
            </w:r>
          </w:p>
        </w:tc>
        <w:tc>
          <w:tcPr>
            <w:tcW w:w="4876" w:type="dxa"/>
          </w:tcPr>
          <w:p w:rsidR="006A6174" w:rsidRPr="00F02096" w:rsidRDefault="00812665" w:rsidP="00D7587E">
            <w:pPr>
              <w:pStyle w:val="Normal6"/>
              <w:rPr>
                <w:szCs w:val="24"/>
              </w:rPr>
            </w:pPr>
            <w:r w:rsidRPr="00F02096">
              <w:rPr>
                <w:b/>
                <w:i/>
              </w:rPr>
              <w:t>utgår</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Denna artikel avser de uppgifter som ska läggas till av de behöriga myndigheterna i syfte att förlänga en visering för längre vistelse eller förnya ett uppehållstillstånd. Föredraganden anser att insamlingen av IP-adressen för detta ändamål inte är nödvändig eller tillräckligt motiverad.</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44</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2 – led 18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(EG) nr 767/2008</w:t>
      </w:r>
      <w:r w:rsidRPr="00F02096">
        <w:rPr>
          <w:rStyle w:val="HideTWBExt"/>
        </w:rPr>
        <w:t>&lt;/DocAmend2&gt;</w:t>
      </w:r>
    </w:p>
    <w:p w:rsidR="006A6174" w:rsidRPr="00F02096" w:rsidRDefault="00812665" w:rsidP="006A6174">
      <w:r w:rsidRPr="00F02096">
        <w:rPr>
          <w:rStyle w:val="HideTWBExt"/>
        </w:rPr>
        <w:t>&lt;Article2&gt;</w:t>
      </w:r>
      <w:r w:rsidRPr="00F02096">
        <w:t>Artikel 22r – punkt 3 – led c</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c)</w:t>
            </w:r>
            <w:r w:rsidRPr="00F02096">
              <w:tab/>
              <w:t>Viseringsnumret eller numret på viseringen för längre vistelse eller uppehållstillståndet samt sista giltighetsdag för viseringen, viseringen för längre vistelse eller uppehållstillståndet, beroende på vad som är tillämpligt.</w:t>
            </w:r>
          </w:p>
        </w:tc>
        <w:tc>
          <w:tcPr>
            <w:tcW w:w="4876" w:type="dxa"/>
          </w:tcPr>
          <w:p w:rsidR="006A6174" w:rsidRPr="00F02096" w:rsidRDefault="00812665" w:rsidP="00D7587E">
            <w:pPr>
              <w:pStyle w:val="Normal6"/>
              <w:rPr>
                <w:szCs w:val="24"/>
              </w:rPr>
            </w:pPr>
            <w:r w:rsidRPr="00F02096">
              <w:t>c)</w:t>
            </w:r>
            <w:r w:rsidRPr="00F02096">
              <w:tab/>
            </w:r>
            <w:r w:rsidRPr="00F02096">
              <w:rPr>
                <w:b/>
                <w:i/>
              </w:rPr>
              <w:t>Det digitala</w:t>
            </w:r>
            <w:r w:rsidRPr="00F02096">
              <w:t xml:space="preserve"> viseringsnumret eller numret på viseringen för längre vistelse eller uppehållstillståndet samt sista giltighetsdag för viseringen, viseringen för längre vistelse eller uppehållstillståndet, beroende på vad som är tillämpligt.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45</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8 – led 1</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(EU) nr 2017/2226</w:t>
      </w:r>
      <w:r w:rsidRPr="00F02096">
        <w:rPr>
          <w:rStyle w:val="HideTWBExt"/>
        </w:rPr>
        <w:t>&lt;/DocAmend2&gt;</w:t>
      </w:r>
    </w:p>
    <w:p w:rsidR="006A6174" w:rsidRPr="00F02096" w:rsidRDefault="00812665" w:rsidP="006A6174">
      <w:r w:rsidRPr="00F02096">
        <w:rPr>
          <w:rStyle w:val="HideTWBExt"/>
        </w:rPr>
        <w:t>&lt;Article2&gt;</w:t>
      </w:r>
      <w:r w:rsidRPr="00F02096">
        <w:t>Artikel 16 – punkt 2 – led d</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d)</w:t>
            </w:r>
            <w:r w:rsidRPr="00F02096">
              <w:tab/>
              <w:t>I tillämpliga fall, numret på en visering för kortare vistelse, inbegripet koden på tre bokstäver för den utfärdande medlemsstaten, typ av visering för kortare vistelse, slutdatum för den maximala längden på den tillåtna vistelsen enligt viseringen för kortare vistelse vilket ska uppdateras vid varje inresa samt sista giltighetsdag för viseringen för kortare vistelse.</w:t>
            </w:r>
          </w:p>
        </w:tc>
        <w:tc>
          <w:tcPr>
            <w:tcW w:w="4876" w:type="dxa"/>
          </w:tcPr>
          <w:p w:rsidR="006A6174" w:rsidRPr="00F02096" w:rsidRDefault="00812665" w:rsidP="00D7587E">
            <w:pPr>
              <w:pStyle w:val="Normal6"/>
              <w:rPr>
                <w:szCs w:val="24"/>
              </w:rPr>
            </w:pPr>
            <w:r w:rsidRPr="00F02096">
              <w:t>d)</w:t>
            </w:r>
            <w:r w:rsidRPr="00F02096">
              <w:tab/>
              <w:t xml:space="preserve">I tillämpliga fall, numret på en </w:t>
            </w:r>
            <w:r w:rsidRPr="00F02096">
              <w:rPr>
                <w:b/>
                <w:i/>
              </w:rPr>
              <w:t>digital</w:t>
            </w:r>
            <w:r w:rsidRPr="00F02096">
              <w:t xml:space="preserve"> visering för kortare vistelse, inbegripet koden på tre bokstäver för den utfärdande medlemsstaten, typ av visering för kortare vistelse, slutdatum för den maximala längden på den tillåtna vistelsen enligt viseringen för kortare vistelse vilket ska uppdateras vid varje inresa samt sista giltighetsdag för viseringen för kortare vistelse.</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46</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8 – led 2 – led a</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(EU) nr 2017/2226</w:t>
      </w:r>
      <w:r w:rsidRPr="00F02096">
        <w:rPr>
          <w:rStyle w:val="HideTWBExt"/>
        </w:rPr>
        <w:t>&lt;/DocAmend2&gt;</w:t>
      </w:r>
    </w:p>
    <w:p w:rsidR="006A6174" w:rsidRPr="00F02096" w:rsidRDefault="00812665" w:rsidP="006A6174">
      <w:r w:rsidRPr="00F02096">
        <w:rPr>
          <w:rStyle w:val="HideTWBExt"/>
        </w:rPr>
        <w:t>&lt;Article2&gt;</w:t>
      </w:r>
      <w:r w:rsidRPr="00F02096">
        <w:t>Artikel 19 – punkt 1 – led d</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d)</w:t>
            </w:r>
            <w:r w:rsidRPr="00F02096">
              <w:tab/>
              <w:t>I tillämpliga fall det nya viseringsnumret, inbegripet koden på tre bokstäver för det utfärdande landet.</w:t>
            </w:r>
          </w:p>
        </w:tc>
        <w:tc>
          <w:tcPr>
            <w:tcW w:w="4876" w:type="dxa"/>
          </w:tcPr>
          <w:p w:rsidR="006A6174" w:rsidRPr="00F02096" w:rsidRDefault="00812665" w:rsidP="00D7587E">
            <w:pPr>
              <w:pStyle w:val="Normal6"/>
              <w:rPr>
                <w:szCs w:val="24"/>
              </w:rPr>
            </w:pPr>
            <w:r w:rsidRPr="00F02096">
              <w:t>d)</w:t>
            </w:r>
            <w:r w:rsidRPr="00F02096">
              <w:tab/>
              <w:t xml:space="preserve">I tillämpliga fall det nya </w:t>
            </w:r>
            <w:r w:rsidRPr="00F02096">
              <w:rPr>
                <w:b/>
                <w:i/>
              </w:rPr>
              <w:t>digitala</w:t>
            </w:r>
            <w:r w:rsidRPr="00F02096">
              <w:t xml:space="preserve"> viseringsnumret, inbegripet koden på tre bokstäver för det utfärdande landet.</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47</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8 – led 3</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(EU) nr 2017/2226</w:t>
      </w:r>
      <w:r w:rsidRPr="00F02096">
        <w:rPr>
          <w:rStyle w:val="HideTWBExt"/>
        </w:rPr>
        <w:t>&lt;/DocAmend2&gt;</w:t>
      </w:r>
    </w:p>
    <w:p w:rsidR="006A6174" w:rsidRPr="00F02096" w:rsidRDefault="00812665" w:rsidP="006A6174">
      <w:r w:rsidRPr="00F02096">
        <w:rPr>
          <w:rStyle w:val="HideTWBExt"/>
        </w:rPr>
        <w:t>&lt;Article2&gt;</w:t>
      </w:r>
      <w:r w:rsidRPr="00F02096">
        <w:t>Artikel 24 – punkt 2 – led b</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(b)</w:t>
            </w:r>
            <w:r w:rsidRPr="00F02096">
              <w:tab/>
              <w:t>Numret på en visering för kortare vistelse, inbegripet den kod på tre bokstäver för den utfärdande medlemsstaten som avses i artikel 16.2 d.</w:t>
            </w:r>
          </w:p>
        </w:tc>
        <w:tc>
          <w:tcPr>
            <w:tcW w:w="4876" w:type="dxa"/>
          </w:tcPr>
          <w:p w:rsidR="006A6174" w:rsidRPr="00F02096" w:rsidRDefault="00812665" w:rsidP="00D7587E">
            <w:pPr>
              <w:pStyle w:val="Normal6"/>
              <w:rPr>
                <w:szCs w:val="24"/>
              </w:rPr>
            </w:pPr>
            <w:r w:rsidRPr="00F02096">
              <w:t>(b)</w:t>
            </w:r>
            <w:r w:rsidRPr="00F02096">
              <w:tab/>
              <w:t xml:space="preserve">Numret på en </w:t>
            </w:r>
            <w:r w:rsidRPr="00F02096">
              <w:rPr>
                <w:b/>
                <w:i/>
              </w:rPr>
              <w:t>digital</w:t>
            </w:r>
            <w:r w:rsidRPr="00F02096">
              <w:t xml:space="preserve"> visering för kortare vistelse, inbegripet den kod på tre bokstäver för den utfärdande medlemsstaten som avses i artikel 16.2 d.</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48</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8 – led 4</w:t>
      </w:r>
      <w:r w:rsidRPr="00F02096">
        <w:rPr>
          <w:rStyle w:val="HideTWBExt"/>
          <w:b w:val="0"/>
        </w:rPr>
        <w:t>&lt;/Article&gt;</w:t>
      </w:r>
    </w:p>
    <w:p w:rsidR="006A6174" w:rsidRPr="00F02096" w:rsidRDefault="00812665" w:rsidP="006A6174">
      <w:pPr>
        <w:keepNext/>
      </w:pPr>
      <w:r w:rsidRPr="00F02096">
        <w:rPr>
          <w:rStyle w:val="HideTWBExt"/>
        </w:rPr>
        <w:t>&lt;DocAmend2&gt;</w:t>
      </w:r>
      <w:r w:rsidRPr="00F02096">
        <w:t>Förordning (EU) nr 2017/2226</w:t>
      </w:r>
      <w:r w:rsidRPr="00F02096">
        <w:rPr>
          <w:rStyle w:val="HideTWBExt"/>
        </w:rPr>
        <w:t>&lt;/DocAmend2&gt;</w:t>
      </w:r>
    </w:p>
    <w:p w:rsidR="006A6174" w:rsidRPr="00F02096" w:rsidRDefault="00812665" w:rsidP="006A6174">
      <w:r w:rsidRPr="00F02096">
        <w:rPr>
          <w:rStyle w:val="HideTWBExt"/>
        </w:rPr>
        <w:t>&lt;Article2&gt;</w:t>
      </w:r>
      <w:r w:rsidRPr="00F02096">
        <w:t>Artikel 32 – punkt 5 – led c</w:t>
      </w:r>
      <w:r w:rsidRPr="00F02096">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c)</w:t>
            </w:r>
            <w:r w:rsidRPr="00F02096">
              <w:tab/>
              <w:t>Viseringens nummer och viseringens sista giltighetsdag.</w:t>
            </w:r>
          </w:p>
        </w:tc>
        <w:tc>
          <w:tcPr>
            <w:tcW w:w="4876" w:type="dxa"/>
          </w:tcPr>
          <w:p w:rsidR="006A6174" w:rsidRPr="00F02096" w:rsidRDefault="00812665" w:rsidP="00D7587E">
            <w:pPr>
              <w:pStyle w:val="Normal6"/>
              <w:rPr>
                <w:szCs w:val="24"/>
              </w:rPr>
            </w:pPr>
            <w:r w:rsidRPr="00F02096">
              <w:t>c)</w:t>
            </w:r>
            <w:r w:rsidRPr="00F02096">
              <w:tab/>
            </w:r>
            <w:r w:rsidRPr="00F02096">
              <w:rPr>
                <w:b/>
                <w:i/>
              </w:rPr>
              <w:t>Den digitala</w:t>
            </w:r>
            <w:r w:rsidRPr="00F02096">
              <w:t xml:space="preserve"> viseringens nummer och viseringens sista giltighetsdag.</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49</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9 – punkt 1</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1.</w:t>
            </w:r>
            <w:r w:rsidRPr="00F02096">
              <w:tab/>
            </w:r>
            <w:r w:rsidRPr="00F02096">
              <w:rPr>
                <w:b/>
                <w:bCs/>
                <w:i/>
                <w:iCs/>
              </w:rPr>
              <w:t>Fem</w:t>
            </w:r>
            <w:r w:rsidRPr="00F02096">
              <w:t xml:space="preserve"> år efter dagen för driftsättning enligt artikel 12 i denna förordning ska kommissionen utvärdera driften av EU-ansökningsplattformen. Denna utvärdering ska inbegripa en granskning av de resultat som uppnåtts jämfört med målen och av genomförandet av bestämmelserna i förordning (EG) nr 810/2009 och förordning (EG) nr 767/2008 i deras ändrade lydelse enligt den här förordningen.</w:t>
            </w:r>
          </w:p>
        </w:tc>
        <w:tc>
          <w:tcPr>
            <w:tcW w:w="4876" w:type="dxa"/>
          </w:tcPr>
          <w:p w:rsidR="006A6174" w:rsidRPr="00F02096" w:rsidRDefault="00812665" w:rsidP="00D7587E">
            <w:pPr>
              <w:pStyle w:val="Normal6"/>
              <w:rPr>
                <w:szCs w:val="24"/>
              </w:rPr>
            </w:pPr>
            <w:r w:rsidRPr="00F02096">
              <w:t>1.</w:t>
            </w:r>
            <w:r w:rsidRPr="00F02096">
              <w:tab/>
            </w:r>
            <w:r w:rsidRPr="00F02096">
              <w:rPr>
                <w:b/>
                <w:i/>
              </w:rPr>
              <w:t>Tre</w:t>
            </w:r>
            <w:r w:rsidRPr="00F02096">
              <w:t xml:space="preserve"> år efter dagen för driftsättning enligt artikel 12 i denna förordning ska kommissionen utvärdera driften av EU-ansökningsplattformen. Denna utvärdering ska inbegripa en granskning av de resultat som uppnåtts jämfört med målen och av genomförandet av bestämmelserna i förordning (EG) nr 810/2009 och förordning (EG) nr 767/2008 i deras ändrade lydelse enligt den här förordningen.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6A6174" w:rsidRPr="00F02096" w:rsidRDefault="00812665" w:rsidP="006A6174">
      <w:pPr>
        <w:pStyle w:val="JustificationTitle"/>
        <w:rPr>
          <w:noProof w:val="0"/>
        </w:rPr>
      </w:pPr>
      <w:r w:rsidRPr="00F02096">
        <w:rPr>
          <w:rStyle w:val="HideTWBExt"/>
          <w:i w:val="0"/>
        </w:rPr>
        <w:t>&lt;TitreJust&gt;</w:t>
      </w:r>
      <w:r w:rsidRPr="00F02096">
        <w:t>Motivering</w:t>
      </w:r>
      <w:r w:rsidRPr="00F02096">
        <w:rPr>
          <w:rStyle w:val="HideTWBExt"/>
          <w:i w:val="0"/>
        </w:rPr>
        <w:t>&lt;/TitreJust&gt;</w:t>
      </w:r>
    </w:p>
    <w:p w:rsidR="006A6174" w:rsidRPr="00F02096" w:rsidRDefault="00812665" w:rsidP="006A6174">
      <w:pPr>
        <w:pStyle w:val="Normal12Italic"/>
        <w:rPr>
          <w:noProof w:val="0"/>
        </w:rPr>
      </w:pPr>
      <w:r w:rsidRPr="00F02096">
        <w:t>Fem år är en lång utvärderingsperiod för ett verktyg som kommer att ta minst fyra år att utveckla. Tre år efter driftsättning är lämpligare och mer i linje med liknande bestämmelser i andra rättsakter, såsom informationssystemet för viseringar (VIS), in- och utresesystemet (EES), EU-systemet för reseuppgifter och resetillstånd (Etias) och Schengens informationssystem (SIS), som ska utvärderas efter tre års tillämpning.</w:t>
      </w:r>
    </w:p>
    <w:p w:rsidR="006A6174" w:rsidRPr="00F02096" w:rsidRDefault="00812665" w:rsidP="006A6174">
      <w:r w:rsidRPr="00F02096">
        <w:rPr>
          <w:rStyle w:val="HideTWBExt"/>
        </w:rPr>
        <w:t>&lt;/Amend&gt;</w:t>
      </w:r>
    </w:p>
    <w:p w:rsidR="006A6174" w:rsidRPr="00F02096" w:rsidRDefault="00812665" w:rsidP="006A6174">
      <w:pPr>
        <w:pStyle w:val="AMNumberTabs0"/>
        <w:keepNext/>
      </w:pPr>
      <w:r w:rsidRPr="00F02096">
        <w:rPr>
          <w:rStyle w:val="HideTWBExt"/>
          <w:b w:val="0"/>
        </w:rPr>
        <w:t>&lt;Amend&gt;</w:t>
      </w:r>
      <w:r w:rsidRPr="00F02096">
        <w:t>Ändringsförslag</w:t>
      </w:r>
      <w:r w:rsidRPr="00F02096">
        <w:tab/>
      </w:r>
      <w:r w:rsidRPr="00F02096">
        <w:tab/>
      </w:r>
      <w:r w:rsidRPr="00F02096">
        <w:rPr>
          <w:rStyle w:val="HideTWBExt"/>
          <w:b w:val="0"/>
        </w:rPr>
        <w:t>&lt;NumAm&gt;</w:t>
      </w:r>
      <w:r w:rsidRPr="00F02096">
        <w:t>50</w:t>
      </w:r>
      <w:r w:rsidRPr="00F02096">
        <w:rPr>
          <w:rStyle w:val="HideTWBExt"/>
          <w:b w:val="0"/>
        </w:rPr>
        <w:t>&lt;/NumAm&gt;</w:t>
      </w:r>
    </w:p>
    <w:p w:rsidR="006A6174" w:rsidRPr="00F02096" w:rsidRDefault="00812665" w:rsidP="006A6174">
      <w:pPr>
        <w:pStyle w:val="NormalBold12b"/>
        <w:keepNext/>
      </w:pPr>
      <w:r w:rsidRPr="00F02096">
        <w:rPr>
          <w:rStyle w:val="HideTWBExt"/>
          <w:b w:val="0"/>
        </w:rPr>
        <w:t>&lt;DocAmend&gt;</w:t>
      </w:r>
      <w:r w:rsidRPr="00F02096">
        <w:t>Förslag till förordning</w:t>
      </w:r>
      <w:r w:rsidRPr="00F02096">
        <w:rPr>
          <w:rStyle w:val="HideTWBExt"/>
          <w:b w:val="0"/>
        </w:rPr>
        <w:t>&lt;/DocAmend&gt;</w:t>
      </w:r>
    </w:p>
    <w:p w:rsidR="006A6174" w:rsidRPr="00F02096" w:rsidRDefault="00812665" w:rsidP="006A6174">
      <w:pPr>
        <w:pStyle w:val="NormalBold"/>
      </w:pPr>
      <w:r w:rsidRPr="00F02096">
        <w:rPr>
          <w:rStyle w:val="HideTWBExt"/>
          <w:b w:val="0"/>
        </w:rPr>
        <w:t>&lt;Article&gt;</w:t>
      </w:r>
      <w:r w:rsidRPr="00F02096">
        <w:t>Artikel 10 – punkt 3 – stycke 3</w:t>
      </w:r>
      <w:r w:rsidRPr="00F02096">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67C4" w:rsidRPr="00F02096" w:rsidTr="00D7587E">
        <w:trPr>
          <w:jc w:val="center"/>
        </w:trPr>
        <w:tc>
          <w:tcPr>
            <w:tcW w:w="9752" w:type="dxa"/>
            <w:gridSpan w:val="2"/>
          </w:tcPr>
          <w:p w:rsidR="006A6174" w:rsidRPr="00F02096" w:rsidRDefault="006A6174" w:rsidP="00D7587E">
            <w:pPr>
              <w:keepNext/>
            </w:pPr>
          </w:p>
        </w:tc>
      </w:tr>
      <w:tr w:rsidR="003B67C4" w:rsidRPr="00F02096" w:rsidTr="00D7587E">
        <w:trPr>
          <w:jc w:val="center"/>
        </w:trPr>
        <w:tc>
          <w:tcPr>
            <w:tcW w:w="4876" w:type="dxa"/>
          </w:tcPr>
          <w:p w:rsidR="006A6174" w:rsidRPr="00F02096" w:rsidRDefault="00812665" w:rsidP="00D7587E">
            <w:pPr>
              <w:pStyle w:val="ColumnHeading"/>
              <w:keepNext/>
            </w:pPr>
            <w:r w:rsidRPr="00F02096">
              <w:t>Kommissionens förslag</w:t>
            </w:r>
          </w:p>
        </w:tc>
        <w:tc>
          <w:tcPr>
            <w:tcW w:w="4876" w:type="dxa"/>
          </w:tcPr>
          <w:p w:rsidR="006A6174" w:rsidRPr="00F02096" w:rsidRDefault="00812665" w:rsidP="00D7587E">
            <w:pPr>
              <w:pStyle w:val="ColumnHeading"/>
              <w:keepNext/>
            </w:pPr>
            <w:r w:rsidRPr="00F02096">
              <w:t>Ändringsförslag</w:t>
            </w:r>
          </w:p>
        </w:tc>
      </w:tr>
      <w:tr w:rsidR="003B67C4" w:rsidRPr="00F02096" w:rsidTr="00D7587E">
        <w:trPr>
          <w:jc w:val="center"/>
        </w:trPr>
        <w:tc>
          <w:tcPr>
            <w:tcW w:w="4876" w:type="dxa"/>
          </w:tcPr>
          <w:p w:rsidR="006A6174" w:rsidRPr="00F02096" w:rsidRDefault="00812665" w:rsidP="00D7587E">
            <w:pPr>
              <w:pStyle w:val="Normal6"/>
            </w:pPr>
            <w:r w:rsidRPr="00F02096">
              <w:t xml:space="preserve">Under övergångsperioden ska viseringsinnehavarna kunna verifiera de digitala viseringarna med hjälp av den webbtjänst för </w:t>
            </w:r>
            <w:r w:rsidRPr="00F02096">
              <w:rPr>
                <w:b/>
                <w:bCs/>
                <w:i/>
                <w:iCs/>
              </w:rPr>
              <w:t>den nätbaserade plattformen</w:t>
            </w:r>
            <w:r w:rsidRPr="00F02096">
              <w:t xml:space="preserve"> för viseringsansökningar som avses i artikel 7g i förordning (EG) nr 767/2008 om den medlemsstat som handlägger deras viseringsansökan har beslutat att inte använda sig av EU-ansökningsplattformen.</w:t>
            </w:r>
          </w:p>
        </w:tc>
        <w:tc>
          <w:tcPr>
            <w:tcW w:w="4876" w:type="dxa"/>
          </w:tcPr>
          <w:p w:rsidR="006A6174" w:rsidRPr="00F02096" w:rsidRDefault="00812665" w:rsidP="00D7587E">
            <w:pPr>
              <w:pStyle w:val="Normal6"/>
              <w:rPr>
                <w:szCs w:val="24"/>
              </w:rPr>
            </w:pPr>
            <w:r w:rsidRPr="00F02096">
              <w:t xml:space="preserve">Under övergångsperioden ska viseringsinnehavarna kunna verifiera </w:t>
            </w:r>
            <w:r w:rsidRPr="00F02096">
              <w:rPr>
                <w:b/>
                <w:i/>
              </w:rPr>
              <w:t>giltigheten för</w:t>
            </w:r>
            <w:r w:rsidRPr="00F02096">
              <w:t xml:space="preserve"> de digitala viseringarna med hjälp av den webbtjänst för </w:t>
            </w:r>
            <w:r w:rsidRPr="00F02096">
              <w:rPr>
                <w:b/>
                <w:i/>
              </w:rPr>
              <w:t>EU-ansökningsplattformen</w:t>
            </w:r>
            <w:r w:rsidRPr="00F02096">
              <w:t xml:space="preserve"> som avses i artikel 7g i förordning (EG) nr 767/2008 om den medlemsstat som handlägger deras viseringsansökan har beslutat att inte använda sig av EU-ansökningsplattformen.</w:t>
            </w:r>
          </w:p>
        </w:tc>
      </w:tr>
    </w:tbl>
    <w:p w:rsidR="006A6174" w:rsidRPr="00F02096" w:rsidRDefault="00812665" w:rsidP="006A6174">
      <w:pPr>
        <w:pStyle w:val="Olang"/>
        <w:rPr>
          <w:noProof w:val="0"/>
        </w:rPr>
      </w:pPr>
      <w:r w:rsidRPr="00F02096">
        <w:rPr>
          <w:noProof w:val="0"/>
        </w:rPr>
        <w:t xml:space="preserve">Or. </w:t>
      </w:r>
      <w:r w:rsidRPr="00F02096">
        <w:rPr>
          <w:rStyle w:val="HideTWBExt"/>
        </w:rPr>
        <w:t>&lt;Original&gt;</w:t>
      </w:r>
      <w:r w:rsidRPr="00F02096">
        <w:rPr>
          <w:rStyle w:val="HideTWBInt"/>
        </w:rPr>
        <w:t>{EN}</w:t>
      </w:r>
      <w:r w:rsidRPr="00F02096">
        <w:rPr>
          <w:noProof w:val="0"/>
        </w:rPr>
        <w:t>en</w:t>
      </w:r>
      <w:r w:rsidRPr="00F02096">
        <w:rPr>
          <w:rStyle w:val="HideTWBExt"/>
        </w:rPr>
        <w:t>&lt;/Original&gt;</w:t>
      </w:r>
    </w:p>
    <w:p w:rsidR="00142026" w:rsidRPr="00F02096" w:rsidRDefault="00812665" w:rsidP="002669B6">
      <w:pPr>
        <w:sectPr w:rsidR="00142026" w:rsidRPr="00F02096" w:rsidSect="00395D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F02096">
        <w:rPr>
          <w:rStyle w:val="HideTWBExt"/>
        </w:rPr>
        <w:t>&lt;/Amend&gt;&lt;/RepeatBlock-Amend&gt;</w:t>
      </w:r>
    </w:p>
    <w:p w:rsidR="002669B6" w:rsidRPr="00F02096" w:rsidRDefault="00812665" w:rsidP="000E37F8">
      <w:pPr>
        <w:pStyle w:val="PageHeading"/>
      </w:pPr>
      <w:bookmarkStart w:id="1" w:name="_Toc118700384"/>
      <w:r w:rsidRPr="00F02096">
        <w:t>MOTIVERING</w:t>
      </w:r>
      <w:bookmarkEnd w:id="1"/>
    </w:p>
    <w:p w:rsidR="00AB3008" w:rsidRPr="00F02096" w:rsidRDefault="00812665" w:rsidP="00F02096">
      <w:pPr>
        <w:pStyle w:val="Body"/>
        <w:spacing w:after="240"/>
        <w:jc w:val="left"/>
      </w:pPr>
      <w:r w:rsidRPr="00F02096">
        <w:t>Den 27 april 2022 lade kommissionen fram sitt förslag om digitalisering av viseringsförfarandet. Förslaget syftar till att möjliggöra viseringsansökningar online via en digital EU-ansökningsplattform för visering, och att ersätta viseringsmärket med en digital visering. Detta kommer rationalisera och harmonisera förfarandena inom ramen för den gemensamma viseringspolitiken och harmonisera resande, inresekrav och in- och utresekontroller inom Schengenområdet genom digitalisering och interoperabilitetsramen vid gränserna.</w:t>
      </w:r>
    </w:p>
    <w:p w:rsidR="00D80700" w:rsidRPr="00F02096" w:rsidRDefault="00812665" w:rsidP="00F02096">
      <w:pPr>
        <w:pStyle w:val="Body"/>
        <w:spacing w:after="240"/>
        <w:jc w:val="left"/>
      </w:pPr>
      <w:r w:rsidRPr="00F02096">
        <w:t>Den rättsliga grunden för detta lagstiftningsinitiativ är artikel 77.2 i fördraget om Europeiska unionens funktionssätt (EUF-fördraget). Genom artikel 77.2 a i EUF-fördraget får unionen befogenhet att besluta om åtgärder om ”den gemensamma politiken för viseringar och andra uppehållstillstånd för kortare tid”. Genom artikel 77.2 b i EUF-fördraget får unionen befogenhet att besluta om åtgärder om ”kontroll av de personer som passerar de yttre gränserna”. Genom artikel 79.2 a får unionen besluta om åtgärder om ”[v]illkor för inresa och vistelse, normer för medlemsstaternas utfärdande av visering och uppehållstillstånd för längre tid”. Eftersom det rättsliga instrumentet syftar till att digitalisera viseringar för både kortare och längre vistelse (endast det digitala viseringsformatet för de sistnämnda) behövs en gemensam rättslig grund bestående av artiklarna 77.2 och 79.2 i EUF-fördraget.</w:t>
      </w:r>
    </w:p>
    <w:p w:rsidR="00D80700" w:rsidRPr="00F02096" w:rsidRDefault="00812665" w:rsidP="00F02096">
      <w:pPr>
        <w:pStyle w:val="Body"/>
        <w:spacing w:after="240"/>
        <w:jc w:val="left"/>
      </w:pPr>
      <w:r w:rsidRPr="00F02096">
        <w:t>Sedan viseringskodexen</w:t>
      </w:r>
      <w:r w:rsidRPr="00F02096">
        <w:rPr>
          <w:vertAlign w:val="superscript"/>
        </w:rPr>
        <w:footnoteReference w:id="1"/>
      </w:r>
      <w:r w:rsidRPr="00F02096">
        <w:t xml:space="preserve"> trädde i kraft 2010 och informationssystemet för viseringar (VIS)</w:t>
      </w:r>
      <w:r w:rsidRPr="00F02096">
        <w:rPr>
          <w:vertAlign w:val="superscript"/>
        </w:rPr>
        <w:footnoteReference w:id="2"/>
      </w:r>
      <w:r w:rsidRPr="00F02096">
        <w:t xml:space="preserve"> togs i drift 2011 har förutsättningarna för viseringspolitiken förändrats avsevärt. Dels har migrations- och säkerhetsutmaningarna ökat under de senaste åren, dels ger de betydande tekniska framstegen nya möjligheter att göra ansökningsförfarandet för Schengenviseringar smidigare för såväl resenärer som konsulat.</w:t>
      </w:r>
    </w:p>
    <w:p w:rsidR="00D80700" w:rsidRPr="00F02096" w:rsidRDefault="00812665" w:rsidP="00F02096">
      <w:pPr>
        <w:pStyle w:val="Body"/>
        <w:spacing w:after="240"/>
        <w:jc w:val="left"/>
      </w:pPr>
      <w:r w:rsidRPr="00F02096">
        <w:t>Handläggningen av viseringar är redan delvis digitaliserad, då ansökningar och beslut registreras i VIS, men två viktiga steg är fortfarande pappersbaserade: ansökningsprocessen och viseringsmärket.</w:t>
      </w:r>
    </w:p>
    <w:p w:rsidR="00D80700" w:rsidRPr="00F02096" w:rsidRDefault="00812665" w:rsidP="00F02096">
      <w:pPr>
        <w:pStyle w:val="Body"/>
        <w:spacing w:after="240"/>
        <w:jc w:val="left"/>
      </w:pPr>
      <w:r w:rsidRPr="00F02096">
        <w:t>När viseringskodexen reviderades 2019 uttalade Europaparlamentet och rådet uttryckligen målet att utveckla en gemensam lösning som gör det möjligt att lämna in Schengenviseringsansökningar online, med fullt utnyttjande av den senaste rättsliga och tekniska utvecklingen</w:t>
      </w:r>
      <w:r w:rsidRPr="00F02096">
        <w:rPr>
          <w:rFonts w:eastAsia="Times New Roman" w:cs="Times New Roman"/>
          <w:vertAlign w:val="superscript"/>
        </w:rPr>
        <w:footnoteReference w:id="3"/>
      </w:r>
      <w:r w:rsidRPr="00F02096">
        <w:t>. Genom att göra det möjligt för viseringssökande att underteckna ansökningsformulär elektroniskt har den ändrade viseringskodexen</w:t>
      </w:r>
      <w:r w:rsidRPr="00F02096">
        <w:rPr>
          <w:rFonts w:eastAsia="Times New Roman" w:cs="Times New Roman"/>
          <w:vertAlign w:val="superscript"/>
        </w:rPr>
        <w:footnoteReference w:id="4"/>
      </w:r>
      <w:r w:rsidRPr="00F02096">
        <w:t xml:space="preserve"> skapat en möjlighet för digital inlämning och handläggning av viseringsansökningar.</w:t>
      </w:r>
    </w:p>
    <w:p w:rsidR="00D80700" w:rsidRPr="00F02096" w:rsidRDefault="00812665" w:rsidP="00F02096">
      <w:pPr>
        <w:pStyle w:val="Body"/>
        <w:spacing w:after="240"/>
        <w:jc w:val="left"/>
      </w:pPr>
      <w:r w:rsidRPr="00F02096">
        <w:t>Digitaliseringen av viseringsförfarandet är en möjlighet att förbättra viseringsansökningsprocessen, minska kostnaderna och bördan för berörda parter samt öka säkerheten i Schengenområdet. Dessutom ligger digitaliseringen av viseringsprocessen i linje med den senaste lagstiftningsutvecklingen när det gäller it-landskapet för gränsförvaltning, vilket bidrar till ökad säkerhet i Schengenområdet.</w:t>
      </w:r>
    </w:p>
    <w:p w:rsidR="00D80700" w:rsidRPr="00F02096" w:rsidRDefault="00812665" w:rsidP="00F02096">
      <w:pPr>
        <w:pStyle w:val="Body"/>
        <w:spacing w:after="240"/>
        <w:jc w:val="left"/>
      </w:pPr>
      <w:r w:rsidRPr="00F02096">
        <w:t>Digitaliseringen av viseringsförfarandet utgör en positiv utveckling i den aktuella situationen, där skillnaderna i nationell praxis för att hantera viseringsansökningar inverkar negativt på hur EU:s viseringspolitik fungerar i praktiken och på uppfattningen om EU som en enda geografisk enhet.</w:t>
      </w:r>
    </w:p>
    <w:p w:rsidR="00D80700" w:rsidRPr="00F02096" w:rsidRDefault="00812665" w:rsidP="00F02096">
      <w:pPr>
        <w:pStyle w:val="Body"/>
        <w:spacing w:after="240"/>
        <w:jc w:val="left"/>
      </w:pPr>
      <w:r w:rsidRPr="00F02096">
        <w:t>Föredraganden välkomnar kommissionens förslag om digitalisering av viseringsförfarandet, men vill ytterligare förbättra och stärka det. Med tanke på att det nya systemet kommer att vara helt digitalt är det bra om förslaget innehåller stärkta skyddsåtgärder för personer med funktionsnedsättning och beaktar frågor som rör digital kompetens och tillgång till internet. Dessutom anser föredraganden att det även är viktigt att ta upp frågor som rör språk i samband med EU-ansökningsplattformen och förfarandet. I linje med Europeiska datatillsynsmannens yttrande föreslår föredraganden dessutom att eu-LISA:s och de nationella myndigheternas ansvar och roller stärks i olika skeden av uppgiftsbehandlingen.</w:t>
      </w:r>
    </w:p>
    <w:p w:rsidR="00D80700" w:rsidRPr="00F02096" w:rsidRDefault="00812665" w:rsidP="00F02096">
      <w:pPr>
        <w:pStyle w:val="Body"/>
        <w:spacing w:after="240"/>
        <w:jc w:val="left"/>
      </w:pPr>
      <w:r w:rsidRPr="00F02096">
        <w:t>När det gäller insamling och behandling av sökandens IP-adress ifrågasätter föredraganden behovet och mervärdet av sådana uppgifter och anser vidare att det behövs ytterligare garantier för att säkerställa att flaggade IP-adresser i sig aldrig leder till att en viseringsansökan diskvalificeras, till exempel på grund av låg nättillgänglighet på en viss plats eller i ett visst område.</w:t>
      </w:r>
    </w:p>
    <w:p w:rsidR="00193AEF" w:rsidRPr="00F02096" w:rsidRDefault="00812665" w:rsidP="00F02096">
      <w:pPr>
        <w:pStyle w:val="Body"/>
        <w:spacing w:after="240"/>
        <w:jc w:val="left"/>
      </w:pPr>
      <w:r w:rsidRPr="00F02096">
        <w:t>Dessutom anser föredraganden att en modern, användarvänlig digital lösning, det förenklade och harmoniserade administrativa förfarandet för viseringsansökningar och ersättningen av viseringsmärket med en digital visering utgör en välkommen förbättring av EU:s viseringspolitik samt minskar säkerhetsriskerna med de fysiska viseringsmärkena. Med hänsyn till den betydelse som en digitalisering har för medborgare och för Europeiska unionen i stort, rekommenderar föredraganden att ledamöterna i utskottet för medborgerliga fri- och rättigheter samt rättsliga och inrikes frågor, ger sitt stöd till detta betänkande.</w:t>
      </w:r>
    </w:p>
    <w:p w:rsidR="00193AEF" w:rsidRPr="00F02096" w:rsidRDefault="00193AEF" w:rsidP="00193AEF">
      <w:pPr>
        <w:pStyle w:val="Body"/>
        <w:spacing w:after="240"/>
      </w:pPr>
    </w:p>
    <w:p w:rsidR="00193AEF" w:rsidRPr="00F02096" w:rsidRDefault="00193AEF" w:rsidP="00193AEF">
      <w:pPr>
        <w:pStyle w:val="Body"/>
        <w:spacing w:after="240"/>
        <w:sectPr w:rsidR="00193AEF" w:rsidRPr="00F02096" w:rsidSect="00193AE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3AEF" w:rsidRPr="00F02096" w:rsidRDefault="00812665" w:rsidP="00193AEF">
      <w:pPr>
        <w:pStyle w:val="PageHeading"/>
      </w:pPr>
      <w:bookmarkStart w:id="2" w:name="_Toc118700385"/>
      <w:r w:rsidRPr="00F02096">
        <w:t>BILAGA: FÖRTECKNING ÖVER ENHETER ELLER PERSONER SOM FÖREDRAGANDEN HAR FÅTT INFORMATION FRÅN</w:t>
      </w:r>
      <w:bookmarkEnd w:id="2"/>
    </w:p>
    <w:p w:rsidR="00193AEF" w:rsidRPr="00F02096" w:rsidRDefault="00193AEF" w:rsidP="00193AEF"/>
    <w:tbl>
      <w:tblPr>
        <w:tblW w:w="9067" w:type="dxa"/>
        <w:tblInd w:w="98" w:type="dxa"/>
        <w:tblLayout w:type="fixed"/>
        <w:tblLook w:val="0000" w:firstRow="0" w:lastRow="0" w:firstColumn="0" w:lastColumn="0" w:noHBand="0" w:noVBand="0"/>
      </w:tblPr>
      <w:tblGrid>
        <w:gridCol w:w="9067"/>
      </w:tblGrid>
      <w:tr w:rsidR="003B67C4" w:rsidRPr="00F02096" w:rsidTr="00F51B56">
        <w:trPr>
          <w:trHeight w:val="278"/>
        </w:trPr>
        <w:tc>
          <w:tcPr>
            <w:tcW w:w="9067" w:type="dxa"/>
            <w:tcBorders>
              <w:top w:val="single" w:sz="4" w:space="0" w:color="000000"/>
              <w:left w:val="single" w:sz="4" w:space="0" w:color="000000"/>
              <w:bottom w:val="single" w:sz="4" w:space="0" w:color="000000"/>
              <w:right w:val="single" w:sz="4" w:space="0" w:color="000000"/>
            </w:tcBorders>
          </w:tcPr>
          <w:p w:rsidR="00DB03A0" w:rsidRPr="00F02096" w:rsidRDefault="00812665" w:rsidP="00F51B56">
            <w:pPr>
              <w:spacing w:line="260" w:lineRule="auto"/>
              <w:ind w:right="-10"/>
              <w:jc w:val="center"/>
              <w:rPr>
                <w:b/>
                <w:sz w:val="22"/>
                <w:szCs w:val="22"/>
              </w:rPr>
            </w:pPr>
            <w:r w:rsidRPr="00F02096">
              <w:rPr>
                <w:b/>
                <w:sz w:val="22"/>
              </w:rPr>
              <w:t>Enhet och/eller person</w:t>
            </w:r>
          </w:p>
        </w:tc>
      </w:tr>
      <w:tr w:rsidR="003B67C4" w:rsidRPr="00F02096" w:rsidTr="00F51B56">
        <w:trPr>
          <w:trHeight w:val="278"/>
        </w:trPr>
        <w:tc>
          <w:tcPr>
            <w:tcW w:w="9067" w:type="dxa"/>
            <w:tcBorders>
              <w:top w:val="single" w:sz="4" w:space="0" w:color="000000"/>
              <w:left w:val="single" w:sz="4" w:space="0" w:color="000000"/>
              <w:bottom w:val="single" w:sz="4" w:space="0" w:color="000000"/>
              <w:right w:val="single" w:sz="4" w:space="0" w:color="000000"/>
            </w:tcBorders>
          </w:tcPr>
          <w:p w:rsidR="00DB03A0" w:rsidRPr="00F02096" w:rsidRDefault="00812665" w:rsidP="003112E8">
            <w:pPr>
              <w:ind w:left="720" w:hanging="360"/>
              <w:rPr>
                <w:b/>
              </w:rPr>
            </w:pPr>
            <w:r w:rsidRPr="00F02096">
              <w:rPr>
                <w:b/>
              </w:rPr>
              <w:t>1.</w:t>
            </w:r>
            <w:r w:rsidRPr="00F02096">
              <w:rPr>
                <w:b/>
              </w:rPr>
              <w:tab/>
              <w:t>TLScontact</w:t>
            </w:r>
          </w:p>
        </w:tc>
      </w:tr>
    </w:tbl>
    <w:p w:rsidR="00193AEF" w:rsidRPr="00F02096" w:rsidRDefault="00193AEF" w:rsidP="00193AEF">
      <w:bookmarkStart w:id="3" w:name="_GoBack"/>
      <w:bookmarkEnd w:id="3"/>
    </w:p>
    <w:sectPr w:rsidR="00193AEF" w:rsidRPr="00F02096" w:rsidSect="00193A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712" w:rsidRPr="00395DD4" w:rsidRDefault="00812665">
      <w:r w:rsidRPr="00395DD4">
        <w:separator/>
      </w:r>
    </w:p>
  </w:endnote>
  <w:endnote w:type="continuationSeparator" w:id="0">
    <w:p w:rsidR="002C6712" w:rsidRPr="00395DD4" w:rsidRDefault="00812665">
      <w:r w:rsidRPr="00395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DD4" w:rsidRPr="00395DD4" w:rsidRDefault="00395DD4" w:rsidP="00395DD4">
    <w:pPr>
      <w:pStyle w:val="EPFooter"/>
    </w:pPr>
    <w:r w:rsidRPr="00395DD4">
      <w:t>PE</w:t>
    </w:r>
    <w:r w:rsidRPr="00F02096">
      <w:rPr>
        <w:rStyle w:val="HideTWBExt"/>
      </w:rPr>
      <w:t>&lt;NoPE&gt;</w:t>
    </w:r>
    <w:r w:rsidRPr="00395DD4">
      <w:t>737.330</w:t>
    </w:r>
    <w:r w:rsidRPr="00F02096">
      <w:rPr>
        <w:rStyle w:val="HideTWBExt"/>
      </w:rPr>
      <w:t>&lt;/NoPE&gt;&lt;Version&gt;</w:t>
    </w:r>
    <w:r w:rsidRPr="00395DD4">
      <w:t>v01-00</w:t>
    </w:r>
    <w:r w:rsidRPr="00F02096">
      <w:rPr>
        <w:rStyle w:val="HideTWBExt"/>
      </w:rPr>
      <w:t>&lt;/Version&gt;</w:t>
    </w:r>
    <w:r w:rsidRPr="00395DD4">
      <w:tab/>
    </w:r>
    <w:r w:rsidRPr="00395DD4">
      <w:fldChar w:fldCharType="begin"/>
    </w:r>
    <w:r w:rsidRPr="00395DD4">
      <w:instrText xml:space="preserve"> PAGE  \* MERGEFORMAT </w:instrText>
    </w:r>
    <w:r w:rsidRPr="00395DD4">
      <w:fldChar w:fldCharType="separate"/>
    </w:r>
    <w:r w:rsidR="00F02096">
      <w:rPr>
        <w:noProof/>
      </w:rPr>
      <w:t>32</w:t>
    </w:r>
    <w:r w:rsidRPr="00395DD4">
      <w:fldChar w:fldCharType="end"/>
    </w:r>
    <w:r w:rsidRPr="00395DD4">
      <w:t>/</w:t>
    </w:r>
    <w:r w:rsidR="00F02096">
      <w:fldChar w:fldCharType="begin"/>
    </w:r>
    <w:r w:rsidR="00F02096">
      <w:instrText xml:space="preserve"> NUMPAGES  \* MERGEFORMAT </w:instrText>
    </w:r>
    <w:r w:rsidR="00F02096">
      <w:fldChar w:fldCharType="separate"/>
    </w:r>
    <w:r w:rsidR="00F02096">
      <w:rPr>
        <w:noProof/>
      </w:rPr>
      <w:t>32</w:t>
    </w:r>
    <w:r w:rsidR="00F02096">
      <w:rPr>
        <w:noProof/>
      </w:rPr>
      <w:fldChar w:fldCharType="end"/>
    </w:r>
    <w:r w:rsidRPr="00395DD4">
      <w:tab/>
    </w:r>
    <w:r w:rsidRPr="00F02096">
      <w:rPr>
        <w:rStyle w:val="HideTWBExt"/>
      </w:rPr>
      <w:t>&lt;PathFdR&gt;</w:t>
    </w:r>
    <w:r w:rsidRPr="00395DD4">
      <w:t>PR\1265121SV.docx</w:t>
    </w:r>
    <w:r w:rsidRPr="00F02096">
      <w:rPr>
        <w:rStyle w:val="HideTWBExt"/>
      </w:rPr>
      <w:t>&lt;/PathFdR&gt;</w:t>
    </w:r>
  </w:p>
  <w:p w:rsidR="00984186" w:rsidRPr="00395DD4" w:rsidRDefault="00395DD4" w:rsidP="00395DD4">
    <w:pPr>
      <w:pStyle w:val="EPFooter2"/>
    </w:pPr>
    <w:r w:rsidRPr="00395DD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DD4" w:rsidRPr="00395DD4" w:rsidRDefault="00395DD4" w:rsidP="00395DD4">
    <w:pPr>
      <w:pStyle w:val="EPFooter"/>
    </w:pPr>
    <w:r w:rsidRPr="00F02096">
      <w:rPr>
        <w:rStyle w:val="HideTWBExt"/>
      </w:rPr>
      <w:t>&lt;PathFdR&gt;</w:t>
    </w:r>
    <w:r w:rsidRPr="00395DD4">
      <w:t>PR\1265121SV.docx</w:t>
    </w:r>
    <w:r w:rsidRPr="00F02096">
      <w:rPr>
        <w:rStyle w:val="HideTWBExt"/>
      </w:rPr>
      <w:t>&lt;/PathFdR&gt;</w:t>
    </w:r>
    <w:r w:rsidRPr="00395DD4">
      <w:tab/>
    </w:r>
    <w:r w:rsidRPr="00395DD4">
      <w:fldChar w:fldCharType="begin"/>
    </w:r>
    <w:r w:rsidRPr="00395DD4">
      <w:instrText xml:space="preserve"> PAGE  \* MERGEFORMAT </w:instrText>
    </w:r>
    <w:r w:rsidRPr="00395DD4">
      <w:fldChar w:fldCharType="separate"/>
    </w:r>
    <w:r w:rsidR="00F02096">
      <w:rPr>
        <w:noProof/>
      </w:rPr>
      <w:t>31</w:t>
    </w:r>
    <w:r w:rsidRPr="00395DD4">
      <w:fldChar w:fldCharType="end"/>
    </w:r>
    <w:r w:rsidRPr="00395DD4">
      <w:t>/</w:t>
    </w:r>
    <w:r w:rsidR="00F02096">
      <w:fldChar w:fldCharType="begin"/>
    </w:r>
    <w:r w:rsidR="00F02096">
      <w:instrText xml:space="preserve"> NUMPAGES  \* MERGEFORMAT </w:instrText>
    </w:r>
    <w:r w:rsidR="00F02096">
      <w:fldChar w:fldCharType="separate"/>
    </w:r>
    <w:r w:rsidR="00F02096">
      <w:rPr>
        <w:noProof/>
      </w:rPr>
      <w:t>32</w:t>
    </w:r>
    <w:r w:rsidR="00F02096">
      <w:rPr>
        <w:noProof/>
      </w:rPr>
      <w:fldChar w:fldCharType="end"/>
    </w:r>
    <w:r w:rsidRPr="00395DD4">
      <w:tab/>
      <w:t>PE</w:t>
    </w:r>
    <w:r w:rsidRPr="00F02096">
      <w:rPr>
        <w:rStyle w:val="HideTWBExt"/>
      </w:rPr>
      <w:t>&lt;NoPE&gt;</w:t>
    </w:r>
    <w:r w:rsidRPr="00395DD4">
      <w:t>737.330</w:t>
    </w:r>
    <w:r w:rsidRPr="00F02096">
      <w:rPr>
        <w:rStyle w:val="HideTWBExt"/>
      </w:rPr>
      <w:t>&lt;/NoPE&gt;&lt;Version&gt;</w:t>
    </w:r>
    <w:r w:rsidRPr="00395DD4">
      <w:t>v01-00</w:t>
    </w:r>
    <w:r w:rsidRPr="00F02096">
      <w:rPr>
        <w:rStyle w:val="HideTWBExt"/>
      </w:rPr>
      <w:t>&lt;/Version&gt;</w:t>
    </w:r>
  </w:p>
  <w:p w:rsidR="00984186" w:rsidRPr="00395DD4" w:rsidRDefault="00395DD4" w:rsidP="00395DD4">
    <w:pPr>
      <w:pStyle w:val="EPFooter2"/>
    </w:pPr>
    <w:r w:rsidRPr="00395DD4">
      <w:tab/>
    </w:r>
    <w:r w:rsidRPr="00395DD4">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DD4" w:rsidRPr="00395DD4" w:rsidRDefault="00395DD4" w:rsidP="00395DD4">
    <w:pPr>
      <w:pStyle w:val="EPFooter"/>
    </w:pPr>
    <w:r w:rsidRPr="00F02096">
      <w:rPr>
        <w:rStyle w:val="HideTWBExt"/>
      </w:rPr>
      <w:t>&lt;PathFdR&gt;</w:t>
    </w:r>
    <w:r w:rsidRPr="00395DD4">
      <w:t>PR\1265121SV.docx</w:t>
    </w:r>
    <w:r w:rsidRPr="00F02096">
      <w:rPr>
        <w:rStyle w:val="HideTWBExt"/>
      </w:rPr>
      <w:t>&lt;/PathFdR&gt;</w:t>
    </w:r>
    <w:r w:rsidRPr="00395DD4">
      <w:tab/>
    </w:r>
    <w:r w:rsidRPr="00395DD4">
      <w:tab/>
      <w:t>PE</w:t>
    </w:r>
    <w:r w:rsidRPr="00F02096">
      <w:rPr>
        <w:rStyle w:val="HideTWBExt"/>
      </w:rPr>
      <w:t>&lt;NoPE&gt;</w:t>
    </w:r>
    <w:r w:rsidRPr="00395DD4">
      <w:t>737.330</w:t>
    </w:r>
    <w:r w:rsidRPr="00F02096">
      <w:rPr>
        <w:rStyle w:val="HideTWBExt"/>
      </w:rPr>
      <w:t>&lt;/NoPE&gt;&lt;Version&gt;</w:t>
    </w:r>
    <w:r w:rsidRPr="00395DD4">
      <w:t>v01-00</w:t>
    </w:r>
    <w:r w:rsidRPr="00F02096">
      <w:rPr>
        <w:rStyle w:val="HideTWBExt"/>
      </w:rPr>
      <w:t>&lt;/Version&gt;</w:t>
    </w:r>
  </w:p>
  <w:p w:rsidR="00984186" w:rsidRPr="00395DD4" w:rsidRDefault="00395DD4" w:rsidP="00395DD4">
    <w:pPr>
      <w:pStyle w:val="EPFooter2"/>
    </w:pPr>
    <w:r w:rsidRPr="00395DD4">
      <w:t>SV</w:t>
    </w:r>
    <w:r w:rsidRPr="00395DD4">
      <w:tab/>
    </w:r>
    <w:r w:rsidRPr="00395DD4">
      <w:rPr>
        <w:b w:val="0"/>
        <w:i/>
        <w:color w:val="C0C0C0"/>
        <w:sz w:val="22"/>
      </w:rPr>
      <w:t>Förenade i mångfalden</w:t>
    </w:r>
    <w:r w:rsidRPr="00395DD4">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186" w:rsidRPr="00395DD4" w:rsidRDefault="00812665">
      <w:r w:rsidRPr="00395DD4">
        <w:separator/>
      </w:r>
    </w:p>
  </w:footnote>
  <w:footnote w:type="continuationSeparator" w:id="0">
    <w:p w:rsidR="00984186" w:rsidRPr="00395DD4" w:rsidRDefault="00812665">
      <w:r w:rsidRPr="00395DD4">
        <w:continuationSeparator/>
      </w:r>
    </w:p>
  </w:footnote>
  <w:footnote w:id="1">
    <w:p w:rsidR="00984186" w:rsidRPr="00395DD4" w:rsidRDefault="00812665" w:rsidP="00F02096">
      <w:pPr>
        <w:pStyle w:val="FootnoteText"/>
        <w:ind w:left="0" w:firstLine="0"/>
        <w:jc w:val="left"/>
      </w:pPr>
      <w:r w:rsidRPr="00395DD4">
        <w:rPr>
          <w:vertAlign w:val="superscript"/>
        </w:rPr>
        <w:footnoteRef/>
      </w:r>
      <w:r w:rsidRPr="00395DD4">
        <w:t xml:space="preserve"> Europaparlamentets och rådets förordning (EG) nr 810/2009 av den 13 juli 2009 om införande av en gemenskapskodex om viseringar (viseringskodex) (EUT L 243, 15.9.2009, s. 1).</w:t>
      </w:r>
    </w:p>
  </w:footnote>
  <w:footnote w:id="2">
    <w:p w:rsidR="00984186" w:rsidRPr="00395DD4" w:rsidRDefault="00812665" w:rsidP="00F02096">
      <w:pPr>
        <w:pStyle w:val="FootnoteText"/>
        <w:ind w:left="0" w:firstLine="0"/>
        <w:jc w:val="left"/>
      </w:pPr>
      <w:r w:rsidRPr="00395DD4">
        <w:rPr>
          <w:vertAlign w:val="superscript"/>
        </w:rPr>
        <w:footnoteRef/>
      </w:r>
      <w:r w:rsidRPr="00395DD4">
        <w:t xml:space="preserve"> Europaparlamentets och rådets förordning (EG) nr 767/2008 av den 9 juli 2008 om informationssystemet för viseringar (VIS) och utbytet mellan medlemsstaterna av uppgifter om viseringar för kortare vistelse (EUT L 218, 13.8.2008, s. 60).</w:t>
      </w:r>
    </w:p>
  </w:footnote>
  <w:footnote w:id="3">
    <w:p w:rsidR="00984186" w:rsidRPr="00395DD4" w:rsidRDefault="00812665" w:rsidP="00F02096">
      <w:pPr>
        <w:pStyle w:val="FootnoteText"/>
        <w:jc w:val="left"/>
      </w:pPr>
      <w:r w:rsidRPr="00395DD4">
        <w:rPr>
          <w:vertAlign w:val="superscript"/>
        </w:rPr>
        <w:footnoteRef/>
      </w:r>
      <w:r w:rsidRPr="00395DD4">
        <w:t xml:space="preserve"> Skäl 20 i förordning (EU) 2019/1155.</w:t>
      </w:r>
    </w:p>
  </w:footnote>
  <w:footnote w:id="4">
    <w:p w:rsidR="00984186" w:rsidRPr="00395DD4" w:rsidRDefault="00812665" w:rsidP="00F02096">
      <w:pPr>
        <w:pStyle w:val="FootnoteText"/>
        <w:ind w:left="0" w:firstLine="0"/>
        <w:jc w:val="left"/>
      </w:pPr>
      <w:r w:rsidRPr="00395DD4">
        <w:rPr>
          <w:vertAlign w:val="superscript"/>
        </w:rPr>
        <w:footnoteRef/>
      </w:r>
      <w:r w:rsidRPr="00395DD4">
        <w:t>Europaparlamentets och rådets förordning (EG) nr 810/2009 av den 13 juli 2009 om införande av en gemenskapskodex om viseringar (viseringskodex) (EUT L 243, 15.9.2009, s. 1) och Europaparlamentets och rådets förordning (EU) 2019/1155 av den 20 juni 2019 om ändring av förordning (EG) nr 810/2009 om införande av en gemenskapskodex om viseringar (viseringskodex) (EUT L 188, 12.7.2019, s. 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15" w:rsidRDefault="00054C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15" w:rsidRDefault="00054C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C15" w:rsidRDefault="00054C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065D1A"/>
    <w:multiLevelType w:val="multilevel"/>
    <w:tmpl w:val="128E3B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7287 HideTWBExt;}{\*\cs18 \additive \v\f1\fs20\cf15 _x000d__x000a_\spriority0 \styrsid7887287 HideTWBInt;}{\s19\ql \li0\ri0\sa120\nowidctlpar\wrapdefault\aspalpha\aspnum\faauto\adjustright\rin0\lin0\itap0 \rtlch\fcs1 \af0\afs20\alang1025 \ltrch\fcs0 \fs24\lang2057\langfe2057\cgrid\langnp2057\langfenp2057 _x000d__x000a_\sbasedon0 \snext19 \spriority0 \styrsid7887287 Normal6a;}{\s20\ql \li0\ri0\nowidctlpar\wrapdefault\aspalpha\aspnum\faauto\adjustright\rin0\lin0\itap0 \rtlch\fcs1 \af0\afs20\alang1025 \ltrch\fcs0 \b\fs24\lang2057\langfe2057\cgrid\langnp2057\langfenp2057 _x000d__x000a_\sbasedon0 \snext20 \spriority0 \styrsid7887287 NormalBold;}{\s21\ql \li0\ri0\sa240\nowidctlpar\wrapdefault\aspalpha\aspnum\faauto\adjustright\rin0\lin0\itap0 \rtlch\fcs1 \af0\afs20\alang1025 \ltrch\fcs0 _x000d__x000a_\i\fs24\lang2057\langfe2057\cgrid\langnp2057\langfenp2057 \sbasedon0 \snext21 \spriority0 \styrsid7887287 AmJustText;}{\s22\qc \li0\ri0\sb240\sa240\nowidctlpar\wrapdefault\aspalpha\aspnum\faauto\adjustright\rin0\lin0\itap0 \rtlch\fcs1 _x000d__x000a_\af0\afs20\alang1025 \ltrch\fcs0 \i\fs24\lang2057\langfe2057\cgrid\langnp2057\langfenp2057 \sbasedon0 \snext22 \spriority0 \styrsid7887287 AmCrossRef;}{_x000d__x000a_\s23\qc \li0\ri0\sb240\sa240\keepn\nowidctlpar\wrapdefault\aspalpha\aspnum\faauto\adjustright\rin0\lin0\itap0 \rtlch\fcs1 \af0\afs20\alang1025 \ltrch\fcs0 \i\fs24\lang2057\langfe2057\cgrid\langnp2057\langfenp2057 _x000d__x000a_\sbasedon0 \snext21 \spriority0 \styrsid7887287 AmJustTitle;}{\s24\qr \li0\ri0\sb240\sa240\nowidctlpar\wrapdefault\aspalpha\aspnum\faauto\adjustright\rin0\lin0\itap0 \rtlch\fcs1 \af0\afs20\alang1025 \ltrch\fcs0 _x000d__x000a_\fs24\lang2057\langfe2057\cgrid\langnp2057\langfenp2057 \sbasedon0 \snext24 \spriority0 \styrsid7887287 AmOrLang;}{\s25\qc \li0\ri0\sa240\nowidctlpar\wrapdefault\aspalpha\aspnum\faauto\adjustright\rin0\lin0\itap0 \rtlch\fcs1 \af0\afs20\alang1025 _x000d__x000a_\ltrch\fcs0 \i\fs24\lang2057\langfe2057\cgrid\langnp2057\langfenp2057 \sbasedon0 \snext25 \spriority0 \styrsid78872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7287 AmNumberTabs;}{\s27\ql \li0\ri0\sb240\nowidctlpar\wrapdefault\aspalpha\aspnum\faauto\adjustright\rin0\lin0\itap0 \rtlch\fcs1 _x000d__x000a_\af0\afs20\alang1025 \ltrch\fcs0 \b\fs24\lang2057\langfe2057\cgrid\langnp2057\langfenp2057 \sbasedon0 \snext27 \spriority0 \styrsid7887287 NormalBold12b;}}{\*\rsidtbl \rsid24658\rsid223860\rsid735077\rsid1718133\rsid2892074\rsid3565327\rsid4666813_x000d__x000a_\rsid5383212\rsid6641733\rsid7823322\rsid788728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10\dy11\hr16\min11}{\revtim\yr2022\mo10\dy11\hr16\min11}{\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88728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83212 \chftnsep _x000d__x000a_\par }}{\*\ftnsepc \ltrpar \pard\plain \ltrpar\ql \li0\ri0\widctlpar\wrapdefault\aspalpha\aspnum\faauto\adjustright\rin0\lin0\itap0 \rtlch\fcs1 \af0\afs20\alang1025 \ltrch\fcs0 \fs24\lang2057\langfe2057\cgrid\langnp2057\langfenp2057 {\rtlch\fcs1 \af0 _x000d__x000a_\ltrch\fcs0 \insrsid5383212 \chftnsepc _x000d__x000a_\par }}{\*\aftnsep \ltrpar \pard\plain \ltrpar\ql \li0\ri0\widctlpar\wrapdefault\aspalpha\aspnum\faauto\adjustright\rin0\lin0\itap0 \rtlch\fcs1 \af0\afs20\alang1025 \ltrch\fcs0 \fs24\lang2057\langfe2057\cgrid\langnp2057\langfenp2057 {\rtlch\fcs1 \af0 _x000d__x000a_\ltrch\fcs0 \insrsid5383212 \chftnsep _x000d__x000a_\par }}{\*\aftnsepc \ltrpar \pard\plain \ltrpar\ql \li0\ri0\widctlpar\wrapdefault\aspalpha\aspnum\faauto\adjustright\rin0\lin0\itap0 \rtlch\fcs1 \af0\afs20\alang1025 \ltrch\fcs0 \fs24\lang2057\langfe2057\cgrid\langnp2057\langfenp2057 {\rtlch\fcs1 \af0 _x000d__x000a_\ltrch\fcs0 \insrsid53832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887287 \rtlch\fcs1 _x000d__x000a_\af0\afs20\alang1025 \ltrch\fcs0 \b\fs24\lang2057\langfe2057\cgrid\langnp2057\langfenp2057 {\rtlch\fcs1 \af0 \ltrch\fcs0 \cs17\b0\v\fs20\cf9\loch\af1\hich\af1\dbch\af31501\insrsid7887287\charrsid11894566 {\*\bkmkstart restart}_x000d__x000a_\hich\af1\dbch\af31501\loch\f1 &lt;Amend&gt;}{\rtlch\fcs1 \af0 \ltrch\fcs0 \insrsid7887287\charrsid11894566 Amendment\tab \tab }{\rtlch\fcs1 \af0 \ltrch\fcs0 \cs17\b0\v\fs20\cf9\loch\af1\hich\af1\dbch\af31501\insrsid7887287\charrsid11894566 _x000d__x000a_\hich\af1\dbch\af31501\loch\f1 &lt;NumAm&gt;}{\rtlch\fcs1 \af0 \ltrch\fcs0 \insrsid7887287\charrsid11894566 #}{\rtlch\fcs1 \af1 \ltrch\fcs0 \cs18\v\f1\fs20\cf15\insrsid7887287\charrsid11894566 ENMIENDA@NRAM@}{\rtlch\fcs1 \af0 \ltrch\fcs0 _x000d__x000a_\insrsid7887287\charrsid11894566 #}{\rtlch\fcs1 \af0 \ltrch\fcs0 \cs17\b0\v\fs20\cf9\loch\af1\hich\af1\dbch\af31501\insrsid7887287\charrsid11894566 \hich\af1\dbch\af31501\loch\f1 &lt;/NumAm&gt;}{\rtlch\fcs1 \af0 \ltrch\fcs0 \insrsid7887287\charrsid11894566 _x000d__x000a__x000d__x000a_\par }\pard\plain \ltrpar\s27\ql \li0\ri0\sb240\keepn\nowidctlpar\wrapdefault\aspalpha\aspnum\faauto\adjustright\rin0\lin0\itap0\pararsid7887287 \rtlch\fcs1 \af0\afs20\alang1025 \ltrch\fcs0 \b\fs24\lang2057\langfe2057\cgrid\langnp2057\langfenp2057 {_x000d__x000a_\rtlch\fcs1 \af0 \ltrch\fcs0 \cs17\b0\v\fs20\cf9\loch\af1\hich\af1\dbch\af31501\insrsid7887287\charrsid11894566 \hich\af1\dbch\af31501\loch\f1 &lt;DocAmend&gt;}{\rtlch\fcs1 \af0 \ltrch\fcs0 \insrsid7887287\charrsid11894566 Proposal for a #}{\rtlch\fcs1 \af1 _x000d__x000a_\ltrch\fcs0 \cs18\v\f1\fs20\cf15\insrsid7887287\charrsid11894566 MNU[DOC1][DOC2][DOC3]@DOCMSG@DOCMNU}{\rtlch\fcs1 \af0 \ltrch\fcs0 \insrsid7887287\charrsid11894566 ##}{\rtlch\fcs1 \af1 \ltrch\fcs0 \cs18\v\f1\fs20\cf15\insrsid7887287\charrsid11894566 _x000d__x000a_MNU[AMACTYES][NOTAPP]@CHOICE@AMACTMNU}{\rtlch\fcs1 \af0 \ltrch\fcs0 \insrsid7887287\charrsid11894566 #}{\rtlch\fcs1 \af0 \ltrch\fcs0 \cs17\b0\v\fs20\cf9\loch\af1\hich\af1\dbch\af31501\insrsid7887287\charrsid11894566 \hich\af1\dbch\af31501\loch\f1 _x000d__x000a_&lt;/DocAmend&gt;}{\rtlch\fcs1 \af0 \ltrch\fcs0 \insrsid7887287\charrsid11894566 _x000d__x000a_\par }\pard\plain \ltrpar\s20\ql \li0\ri0\keepn\nowidctlpar\wrapdefault\aspalpha\aspnum\faauto\adjustright\rin0\lin0\itap0\pararsid7887287 \rtlch\fcs1 \af0\afs20\alang1025 \ltrch\fcs0 \b\fs24\lang2057\langfe2057\cgrid\langnp2057\langfenp2057 {\rtlch\fcs1 \af0 _x000d__x000a_\ltrch\fcs0 \cs17\b0\v\fs20\cf9\loch\af1\hich\af1\dbch\af31501\insrsid7887287\charrsid11894566 \hich\af1\dbch\af31501\loch\f1 &lt;Article&gt;}{\rtlch\fcs1 \af0 \ltrch\fcs0 \insrsid7887287\charrsid11894566 #}{\rtlch\fcs1 \af1 \ltrch\fcs0 _x000d__x000a_\cs18\v\f1\fs20\cf15\insrsid7887287\charrsid11894566 MNU[AMACTPARTYES][AMACTPARTNO]@CHOICE@AMACTMNU}{\rtlch\fcs1 \af0 \ltrch\fcs0 \insrsid7887287\charrsid11894566 #}{\rtlch\fcs1 \af0 \ltrch\fcs0 _x000d__x000a_\cs17\b0\v\fs20\cf9\loch\af1\hich\af1\dbch\af31501\insrsid7887287\charrsid11894566 \hich\af1\dbch\af31501\loch\f1 &lt;/Article&gt;}{\rtlch\fcs1 \af0 \ltrch\fcs0 \insrsid7887287\charrsid11894566 _x000d__x000a_\par }\pard\plain \ltrpar\ql \li0\ri0\keepn\widctlpar\wrapdefault\aspalpha\aspnum\faauto\adjustright\rin0\lin0\itap0\pararsid7887287 \rtlch\fcs1 \af0\afs20\alang1025 \ltrch\fcs0 \fs24\lang2057\langfe2057\cgrid\langnp2057\langfenp2057 {\rtlch\fcs1 \af0 _x000d__x000a_\ltrch\fcs0 \cs17\v\fs20\cf9\loch\af1\hich\af1\dbch\af31501\insrsid7887287\charrsid11894566 \hich\af1\dbch\af31501\loch\f1 &lt;DocAmend2&gt;&lt;OptDel&gt;}{\rtlch\fcs1 \af0 \ltrch\fcs0 \insrsid7887287\charrsid11894566 #}{\rtlch\fcs1 \af1 \ltrch\fcs0 _x000d__x000a_\cs18\v\f1\fs20\cf15\insrsid7887287\charrsid11894566 MNU[OPTNRACTYES][NOTAPP]@CHOICE@AMACTMNU}{\rtlch\fcs1 \af0 \ltrch\fcs0 \insrsid7887287\charrsid11894566 #}{\rtlch\fcs1 \af0 \ltrch\fcs0 _x000d__x000a_\cs17\v\fs20\cf9\loch\af1\hich\af1\dbch\af31501\insrsid7887287\charrsid11894566 \hich\af1\dbch\af31501\loch\f1 &lt;/OptDel&gt;&lt;/DocAmend2&gt;}{\rtlch\fcs1 \af0 \ltrch\fcs0 \insrsid7887287\charrsid11894566 _x000d__x000a_\par }\pard \ltrpar\ql \li0\ri0\widctlpar\wrapdefault\aspalpha\aspnum\faauto\adjustright\rin0\lin0\itap0\pararsid7887287 {\rtlch\fcs1 \af0 \ltrch\fcs0 \cs17\v\fs20\cf9\loch\af1\hich\af1\dbch\af31501\insrsid7887287\charrsid11894566 _x000d__x000a_\hich\af1\dbch\af31501\loch\f1 &lt;Article2&gt;&lt;OptDel&gt;}{\rtlch\fcs1 \af0 \ltrch\fcs0 \insrsid7887287\charrsid11894566 #}{\rtlch\fcs1 \af1 \ltrch\fcs0 \cs18\v\f1\fs20\cf15\insrsid7887287\charrsid11894566 MNU[OPTACTPARTYES][NOTAPP]@CHOICE@AMACTMNU}{\rtlch\fcs1 _x000d__x000a_\af0 \ltrch\fcs0 \insrsid7887287\charrsid11894566 #}{\rtlch\fcs1 \af0 \ltrch\fcs0 \cs17\v\fs20\cf9\loch\af1\hich\af1\dbch\af31501\insrsid7887287\charrsid11894566 \hich\af1\dbch\af31501\loch\f1 &lt;/OptDel&gt;&lt;/Article2&gt;}{\rtlch\fcs1 \af0 \ltrch\fcs0 _x000d__x000a_\insrsid7887287\charrsid1189456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887287\charrsid11894566 \cell }\pard\plain \ltrpar\ql \li0\ri0\widctlpar\intbl\wrapdefault\aspalpha\aspnum\faauto\adjustright\rin0\lin0 \rtlch\fcs1 _x000d__x000a_\af0\afs20\alang1025 \ltrch\fcs0 \fs24\lang2057\langfe2057\cgrid\langnp2057\langfenp2057 {\rtlch\fcs1 \af0 \ltrch\fcs0 \insrsid7887287\charrsid1189456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887287\charrsid11894566 #}{\rtlch\fcs1 \af1 \ltrch\fcs0 \cs18\v\f1\fs20\cf15\insrsid7887287\charrsid11894566 MNU[OPTLEFTAMACT][LEFTPROP]@CHOICE@AMACTMNU}{\rtlch\fcs1 \af0 \ltrch\fcs0 \insrsid7887287\charrsid11894566 #\cell Amendment\cell _x000d__x000a_}\pard\plain \ltrpar\ql \li0\ri0\widctlpar\intbl\wrapdefault\aspalpha\aspnum\faauto\adjustright\rin0\lin0 \rtlch\fcs1 \af0\afs20\alang1025 \ltrch\fcs0 \fs24\lang2057\langfe2057\cgrid\langnp2057\langfenp2057 {\rtlch\fcs1 \af0 \ltrch\fcs0 _x000d__x000a_\insrsid7887287\charrsid1189456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887287\charrsid11894566 ##\cell ##}{\rtlch\fcs1 \af0\afs24 \ltrch\fcs0 \insrsid7887287\charrsid11894566 \cell }\pard\plain \ltrpar\ql \li0\ri0\widctlpar\intbl\wrapdefault\aspalpha\aspnum\faauto\adjustright\rin0\lin0 _x000d__x000a_\rtlch\fcs1 \af0\afs20\alang1025 \ltrch\fcs0 \fs24\lang2057\langfe2057\cgrid\langnp2057\langfenp2057 {\rtlch\fcs1 \af0 \ltrch\fcs0 \insrsid7887287\charrsid1189456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887287 \rtlch\fcs1 \af0\afs20\alang1025 \ltrch\fcs0 \fs24\lang2057\langfe2057\cgrid\langnp2057\langfenp2057 {\rtlch\fcs1 \af0 \ltrch\fcs0 _x000d__x000a_\insrsid7887287\charrsid11894566 Or. }{\rtlch\fcs1 \af0 \ltrch\fcs0 \cs17\v\fs20\cf9\loch\af1\hich\af1\dbch\af31501\insrsid7887287\charrsid11894566 \hich\af1\dbch\af31501\loch\f1 &lt;Original&gt;}{\rtlch\fcs1 \af0 \ltrch\fcs0 \insrsid7887287\charrsid11894566 #}_x000d__x000a_{\rtlch\fcs1 \af1 \ltrch\fcs0 \cs18\v\f1\fs20\cf15\insrsid7887287\charrsid11894566 MNU[ORLANGONE][ORLANGMORE]@CHOICE@ORLANGMNU}{\rtlch\fcs1 \af0 \ltrch\fcs0 \insrsid7887287\charrsid11894566 #}{\rtlch\fcs1 \af0 \ltrch\fcs0 _x000d__x000a_\cs17\v\fs20\cf9\loch\af1\hich\af1\dbch\af31501\insrsid7887287\charrsid11894566 \hich\af1\dbch\af31501\loch\f1 &lt;/Original&gt;}{\rtlch\fcs1 \af0 \ltrch\fcs0 \insrsid7887287\charrsid11894566 _x000d__x000a_\par }\pard\plain \ltrpar\s22\qc \li0\ri0\sb240\sa240\nowidctlpar\wrapdefault\aspalpha\aspnum\faauto\adjustright\rin0\lin0\itap0\pararsid7887287 \rtlch\fcs1 \af0\afs20\alang1025 \ltrch\fcs0 \i\fs24\lang2057\langfe2057\cgrid\langnp2057\langfenp2057 {_x000d__x000a_\rtlch\fcs1 \af0 \ltrch\fcs0 \cs17\i0\v\fs20\cf9\loch\af1\hich\af1\dbch\af31501\insrsid7887287\charrsid11894566 \hich\af1\dbch\af31501\loch\f1 &lt;OptDel&gt;}{\rtlch\fcs1 \af0 \ltrch\fcs0 \insrsid7887287\charrsid11894566 #}{\rtlch\fcs1 \af1 \ltrch\fcs0 _x000d__x000a_\cs18\v\f1\fs20\cf15\insrsid7887287\charrsid11894566 MNU[CROSSREFNO][CROSSREFYES]@CHOICE@}{\rtlch\fcs1 \af0 \ltrch\fcs0 \insrsid7887287\charrsid11894566 #}{\rtlch\fcs1 \af0 \ltrch\fcs0 _x000d__x000a_\cs17\i0\v\fs20\cf9\loch\af1\hich\af1\dbch\af31501\insrsid7887287\charrsid11894566 \hich\af1\dbch\af31501\loch\f1 &lt;/OptDel&gt;}{\rtlch\fcs1 \af0 \ltrch\fcs0 \insrsid7887287\charrsid11894566 _x000d__x000a_\par }\pard\plain \ltrpar\s23\qc \li0\ri0\sb240\sa240\keepn\nowidctlpar\wrapdefault\aspalpha\aspnum\faauto\adjustright\rin0\lin0\itap0\pararsid7887287 \rtlch\fcs1 \af0\afs20\alang1025 \ltrch\fcs0 \i\fs24\lang2057\langfe2057\cgrid\langnp2057\langfenp2057 {_x000d__x000a_\rtlch\fcs1 \af0 \ltrch\fcs0 \cs17\i0\v\fs20\cf9\loch\af1\hich\af1\dbch\af31501\insrsid7887287\charrsid11894566 \hich\af1\dbch\af31501\loch\f1 &lt;TitreJust&gt;}{\rtlch\fcs1 \af0 \ltrch\fcs0 \insrsid7887287\charrsid11894566 Justification}{\rtlch\fcs1 \af0 _x000d__x000a_\ltrch\fcs0 \cs17\i0\v\fs20\cf9\loch\af1\hich\af1\dbch\af31501\insrsid7887287\charrsid11894566 \hich\af1\dbch\af31501\loch\f1 &lt;/TitreJust&gt;}{\rtlch\fcs1 \af0 \ltrch\fcs0 \insrsid7887287\charrsid11894566 _x000d__x000a_\par }\pard\plain \ltrpar\s21\ql \li0\ri0\sa240\nowidctlpar\wrapdefault\aspalpha\aspnum\faauto\adjustright\rin0\lin0\itap0\pararsid7887287 \rtlch\fcs1 \af0\afs20\alang1025 \ltrch\fcs0 \i\fs24\lang2057\langfe2057\cgrid\langnp2057\langfenp2057 {\rtlch\fcs1 \af0 _x000d__x000a_\ltrch\fcs0 \cs17\i0\v\fs20\cf9\loch\af1\hich\af1\dbch\af31501\insrsid7887287\charrsid11894566 \hich\af1\dbch\af31501\loch\f1 &lt;OptDelPrev&gt;}{\rtlch\fcs1 \af0 \ltrch\fcs0 \insrsid7887287\charrsid11894566 #}{\rtlch\fcs1 \af1 \ltrch\fcs0 _x000d__x000a_\cs18\v\f1\fs20\cf15\insrsid7887287\charrsid11894566 MNU[TEXTJUSTYES][TEXTJUSTNO]@CHOICE@}{\rtlch\fcs1 \af0 \ltrch\fcs0 \insrsid7887287\charrsid11894566 #}{\rtlch\fcs1 \af0 \ltrch\fcs0 _x000d__x000a_\cs17\i0\v\fs20\cf9\loch\af1\hich\af1\dbch\af31501\insrsid7887287\charrsid11894566 \hich\af1\dbch\af31501\loch\f1 &lt;/OptDelPrev&gt;}{\rtlch\fcs1 \af0 \ltrch\fcs0 \insrsid7887287\charrsid11894566 _x000d__x000a_\par }\pard\plain \ltrpar\ql \li0\ri0\widctlpar\wrapdefault\aspalpha\aspnum\faauto\adjustright\rin0\lin0\itap0\pararsid7887287 \rtlch\fcs1 \af0\afs20\alang1025 \ltrch\fcs0 \fs24\lang2057\langfe2057\cgrid\langnp2057\langfenp2057 {\rtlch\fcs1 \af0 \ltrch\fcs0 _x000d__x000a_\cs17\v\fs20\cf9\loch\af1\hich\af1\dbch\af31501\insrsid7887287\charrsid1189456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8_x000d__x000a_d8577b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5"/>
    <w:docVar w:name="TXTAUTHOR" w:val="Matjaž Nemec"/>
    <w:docVar w:name="TXTLANGUE" w:val="SV"/>
    <w:docVar w:name="TXTLANGUEMIN" w:val="sv"/>
    <w:docVar w:name="TXTNRC" w:val="0165/2022"/>
    <w:docVar w:name="TXTNRCOD" w:val="2022/0132"/>
    <w:docVar w:name="TXTNRCOM" w:val="(2022)0658"/>
    <w:docVar w:name="TXTNRFIRSTAM" w:val="1"/>
    <w:docVar w:name="TXTNRLASTAM" w:val="1"/>
    <w:docVar w:name="TXTNRPE" w:val="737.330"/>
    <w:docVar w:name="TXTPEorAP" w:val="PE"/>
    <w:docVar w:name="TXTROUTE" w:val="PR\1265121SV.docx"/>
    <w:docVar w:name="TXTTITLE" w:val="amending Regulations (EC) No 767/2008, (EC) No 810/2009 and (EU) 2017/2226 of the European Parliament and of the Council, Council Regulations (EC) No 1683/95, (EC) No 333/2002, (EC) No 693/2003 and (EC) No 694/2003 and Convention implementing the Schengen Agreement, as regards the digitalisation of the visa procedure"/>
    <w:docVar w:name="TXTVERSION" w:val="01-00"/>
  </w:docVars>
  <w:rsids>
    <w:rsidRoot w:val="00FD0C5D"/>
    <w:rsid w:val="00011AAB"/>
    <w:rsid w:val="00012351"/>
    <w:rsid w:val="000139E5"/>
    <w:rsid w:val="00050A74"/>
    <w:rsid w:val="00051B00"/>
    <w:rsid w:val="00054C15"/>
    <w:rsid w:val="000573B7"/>
    <w:rsid w:val="00084DD2"/>
    <w:rsid w:val="00084E89"/>
    <w:rsid w:val="000A6BBA"/>
    <w:rsid w:val="000B7489"/>
    <w:rsid w:val="000D2E7D"/>
    <w:rsid w:val="000E37F8"/>
    <w:rsid w:val="000F1096"/>
    <w:rsid w:val="000F584D"/>
    <w:rsid w:val="001065EA"/>
    <w:rsid w:val="00120948"/>
    <w:rsid w:val="00120E34"/>
    <w:rsid w:val="00123DD5"/>
    <w:rsid w:val="001277AE"/>
    <w:rsid w:val="00142026"/>
    <w:rsid w:val="00142215"/>
    <w:rsid w:val="001767E2"/>
    <w:rsid w:val="00187008"/>
    <w:rsid w:val="00193AEF"/>
    <w:rsid w:val="001B3829"/>
    <w:rsid w:val="001C5592"/>
    <w:rsid w:val="001C5B44"/>
    <w:rsid w:val="001C6FFC"/>
    <w:rsid w:val="001D0E90"/>
    <w:rsid w:val="001F7C7C"/>
    <w:rsid w:val="0020071A"/>
    <w:rsid w:val="00212B84"/>
    <w:rsid w:val="002133DE"/>
    <w:rsid w:val="002346B0"/>
    <w:rsid w:val="00235D27"/>
    <w:rsid w:val="002667C3"/>
    <w:rsid w:val="002669B6"/>
    <w:rsid w:val="00290BED"/>
    <w:rsid w:val="00293E6E"/>
    <w:rsid w:val="002C6712"/>
    <w:rsid w:val="002D13EE"/>
    <w:rsid w:val="002E33EE"/>
    <w:rsid w:val="002F40BB"/>
    <w:rsid w:val="002F4B02"/>
    <w:rsid w:val="003112E8"/>
    <w:rsid w:val="00323EF8"/>
    <w:rsid w:val="003316DD"/>
    <w:rsid w:val="00352B44"/>
    <w:rsid w:val="00366A46"/>
    <w:rsid w:val="00370AC3"/>
    <w:rsid w:val="003824EE"/>
    <w:rsid w:val="00395787"/>
    <w:rsid w:val="00395DD4"/>
    <w:rsid w:val="003B4689"/>
    <w:rsid w:val="003B67C4"/>
    <w:rsid w:val="003C2068"/>
    <w:rsid w:val="003C37CF"/>
    <w:rsid w:val="003C7988"/>
    <w:rsid w:val="004100B1"/>
    <w:rsid w:val="00426E47"/>
    <w:rsid w:val="00455743"/>
    <w:rsid w:val="00461601"/>
    <w:rsid w:val="00465535"/>
    <w:rsid w:val="00470029"/>
    <w:rsid w:val="00480B1D"/>
    <w:rsid w:val="00490B0B"/>
    <w:rsid w:val="00494634"/>
    <w:rsid w:val="004C0915"/>
    <w:rsid w:val="004D424E"/>
    <w:rsid w:val="004E42C8"/>
    <w:rsid w:val="004E733D"/>
    <w:rsid w:val="004F3FA5"/>
    <w:rsid w:val="0051271F"/>
    <w:rsid w:val="00521F46"/>
    <w:rsid w:val="0052765F"/>
    <w:rsid w:val="00551111"/>
    <w:rsid w:val="00551123"/>
    <w:rsid w:val="00570A6A"/>
    <w:rsid w:val="00586E50"/>
    <w:rsid w:val="0059583D"/>
    <w:rsid w:val="005A42D9"/>
    <w:rsid w:val="005C2BEF"/>
    <w:rsid w:val="005D1A99"/>
    <w:rsid w:val="005D6756"/>
    <w:rsid w:val="005D7609"/>
    <w:rsid w:val="005D7EE8"/>
    <w:rsid w:val="005E5817"/>
    <w:rsid w:val="005F1B63"/>
    <w:rsid w:val="006213D7"/>
    <w:rsid w:val="00642325"/>
    <w:rsid w:val="0065596F"/>
    <w:rsid w:val="006A2F5D"/>
    <w:rsid w:val="006A6174"/>
    <w:rsid w:val="006D644D"/>
    <w:rsid w:val="006E0A55"/>
    <w:rsid w:val="006F7907"/>
    <w:rsid w:val="007003ED"/>
    <w:rsid w:val="0072568C"/>
    <w:rsid w:val="00733724"/>
    <w:rsid w:val="00743189"/>
    <w:rsid w:val="00743D33"/>
    <w:rsid w:val="00763900"/>
    <w:rsid w:val="00777356"/>
    <w:rsid w:val="007932B3"/>
    <w:rsid w:val="00793EA9"/>
    <w:rsid w:val="007B202B"/>
    <w:rsid w:val="007B2322"/>
    <w:rsid w:val="007B4434"/>
    <w:rsid w:val="007C466D"/>
    <w:rsid w:val="007D6F68"/>
    <w:rsid w:val="008051D0"/>
    <w:rsid w:val="00812665"/>
    <w:rsid w:val="00823E6B"/>
    <w:rsid w:val="00826780"/>
    <w:rsid w:val="0083350D"/>
    <w:rsid w:val="00837CCD"/>
    <w:rsid w:val="008633CC"/>
    <w:rsid w:val="00865190"/>
    <w:rsid w:val="008719B9"/>
    <w:rsid w:val="00894ECE"/>
    <w:rsid w:val="00896BB4"/>
    <w:rsid w:val="008A7FB8"/>
    <w:rsid w:val="009022B8"/>
    <w:rsid w:val="00914537"/>
    <w:rsid w:val="00917AE3"/>
    <w:rsid w:val="00917CC4"/>
    <w:rsid w:val="0094796B"/>
    <w:rsid w:val="009763DA"/>
    <w:rsid w:val="00984186"/>
    <w:rsid w:val="00987D80"/>
    <w:rsid w:val="009975B3"/>
    <w:rsid w:val="009A216D"/>
    <w:rsid w:val="009B20C4"/>
    <w:rsid w:val="009B4B93"/>
    <w:rsid w:val="009C185B"/>
    <w:rsid w:val="009C26A4"/>
    <w:rsid w:val="009D6FE5"/>
    <w:rsid w:val="009D7B9D"/>
    <w:rsid w:val="009F1E73"/>
    <w:rsid w:val="009F24BE"/>
    <w:rsid w:val="009F6C2F"/>
    <w:rsid w:val="009F767A"/>
    <w:rsid w:val="00A22533"/>
    <w:rsid w:val="00A26F46"/>
    <w:rsid w:val="00A34FD3"/>
    <w:rsid w:val="00A36929"/>
    <w:rsid w:val="00A50548"/>
    <w:rsid w:val="00A60EE7"/>
    <w:rsid w:val="00A70FAF"/>
    <w:rsid w:val="00A74BEC"/>
    <w:rsid w:val="00A80598"/>
    <w:rsid w:val="00A90F84"/>
    <w:rsid w:val="00A910C9"/>
    <w:rsid w:val="00A94916"/>
    <w:rsid w:val="00AA35B0"/>
    <w:rsid w:val="00AB2631"/>
    <w:rsid w:val="00AB3008"/>
    <w:rsid w:val="00AB34A8"/>
    <w:rsid w:val="00AD18C8"/>
    <w:rsid w:val="00AD7FA6"/>
    <w:rsid w:val="00AE4643"/>
    <w:rsid w:val="00AF0416"/>
    <w:rsid w:val="00B10CB4"/>
    <w:rsid w:val="00B13D6F"/>
    <w:rsid w:val="00B23B72"/>
    <w:rsid w:val="00B42702"/>
    <w:rsid w:val="00B57B8B"/>
    <w:rsid w:val="00B81CAD"/>
    <w:rsid w:val="00B85407"/>
    <w:rsid w:val="00B85A2A"/>
    <w:rsid w:val="00B95702"/>
    <w:rsid w:val="00BA34B6"/>
    <w:rsid w:val="00BC1D5B"/>
    <w:rsid w:val="00BC6489"/>
    <w:rsid w:val="00BD1B28"/>
    <w:rsid w:val="00BD480C"/>
    <w:rsid w:val="00BD5450"/>
    <w:rsid w:val="00BE0731"/>
    <w:rsid w:val="00BF2B0B"/>
    <w:rsid w:val="00C11717"/>
    <w:rsid w:val="00C20954"/>
    <w:rsid w:val="00C23324"/>
    <w:rsid w:val="00C42A41"/>
    <w:rsid w:val="00C47E74"/>
    <w:rsid w:val="00C57A72"/>
    <w:rsid w:val="00C73602"/>
    <w:rsid w:val="00C844CE"/>
    <w:rsid w:val="00CA280E"/>
    <w:rsid w:val="00CB5692"/>
    <w:rsid w:val="00CF60C8"/>
    <w:rsid w:val="00D151F4"/>
    <w:rsid w:val="00D2452A"/>
    <w:rsid w:val="00D30DE2"/>
    <w:rsid w:val="00D32924"/>
    <w:rsid w:val="00D503A3"/>
    <w:rsid w:val="00D7587E"/>
    <w:rsid w:val="00D80700"/>
    <w:rsid w:val="00DA6ED0"/>
    <w:rsid w:val="00DB03A0"/>
    <w:rsid w:val="00DC5011"/>
    <w:rsid w:val="00E171B6"/>
    <w:rsid w:val="00E31338"/>
    <w:rsid w:val="00E45C33"/>
    <w:rsid w:val="00E72695"/>
    <w:rsid w:val="00E85532"/>
    <w:rsid w:val="00E8739C"/>
    <w:rsid w:val="00EB1753"/>
    <w:rsid w:val="00EB6CFF"/>
    <w:rsid w:val="00EE3996"/>
    <w:rsid w:val="00EF708B"/>
    <w:rsid w:val="00F02096"/>
    <w:rsid w:val="00F07062"/>
    <w:rsid w:val="00F07B47"/>
    <w:rsid w:val="00F20B07"/>
    <w:rsid w:val="00F23CFC"/>
    <w:rsid w:val="00F433E2"/>
    <w:rsid w:val="00F51B56"/>
    <w:rsid w:val="00F904AE"/>
    <w:rsid w:val="00F934F8"/>
    <w:rsid w:val="00FB52FE"/>
    <w:rsid w:val="00FC0A34"/>
    <w:rsid w:val="00FD0C5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4468F"/>
  <w15:chartTrackingRefBased/>
  <w15:docId w15:val="{CD665FAE-27C4-4C13-9CC2-8CC97043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90F84"/>
    <w:pPr>
      <w:tabs>
        <w:tab w:val="right" w:pos="454"/>
        <w:tab w:val="left" w:pos="737"/>
      </w:tabs>
      <w:ind w:left="737" w:hanging="737"/>
    </w:pPr>
    <w:rPr>
      <w:snapToGrid w:val="0"/>
      <w:sz w:val="18"/>
      <w:lang w:eastAsia="en-US"/>
    </w:rPr>
  </w:style>
  <w:style w:type="paragraph" w:customStyle="1" w:styleId="Lgendetitre">
    <w:name w:val="Légende titre"/>
    <w:basedOn w:val="Normal"/>
    <w:rsid w:val="00A90F84"/>
    <w:pPr>
      <w:spacing w:before="240" w:after="240"/>
    </w:pPr>
    <w:rPr>
      <w:b/>
      <w:i/>
      <w:snapToGrid w:val="0"/>
      <w:lang w:eastAsia="en-US"/>
    </w:rPr>
  </w:style>
  <w:style w:type="paragraph" w:customStyle="1" w:styleId="Lgendestandard">
    <w:name w:val="Légende standard"/>
    <w:basedOn w:val="Normal"/>
    <w:rsid w:val="00A90F84"/>
    <w:rPr>
      <w:sz w:val="18"/>
    </w:rPr>
  </w:style>
  <w:style w:type="paragraph" w:customStyle="1" w:styleId="EntPE">
    <w:name w:val="EntPE"/>
    <w:basedOn w:val="Normal12"/>
    <w:rsid w:val="006A6174"/>
    <w:pPr>
      <w:jc w:val="center"/>
    </w:pPr>
    <w:rPr>
      <w:noProof w:val="0"/>
      <w:sz w:val="56"/>
    </w:rPr>
  </w:style>
  <w:style w:type="paragraph" w:customStyle="1" w:styleId="Normal12">
    <w:name w:val="Normal12"/>
    <w:basedOn w:val="Normal"/>
    <w:link w:val="Normal12Char"/>
    <w:rsid w:val="006A6174"/>
    <w:pPr>
      <w:spacing w:after="240"/>
    </w:pPr>
    <w:rPr>
      <w:noProof/>
    </w:rPr>
  </w:style>
  <w:style w:type="paragraph" w:customStyle="1" w:styleId="CommitteeAM">
    <w:name w:val="CommitteeAM"/>
    <w:basedOn w:val="Normal"/>
    <w:rsid w:val="006A6174"/>
    <w:pPr>
      <w:spacing w:before="240" w:after="600"/>
      <w:jc w:val="center"/>
    </w:pPr>
    <w:rPr>
      <w:i/>
    </w:rPr>
  </w:style>
  <w:style w:type="paragraph" w:customStyle="1" w:styleId="ZDateAM">
    <w:name w:val="ZDateAM"/>
    <w:basedOn w:val="Normal"/>
    <w:rsid w:val="006A6174"/>
    <w:pPr>
      <w:tabs>
        <w:tab w:val="right" w:pos="9356"/>
      </w:tabs>
      <w:spacing w:after="480"/>
    </w:pPr>
    <w:rPr>
      <w:noProof/>
    </w:rPr>
  </w:style>
  <w:style w:type="paragraph" w:customStyle="1" w:styleId="ProjRap">
    <w:name w:val="ProjRap"/>
    <w:basedOn w:val="Normal"/>
    <w:rsid w:val="006A6174"/>
    <w:pPr>
      <w:tabs>
        <w:tab w:val="right" w:pos="9356"/>
      </w:tabs>
    </w:pPr>
    <w:rPr>
      <w:b/>
      <w:noProof/>
    </w:rPr>
  </w:style>
  <w:style w:type="character" w:customStyle="1" w:styleId="Normal12Char">
    <w:name w:val="Normal12 Char"/>
    <w:basedOn w:val="DefaultParagraphFont"/>
    <w:link w:val="Normal12"/>
    <w:locked/>
    <w:rsid w:val="006A6174"/>
    <w:rPr>
      <w:noProof/>
      <w:sz w:val="24"/>
    </w:rPr>
  </w:style>
  <w:style w:type="paragraph" w:customStyle="1" w:styleId="PELeft">
    <w:name w:val="PELeft"/>
    <w:basedOn w:val="Normal"/>
    <w:rsid w:val="006A6174"/>
    <w:pPr>
      <w:spacing w:before="40" w:after="40"/>
    </w:pPr>
    <w:rPr>
      <w:rFonts w:ascii="Arial" w:hAnsi="Arial" w:cs="Arial"/>
      <w:sz w:val="22"/>
      <w:szCs w:val="22"/>
    </w:rPr>
  </w:style>
  <w:style w:type="paragraph" w:customStyle="1" w:styleId="PERight">
    <w:name w:val="PERight"/>
    <w:basedOn w:val="Normal"/>
    <w:next w:val="Normal"/>
    <w:rsid w:val="006A6174"/>
    <w:pPr>
      <w:jc w:val="right"/>
    </w:pPr>
    <w:rPr>
      <w:rFonts w:ascii="Arial" w:hAnsi="Arial" w:cs="Arial"/>
      <w:sz w:val="22"/>
      <w:szCs w:val="22"/>
    </w:rPr>
  </w:style>
  <w:style w:type="paragraph" w:customStyle="1" w:styleId="Normal6">
    <w:name w:val="Normal6"/>
    <w:basedOn w:val="Normal"/>
    <w:link w:val="Normal6Char"/>
    <w:rsid w:val="006A6174"/>
    <w:pPr>
      <w:spacing w:after="120"/>
    </w:pPr>
  </w:style>
  <w:style w:type="paragraph" w:customStyle="1" w:styleId="Normal12Italic">
    <w:name w:val="Normal12Italic"/>
    <w:basedOn w:val="Normal12"/>
    <w:rsid w:val="006A6174"/>
    <w:rPr>
      <w:i/>
    </w:rPr>
  </w:style>
  <w:style w:type="character" w:customStyle="1" w:styleId="NormalBoldChar">
    <w:name w:val="NormalBold Char"/>
    <w:basedOn w:val="DefaultParagraphFont"/>
    <w:link w:val="NormalBold"/>
    <w:rsid w:val="006A6174"/>
    <w:rPr>
      <w:b/>
      <w:sz w:val="24"/>
    </w:rPr>
  </w:style>
  <w:style w:type="paragraph" w:customStyle="1" w:styleId="JustificationTitle">
    <w:name w:val="JustificationTitle"/>
    <w:basedOn w:val="Normal"/>
    <w:next w:val="Normal12"/>
    <w:rsid w:val="006A6174"/>
    <w:pPr>
      <w:keepNext/>
      <w:spacing w:before="240" w:after="240"/>
      <w:jc w:val="center"/>
    </w:pPr>
    <w:rPr>
      <w:i/>
      <w:noProof/>
    </w:rPr>
  </w:style>
  <w:style w:type="paragraph" w:customStyle="1" w:styleId="Olang">
    <w:name w:val="Olang"/>
    <w:basedOn w:val="Normal"/>
    <w:rsid w:val="006A6174"/>
    <w:pPr>
      <w:spacing w:before="240" w:after="240"/>
      <w:jc w:val="right"/>
    </w:pPr>
    <w:rPr>
      <w:noProof/>
      <w:szCs w:val="24"/>
    </w:rPr>
  </w:style>
  <w:style w:type="character" w:customStyle="1" w:styleId="Normal6Char">
    <w:name w:val="Normal6 Char"/>
    <w:basedOn w:val="DefaultParagraphFont"/>
    <w:link w:val="Normal6"/>
    <w:rsid w:val="006A6174"/>
    <w:rPr>
      <w:sz w:val="24"/>
      <w:lang w:val="sv-SE"/>
    </w:rPr>
  </w:style>
  <w:style w:type="paragraph" w:customStyle="1" w:styleId="ColumnHeading">
    <w:name w:val="ColumnHeading"/>
    <w:basedOn w:val="Normal"/>
    <w:rsid w:val="006A6174"/>
    <w:pPr>
      <w:spacing w:after="240"/>
      <w:jc w:val="center"/>
    </w:pPr>
    <w:rPr>
      <w:i/>
    </w:rPr>
  </w:style>
  <w:style w:type="paragraph" w:customStyle="1" w:styleId="AMNumberTabs0">
    <w:name w:val="AMNumberTabs"/>
    <w:basedOn w:val="Normal"/>
    <w:rsid w:val="006A61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A6174"/>
    <w:pPr>
      <w:spacing w:before="240"/>
      <w:jc w:val="center"/>
    </w:pPr>
    <w:rPr>
      <w:i/>
    </w:rPr>
  </w:style>
  <w:style w:type="paragraph" w:styleId="Footer">
    <w:name w:val="footer"/>
    <w:link w:val="FooterChar"/>
    <w:rsid w:val="006A6174"/>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6A6174"/>
    <w:rPr>
      <w:sz w:val="22"/>
    </w:rPr>
  </w:style>
  <w:style w:type="paragraph" w:customStyle="1" w:styleId="Footer2">
    <w:name w:val="Footer2"/>
    <w:basedOn w:val="Normal12"/>
    <w:rsid w:val="006A6174"/>
    <w:pPr>
      <w:tabs>
        <w:tab w:val="center" w:pos="4535"/>
        <w:tab w:val="right" w:pos="9923"/>
      </w:tabs>
      <w:spacing w:line="480" w:lineRule="auto"/>
      <w:ind w:left="-851"/>
    </w:pPr>
    <w:rPr>
      <w:rFonts w:ascii="Arial" w:cs="Arial"/>
      <w:b/>
      <w:sz w:val="48"/>
    </w:rPr>
  </w:style>
  <w:style w:type="character" w:customStyle="1" w:styleId="Footer2Middle">
    <w:name w:val="Footer2Middle"/>
    <w:rsid w:val="006A6174"/>
    <w:rPr>
      <w:rFonts w:ascii="Arial" w:cs="Arial"/>
      <w:b w:val="0"/>
      <w:i/>
      <w:color w:val="C0C0C0"/>
      <w:sz w:val="22"/>
    </w:rPr>
  </w:style>
  <w:style w:type="paragraph" w:styleId="BalloonText">
    <w:name w:val="Balloon Text"/>
    <w:basedOn w:val="Normal"/>
    <w:link w:val="BalloonTextChar"/>
    <w:semiHidden/>
    <w:unhideWhenUsed/>
    <w:rsid w:val="007B4434"/>
    <w:rPr>
      <w:rFonts w:ascii="Segoe UI" w:hAnsi="Segoe UI" w:cs="Segoe UI"/>
      <w:sz w:val="18"/>
      <w:szCs w:val="18"/>
    </w:rPr>
  </w:style>
  <w:style w:type="character" w:customStyle="1" w:styleId="BalloonTextChar">
    <w:name w:val="Balloon Text Char"/>
    <w:basedOn w:val="DefaultParagraphFont"/>
    <w:link w:val="BalloonText"/>
    <w:semiHidden/>
    <w:rsid w:val="007B4434"/>
    <w:rPr>
      <w:rFonts w:ascii="Segoe UI" w:hAnsi="Segoe UI" w:cs="Segoe UI"/>
      <w:sz w:val="18"/>
      <w:szCs w:val="18"/>
    </w:rPr>
  </w:style>
  <w:style w:type="paragraph" w:customStyle="1" w:styleId="Body">
    <w:name w:val="Body"/>
    <w:rsid w:val="000E37F8"/>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noteText">
    <w:name w:val="footnote text"/>
    <w:link w:val="FootnoteTextChar"/>
    <w:rsid w:val="000E37F8"/>
    <w:pPr>
      <w:pBdr>
        <w:top w:val="nil"/>
        <w:left w:val="nil"/>
        <w:bottom w:val="nil"/>
        <w:right w:val="nil"/>
        <w:between w:val="nil"/>
        <w:bar w:val="nil"/>
      </w:pBdr>
      <w:ind w:left="720" w:hanging="720"/>
      <w:jc w:val="both"/>
    </w:pPr>
    <w:rPr>
      <w:color w:val="000000"/>
      <w:u w:color="000000"/>
      <w:bdr w:val="nil"/>
    </w:rPr>
  </w:style>
  <w:style w:type="character" w:customStyle="1" w:styleId="FootnoteTextChar">
    <w:name w:val="Footnote Text Char"/>
    <w:basedOn w:val="DefaultParagraphFont"/>
    <w:link w:val="FootnoteText"/>
    <w:rsid w:val="000E37F8"/>
    <w:rPr>
      <w:color w:val="000000"/>
      <w:u w:color="000000"/>
      <w:bdr w:val="nil"/>
      <w:lang w:val="sv-SE"/>
    </w:rPr>
  </w:style>
  <w:style w:type="character" w:styleId="CommentReference">
    <w:name w:val="annotation reference"/>
    <w:basedOn w:val="DefaultParagraphFont"/>
    <w:rsid w:val="00F51B56"/>
    <w:rPr>
      <w:sz w:val="16"/>
      <w:szCs w:val="16"/>
    </w:rPr>
  </w:style>
  <w:style w:type="paragraph" w:styleId="CommentText">
    <w:name w:val="annotation text"/>
    <w:basedOn w:val="Normal"/>
    <w:link w:val="CommentTextChar"/>
    <w:rsid w:val="00F51B56"/>
    <w:rPr>
      <w:sz w:val="20"/>
    </w:rPr>
  </w:style>
  <w:style w:type="character" w:customStyle="1" w:styleId="CommentTextChar">
    <w:name w:val="Comment Text Char"/>
    <w:basedOn w:val="DefaultParagraphFont"/>
    <w:link w:val="CommentText"/>
    <w:rsid w:val="00F51B56"/>
  </w:style>
  <w:style w:type="paragraph" w:styleId="CommentSubject">
    <w:name w:val="annotation subject"/>
    <w:basedOn w:val="CommentText"/>
    <w:next w:val="CommentText"/>
    <w:link w:val="CommentSubjectChar"/>
    <w:semiHidden/>
    <w:unhideWhenUsed/>
    <w:rsid w:val="00F51B56"/>
    <w:rPr>
      <w:b/>
      <w:bCs/>
    </w:rPr>
  </w:style>
  <w:style w:type="character" w:customStyle="1" w:styleId="CommentSubjectChar">
    <w:name w:val="Comment Subject Char"/>
    <w:basedOn w:val="CommentTextChar"/>
    <w:link w:val="CommentSubject"/>
    <w:semiHidden/>
    <w:rsid w:val="00F51B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EC40C-DB9A-4905-9EA8-CB1323B8A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7001</Words>
  <Characters>43973</Characters>
  <Application>Microsoft Office Word</Application>
  <DocSecurity>0</DocSecurity>
  <Lines>1691</Lines>
  <Paragraphs>760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HEIDERSCHEID Mona</cp:lastModifiedBy>
  <cp:revision>2</cp:revision>
  <cp:lastPrinted>2022-10-17T09:05:00Z</cp:lastPrinted>
  <dcterms:created xsi:type="dcterms:W3CDTF">2022-11-07T06:59:00Z</dcterms:created>
  <dcterms:modified xsi:type="dcterms:W3CDTF">2022-11-07T06:59:00Z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1265121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PR\1265121SV.docx</vt:lpwstr>
  </property>
  <property fmtid="{D5CDD505-2E9C-101B-9397-08002B2CF9AE}" pid="10" name="LastEdited with">
    <vt:lpwstr>9.11.0 Build [20211103]</vt:lpwstr>
  </property>
  <property fmtid="{D5CDD505-2E9C-101B-9397-08002B2CF9AE}" pid="11" name="PE number">
    <vt:lpwstr>737.330</vt:lpwstr>
  </property>
  <property fmtid="{D5CDD505-2E9C-101B-9397-08002B2CF9AE}" pid="12" name="SDLStudio">
    <vt:lpwstr/>
  </property>
  <property fmtid="{D5CDD505-2E9C-101B-9397-08002B2CF9AE}" pid="13" name="SendToEpades">
    <vt:lpwstr>OK - 2022/10/18 12:42</vt:lpwstr>
  </property>
  <property fmtid="{D5CDD505-2E9C-101B-9397-08002B2CF9AE}" pid="14" name="Bookout">
    <vt:lpwstr>OK - 2022/11/07 07:55</vt:lpwstr>
  </property>
</Properties>
</file>