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64914" w:rsidRPr="00ED3753" w:rsidTr="00120A92">
        <w:trPr>
          <w:trHeight w:hRule="exact" w:val="1418"/>
        </w:trPr>
        <w:tc>
          <w:tcPr>
            <w:tcW w:w="6804" w:type="dxa"/>
            <w:shd w:val="clear" w:color="auto" w:fill="auto"/>
            <w:vAlign w:val="center"/>
          </w:tcPr>
          <w:p w:rsidR="00B13D6F" w:rsidRPr="00ED3753" w:rsidRDefault="00F30C80" w:rsidP="00120A92">
            <w:pPr>
              <w:pStyle w:val="EPName"/>
            </w:pPr>
            <w:bookmarkStart w:id="0" w:name="_GoBack"/>
            <w:bookmarkEnd w:id="0"/>
            <w:r w:rsidRPr="00ED3753">
              <w:t>Europees Parlement</w:t>
            </w:r>
          </w:p>
          <w:p w:rsidR="00B13D6F" w:rsidRPr="00ED3753" w:rsidRDefault="00F30C80" w:rsidP="002D4A3D">
            <w:pPr>
              <w:pStyle w:val="EPTerm"/>
            </w:pPr>
            <w:r w:rsidRPr="00ED3753">
              <w:t>2019-2024</w:t>
            </w:r>
          </w:p>
        </w:tc>
        <w:tc>
          <w:tcPr>
            <w:tcW w:w="2268" w:type="dxa"/>
            <w:shd w:val="clear" w:color="auto" w:fill="auto"/>
          </w:tcPr>
          <w:p w:rsidR="00B13D6F" w:rsidRPr="00ED3753" w:rsidRDefault="00F30C80" w:rsidP="00120A92">
            <w:pPr>
              <w:pStyle w:val="EPLogo"/>
            </w:pPr>
            <w:r w:rsidRPr="00ED375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855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D3753" w:rsidRDefault="00461601" w:rsidP="00461601">
      <w:pPr>
        <w:pStyle w:val="LineTop"/>
      </w:pPr>
    </w:p>
    <w:p w:rsidR="00461601" w:rsidRPr="00ED3753" w:rsidRDefault="00F30C80" w:rsidP="00461601">
      <w:pPr>
        <w:pStyle w:val="EPBody"/>
      </w:pPr>
      <w:r w:rsidRPr="00ED3753">
        <w:rPr>
          <w:rStyle w:val="HideTWBExt"/>
        </w:rPr>
        <w:t>&lt;</w:t>
      </w:r>
      <w:r w:rsidRPr="00ED3753">
        <w:rPr>
          <w:rStyle w:val="HideTWBExt"/>
          <w:i w:val="0"/>
        </w:rPr>
        <w:t>Commission</w:t>
      </w:r>
      <w:r w:rsidRPr="00ED3753">
        <w:rPr>
          <w:rStyle w:val="HideTWBExt"/>
        </w:rPr>
        <w:t>&gt;</w:t>
      </w:r>
      <w:r w:rsidRPr="00ED3753">
        <w:rPr>
          <w:rStyle w:val="HideTWBInt"/>
          <w:color w:val="auto"/>
        </w:rPr>
        <w:t>{LIBE}</w:t>
      </w:r>
      <w:r w:rsidRPr="00ED3753">
        <w:t>Commissie burgerlijke vrijheden, justitie en binnenlandse zaken</w:t>
      </w:r>
      <w:r w:rsidRPr="00ED3753">
        <w:rPr>
          <w:rStyle w:val="HideTWBExt"/>
        </w:rPr>
        <w:t>&lt;/</w:t>
      </w:r>
      <w:r w:rsidRPr="00ED3753">
        <w:rPr>
          <w:rStyle w:val="HideTWBExt"/>
          <w:i w:val="0"/>
        </w:rPr>
        <w:t>Commission</w:t>
      </w:r>
      <w:r w:rsidRPr="00ED3753">
        <w:rPr>
          <w:rStyle w:val="HideTWBExt"/>
        </w:rPr>
        <w:t>&gt;</w:t>
      </w:r>
    </w:p>
    <w:p w:rsidR="00461601" w:rsidRPr="00ED3753" w:rsidRDefault="00461601" w:rsidP="00461601">
      <w:pPr>
        <w:pStyle w:val="LineBottom"/>
      </w:pPr>
    </w:p>
    <w:p w:rsidR="00793EA9" w:rsidRPr="00ED3753" w:rsidRDefault="00F30C80">
      <w:pPr>
        <w:pStyle w:val="CoverReference"/>
      </w:pPr>
      <w:r w:rsidRPr="00ED3753">
        <w:rPr>
          <w:rStyle w:val="HideTWBExt"/>
          <w:b w:val="0"/>
        </w:rPr>
        <w:t>&lt;RefProc&gt;</w:t>
      </w:r>
      <w:r w:rsidRPr="00ED3753">
        <w:t>2021/0428</w:t>
      </w:r>
      <w:r w:rsidRPr="00ED3753">
        <w:rPr>
          <w:rStyle w:val="HideTWBExt"/>
          <w:b w:val="0"/>
        </w:rPr>
        <w:t>&lt;/RefProc&gt;&lt;RefTypeProc&gt;</w:t>
      </w:r>
      <w:r w:rsidRPr="00ED3753">
        <w:t>(COD)</w:t>
      </w:r>
      <w:r w:rsidRPr="00ED3753">
        <w:rPr>
          <w:rStyle w:val="HideTWBExt"/>
          <w:b w:val="0"/>
        </w:rPr>
        <w:t>&lt;/RefTypeProc&gt;</w:t>
      </w:r>
    </w:p>
    <w:p w:rsidR="00793EA9" w:rsidRPr="00ED3753" w:rsidRDefault="00F30C80">
      <w:pPr>
        <w:pStyle w:val="CoverDate"/>
      </w:pPr>
      <w:r w:rsidRPr="00ED3753">
        <w:rPr>
          <w:rStyle w:val="HideTWBExt"/>
        </w:rPr>
        <w:t>&lt;Date&gt;</w:t>
      </w:r>
      <w:r w:rsidRPr="00ED3753">
        <w:rPr>
          <w:rStyle w:val="HideTWBInt"/>
          <w:color w:val="auto"/>
        </w:rPr>
        <w:t>{8/11/2022}</w:t>
      </w:r>
      <w:r w:rsidRPr="00ED3753">
        <w:t>8.11.2022</w:t>
      </w:r>
      <w:r w:rsidRPr="00ED3753">
        <w:rPr>
          <w:rStyle w:val="HideTWBExt"/>
        </w:rPr>
        <w:t>&lt;/Date&gt;</w:t>
      </w:r>
    </w:p>
    <w:p w:rsidR="00793EA9" w:rsidRPr="00ED3753" w:rsidRDefault="00F30C80">
      <w:pPr>
        <w:pStyle w:val="CoverDocType"/>
      </w:pPr>
      <w:r w:rsidRPr="00ED3753">
        <w:rPr>
          <w:rStyle w:val="HideTWBExt"/>
          <w:b w:val="0"/>
        </w:rPr>
        <w:t>&lt;RefProcLect&gt;</w:t>
      </w:r>
      <w:r w:rsidRPr="00ED3753">
        <w:t>***I</w:t>
      </w:r>
      <w:r w:rsidRPr="00ED3753">
        <w:rPr>
          <w:rStyle w:val="HideTWBExt"/>
          <w:b w:val="0"/>
        </w:rPr>
        <w:t>&lt;/RefProcLect&gt;</w:t>
      </w:r>
    </w:p>
    <w:p w:rsidR="00793EA9" w:rsidRPr="00ED3753" w:rsidRDefault="00F30C80">
      <w:pPr>
        <w:pStyle w:val="CoverDocType24a"/>
      </w:pPr>
      <w:r w:rsidRPr="00ED3753">
        <w:rPr>
          <w:rStyle w:val="HideTWBExt"/>
          <w:b w:val="0"/>
        </w:rPr>
        <w:t>&lt;TitreType&gt;</w:t>
      </w:r>
      <w:r w:rsidRPr="00ED3753">
        <w:t>ONTWERPVERSLAG</w:t>
      </w:r>
      <w:r w:rsidRPr="00ED3753">
        <w:rPr>
          <w:rStyle w:val="HideTWBExt"/>
          <w:b w:val="0"/>
        </w:rPr>
        <w:t>&lt;/TitreType&gt;</w:t>
      </w:r>
    </w:p>
    <w:p w:rsidR="00793EA9" w:rsidRPr="00ED3753" w:rsidRDefault="00F30C80">
      <w:pPr>
        <w:pStyle w:val="CoverNormal"/>
      </w:pPr>
      <w:r w:rsidRPr="00ED3753">
        <w:rPr>
          <w:rStyle w:val="HideTWBExt"/>
        </w:rPr>
        <w:t>&lt;Titre&gt;</w:t>
      </w:r>
      <w:r w:rsidRPr="00ED3753">
        <w:t>over het voorstel voor een verordening van het Europees Parlement en de Raad tot wijziging van Verordening (EU) 2016/399 betreffende een Uniecode voor de overschrijding van de grenzen door personen</w:t>
      </w:r>
      <w:r w:rsidRPr="00ED3753">
        <w:rPr>
          <w:rStyle w:val="HideTWBExt"/>
        </w:rPr>
        <w:t>&lt;/Titre&gt;</w:t>
      </w:r>
    </w:p>
    <w:p w:rsidR="00793EA9" w:rsidRPr="00ED3753" w:rsidRDefault="00F30C80">
      <w:pPr>
        <w:pStyle w:val="CoverNormal24a"/>
      </w:pPr>
      <w:r w:rsidRPr="00ED3753">
        <w:rPr>
          <w:rStyle w:val="HideTWBExt"/>
        </w:rPr>
        <w:t>&lt;Doc</w:t>
      </w:r>
      <w:r w:rsidRPr="00ED3753">
        <w:rPr>
          <w:rStyle w:val="HideTWBExt"/>
        </w:rPr>
        <w:t>Ref&gt;</w:t>
      </w:r>
      <w:r w:rsidRPr="00ED3753">
        <w:t>(COM(2021)0891 – C9</w:t>
      </w:r>
      <w:r w:rsidRPr="00ED3753">
        <w:noBreakHyphen/>
        <w:t>0473/2021 – 2021/0428(COD))</w:t>
      </w:r>
      <w:r w:rsidRPr="00ED3753">
        <w:rPr>
          <w:rStyle w:val="HideTWBExt"/>
        </w:rPr>
        <w:t>&lt;/DocRef&gt;</w:t>
      </w:r>
    </w:p>
    <w:p w:rsidR="00793EA9" w:rsidRPr="00ED3753" w:rsidRDefault="00F30C80">
      <w:pPr>
        <w:pStyle w:val="CoverNormal24a"/>
      </w:pPr>
      <w:r w:rsidRPr="00ED3753">
        <w:rPr>
          <w:rStyle w:val="HideTWBExt"/>
        </w:rPr>
        <w:t>&lt;Commission&gt;</w:t>
      </w:r>
      <w:r w:rsidRPr="00ED3753">
        <w:rPr>
          <w:rStyle w:val="HideTWBInt"/>
          <w:color w:val="auto"/>
        </w:rPr>
        <w:t>{LIBE}</w:t>
      </w:r>
      <w:r w:rsidRPr="00ED3753">
        <w:t>Commissie burgerlijke vrijheden, justitie en binnenlandse zaken</w:t>
      </w:r>
      <w:r w:rsidRPr="00ED3753">
        <w:rPr>
          <w:rStyle w:val="HideTWBExt"/>
        </w:rPr>
        <w:t>&lt;/Commission&gt;</w:t>
      </w:r>
    </w:p>
    <w:p w:rsidR="00793EA9" w:rsidRPr="00ED3753" w:rsidRDefault="00F30C80">
      <w:pPr>
        <w:pStyle w:val="CoverNormal24a"/>
      </w:pPr>
      <w:r w:rsidRPr="00ED3753">
        <w:t xml:space="preserve">Rapporteur: </w:t>
      </w:r>
      <w:r w:rsidRPr="00ED3753">
        <w:rPr>
          <w:rStyle w:val="HideTWBExt"/>
        </w:rPr>
        <w:t>&lt;Depute&gt;</w:t>
      </w:r>
      <w:r w:rsidRPr="00ED3753">
        <w:t>Sylvie Guillaume</w:t>
      </w:r>
      <w:r w:rsidRPr="00ED3753">
        <w:rPr>
          <w:rStyle w:val="HideTWBExt"/>
        </w:rPr>
        <w:t>&lt;/Depute&gt;</w:t>
      </w:r>
    </w:p>
    <w:p w:rsidR="001C5B44" w:rsidRPr="00ED3753" w:rsidRDefault="001C5B44" w:rsidP="001C5B44">
      <w:pPr>
        <w:pStyle w:val="CoverNormal"/>
      </w:pPr>
    </w:p>
    <w:p w:rsidR="002D4A3D" w:rsidRPr="00ED3753" w:rsidRDefault="00F30C80" w:rsidP="00120A92">
      <w:r w:rsidRPr="00ED3753">
        <w:br w:type="page"/>
      </w:r>
      <w:r w:rsidRPr="00ED3753">
        <w:lastRenderedPageBreak/>
        <w:fldChar w:fldCharType="begin"/>
      </w:r>
      <w:r w:rsidRPr="00ED3753">
        <w:instrText xml:space="preserve"> TITLE  \* MERGEFORMAT </w:instrText>
      </w:r>
      <w:r w:rsidRPr="00ED3753">
        <w:fldChar w:fldCharType="separate"/>
      </w:r>
      <w:r>
        <w:t>PR_COD_1amCom</w:t>
      </w:r>
      <w:r w:rsidRPr="00ED3753">
        <w:fldChar w:fldCharType="end"/>
      </w:r>
    </w:p>
    <w:p w:rsidR="002D4A3D" w:rsidRPr="00ED3753" w:rsidRDefault="002D4A3D" w:rsidP="00120A92"/>
    <w:p w:rsidR="002D4A3D" w:rsidRPr="00ED3753" w:rsidRDefault="002D4A3D" w:rsidP="00120A9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64914" w:rsidRPr="00ED3753">
        <w:tc>
          <w:tcPr>
            <w:tcW w:w="5811" w:type="dxa"/>
          </w:tcPr>
          <w:p w:rsidR="002D4A3D" w:rsidRPr="00ED3753" w:rsidRDefault="00F30C80" w:rsidP="00120A92">
            <w:pPr>
              <w:pStyle w:val="Lgendetitre"/>
            </w:pPr>
            <w:r w:rsidRPr="00ED3753">
              <w:t>Verklaring</w:t>
            </w:r>
            <w:r w:rsidRPr="00ED3753">
              <w:t xml:space="preserve"> van de gebruikte tekens</w:t>
            </w:r>
          </w:p>
        </w:tc>
      </w:tr>
      <w:tr w:rsidR="00264914" w:rsidRPr="00ED3753" w:rsidTr="00120A92">
        <w:trPr>
          <w:cantSplit/>
          <w:trHeight w:val="1807"/>
        </w:trPr>
        <w:tc>
          <w:tcPr>
            <w:tcW w:w="5811" w:type="dxa"/>
            <w:tcBorders>
              <w:bottom w:val="single" w:sz="4" w:space="0" w:color="auto"/>
            </w:tcBorders>
          </w:tcPr>
          <w:p w:rsidR="002D4A3D" w:rsidRPr="00ED3753" w:rsidRDefault="00F30C80" w:rsidP="00120A92">
            <w:pPr>
              <w:pStyle w:val="Lgendesigne"/>
            </w:pPr>
            <w:r w:rsidRPr="00ED3753">
              <w:tab/>
              <w:t>*</w:t>
            </w:r>
            <w:r w:rsidRPr="00ED3753">
              <w:tab/>
              <w:t>Raadplegingsprocedure</w:t>
            </w:r>
          </w:p>
          <w:p w:rsidR="002D4A3D" w:rsidRPr="00ED3753" w:rsidRDefault="00F30C80" w:rsidP="00120A92">
            <w:pPr>
              <w:pStyle w:val="Lgendesigne"/>
            </w:pPr>
            <w:r w:rsidRPr="00ED3753">
              <w:tab/>
              <w:t>***</w:t>
            </w:r>
            <w:r w:rsidRPr="00ED3753">
              <w:tab/>
              <w:t>Goedkeuringsprocedure</w:t>
            </w:r>
          </w:p>
          <w:p w:rsidR="002D4A3D" w:rsidRPr="00ED3753" w:rsidRDefault="00F30C80" w:rsidP="00120A92">
            <w:pPr>
              <w:pStyle w:val="Lgendesigne"/>
            </w:pPr>
            <w:r w:rsidRPr="00ED3753">
              <w:tab/>
              <w:t>***I</w:t>
            </w:r>
            <w:r w:rsidRPr="00ED3753">
              <w:tab/>
              <w:t>Gewone wetgevingsprocedure (eerste lezing)</w:t>
            </w:r>
          </w:p>
          <w:p w:rsidR="002D4A3D" w:rsidRPr="00ED3753" w:rsidRDefault="00F30C80" w:rsidP="00120A92">
            <w:pPr>
              <w:pStyle w:val="Lgendesigne"/>
            </w:pPr>
            <w:r w:rsidRPr="00ED3753">
              <w:tab/>
              <w:t>***II</w:t>
            </w:r>
            <w:r w:rsidRPr="00ED3753">
              <w:tab/>
              <w:t>Gewone wetgevingsprocedure (tweede lezing)</w:t>
            </w:r>
          </w:p>
          <w:p w:rsidR="002D4A3D" w:rsidRPr="00ED3753" w:rsidRDefault="00F30C80" w:rsidP="00120A92">
            <w:pPr>
              <w:pStyle w:val="Lgendesigne"/>
            </w:pPr>
            <w:r w:rsidRPr="00ED3753">
              <w:tab/>
              <w:t>***III</w:t>
            </w:r>
            <w:r w:rsidRPr="00ED3753">
              <w:tab/>
              <w:t>Gewone wetgevingsprocedure (derde lezing)</w:t>
            </w:r>
          </w:p>
          <w:p w:rsidR="002D4A3D" w:rsidRPr="00ED3753" w:rsidRDefault="002D4A3D" w:rsidP="00120A92">
            <w:pPr>
              <w:pStyle w:val="Lgendestandard"/>
            </w:pPr>
          </w:p>
          <w:p w:rsidR="002D4A3D" w:rsidRPr="00ED3753" w:rsidRDefault="00F30C80" w:rsidP="00120A92">
            <w:pPr>
              <w:pStyle w:val="Lgendestandard"/>
            </w:pPr>
            <w:r w:rsidRPr="00ED3753">
              <w:t xml:space="preserve">(De aangeduide procedure is </w:t>
            </w:r>
            <w:r w:rsidRPr="00ED3753">
              <w:t>gebaseerd op de in de ontwerptekst voorgestelde rechtsgrond.)</w:t>
            </w:r>
          </w:p>
          <w:p w:rsidR="002D4A3D" w:rsidRPr="00ED3753" w:rsidRDefault="002D4A3D" w:rsidP="00120A92">
            <w:pPr>
              <w:pStyle w:val="Lgendestandard"/>
            </w:pPr>
          </w:p>
        </w:tc>
      </w:tr>
    </w:tbl>
    <w:p w:rsidR="002D4A3D" w:rsidRPr="00ED3753" w:rsidRDefault="002D4A3D" w:rsidP="00120A92"/>
    <w:p w:rsidR="002D4A3D" w:rsidRPr="00ED3753" w:rsidRDefault="002D4A3D" w:rsidP="00120A92"/>
    <w:p w:rsidR="002D4A3D" w:rsidRPr="00ED3753" w:rsidRDefault="002D4A3D" w:rsidP="00120A92"/>
    <w:p w:rsidR="002D4A3D" w:rsidRPr="00ED3753" w:rsidRDefault="002D4A3D" w:rsidP="00120A9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64914" w:rsidRPr="00ED3753">
        <w:tc>
          <w:tcPr>
            <w:tcW w:w="5811" w:type="dxa"/>
          </w:tcPr>
          <w:p w:rsidR="002D4A3D" w:rsidRPr="00ED3753" w:rsidRDefault="00F30C80" w:rsidP="00120A92">
            <w:pPr>
              <w:pStyle w:val="Lgendetitre"/>
            </w:pPr>
            <w:r w:rsidRPr="00ED3753">
              <w:t>Amendementen op een ontwerphandeling</w:t>
            </w:r>
          </w:p>
        </w:tc>
      </w:tr>
      <w:tr w:rsidR="00264914" w:rsidRPr="00ED3753" w:rsidTr="00120A92">
        <w:trPr>
          <w:trHeight w:val="4496"/>
        </w:trPr>
        <w:tc>
          <w:tcPr>
            <w:tcW w:w="5811" w:type="dxa"/>
          </w:tcPr>
          <w:p w:rsidR="002D4A3D" w:rsidRPr="00ED3753" w:rsidRDefault="00F30C80" w:rsidP="00120A92">
            <w:pPr>
              <w:pStyle w:val="Lgendestandard"/>
              <w:rPr>
                <w:szCs w:val="24"/>
              </w:rPr>
            </w:pPr>
            <w:r w:rsidRPr="00ED3753">
              <w:rPr>
                <w:b/>
              </w:rPr>
              <w:t>Amendementen van het Parlement in twee kolommen</w:t>
            </w:r>
          </w:p>
          <w:p w:rsidR="002D4A3D" w:rsidRPr="00ED3753" w:rsidRDefault="002D4A3D" w:rsidP="00120A92">
            <w:pPr>
              <w:pStyle w:val="Lgendestandard"/>
              <w:rPr>
                <w:szCs w:val="24"/>
              </w:rPr>
            </w:pPr>
          </w:p>
          <w:p w:rsidR="002D4A3D" w:rsidRPr="00ED3753" w:rsidRDefault="00F30C80" w:rsidP="00120A92">
            <w:pPr>
              <w:pStyle w:val="Lgendestandard"/>
              <w:rPr>
                <w:szCs w:val="24"/>
              </w:rPr>
            </w:pPr>
            <w:r w:rsidRPr="00ED3753">
              <w:t>Geschrapte tekstdelen worden in de linkerkolom in vet cursief aangegeven. Vervangen tekstdelen worden</w:t>
            </w:r>
            <w:r w:rsidRPr="00ED3753">
              <w:t xml:space="preserve"> in beide kolommen in vet cursief aangegeven. Nieuwe tekst wordt in de rechterkolom in vet cursief aangegeven.</w:t>
            </w:r>
          </w:p>
          <w:p w:rsidR="002D4A3D" w:rsidRPr="00ED3753" w:rsidRDefault="002D4A3D" w:rsidP="00120A92">
            <w:pPr>
              <w:pStyle w:val="Lgendestandard"/>
              <w:rPr>
                <w:szCs w:val="24"/>
              </w:rPr>
            </w:pPr>
          </w:p>
          <w:p w:rsidR="002D4A3D" w:rsidRPr="00ED3753" w:rsidRDefault="00F30C80" w:rsidP="00120A92">
            <w:pPr>
              <w:pStyle w:val="Lgendestandard"/>
              <w:rPr>
                <w:szCs w:val="24"/>
              </w:rPr>
            </w:pPr>
            <w:r w:rsidRPr="00ED3753">
              <w:t xml:space="preserve">In de eerste en tweede regel van de koptekst boven elk amendement wordt verwezen naar het tekstdeel in kwestie van de ontwerphandeling. Indien </w:t>
            </w:r>
            <w:r w:rsidRPr="00ED3753">
              <w:t>een amendement betrekking heeft op een bestaande handeling, waarop in de ontwerphandeling wijzigingen worden voorgesteld, bevat de koptekst bovendien een derde en vierde regel, die verwijzen naar de bestaande handeling respectievelijk naar de bepaling in k</w:t>
            </w:r>
            <w:r w:rsidRPr="00ED3753">
              <w:t>westie.</w:t>
            </w:r>
          </w:p>
          <w:p w:rsidR="002D4A3D" w:rsidRPr="00ED3753" w:rsidRDefault="002D4A3D" w:rsidP="00120A92">
            <w:pPr>
              <w:pStyle w:val="Lgendestandard"/>
              <w:rPr>
                <w:szCs w:val="24"/>
              </w:rPr>
            </w:pPr>
          </w:p>
          <w:p w:rsidR="002D4A3D" w:rsidRPr="00ED3753" w:rsidRDefault="00F30C80" w:rsidP="00120A92">
            <w:pPr>
              <w:pStyle w:val="Lgendestandard"/>
              <w:rPr>
                <w:b/>
                <w:szCs w:val="24"/>
              </w:rPr>
            </w:pPr>
            <w:r w:rsidRPr="00ED3753">
              <w:rPr>
                <w:b/>
              </w:rPr>
              <w:t>Amendementen van het Parlement in de vorm van een geconsolideerde tekst</w:t>
            </w:r>
          </w:p>
          <w:p w:rsidR="002D4A3D" w:rsidRPr="00ED3753" w:rsidRDefault="002D4A3D" w:rsidP="00120A92">
            <w:pPr>
              <w:pStyle w:val="Lgendestandard"/>
              <w:rPr>
                <w:szCs w:val="24"/>
              </w:rPr>
            </w:pPr>
          </w:p>
          <w:p w:rsidR="002D4A3D" w:rsidRPr="00ED3753" w:rsidRDefault="00F30C80" w:rsidP="00120A92">
            <w:pPr>
              <w:pStyle w:val="Lgendestandard"/>
              <w:rPr>
                <w:szCs w:val="24"/>
              </w:rPr>
            </w:pPr>
            <w:r w:rsidRPr="00ED3753">
              <w:t>Nieuwe tekstdelen worden in vet cursief aangegeven. Geschrapte tekstdelen worden aangegeven met het symbool ▌ of worden doorgestreept. Waar tekstdelen vervangen worden, wordt</w:t>
            </w:r>
            <w:r w:rsidRPr="00ED3753">
              <w:t xml:space="preserve"> de nieuwe tekst in vet cursief aangegeven, terwijl de vervangen tekst wordt geschrapt of doorgestreept. </w:t>
            </w:r>
          </w:p>
          <w:p w:rsidR="002D4A3D" w:rsidRPr="00ED3753" w:rsidRDefault="00F30C80" w:rsidP="00120A92">
            <w:pPr>
              <w:pStyle w:val="Lgendestandard"/>
            </w:pPr>
            <w:r w:rsidRPr="00ED3753">
              <w:t>Bij wijze van uitzondering worden zuiver technische wijzigingen die de diensten aanbrengen met het oog op de opstelling van de definitieve tekst, niet</w:t>
            </w:r>
            <w:r w:rsidRPr="00ED3753">
              <w:t xml:space="preserve"> gemarkeerd.</w:t>
            </w:r>
          </w:p>
          <w:p w:rsidR="002D4A3D" w:rsidRPr="00ED3753" w:rsidRDefault="002D4A3D" w:rsidP="00120A92">
            <w:pPr>
              <w:pStyle w:val="Lgendestandard"/>
            </w:pPr>
          </w:p>
        </w:tc>
      </w:tr>
    </w:tbl>
    <w:p w:rsidR="002D4A3D" w:rsidRPr="00ED3753" w:rsidRDefault="002D4A3D" w:rsidP="00120A92"/>
    <w:p w:rsidR="00793EA9" w:rsidRPr="00ED3753" w:rsidRDefault="00793EA9" w:rsidP="00012351">
      <w:pPr>
        <w:widowControl/>
        <w:tabs>
          <w:tab w:val="center" w:pos="4677"/>
        </w:tabs>
      </w:pPr>
    </w:p>
    <w:p w:rsidR="00793EA9" w:rsidRPr="00ED3753" w:rsidRDefault="00F30C80">
      <w:pPr>
        <w:pStyle w:val="TOCHeading"/>
      </w:pPr>
      <w:r w:rsidRPr="00ED3753">
        <w:br w:type="page"/>
      </w:r>
      <w:r w:rsidRPr="00ED3753">
        <w:lastRenderedPageBreak/>
        <w:t>INHOUD</w:t>
      </w:r>
    </w:p>
    <w:p w:rsidR="00793EA9" w:rsidRPr="00ED3753" w:rsidRDefault="00F30C80">
      <w:pPr>
        <w:pStyle w:val="TOCPage"/>
      </w:pPr>
      <w:r w:rsidRPr="00ED3753">
        <w:t>Blz.</w:t>
      </w:r>
    </w:p>
    <w:p w:rsidR="00F30C80" w:rsidRDefault="00F30C80">
      <w:pPr>
        <w:pStyle w:val="TOC1"/>
        <w:tabs>
          <w:tab w:val="right" w:leader="dot" w:pos="9060"/>
        </w:tabs>
        <w:rPr>
          <w:rFonts w:asciiTheme="minorHAnsi" w:eastAsiaTheme="minorEastAsia" w:hAnsiTheme="minorHAnsi" w:cstheme="minorBidi"/>
          <w:noProof/>
          <w:sz w:val="22"/>
          <w:szCs w:val="22"/>
          <w:lang w:val="en-GB"/>
        </w:rPr>
      </w:pPr>
      <w:r w:rsidRPr="00ED3753">
        <w:rPr>
          <w:b/>
        </w:rPr>
        <w:fldChar w:fldCharType="begin"/>
      </w:r>
      <w:r w:rsidRPr="00ED3753">
        <w:rPr>
          <w:b/>
        </w:rPr>
        <w:instrText xml:space="preserve"> TOC \t "PageHeading</w:instrText>
      </w:r>
      <w:r>
        <w:rPr>
          <w:b/>
        </w:rPr>
        <w:instrText>;</w:instrText>
      </w:r>
      <w:r w:rsidRPr="00ED3753">
        <w:rPr>
          <w:b/>
        </w:rPr>
        <w:instrText xml:space="preserve">1" </w:instrText>
      </w:r>
      <w:r w:rsidRPr="00ED3753">
        <w:rPr>
          <w:b/>
        </w:rPr>
        <w:fldChar w:fldCharType="separate"/>
      </w:r>
      <w:r>
        <w:rPr>
          <w:noProof/>
        </w:rPr>
        <w:t>ONTWERPWETGEVINGSRESOLUTIE VAN HET EUROPEES PARLEMENT</w:t>
      </w:r>
      <w:r>
        <w:rPr>
          <w:noProof/>
        </w:rPr>
        <w:tab/>
      </w:r>
      <w:r>
        <w:rPr>
          <w:noProof/>
        </w:rPr>
        <w:fldChar w:fldCharType="begin"/>
      </w:r>
      <w:r>
        <w:rPr>
          <w:noProof/>
        </w:rPr>
        <w:instrText xml:space="preserve"> PAGEREF _Toc119402789 \h </w:instrText>
      </w:r>
      <w:r>
        <w:rPr>
          <w:noProof/>
        </w:rPr>
      </w:r>
      <w:r>
        <w:rPr>
          <w:noProof/>
        </w:rPr>
        <w:fldChar w:fldCharType="separate"/>
      </w:r>
      <w:r>
        <w:rPr>
          <w:noProof/>
        </w:rPr>
        <w:t>5</w:t>
      </w:r>
      <w:r>
        <w:rPr>
          <w:noProof/>
        </w:rPr>
        <w:fldChar w:fldCharType="end"/>
      </w:r>
    </w:p>
    <w:p w:rsidR="00F30C80" w:rsidRDefault="00F30C80">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_Toc119402790 \h </w:instrText>
      </w:r>
      <w:r>
        <w:rPr>
          <w:noProof/>
        </w:rPr>
      </w:r>
      <w:r>
        <w:rPr>
          <w:noProof/>
        </w:rPr>
        <w:fldChar w:fldCharType="separate"/>
      </w:r>
      <w:r>
        <w:rPr>
          <w:noProof/>
        </w:rPr>
        <w:t>73</w:t>
      </w:r>
      <w:r>
        <w:rPr>
          <w:noProof/>
        </w:rPr>
        <w:fldChar w:fldCharType="end"/>
      </w:r>
    </w:p>
    <w:p w:rsidR="002346B0" w:rsidRPr="00ED3753" w:rsidRDefault="00F30C80" w:rsidP="00C23324">
      <w:r w:rsidRPr="00ED3753">
        <w:rPr>
          <w:b/>
        </w:rPr>
        <w:fldChar w:fldCharType="end"/>
      </w:r>
    </w:p>
    <w:p w:rsidR="00793EA9" w:rsidRPr="00ED3753" w:rsidRDefault="00F30C80">
      <w:pPr>
        <w:pStyle w:val="PageHeading"/>
      </w:pPr>
      <w:r w:rsidRPr="00ED3753">
        <w:br w:type="page"/>
      </w:r>
      <w:r w:rsidRPr="00ED3753">
        <w:br w:type="page"/>
      </w:r>
      <w:bookmarkStart w:id="1" w:name="_Toc119402789"/>
      <w:r w:rsidRPr="00ED3753">
        <w:t>ONTWERPWETGEVINGSRESOLUTIE VAN HET EUROPEES PARLEMENT</w:t>
      </w:r>
      <w:bookmarkEnd w:id="1"/>
    </w:p>
    <w:p w:rsidR="00793EA9" w:rsidRPr="00ED3753" w:rsidRDefault="00F30C80">
      <w:pPr>
        <w:pStyle w:val="NormalBold"/>
      </w:pPr>
      <w:r w:rsidRPr="00ED3753">
        <w:t xml:space="preserve">over het voorstel voor een verordening van het Europees Parlement en de Raad tot wijziging van Verordening (EU) 2016/399 </w:t>
      </w:r>
      <w:r w:rsidRPr="00ED3753">
        <w:t>betreffende een Uniecode voor de overschrijding van de grenzen door personen</w:t>
      </w:r>
    </w:p>
    <w:p w:rsidR="00793EA9" w:rsidRPr="00ED3753" w:rsidRDefault="00F30C80">
      <w:pPr>
        <w:pStyle w:val="NormalBold12a"/>
      </w:pPr>
      <w:r w:rsidRPr="00ED3753">
        <w:t>(COM(2021)0891 – C9</w:t>
      </w:r>
      <w:r w:rsidRPr="00ED3753">
        <w:noBreakHyphen/>
        <w:t>0473/2021 – 2021/0428(COD))</w:t>
      </w:r>
    </w:p>
    <w:p w:rsidR="00793EA9" w:rsidRPr="00ED3753" w:rsidRDefault="00F30C80" w:rsidP="00A910C9">
      <w:pPr>
        <w:pStyle w:val="NormalBold"/>
      </w:pPr>
      <w:r w:rsidRPr="00ED3753">
        <w:t>(Gewone wetgevingsprocedure: eerste lezing)</w:t>
      </w:r>
    </w:p>
    <w:p w:rsidR="00793EA9" w:rsidRPr="00ED3753" w:rsidRDefault="00F30C80" w:rsidP="00A910C9">
      <w:pPr>
        <w:pStyle w:val="EPComma"/>
      </w:pPr>
      <w:r w:rsidRPr="00ED3753">
        <w:rPr>
          <w:i/>
          <w:iCs/>
        </w:rPr>
        <w:t>Het Europees Parlement</w:t>
      </w:r>
      <w:r w:rsidRPr="00ED3753">
        <w:t>,</w:t>
      </w:r>
    </w:p>
    <w:p w:rsidR="00793EA9" w:rsidRPr="00ED3753" w:rsidRDefault="00F30C80">
      <w:pPr>
        <w:pStyle w:val="NormalHanging12a"/>
      </w:pPr>
      <w:r w:rsidRPr="00ED3753">
        <w:t>–</w:t>
      </w:r>
      <w:r w:rsidRPr="00ED3753">
        <w:tab/>
        <w:t>gezien het voorstel van de Commissie aan het Europees Parleme</w:t>
      </w:r>
      <w:r w:rsidRPr="00ED3753">
        <w:t>nt en de Raad (COM(2021)0891),</w:t>
      </w:r>
    </w:p>
    <w:p w:rsidR="001D5AEE" w:rsidRPr="00ED3753" w:rsidRDefault="00F30C80" w:rsidP="00E81B72">
      <w:pPr>
        <w:pStyle w:val="NormalHanging12a"/>
      </w:pPr>
      <w:r w:rsidRPr="00ED3753">
        <w:t>–</w:t>
      </w:r>
      <w:r w:rsidRPr="00ED3753">
        <w:tab/>
        <w:t>gezien artikel 294, lid 2, artikel 77, lid 2, punten b) en e), en artikel 79, lid 2, punt c), van het Verdrag betreffende de werking van de Europese Unie, op grond waarvan het voorstel door de Commissie bij het Parlement is</w:t>
      </w:r>
      <w:r w:rsidRPr="00ED3753">
        <w:t xml:space="preserve"> ingediend (C9</w:t>
      </w:r>
      <w:r w:rsidRPr="00ED3753">
        <w:noBreakHyphen/>
        <w:t>0473/2021),</w:t>
      </w:r>
    </w:p>
    <w:p w:rsidR="00A26F46" w:rsidRPr="00ED3753" w:rsidRDefault="00F30C80" w:rsidP="00A26F46">
      <w:pPr>
        <w:pStyle w:val="NormalHanging12a"/>
      </w:pPr>
      <w:r w:rsidRPr="00ED3753">
        <w:t>–</w:t>
      </w:r>
      <w:r w:rsidRPr="00ED3753">
        <w:tab/>
        <w:t>gezien artikel 294, lid 3, van het Verdrag betreffende de werking van de Europese Unie,</w:t>
      </w:r>
    </w:p>
    <w:p w:rsidR="00793EA9" w:rsidRPr="00ED3753" w:rsidRDefault="00F30C80">
      <w:pPr>
        <w:pStyle w:val="NormalHanging12a"/>
      </w:pPr>
      <w:r w:rsidRPr="00ED3753">
        <w:t>–</w:t>
      </w:r>
      <w:r w:rsidRPr="00ED3753">
        <w:tab/>
        <w:t>gezien artikel 59 van zijn Reglement,</w:t>
      </w:r>
    </w:p>
    <w:p w:rsidR="006A2F5D" w:rsidRPr="00ED3753" w:rsidRDefault="00F30C80" w:rsidP="006A2F5D">
      <w:pPr>
        <w:pStyle w:val="NormalHanging12a"/>
      </w:pPr>
      <w:r w:rsidRPr="00ED3753">
        <w:t>–</w:t>
      </w:r>
      <w:r w:rsidRPr="00ED3753">
        <w:tab/>
        <w:t>gezien het verslag van de Commissie burgerlijke vrijheden, justitie en binnenlandse zaken (A9</w:t>
      </w:r>
      <w:r w:rsidRPr="00ED3753">
        <w:noBreakHyphen/>
        <w:t>000</w:t>
      </w:r>
      <w:r w:rsidRPr="00ED3753">
        <w:t>0/2022),</w:t>
      </w:r>
    </w:p>
    <w:p w:rsidR="009F6C2F" w:rsidRPr="00ED3753" w:rsidRDefault="00F30C80" w:rsidP="009F6C2F">
      <w:pPr>
        <w:pStyle w:val="NormalHanging12a"/>
      </w:pPr>
      <w:r w:rsidRPr="00ED3753">
        <w:t>1.</w:t>
      </w:r>
      <w:r w:rsidRPr="00ED3753">
        <w:tab/>
        <w:t>stelt onderstaand standpunt in eerste lezing vast;</w:t>
      </w:r>
    </w:p>
    <w:p w:rsidR="009F6C2F" w:rsidRPr="00ED3753" w:rsidRDefault="00F30C80" w:rsidP="009F6C2F">
      <w:pPr>
        <w:pStyle w:val="NormalHanging12a"/>
      </w:pPr>
      <w:r w:rsidRPr="00ED3753">
        <w:t>2.</w:t>
      </w:r>
      <w:r w:rsidRPr="00ED3753">
        <w:tab/>
        <w:t>verzoekt de Commissie om hernieuwde voorlegging aan het Parlement indien zij haar voorstel vervangt, ingrijpend wijzigt of voornemens is het ingrijpend te wijzigen;</w:t>
      </w:r>
    </w:p>
    <w:p w:rsidR="009F6C2F" w:rsidRPr="00ED3753" w:rsidRDefault="00F30C80" w:rsidP="009F6C2F">
      <w:pPr>
        <w:pStyle w:val="NormalHanging12a"/>
      </w:pPr>
      <w:r w:rsidRPr="00ED3753">
        <w:t>3.</w:t>
      </w:r>
      <w:r w:rsidRPr="00ED3753">
        <w:tab/>
        <w:t>verzoekt zijn Voorzitt</w:t>
      </w:r>
      <w:r w:rsidRPr="00ED3753">
        <w:t>er het standpunt van het Parlement te doen toekomen aan de Raad en aan de Commissie alsmede aan de nationale parlementen.</w:t>
      </w:r>
    </w:p>
    <w:p w:rsidR="00120A92" w:rsidRPr="00ED3753" w:rsidRDefault="00F30C80" w:rsidP="00120A92">
      <w:pPr>
        <w:pStyle w:val="AMNumberTabs0"/>
        <w:keepNext/>
      </w:pPr>
      <w:r w:rsidRPr="00ED3753">
        <w:rPr>
          <w:rStyle w:val="HideTWBExt"/>
          <w:b w:val="0"/>
        </w:rPr>
        <w:t>&lt;RepeatBlock-Amend&gt;&lt;Amend&gt;</w:t>
      </w:r>
      <w:r w:rsidRPr="00ED3753">
        <w:t>Amendement</w:t>
      </w:r>
      <w:r w:rsidRPr="00ED3753">
        <w:tab/>
      </w:r>
      <w:r w:rsidRPr="00ED3753">
        <w:tab/>
      </w:r>
      <w:r w:rsidRPr="00ED3753">
        <w:rPr>
          <w:rStyle w:val="HideTWBExt"/>
          <w:b w:val="0"/>
        </w:rPr>
        <w:t>&lt;NumAm&gt;</w:t>
      </w:r>
      <w:r w:rsidRPr="00ED3753">
        <w:t>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Visum 1</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Gezien het Verdrag betreffende de werking van de Europese Unie, en met name artikel 77, lid 2, punten b) en e)</w:t>
            </w:r>
            <w:r w:rsidRPr="00ED3753">
              <w:rPr>
                <w:b/>
                <w:bCs/>
                <w:i/>
                <w:iCs/>
              </w:rPr>
              <w:t>, en artikel 79, lid 2, punt c)</w:t>
            </w:r>
            <w:r w:rsidRPr="00ED3753">
              <w:t>,</w:t>
            </w:r>
          </w:p>
        </w:tc>
        <w:tc>
          <w:tcPr>
            <w:tcW w:w="4876" w:type="dxa"/>
            <w:hideMark/>
          </w:tcPr>
          <w:p w:rsidR="00120A92" w:rsidRPr="00ED3753" w:rsidRDefault="00F30C80">
            <w:pPr>
              <w:pStyle w:val="Normal6"/>
              <w:rPr>
                <w:szCs w:val="24"/>
              </w:rPr>
            </w:pPr>
            <w:r w:rsidRPr="00ED3753">
              <w:t>Gezien het Verdrag betreffende de werking van de Europese Unie,</w:t>
            </w:r>
            <w:r w:rsidRPr="00ED3753">
              <w:t xml:space="preserve"> en met name artikel 77, lid 2, punten b) en e),</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D7B7C" w:rsidRPr="00ED3753" w:rsidRDefault="00F30C80" w:rsidP="001D7B7C">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1D7B7C" w:rsidRPr="00ED3753" w:rsidRDefault="00F30C80" w:rsidP="001D7B7C">
      <w:pPr>
        <w:pStyle w:val="CommentText"/>
        <w:rPr>
          <w:i/>
          <w:sz w:val="24"/>
          <w:szCs w:val="24"/>
        </w:rPr>
      </w:pPr>
      <w:r w:rsidRPr="00ED3753">
        <w:rPr>
          <w:i/>
          <w:sz w:val="24"/>
        </w:rPr>
        <w:t>De aanvullende rechtsgrondslag wordt onnodig geacht, met name in het licht van de schrapping van sommige bepalingen van het Commissievoorste</w:t>
      </w:r>
      <w:r w:rsidRPr="00ED3753">
        <w:rPr>
          <w:i/>
          <w:sz w:val="24"/>
        </w:rPr>
        <w:t>l.</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2</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w:t>
            </w:r>
            <w:r w:rsidRPr="00ED3753">
              <w:tab/>
              <w:t xml:space="preserve">Verordening (EU) 2016/399 van het Europees Parlement en de Raad van </w:t>
            </w:r>
            <w:r w:rsidRPr="00ED3753">
              <w:t>9 maart 2016 (de “Schengengrenscode”)</w:t>
            </w:r>
            <w:r w:rsidRPr="00ED3753">
              <w:rPr>
                <w:vertAlign w:val="superscript"/>
              </w:rPr>
              <w:t>42</w:t>
            </w:r>
            <w:r w:rsidRPr="00ED3753">
              <w:t xml:space="preserve"> bevat voorschriften voor het </w:t>
            </w:r>
            <w:r w:rsidRPr="00ED3753">
              <w:rPr>
                <w:b/>
                <w:bCs/>
                <w:i/>
                <w:iCs/>
              </w:rPr>
              <w:t>verkeer</w:t>
            </w:r>
            <w:r w:rsidRPr="00ED3753">
              <w:t xml:space="preserve"> van personen </w:t>
            </w:r>
            <w:r w:rsidRPr="00ED3753">
              <w:rPr>
                <w:b/>
                <w:bCs/>
                <w:i/>
                <w:iCs/>
              </w:rPr>
              <w:t>naar en vanuit de ruimte zonder binnengrenstoezicht</w:t>
            </w:r>
            <w:r w:rsidRPr="00ED3753">
              <w:t xml:space="preserve"> </w:t>
            </w:r>
            <w:r w:rsidRPr="00ED3753">
              <w:rPr>
                <w:b/>
                <w:bCs/>
                <w:i/>
                <w:iCs/>
              </w:rPr>
              <w:t>(het “Schengengebied”) en tussen</w:t>
            </w:r>
            <w:r w:rsidRPr="00ED3753">
              <w:t xml:space="preserve"> de lidstaten </w:t>
            </w:r>
            <w:r w:rsidRPr="00ED3753">
              <w:rPr>
                <w:b/>
                <w:bCs/>
                <w:i/>
                <w:iCs/>
              </w:rPr>
              <w:t>die deelnemen aan het Schengengebied</w:t>
            </w:r>
            <w:r w:rsidRPr="00ED3753">
              <w:t>.</w:t>
            </w:r>
          </w:p>
        </w:tc>
        <w:tc>
          <w:tcPr>
            <w:tcW w:w="4876" w:type="dxa"/>
            <w:hideMark/>
          </w:tcPr>
          <w:p w:rsidR="00120A92" w:rsidRPr="00ED3753" w:rsidRDefault="00F30C80">
            <w:pPr>
              <w:pStyle w:val="Normal6"/>
              <w:rPr>
                <w:szCs w:val="24"/>
              </w:rPr>
            </w:pPr>
            <w:r w:rsidRPr="00ED3753">
              <w:t>(2)</w:t>
            </w:r>
            <w:r w:rsidRPr="00ED3753">
              <w:tab/>
              <w:t xml:space="preserve">Verordening (EU) 2016/399 </w:t>
            </w:r>
            <w:r w:rsidRPr="00ED3753">
              <w:t>van het Europees Parlement en de Raad van 9 maart 2016 (de “Schengengrenscode”)</w:t>
            </w:r>
            <w:r w:rsidRPr="00ED3753">
              <w:rPr>
                <w:vertAlign w:val="superscript"/>
              </w:rPr>
              <w:t>42</w:t>
            </w:r>
            <w:r w:rsidRPr="00ED3753">
              <w:t xml:space="preserve"> </w:t>
            </w:r>
            <w:r w:rsidRPr="00ED3753">
              <w:rPr>
                <w:b/>
                <w:bCs/>
                <w:i/>
                <w:iCs/>
              </w:rPr>
              <w:t>voorziet in de afwezigheid van grenstoezicht op personen</w:t>
            </w:r>
            <w:r w:rsidRPr="00ED3753">
              <w:t xml:space="preserve"> </w:t>
            </w:r>
            <w:r w:rsidRPr="00ED3753">
              <w:rPr>
                <w:b/>
                <w:bCs/>
                <w:i/>
                <w:iCs/>
              </w:rPr>
              <w:t>die de binnengrenzen van de lidstaten van de Unie overschrijden</w:t>
            </w:r>
            <w:r w:rsidRPr="00ED3753">
              <w:rPr>
                <w:b/>
                <w:bCs/>
              </w:rPr>
              <w:t xml:space="preserve"> </w:t>
            </w:r>
            <w:r w:rsidRPr="00ED3753">
              <w:rPr>
                <w:b/>
                <w:bCs/>
                <w:i/>
                <w:iCs/>
              </w:rPr>
              <w:t xml:space="preserve">en </w:t>
            </w:r>
            <w:r w:rsidRPr="00ED3753">
              <w:t>bevat voorschriften voor</w:t>
            </w:r>
            <w:r w:rsidRPr="00ED3753">
              <w:rPr>
                <w:b/>
                <w:bCs/>
                <w:i/>
                <w:iCs/>
              </w:rPr>
              <w:t xml:space="preserve"> </w:t>
            </w:r>
            <w:r w:rsidRPr="00ED3753">
              <w:t>het</w:t>
            </w:r>
            <w:r w:rsidRPr="00ED3753">
              <w:rPr>
                <w:b/>
                <w:bCs/>
                <w:i/>
                <w:iCs/>
              </w:rPr>
              <w:t xml:space="preserve"> grenstoezicht </w:t>
            </w:r>
            <w:r w:rsidRPr="00ED3753">
              <w:t>van per</w:t>
            </w:r>
            <w:r w:rsidRPr="00ED3753">
              <w:t xml:space="preserve">sonen </w:t>
            </w:r>
            <w:r w:rsidRPr="00ED3753">
              <w:rPr>
                <w:b/>
                <w:bCs/>
                <w:i/>
                <w:iCs/>
              </w:rPr>
              <w:t xml:space="preserve">die de buitengrenzen van </w:t>
            </w:r>
            <w:r w:rsidRPr="00ED3753">
              <w:t>de lidstaten</w:t>
            </w:r>
            <w:r w:rsidRPr="00ED3753">
              <w:rPr>
                <w:b/>
                <w:bCs/>
                <w:i/>
                <w:iCs/>
              </w:rPr>
              <w:t xml:space="preserve"> van de Unie overschrijden</w:t>
            </w:r>
            <w:r w:rsidRPr="00ED3753">
              <w:t>.</w:t>
            </w:r>
          </w:p>
        </w:tc>
      </w:tr>
      <w:tr w:rsidR="00264914" w:rsidRPr="00ED3753" w:rsidTr="00120A92">
        <w:trPr>
          <w:jc w:val="center"/>
        </w:trPr>
        <w:tc>
          <w:tcPr>
            <w:tcW w:w="4876" w:type="dxa"/>
            <w:hideMark/>
          </w:tcPr>
          <w:p w:rsidR="00120A92" w:rsidRPr="00ED3753" w:rsidRDefault="00F30C80">
            <w:pPr>
              <w:pStyle w:val="Normal6"/>
            </w:pPr>
            <w:r w:rsidRPr="00ED3753">
              <w:t>__________________</w:t>
            </w:r>
          </w:p>
        </w:tc>
        <w:tc>
          <w:tcPr>
            <w:tcW w:w="4876" w:type="dxa"/>
            <w:hideMark/>
          </w:tcPr>
          <w:p w:rsidR="00120A92" w:rsidRPr="00ED3753" w:rsidRDefault="00F30C80">
            <w:pPr>
              <w:pStyle w:val="Normal6"/>
              <w:rPr>
                <w:szCs w:val="24"/>
              </w:rPr>
            </w:pPr>
            <w:r w:rsidRPr="00ED3753">
              <w:t>__________________</w:t>
            </w:r>
          </w:p>
        </w:tc>
      </w:tr>
      <w:tr w:rsidR="00264914" w:rsidRPr="00ED3753" w:rsidTr="00120A92">
        <w:trPr>
          <w:jc w:val="center"/>
        </w:trPr>
        <w:tc>
          <w:tcPr>
            <w:tcW w:w="4876" w:type="dxa"/>
            <w:hideMark/>
          </w:tcPr>
          <w:p w:rsidR="00120A92" w:rsidRPr="00ED3753" w:rsidRDefault="00F30C80">
            <w:pPr>
              <w:pStyle w:val="Normal6"/>
            </w:pPr>
            <w:r w:rsidRPr="00ED3753">
              <w:rPr>
                <w:vertAlign w:val="superscript"/>
              </w:rPr>
              <w:t>42</w:t>
            </w:r>
            <w:r w:rsidRPr="00ED3753">
              <w:t xml:space="preserve"> Verordening (EU) 2016/399 van het Europees Parlement en de Raad van 9 maart 2016 betreffende een Uniecode voor de overschrijding van de grenze</w:t>
            </w:r>
            <w:r w:rsidRPr="00ED3753">
              <w:t>n door personen (Schengengrenscode) (PB L 77, 23.3.2016, blz. 1).</w:t>
            </w:r>
          </w:p>
        </w:tc>
        <w:tc>
          <w:tcPr>
            <w:tcW w:w="4876" w:type="dxa"/>
            <w:hideMark/>
          </w:tcPr>
          <w:p w:rsidR="00120A92" w:rsidRPr="00ED3753" w:rsidRDefault="00F30C80">
            <w:pPr>
              <w:pStyle w:val="Normal6"/>
              <w:rPr>
                <w:szCs w:val="24"/>
              </w:rPr>
            </w:pPr>
            <w:r w:rsidRPr="00ED3753">
              <w:rPr>
                <w:vertAlign w:val="superscript"/>
              </w:rPr>
              <w:t>42</w:t>
            </w:r>
            <w:r w:rsidRPr="00ED3753">
              <w:t xml:space="preserve"> Verordening (EU) 2016/399 van het Europees Parlement en de Raad van 9 maart 2016 betreffende een Uniecode voor de overschrijding van de grenzen door personen (Schengengrenscode) (PB L 77,</w:t>
            </w:r>
            <w:r w:rsidRPr="00ED3753">
              <w:t xml:space="preserve"> 23.3.2016, blz. 1).</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397B7C" w:rsidRPr="00ED3753" w:rsidRDefault="00F30C80" w:rsidP="00397B7C">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397B7C" w:rsidRPr="00ED3753" w:rsidRDefault="00F30C80" w:rsidP="00397B7C">
      <w:pPr>
        <w:pStyle w:val="CommentText"/>
        <w:rPr>
          <w:i/>
          <w:sz w:val="24"/>
          <w:szCs w:val="24"/>
        </w:rPr>
      </w:pPr>
      <w:r w:rsidRPr="00ED3753">
        <w:rPr>
          <w:i/>
          <w:sz w:val="24"/>
        </w:rPr>
        <w:t>Overeenkomstig artikel 1 van de Verordening (EU) 2016/399.</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3</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w:t>
            </w:r>
            <w:r w:rsidRPr="00ED3753">
              <w:tab/>
              <w:t xml:space="preserve">In de afgelopen jaren </w:t>
            </w:r>
            <w:r w:rsidRPr="00ED3753">
              <w:rPr>
                <w:b/>
                <w:bCs/>
                <w:i/>
                <w:iCs/>
              </w:rPr>
              <w:t xml:space="preserve">heeft het Schengengebied voor ongekende </w:t>
            </w:r>
            <w:r w:rsidRPr="00ED3753">
              <w:t xml:space="preserve">uitdagingen </w:t>
            </w:r>
            <w:r w:rsidRPr="00ED3753">
              <w:rPr>
                <w:b/>
                <w:bCs/>
                <w:i/>
                <w:iCs/>
              </w:rPr>
              <w:t>gestaan</w:t>
            </w:r>
            <w:r w:rsidRPr="00ED3753">
              <w:t xml:space="preserve">, die zich vanwege hun aard niet beperkten tot het grondgebied van één enkele lidstaat. </w:t>
            </w:r>
            <w:r w:rsidRPr="00ED3753">
              <w:rPr>
                <w:b/>
                <w:bCs/>
                <w:i/>
                <w:iCs/>
              </w:rPr>
              <w:t>Deze uitd</w:t>
            </w:r>
            <w:r w:rsidRPr="00ED3753">
              <w:rPr>
                <w:b/>
                <w:bCs/>
                <w:i/>
                <w:iCs/>
              </w:rPr>
              <w:t>agingen maakten duidelijk dat</w:t>
            </w:r>
            <w:r w:rsidRPr="00ED3753">
              <w:t xml:space="preserve"> de handhaving van de openbare orde en veiligheid in het Schengengebied een gedeelde verantwoordelijkheid </w:t>
            </w:r>
            <w:r w:rsidRPr="00ED3753">
              <w:rPr>
                <w:b/>
                <w:bCs/>
                <w:i/>
                <w:iCs/>
              </w:rPr>
              <w:t>is</w:t>
            </w:r>
            <w:r w:rsidRPr="00ED3753">
              <w:t xml:space="preserve">, die vraagt om gezamenlijke maatregelen en afstemming tussen lidstaten </w:t>
            </w:r>
            <w:r w:rsidRPr="00ED3753">
              <w:rPr>
                <w:b/>
                <w:bCs/>
                <w:i/>
                <w:iCs/>
              </w:rPr>
              <w:t>en op het niveau van de Unie</w:t>
            </w:r>
            <w:r w:rsidRPr="00ED3753">
              <w:t>.</w:t>
            </w:r>
            <w:r w:rsidRPr="00ED3753">
              <w:rPr>
                <w:b/>
                <w:i/>
              </w:rPr>
              <w:t xml:space="preserve"> </w:t>
            </w:r>
            <w:r w:rsidRPr="00ED3753">
              <w:rPr>
                <w:b/>
                <w:bCs/>
                <w:i/>
                <w:iCs/>
              </w:rPr>
              <w:t>Zij</w:t>
            </w:r>
            <w:r w:rsidRPr="00ED3753">
              <w:t xml:space="preserve"> </w:t>
            </w:r>
            <w:r w:rsidRPr="00ED3753">
              <w:rPr>
                <w:b/>
                <w:bCs/>
                <w:i/>
                <w:iCs/>
              </w:rPr>
              <w:t>maakten</w:t>
            </w:r>
            <w:r w:rsidRPr="00ED3753">
              <w:t xml:space="preserve"> </w:t>
            </w:r>
            <w:r w:rsidRPr="00ED3753">
              <w:rPr>
                <w:b/>
                <w:bCs/>
                <w:i/>
                <w:iCs/>
              </w:rPr>
              <w:t>ook l</w:t>
            </w:r>
            <w:r w:rsidRPr="00ED3753">
              <w:rPr>
                <w:b/>
                <w:bCs/>
                <w:i/>
                <w:iCs/>
              </w:rPr>
              <w:t>acunes zichtbaar</w:t>
            </w:r>
            <w:r w:rsidRPr="00ED3753">
              <w:t xml:space="preserve"> </w:t>
            </w:r>
            <w:r w:rsidRPr="00ED3753">
              <w:rPr>
                <w:b/>
                <w:bCs/>
                <w:i/>
                <w:iCs/>
              </w:rPr>
              <w:t>in</w:t>
            </w:r>
            <w:r w:rsidRPr="00ED3753">
              <w:t xml:space="preserve"> de bestaande voorschriften voor de werking van het Schengengebied aan zowel de buiten- als de binnengrenzen, evenals de noodzaak van een </w:t>
            </w:r>
            <w:r w:rsidRPr="00ED3753">
              <w:rPr>
                <w:b/>
                <w:bCs/>
                <w:i/>
                <w:iCs/>
              </w:rPr>
              <w:t>sterker</w:t>
            </w:r>
            <w:r w:rsidRPr="00ED3753">
              <w:t xml:space="preserve"> en degelijker kader om </w:t>
            </w:r>
            <w:r w:rsidRPr="00ED3753">
              <w:rPr>
                <w:b/>
                <w:bCs/>
                <w:i/>
                <w:iCs/>
              </w:rPr>
              <w:t>doeltreffender te</w:t>
            </w:r>
            <w:r w:rsidRPr="00ED3753">
              <w:t xml:space="preserve"> kunnen reageren op uitdagingen </w:t>
            </w:r>
            <w:r w:rsidRPr="00ED3753">
              <w:rPr>
                <w:b/>
                <w:bCs/>
                <w:i/>
                <w:iCs/>
              </w:rPr>
              <w:t>waarvoor het Scheng</w:t>
            </w:r>
            <w:r w:rsidRPr="00ED3753">
              <w:rPr>
                <w:b/>
                <w:bCs/>
                <w:i/>
                <w:iCs/>
              </w:rPr>
              <w:t>engebied zich gesteld ziet</w:t>
            </w:r>
            <w:r w:rsidRPr="00ED3753">
              <w:t>.</w:t>
            </w:r>
          </w:p>
        </w:tc>
        <w:tc>
          <w:tcPr>
            <w:tcW w:w="4876" w:type="dxa"/>
            <w:hideMark/>
          </w:tcPr>
          <w:p w:rsidR="00120A92" w:rsidRPr="00ED3753" w:rsidRDefault="00F30C80" w:rsidP="00AC2CD6">
            <w:pPr>
              <w:pStyle w:val="Normal6"/>
              <w:rPr>
                <w:szCs w:val="24"/>
              </w:rPr>
            </w:pPr>
            <w:r w:rsidRPr="00ED3753">
              <w:t>(3)</w:t>
            </w:r>
            <w:r w:rsidRPr="00ED3753">
              <w:tab/>
              <w:t xml:space="preserve">In de afgelopen jaren </w:t>
            </w:r>
            <w:r w:rsidRPr="00ED3753">
              <w:rPr>
                <w:b/>
                <w:bCs/>
                <w:i/>
                <w:iCs/>
              </w:rPr>
              <w:t>hebben veel lidstaten hun toevlucht genomen tot binnengrenstoezicht om</w:t>
            </w:r>
            <w:r w:rsidRPr="00ED3753">
              <w:t xml:space="preserve"> uitdagingen </w:t>
            </w:r>
            <w:r w:rsidRPr="00ED3753">
              <w:rPr>
                <w:b/>
                <w:bCs/>
                <w:i/>
                <w:iCs/>
              </w:rPr>
              <w:t>aan te pakken</w:t>
            </w:r>
            <w:r w:rsidRPr="00ED3753">
              <w:t xml:space="preserve">, die zich vanwege hun aard niet beperkten tot het grondgebied van een enkele lidstaat. </w:t>
            </w:r>
            <w:r w:rsidRPr="00ED3753">
              <w:rPr>
                <w:b/>
                <w:bCs/>
                <w:i/>
                <w:iCs/>
              </w:rPr>
              <w:t xml:space="preserve">In een ruimte van </w:t>
            </w:r>
            <w:r w:rsidRPr="00ED3753">
              <w:rPr>
                <w:b/>
                <w:bCs/>
                <w:i/>
                <w:iCs/>
              </w:rPr>
              <w:t>vrijheid, veiligheid en recht is</w:t>
            </w:r>
            <w:r w:rsidRPr="00ED3753">
              <w:t xml:space="preserve"> de handhaving van de openbare orde en veiligheid in het Schengengebied een gedeelde verantwoordelijkheid, die vraagt om gezamenlijke maatregelen en afstemming </w:t>
            </w:r>
            <w:r w:rsidRPr="00ED3753">
              <w:rPr>
                <w:b/>
                <w:bCs/>
                <w:i/>
                <w:iCs/>
              </w:rPr>
              <w:t>op het niveau van de Unie en</w:t>
            </w:r>
            <w:r w:rsidRPr="00ED3753">
              <w:t xml:space="preserve"> tussen lidstaten</w:t>
            </w:r>
            <w:r w:rsidRPr="00ED3753">
              <w:rPr>
                <w:b/>
                <w:bCs/>
                <w:i/>
                <w:iCs/>
              </w:rPr>
              <w:t xml:space="preserve">, op basis van het </w:t>
            </w:r>
            <w:r w:rsidRPr="00ED3753">
              <w:rPr>
                <w:b/>
                <w:bCs/>
                <w:i/>
                <w:iCs/>
              </w:rPr>
              <w:t>feit dat deze ruimte van vrijheid, veiligheid en recht vrij blijft van binnengrenstoezicht</w:t>
            </w:r>
            <w:r w:rsidRPr="00ED3753">
              <w:t>.</w:t>
            </w:r>
            <w:r w:rsidRPr="00ED3753">
              <w:rPr>
                <w:b/>
                <w:i/>
              </w:rPr>
              <w:t xml:space="preserve"> </w:t>
            </w:r>
            <w:r w:rsidRPr="00ED3753">
              <w:rPr>
                <w:b/>
                <w:bCs/>
                <w:i/>
                <w:iCs/>
              </w:rPr>
              <w:t>De uitdagingen waarmee de lidstaten worden geconfronteerd, en het feit dat de lidstaten snel hun toevlucht hebben genomen tot binnengrenstoezicht om deze uitdaginge</w:t>
            </w:r>
            <w:r w:rsidRPr="00ED3753">
              <w:rPr>
                <w:b/>
                <w:bCs/>
                <w:i/>
                <w:iCs/>
              </w:rPr>
              <w:t>n aan te pakken,</w:t>
            </w:r>
            <w:r w:rsidRPr="00ED3753">
              <w:rPr>
                <w:b/>
                <w:bCs/>
              </w:rPr>
              <w:t xml:space="preserve"> </w:t>
            </w:r>
            <w:r w:rsidRPr="00ED3753">
              <w:rPr>
                <w:b/>
                <w:bCs/>
                <w:i/>
                <w:iCs/>
              </w:rPr>
              <w:t xml:space="preserve">hebben gewezen op problemen met </w:t>
            </w:r>
            <w:r w:rsidRPr="00ED3753">
              <w:t>de bestaande voorschriften</w:t>
            </w:r>
            <w:r w:rsidRPr="00ED3753">
              <w:rPr>
                <w:b/>
                <w:bCs/>
                <w:i/>
                <w:iCs/>
              </w:rPr>
              <w:t xml:space="preserve"> </w:t>
            </w:r>
            <w:r w:rsidRPr="00ED3753">
              <w:t>voor de werking van het Schengengebied</w:t>
            </w:r>
            <w:r w:rsidRPr="00ED3753">
              <w:rPr>
                <w:b/>
                <w:bCs/>
                <w:i/>
                <w:iCs/>
              </w:rPr>
              <w:t xml:space="preserve"> en de handhaving van die voorschriften, </w:t>
            </w:r>
            <w:r w:rsidRPr="00ED3753">
              <w:t>aan zowel de buiten- als de binnengrenzen,</w:t>
            </w:r>
            <w:r w:rsidRPr="00ED3753">
              <w:rPr>
                <w:b/>
                <w:bCs/>
              </w:rPr>
              <w:t xml:space="preserve"> </w:t>
            </w:r>
            <w:r w:rsidRPr="00ED3753">
              <w:t xml:space="preserve">evenals </w:t>
            </w:r>
            <w:r w:rsidRPr="00ED3753">
              <w:rPr>
                <w:b/>
                <w:bCs/>
                <w:i/>
                <w:iCs/>
              </w:rPr>
              <w:t xml:space="preserve">op </w:t>
            </w:r>
            <w:r w:rsidRPr="00ED3753">
              <w:t xml:space="preserve">de noodzaak van een </w:t>
            </w:r>
            <w:r w:rsidRPr="00ED3753">
              <w:rPr>
                <w:b/>
                <w:bCs/>
                <w:i/>
                <w:iCs/>
              </w:rPr>
              <w:t>duidelijker</w:t>
            </w:r>
            <w:r w:rsidRPr="00ED3753">
              <w:t xml:space="preserve"> en degelijker kader</w:t>
            </w:r>
            <w:r w:rsidRPr="00ED3753">
              <w:rPr>
                <w:b/>
                <w:bCs/>
              </w:rPr>
              <w:t xml:space="preserve"> </w:t>
            </w:r>
            <w:r w:rsidRPr="00ED3753">
              <w:t xml:space="preserve">om </w:t>
            </w:r>
            <w:r w:rsidRPr="00ED3753">
              <w:rPr>
                <w:b/>
                <w:bCs/>
                <w:i/>
                <w:iCs/>
              </w:rPr>
              <w:t xml:space="preserve">ervoor te zorgen dat personen, ongeacht hun nationaliteit, bij het overschrijden van de binnengrenzen niet worden gecontroleerd, terwijl de lidstaten doeltreffend </w:t>
            </w:r>
            <w:r w:rsidRPr="00ED3753">
              <w:t>kunnen reageren</w:t>
            </w:r>
            <w:r w:rsidRPr="00ED3753">
              <w:rPr>
                <w:b/>
                <w:bCs/>
                <w:i/>
                <w:iCs/>
              </w:rPr>
              <w:t xml:space="preserve"> </w:t>
            </w:r>
            <w:r w:rsidRPr="00ED3753">
              <w:t>op</w:t>
            </w:r>
            <w:r w:rsidRPr="00ED3753">
              <w:rPr>
                <w:b/>
                <w:bCs/>
                <w:i/>
                <w:iCs/>
              </w:rPr>
              <w:t xml:space="preserve"> de </w:t>
            </w:r>
            <w:r w:rsidRPr="00ED3753">
              <w:t>uitdagingen</w:t>
            </w:r>
            <w:r w:rsidRPr="00ED3753">
              <w:rPr>
                <w:b/>
                <w:bCs/>
                <w:i/>
                <w:iCs/>
              </w:rPr>
              <w:t xml:space="preserve"> waarmee zij worden geconfronteerd</w:t>
            </w:r>
            <w:r w:rsidRPr="00ED3753">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397B7C" w:rsidRPr="00ED3753" w:rsidRDefault="00F30C80" w:rsidP="00397B7C">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397B7C" w:rsidRPr="00ED3753" w:rsidRDefault="00F30C80" w:rsidP="001C7050">
      <w:pPr>
        <w:pStyle w:val="AmJustText"/>
      </w:pPr>
      <w:r w:rsidRPr="00ED3753">
        <w:t>Het is belangrijk om het toegenomen gebruik van binnengrenstoezicht in kaart te brengen als een politieke reactie op problemen die vaak diepgeworteld zijn en nauwer verbonden zijn met ander</w:t>
      </w:r>
      <w:r w:rsidRPr="00ED3753">
        <w:t>e beleidsterreinen dan Schengen. Het beleid van de Unie op dit gebied is gedefinieerd in het primaire EU-recht en moet in de tekst van het voorstel worden weerspiegeld.</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w:t>
      </w:r>
      <w:r w:rsidRPr="00ED3753">
        <w:rPr>
          <w:rStyle w:val="HideTWBExt"/>
          <w:b w:val="0"/>
        </w:rPr>
        <w:t>ocAmend&gt;</w:t>
      </w:r>
    </w:p>
    <w:p w:rsidR="00120A92" w:rsidRPr="00ED3753" w:rsidRDefault="00F30C80" w:rsidP="00120A92">
      <w:pPr>
        <w:pStyle w:val="NormalBold"/>
      </w:pPr>
      <w:r w:rsidRPr="00ED3753">
        <w:rPr>
          <w:rStyle w:val="HideTWBExt"/>
          <w:b w:val="0"/>
        </w:rPr>
        <w:t>&lt;Article&gt;</w:t>
      </w:r>
      <w:r w:rsidRPr="00ED3753">
        <w:t>Overweging 4</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(4)</w:t>
            </w:r>
            <w:r w:rsidRPr="00ED3753">
              <w:tab/>
              <w:t xml:space="preserve">Grenstoezicht aan de buitengrenzen is in het belang van niet alleen de lidstaat aan de buitengrenzen waarvan het wordt uitgeoefend, maar van </w:t>
            </w:r>
            <w:r w:rsidRPr="00ED3753">
              <w:rPr>
                <w:b/>
                <w:bCs/>
                <w:i/>
                <w:iCs/>
              </w:rPr>
              <w:t>alle</w:t>
            </w:r>
            <w:r w:rsidRPr="00ED3753">
              <w:t xml:space="preserve"> lidstaten die het grenstoezicht aan hun binnengrenzen hebben afgeschaft, </w:t>
            </w:r>
            <w:r w:rsidRPr="00ED3753">
              <w:rPr>
                <w:b/>
                <w:bCs/>
                <w:i/>
                <w:iCs/>
              </w:rPr>
              <w:t>en van de Unie als geheel</w:t>
            </w:r>
            <w:r w:rsidRPr="00ED3753">
              <w:t>. Lidstaten moeten strenge normen hanteren voor het beheer van hun buitengrenzen, onder meer door betere samenwerking tussen grenswachters, politie, douane e</w:t>
            </w:r>
            <w:r w:rsidRPr="00ED3753">
              <w:t>n andere betrokken autoriteiten. De Unie biedt actieve ondersteuning in de vorm van financiële ondersteuning door de agentschappen</w:t>
            </w:r>
            <w:r w:rsidRPr="00ED3753">
              <w:rPr>
                <w:b/>
                <w:bCs/>
                <w:i/>
                <w:iCs/>
              </w:rPr>
              <w:t>, waaronder met name de Europese grens- en kustwacht,</w:t>
            </w:r>
            <w:r w:rsidRPr="00ED3753">
              <w:t xml:space="preserve"> en van het beheer van het Schengenevaluatiemechanisme. De voor de buiten</w:t>
            </w:r>
            <w:r w:rsidRPr="00ED3753">
              <w:t xml:space="preserve">grenzen geldende voorschriften moeten worden </w:t>
            </w:r>
            <w:r w:rsidRPr="00ED3753">
              <w:rPr>
                <w:b/>
                <w:bCs/>
                <w:i/>
                <w:iCs/>
              </w:rPr>
              <w:t>aangescherpt</w:t>
            </w:r>
            <w:r w:rsidRPr="00ED3753">
              <w:t xml:space="preserve"> om nieuwe uitdagingen die recentelijk aan de buitengrenzen zijn ontstaan beter het hoofd te kunnen bieden.</w:t>
            </w:r>
          </w:p>
        </w:tc>
        <w:tc>
          <w:tcPr>
            <w:tcW w:w="4876" w:type="dxa"/>
            <w:hideMark/>
          </w:tcPr>
          <w:p w:rsidR="00120A92" w:rsidRPr="00ED3753" w:rsidRDefault="00F30C80">
            <w:pPr>
              <w:pStyle w:val="Normal6"/>
              <w:rPr>
                <w:szCs w:val="24"/>
              </w:rPr>
            </w:pPr>
            <w:r w:rsidRPr="00ED3753">
              <w:t>(4)</w:t>
            </w:r>
            <w:r w:rsidRPr="00ED3753">
              <w:tab/>
              <w:t xml:space="preserve">Grenstoezicht aan de buitengrenzen is in het belang van niet alleen de lidstaat aan de </w:t>
            </w:r>
            <w:r w:rsidRPr="00ED3753">
              <w:t xml:space="preserve">buitengrenzen waarvan het wordt uitgeoefend, maar </w:t>
            </w:r>
            <w:r w:rsidRPr="00ED3753">
              <w:rPr>
                <w:b/>
                <w:bCs/>
                <w:i/>
                <w:iCs/>
              </w:rPr>
              <w:t>ook van de Unie als geheel en</w:t>
            </w:r>
            <w:r w:rsidRPr="00ED3753">
              <w:t xml:space="preserve"> van </w:t>
            </w:r>
            <w:r w:rsidRPr="00ED3753">
              <w:rPr>
                <w:b/>
                <w:bCs/>
                <w:i/>
                <w:iCs/>
              </w:rPr>
              <w:t>al haar</w:t>
            </w:r>
            <w:r w:rsidRPr="00ED3753">
              <w:t xml:space="preserve"> lidstaten</w:t>
            </w:r>
            <w:r w:rsidRPr="00ED3753">
              <w:rPr>
                <w:b/>
                <w:bCs/>
                <w:i/>
                <w:iCs/>
              </w:rPr>
              <w:t>, met name</w:t>
            </w:r>
            <w:r w:rsidRPr="00ED3753">
              <w:t xml:space="preserve"> die </w:t>
            </w:r>
            <w:r w:rsidRPr="00ED3753">
              <w:rPr>
                <w:b/>
                <w:bCs/>
                <w:i/>
                <w:iCs/>
              </w:rPr>
              <w:t xml:space="preserve">welke </w:t>
            </w:r>
            <w:r w:rsidRPr="00ED3753">
              <w:t>het grenstoezicht aan hun binnengrenzen hebben afgeschaft. Lidstaten moeten strenge normen hanteren voor het beheer van hun buitengren</w:t>
            </w:r>
            <w:r w:rsidRPr="00ED3753">
              <w:t>zen, onder meer door betere samenwerking tussen grenswachters, politie, douane en andere betrokken autoriteiten. De Unie biedt actieve ondersteuning in de vorm van financiële ondersteuning door de agentschappen en van het beheer van het Schengenevaluatieme</w:t>
            </w:r>
            <w:r w:rsidRPr="00ED3753">
              <w:t xml:space="preserve">chanisme. De voor de buitengrenzen geldende voorschriften moeten worden </w:t>
            </w:r>
            <w:r w:rsidRPr="00ED3753">
              <w:rPr>
                <w:b/>
                <w:bCs/>
                <w:i/>
                <w:iCs/>
              </w:rPr>
              <w:t>gewijzigd en geharmoniseerd</w:t>
            </w:r>
            <w:r w:rsidRPr="00ED3753">
              <w:t xml:space="preserve"> om nieuwe uitdagingen die recentelijk aan de buitengrenzen zijn ontstaan beter het hoofd te kunnen bieden.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5</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(5)</w:t>
            </w:r>
            <w:r w:rsidRPr="00ED3753">
              <w:tab/>
            </w:r>
            <w:r w:rsidRPr="00ED3753">
              <w:rPr>
                <w:b/>
                <w:i/>
              </w:rPr>
              <w:t xml:space="preserve">De COVID-19-pandemie heeft het voor de Unie noodzakelijker gemaakt om zich beter voor te </w:t>
            </w:r>
            <w:r w:rsidRPr="00ED3753">
              <w:rPr>
                <w:b/>
                <w:i/>
              </w:rPr>
              <w:t>bereiden op crisissituaties aan de buitengrenzen in verband met potentieel epidemische ziekten die een bedreiging van de volksgezondheid vormen.</w:t>
            </w:r>
            <w:r w:rsidRPr="00ED3753">
              <w:t xml:space="preserve"> Tijdens de COVID-19-pandemie is gebleken dat bij bedreigingen voor de volksgezondheid uniforme regels nodig kun</w:t>
            </w:r>
            <w:r w:rsidRPr="00ED3753">
              <w:t>nen zijn voor het beperken van reizen naar de Europese Unie door onderdanen van derde landen. Onverenigbare en uiteenlopende maatregelen aan de buitengrenzen om dergelijke bedreigingen het hoofd te bieden hebben nadelige gevolgen voor de werking van het ge</w:t>
            </w:r>
            <w:r w:rsidRPr="00ED3753">
              <w:t xml:space="preserve">hele Schengengebied, verminderen de voorspelbaarheid voor reizigers uit derde landen en contacten met mensen in derde landen. Om het Schengengebied voor te bereiden op toekomstige uitdagingen van </w:t>
            </w:r>
            <w:r w:rsidRPr="00ED3753">
              <w:rPr>
                <w:b/>
                <w:bCs/>
                <w:i/>
                <w:iCs/>
              </w:rPr>
              <w:t>vergelijkbare</w:t>
            </w:r>
            <w:r w:rsidRPr="00ED3753">
              <w:t xml:space="preserve"> omvang </w:t>
            </w:r>
            <w:r w:rsidRPr="00ED3753">
              <w:rPr>
                <w:b/>
                <w:bCs/>
                <w:i/>
                <w:iCs/>
              </w:rPr>
              <w:t xml:space="preserve">door bedreigingen voor de </w:t>
            </w:r>
            <w:r w:rsidRPr="00ED3753">
              <w:rPr>
                <w:b/>
                <w:bCs/>
                <w:i/>
                <w:iCs/>
              </w:rPr>
              <w:t>volksgezondheid</w:t>
            </w:r>
            <w:r w:rsidRPr="00ED3753">
              <w:t>,</w:t>
            </w:r>
            <w:r w:rsidRPr="00ED3753">
              <w:rPr>
                <w:b/>
                <w:bCs/>
                <w:i/>
                <w:iCs/>
              </w:rPr>
              <w:t xml:space="preserve"> </w:t>
            </w:r>
            <w:r w:rsidRPr="00ED3753">
              <w:t xml:space="preserve">moet </w:t>
            </w:r>
            <w:r w:rsidRPr="00ED3753">
              <w:rPr>
                <w:b/>
                <w:bCs/>
                <w:i/>
                <w:iCs/>
              </w:rPr>
              <w:t>worden voorzien in</w:t>
            </w:r>
            <w:r w:rsidRPr="00ED3753">
              <w:t xml:space="preserve"> een nieuw mechanisme </w:t>
            </w:r>
            <w:r w:rsidRPr="00ED3753">
              <w:rPr>
                <w:b/>
                <w:bCs/>
                <w:i/>
                <w:iCs/>
              </w:rPr>
              <w:t>om</w:t>
            </w:r>
            <w:r w:rsidRPr="00ED3753">
              <w:t xml:space="preserve"> tijdig gecoördineerde maatregelen op Unieniveau te kunnen instellen en opheffen. De nieuwe procedure voor de buitengrenzen moet worden toegepast wanneer het Europees Centrum voor ziektepreven</w:t>
            </w:r>
            <w:r w:rsidRPr="00ED3753">
              <w:t xml:space="preserve">tie en -bestrijding </w:t>
            </w:r>
            <w:r w:rsidRPr="00ED3753">
              <w:rPr>
                <w:b/>
                <w:bCs/>
                <w:i/>
                <w:iCs/>
              </w:rPr>
              <w:t>of de Commissie</w:t>
            </w:r>
            <w:r w:rsidRPr="00ED3753">
              <w:t xml:space="preserve"> een potentieel epidemische infectieziekte </w:t>
            </w:r>
            <w:r w:rsidRPr="00ED3753">
              <w:rPr>
                <w:b/>
                <w:bCs/>
                <w:i/>
                <w:iCs/>
              </w:rPr>
              <w:t>constateert</w:t>
            </w:r>
            <w:r w:rsidRPr="00ED3753">
              <w:t>. Dit mechanisme moet een aanvulling vormen op de procedures die moeten worden vastgesteld in het voorstel voor een verordening van het Europees Parlement en de Raad i</w:t>
            </w:r>
            <w:r w:rsidRPr="00ED3753">
              <w:t>nzake ernstige grensoverschrijdende bedreigingen van de gezondheid</w:t>
            </w:r>
            <w:r w:rsidRPr="00ED3753">
              <w:rPr>
                <w:vertAlign w:val="superscript"/>
              </w:rPr>
              <w:t xml:space="preserve"> 43</w:t>
            </w:r>
            <w:r w:rsidRPr="00ED3753">
              <w:t>,, met name bij het uitroepen van een noodsituatie op het gebied van de volksgezondheid, en in het herziene mandaat van het Europees Centrum voor ziektepreventie en -bestrijding</w:t>
            </w:r>
            <w:r w:rsidRPr="00ED3753">
              <w:rPr>
                <w:vertAlign w:val="superscript"/>
              </w:rPr>
              <w:t>44</w:t>
            </w:r>
            <w:r w:rsidRPr="00ED3753">
              <w:t>.</w:t>
            </w:r>
          </w:p>
        </w:tc>
        <w:tc>
          <w:tcPr>
            <w:tcW w:w="4876" w:type="dxa"/>
            <w:hideMark/>
          </w:tcPr>
          <w:p w:rsidR="00120A92" w:rsidRPr="00ED3753" w:rsidRDefault="00F30C80">
            <w:pPr>
              <w:pStyle w:val="Normal6"/>
              <w:rPr>
                <w:szCs w:val="24"/>
              </w:rPr>
            </w:pPr>
            <w:r w:rsidRPr="00ED3753">
              <w:t>(5)</w:t>
            </w:r>
            <w:r w:rsidRPr="00ED3753">
              <w:tab/>
              <w:t>Ti</w:t>
            </w:r>
            <w:r w:rsidRPr="00ED3753">
              <w:t>jdens de COVID-19-pandemie is gebleken dat bij bedreigingen voor de volksgezondheid uniforme regels nodig kunnen zijn voor het beperken van reizen naar de Europese Unie door onderdanen van derde landen. Onverenigbare en uiteenlopende maatregelen aan de bui</w:t>
            </w:r>
            <w:r w:rsidRPr="00ED3753">
              <w:t>tengrenzen om dergelijke bedreigingen het hoofd te bieden hebben nadelige gevolgen voor de werking van het gehele Schengengebied, verminderen de voorspelbaarheid voor reizigers uit derde landen en contacten met mensen in derde landen. Om het Schengengebied</w:t>
            </w:r>
            <w:r w:rsidRPr="00ED3753">
              <w:t xml:space="preserve"> voor te bereiden op toekomstige uitdagingen van </w:t>
            </w:r>
            <w:r w:rsidRPr="00ED3753">
              <w:rPr>
                <w:b/>
                <w:bCs/>
                <w:i/>
                <w:iCs/>
              </w:rPr>
              <w:t xml:space="preserve">een </w:t>
            </w:r>
            <w:r w:rsidRPr="00ED3753">
              <w:t xml:space="preserve">omvang </w:t>
            </w:r>
            <w:r w:rsidRPr="00ED3753">
              <w:rPr>
                <w:b/>
                <w:bCs/>
                <w:i/>
                <w:iCs/>
              </w:rPr>
              <w:t>die vergelijkbaar is met de COVID-19-pandemie</w:t>
            </w:r>
            <w:r w:rsidRPr="00ED3753">
              <w:t xml:space="preserve">, moet een nieuw mechanisme </w:t>
            </w:r>
            <w:r w:rsidRPr="00ED3753">
              <w:rPr>
                <w:b/>
                <w:bCs/>
                <w:i/>
                <w:iCs/>
              </w:rPr>
              <w:t>worden ingesteld dat het mogelijk maakt</w:t>
            </w:r>
            <w:r w:rsidRPr="00ED3753">
              <w:t xml:space="preserve"> tijdig gecoördineerde maatregelen op Unieniveau te kunnen instellen en opheffen. De</w:t>
            </w:r>
            <w:r w:rsidRPr="00ED3753">
              <w:t xml:space="preserve"> nieuwe procedure voor de buitengrenzen moet worden toegepast wanneer het Europees Centrum voor ziektepreventie en -bestrijding een potentieel epidemische infectieziekte</w:t>
            </w:r>
            <w:r w:rsidRPr="00ED3753">
              <w:rPr>
                <w:b/>
                <w:bCs/>
                <w:i/>
                <w:iCs/>
              </w:rPr>
              <w:t xml:space="preserve"> heeft vastgesteld.</w:t>
            </w:r>
            <w:r w:rsidRPr="00ED3753">
              <w:t xml:space="preserve"> Dit mechanisme moet een aanvulling vormen op de procedures die moet</w:t>
            </w:r>
            <w:r w:rsidRPr="00ED3753">
              <w:t>en worden vastgesteld in het voorstel voor een verordening van het Europees Parlement en de Raad inzake ernstige grensoverschrijdende bedreigingen van de gezondheid</w:t>
            </w:r>
            <w:r w:rsidRPr="00ED3753">
              <w:rPr>
                <w:vertAlign w:val="superscript"/>
              </w:rPr>
              <w:t>43</w:t>
            </w:r>
            <w:r w:rsidRPr="00ED3753">
              <w:t>, met name bij het uitroepen van een noodsituatie op het gebied van de volksgezondheid, en</w:t>
            </w:r>
            <w:r w:rsidRPr="00ED3753">
              <w:t xml:space="preserve"> in het herziene mandaat van het Europees Centrum voor ziektepreventie en -bestrijding</w:t>
            </w:r>
            <w:r w:rsidRPr="00ED3753">
              <w:rPr>
                <w:vertAlign w:val="superscript"/>
              </w:rPr>
              <w:t>44</w:t>
            </w:r>
            <w:r w:rsidRPr="00ED3753">
              <w:t>.</w:t>
            </w:r>
          </w:p>
        </w:tc>
      </w:tr>
      <w:tr w:rsidR="00264914" w:rsidRPr="00ED3753" w:rsidTr="00120A92">
        <w:trPr>
          <w:jc w:val="center"/>
        </w:trPr>
        <w:tc>
          <w:tcPr>
            <w:tcW w:w="4876" w:type="dxa"/>
            <w:hideMark/>
          </w:tcPr>
          <w:p w:rsidR="00120A92" w:rsidRPr="00ED3753" w:rsidRDefault="00F30C80">
            <w:pPr>
              <w:pStyle w:val="Normal6"/>
            </w:pPr>
            <w:r w:rsidRPr="00ED3753">
              <w:t>__________________</w:t>
            </w:r>
          </w:p>
        </w:tc>
        <w:tc>
          <w:tcPr>
            <w:tcW w:w="4876" w:type="dxa"/>
            <w:hideMark/>
          </w:tcPr>
          <w:p w:rsidR="00120A92" w:rsidRPr="00ED3753" w:rsidRDefault="00F30C80">
            <w:pPr>
              <w:pStyle w:val="Normal6"/>
              <w:rPr>
                <w:szCs w:val="24"/>
              </w:rPr>
            </w:pPr>
            <w:r w:rsidRPr="00ED3753">
              <w:t>__________________</w:t>
            </w:r>
          </w:p>
        </w:tc>
      </w:tr>
      <w:tr w:rsidR="00264914" w:rsidRPr="00ED3753" w:rsidTr="00120A92">
        <w:trPr>
          <w:jc w:val="center"/>
        </w:trPr>
        <w:tc>
          <w:tcPr>
            <w:tcW w:w="4876" w:type="dxa"/>
            <w:hideMark/>
          </w:tcPr>
          <w:p w:rsidR="00120A92" w:rsidRPr="00ED3753" w:rsidRDefault="00F30C80">
            <w:pPr>
              <w:pStyle w:val="Normal6"/>
            </w:pPr>
            <w:r w:rsidRPr="00ED3753">
              <w:rPr>
                <w:vertAlign w:val="superscript"/>
              </w:rPr>
              <w:t>43</w:t>
            </w:r>
            <w:r w:rsidRPr="00ED3753">
              <w:t xml:space="preserve"> COM(2020) 727.</w:t>
            </w:r>
          </w:p>
        </w:tc>
        <w:tc>
          <w:tcPr>
            <w:tcW w:w="4876" w:type="dxa"/>
            <w:hideMark/>
          </w:tcPr>
          <w:p w:rsidR="00120A92" w:rsidRPr="00ED3753" w:rsidRDefault="00F30C80">
            <w:pPr>
              <w:pStyle w:val="Normal6"/>
              <w:rPr>
                <w:szCs w:val="24"/>
              </w:rPr>
            </w:pPr>
            <w:r w:rsidRPr="00ED3753">
              <w:rPr>
                <w:vertAlign w:val="superscript"/>
              </w:rPr>
              <w:t>43</w:t>
            </w:r>
            <w:r w:rsidRPr="00ED3753">
              <w:t xml:space="preserve"> COM(2020) 727.</w:t>
            </w:r>
          </w:p>
        </w:tc>
      </w:tr>
      <w:tr w:rsidR="00264914" w:rsidRPr="00ED3753" w:rsidTr="00120A92">
        <w:trPr>
          <w:jc w:val="center"/>
        </w:trPr>
        <w:tc>
          <w:tcPr>
            <w:tcW w:w="4876" w:type="dxa"/>
            <w:hideMark/>
          </w:tcPr>
          <w:p w:rsidR="00120A92" w:rsidRPr="00ED3753" w:rsidRDefault="00F30C80">
            <w:pPr>
              <w:pStyle w:val="Normal6"/>
            </w:pPr>
            <w:r w:rsidRPr="00ED3753">
              <w:rPr>
                <w:vertAlign w:val="superscript"/>
              </w:rPr>
              <w:t>44</w:t>
            </w:r>
            <w:r w:rsidRPr="00ED3753">
              <w:t xml:space="preserve"> Voorstel voor een verordening van het Europees Parlement en de Raad tot wijziging van </w:t>
            </w:r>
            <w:r w:rsidRPr="00ED3753">
              <w:t>Verordening (EG) nr. 851/2004 tot oprichting van een Europees Centrum voor ziektepreventie en -bestrijding, COM(2020) 726.</w:t>
            </w:r>
          </w:p>
        </w:tc>
        <w:tc>
          <w:tcPr>
            <w:tcW w:w="4876" w:type="dxa"/>
            <w:hideMark/>
          </w:tcPr>
          <w:p w:rsidR="00120A92" w:rsidRPr="00ED3753" w:rsidRDefault="00F30C80">
            <w:pPr>
              <w:pStyle w:val="Normal6"/>
              <w:rPr>
                <w:szCs w:val="24"/>
              </w:rPr>
            </w:pPr>
            <w:r w:rsidRPr="00ED3753">
              <w:rPr>
                <w:vertAlign w:val="superscript"/>
              </w:rPr>
              <w:t>44</w:t>
            </w:r>
            <w:r w:rsidRPr="00ED3753">
              <w:t xml:space="preserve"> Voorstel voor een verordening van het Europees Parlement en de Raad tot wijziging van Verordening (EG) nr. 851/2004 tot oprichting</w:t>
            </w:r>
            <w:r w:rsidRPr="00ED3753">
              <w:t xml:space="preserve"> van een Europees Centrum voor ziektepreventie en -bestrijding, COM(2020) 726.</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A93FBD" w:rsidRPr="00ED3753" w:rsidRDefault="00F30C80" w:rsidP="00A93FBD">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A93FBD" w:rsidRPr="00ED3753" w:rsidRDefault="00F30C80" w:rsidP="001C7050">
      <w:pPr>
        <w:pStyle w:val="AmJustText"/>
      </w:pPr>
      <w:r w:rsidRPr="00ED3753">
        <w:t>Het is niet duidelijk waarom de Commissie het recht moet hebben om potentieel epidemische infectieziekten vast</w:t>
      </w:r>
      <w:r w:rsidRPr="00ED3753">
        <w:t xml:space="preserve"> te stellen. Dit is duidelijk een taak voor het Europees Centrum voor ziektepreventie en -bestrijding.</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6</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w:t>
            </w:r>
            <w:r w:rsidRPr="00ED3753">
              <w:t>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(6)</w:t>
            </w:r>
            <w:r w:rsidRPr="00ED3753">
              <w:tab/>
            </w:r>
            <w:r w:rsidRPr="00ED3753">
              <w:t>Volgens dit mechanisme stelt de Raad op voorstel van de Commissie een verordening vast die voorziet in reisbeperkingen, waaronder inreisbeperkingen en alle overige noodzakelijke maatregelen voor reizen naar de Europese Unie, en in de voorwaarden voor ophef</w:t>
            </w:r>
            <w:r w:rsidRPr="00ED3753">
              <w:t xml:space="preserve">fing </w:t>
            </w:r>
            <w:r w:rsidRPr="00ED3753">
              <w:rPr>
                <w:b/>
                <w:bCs/>
                <w:i/>
                <w:iCs/>
              </w:rPr>
              <w:t>ervan</w:t>
            </w:r>
            <w:r w:rsidRPr="00ED3753">
              <w:t xml:space="preserve">. Gezien de politiek gevoelige aard van dergelijke maatregelen, die raken aan het recht om het grondgebied van lidstaten binnen te komen, moeten aan de Raad uitvoeringsbevoegdheden worden verleend om een dergelijke verordening op voorstel van de </w:t>
            </w:r>
            <w:r w:rsidRPr="00ED3753">
              <w:t>Commissie vast te stellen.</w:t>
            </w:r>
          </w:p>
        </w:tc>
        <w:tc>
          <w:tcPr>
            <w:tcW w:w="4876" w:type="dxa"/>
            <w:hideMark/>
          </w:tcPr>
          <w:p w:rsidR="00120A92" w:rsidRPr="00ED3753" w:rsidRDefault="00F30C80">
            <w:pPr>
              <w:pStyle w:val="Normal6"/>
              <w:rPr>
                <w:szCs w:val="24"/>
              </w:rPr>
            </w:pPr>
            <w:r w:rsidRPr="00ED3753">
              <w:t>(6)</w:t>
            </w:r>
            <w:r w:rsidRPr="00ED3753">
              <w:tab/>
              <w:t xml:space="preserve">Volgens dit mechanisme </w:t>
            </w:r>
            <w:r w:rsidRPr="00ED3753">
              <w:rPr>
                <w:b/>
                <w:bCs/>
                <w:i/>
                <w:iCs/>
              </w:rPr>
              <w:t>op Unieniveau</w:t>
            </w:r>
            <w:r w:rsidRPr="00ED3753">
              <w:t xml:space="preserve"> stelt de Raad op voorstel van de Commissie </w:t>
            </w:r>
            <w:r w:rsidRPr="00ED3753">
              <w:rPr>
                <w:b/>
                <w:bCs/>
                <w:i/>
                <w:iCs/>
              </w:rPr>
              <w:t>en na raadpleging van het Europees Parlement</w:t>
            </w:r>
            <w:r w:rsidRPr="00ED3753">
              <w:t xml:space="preserve"> een verordening vast die voorziet in reisbeperkingen, waaronder inreisbeperkingen en alle overige no</w:t>
            </w:r>
            <w:r w:rsidRPr="00ED3753">
              <w:t xml:space="preserve">odzakelijke maatregelen voor reizen naar de Europese Unie, en in de voorwaarden voor opheffing </w:t>
            </w:r>
            <w:r w:rsidRPr="00ED3753">
              <w:rPr>
                <w:b/>
                <w:bCs/>
                <w:i/>
                <w:iCs/>
              </w:rPr>
              <w:t>van die beperkingen en andere maatregelen</w:t>
            </w:r>
            <w:r w:rsidRPr="00ED3753">
              <w:t>. Gezien de politiek gevoelige aard van dergelijke maatregelen, die raken aan het recht om het grondgebied van lidstaten</w:t>
            </w:r>
            <w:r w:rsidRPr="00ED3753">
              <w:t xml:space="preserve"> binnen te komen, moeten aan de Raad uitvoeringsbevoegdheden worden verleend om op voorstel van de Commissie </w:t>
            </w:r>
            <w:r w:rsidRPr="00ED3753">
              <w:rPr>
                <w:b/>
                <w:bCs/>
                <w:i/>
                <w:iCs/>
              </w:rPr>
              <w:t>en na raadpleging van het Europees Parlement</w:t>
            </w:r>
            <w:r w:rsidRPr="00ED3753">
              <w:t xml:space="preserve"> een dergelijke verordening vast te stellen.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7D4112" w:rsidRPr="00ED3753" w:rsidRDefault="00F30C80" w:rsidP="001C7050">
      <w:pPr>
        <w:pStyle w:val="AmJustTitle"/>
      </w:pPr>
      <w:r w:rsidRPr="00ED3753">
        <w:rPr>
          <w:rStyle w:val="HideTWBExt"/>
        </w:rPr>
        <w:t>&lt;TitreJust&gt;</w:t>
      </w:r>
      <w:r w:rsidRPr="00ED3753">
        <w:t>Motivering</w:t>
      </w:r>
      <w:r w:rsidRPr="00ED3753">
        <w:rPr>
          <w:rStyle w:val="HideTWBExt"/>
        </w:rPr>
        <w:t>&lt;/Ti</w:t>
      </w:r>
      <w:r w:rsidRPr="00ED3753">
        <w:rPr>
          <w:rStyle w:val="HideTWBExt"/>
        </w:rPr>
        <w:t>treJust&gt;</w:t>
      </w:r>
    </w:p>
    <w:p w:rsidR="007D4112" w:rsidRPr="00ED3753" w:rsidRDefault="00F30C80" w:rsidP="001C7050">
      <w:pPr>
        <w:pStyle w:val="AmJustText"/>
      </w:pPr>
      <w:r w:rsidRPr="00ED3753">
        <w:t>Het Parlement moet een rol spelen bij de vaststelling van dergelijke verordeningen betreffende de toegang tot het Schengengebied.</w:t>
      </w:r>
    </w:p>
    <w:p w:rsidR="00120A92" w:rsidRPr="00ED3753" w:rsidRDefault="00F30C80" w:rsidP="003013F0">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7</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(7)</w:t>
            </w:r>
            <w:r w:rsidRPr="00ED3753">
              <w:tab/>
              <w:t>Het is van belang dat, overeenkomstig de toepasselijke verplichtingen uit hoofde van het recht van de Unie en het internationale recht, burgers van de Unie en onderdanen van derde landen die</w:t>
            </w:r>
            <w:r w:rsidRPr="00ED3753">
              <w:t xml:space="preserve"> op grond van overeenkomsten tussen de Unie en de lidstaten enerzijds en die derde landen anderzijds rechten inzake vrij verkeer genieten die gelijkwaardig zijn aan die van burgers van de Unie alsook hun respectieve gezinsleden, altijd moet worden toegesta</w:t>
            </w:r>
            <w:r w:rsidRPr="00ED3753">
              <w:t>an in te reizen in de Unie. Ook moet het inwoners van de Unie altijd worden toegestaan naar de Unie terug te keren. In de handeling moeten alle noodzakelijke bepalingen worden opgenomen om te waarborgen dat reisbeperkingen doeltreffend, gericht, niet-discr</w:t>
            </w:r>
            <w:r w:rsidRPr="00ED3753">
              <w:t>iminerend en evenredig zijn met de actuele epidemiologische situatie. Waar relevant moeten categorieën van reizigers worden omschreven wier reizen niet onder inreisbeperkingen vallen. Daarnaast, of anders, moeten in de handeling geografische gebieden of de</w:t>
            </w:r>
            <w:r w:rsidRPr="00ED3753">
              <w:t xml:space="preserve">rde landen worden omschreven van waaruit reizen aan bijzondere maatregelen kunnen worden onderworpen, op basis van een objectieve methodiek en daarop toepasselijke criteria, </w:t>
            </w:r>
            <w:r w:rsidRPr="00ED3753">
              <w:rPr>
                <w:b/>
                <w:bCs/>
                <w:i/>
                <w:iCs/>
              </w:rPr>
              <w:t>waaronder met name</w:t>
            </w:r>
            <w:r w:rsidRPr="00ED3753">
              <w:t xml:space="preserve"> de epidemiologische situatie </w:t>
            </w:r>
            <w:r w:rsidRPr="00ED3753">
              <w:rPr>
                <w:b/>
                <w:bCs/>
                <w:i/>
                <w:iCs/>
              </w:rPr>
              <w:t>moet worden verstaan</w:t>
            </w:r>
            <w:r w:rsidRPr="00ED3753">
              <w:t>. In de handel</w:t>
            </w:r>
            <w:r w:rsidRPr="00ED3753">
              <w:t>ing kunnen de voorwaarden worden omschreven waaronder reizen kan worden toegestaan, zoals testen, quarantaine, zelfisolatie of andere passende maatregelen, waaronder de verplichting om een traceringsformulier voor passagiers in te vullen of een ander conta</w:t>
            </w:r>
            <w:r w:rsidRPr="00ED3753">
              <w:t xml:space="preserve">cttraceringsmiddel te gebruiken, en moeten met name systemen van de Unie in aanmerking worden genomen die zijn ontwikkeld om veilig reizen te vergemakkelijken, waaronder systemen voor digitale certificaten. </w:t>
            </w:r>
            <w:r w:rsidRPr="00ED3753">
              <w:rPr>
                <w:b/>
                <w:i/>
              </w:rPr>
              <w:t>In voorkomend geval kan het instrument ook voorzi</w:t>
            </w:r>
            <w:r w:rsidRPr="00ED3753">
              <w:rPr>
                <w:b/>
                <w:i/>
              </w:rPr>
              <w:t>en in een mechanisme om aanvullende maatregelen te kunnen nemen wanneer de epidemiologische situatie in een of meer geografische gebieden drastisch verslechtert.</w:t>
            </w:r>
          </w:p>
        </w:tc>
        <w:tc>
          <w:tcPr>
            <w:tcW w:w="4876" w:type="dxa"/>
            <w:hideMark/>
          </w:tcPr>
          <w:p w:rsidR="00120A92" w:rsidRPr="00ED3753" w:rsidRDefault="00F30C80" w:rsidP="00E73D80">
            <w:pPr>
              <w:pStyle w:val="Normal6"/>
              <w:rPr>
                <w:szCs w:val="24"/>
              </w:rPr>
            </w:pPr>
            <w:r w:rsidRPr="00ED3753">
              <w:t>(7)</w:t>
            </w:r>
            <w:r w:rsidRPr="00ED3753">
              <w:tab/>
              <w:t>Het is van belang dat, overeenkomstig de toepasselijke verplichtingen uit hoofde van het r</w:t>
            </w:r>
            <w:r w:rsidRPr="00ED3753">
              <w:t xml:space="preserve">echt van de Unie en het internationale recht, burgers van de Unie en onderdanen van derde landen die op grond van overeenkomsten tussen de Unie en de lidstaten enerzijds en die derde landen anderzijds rechten inzake vrij verkeer genieten die gelijkwaardig </w:t>
            </w:r>
            <w:r w:rsidRPr="00ED3753">
              <w:t>zijn aan die van burgers van de Unie alsook hun respectieve gezinsleden, altijd moet worden toegestaan in te reizen in de Unie.</w:t>
            </w:r>
            <w:r w:rsidRPr="00ED3753">
              <w:rPr>
                <w:b/>
                <w:i/>
              </w:rPr>
              <w:t xml:space="preserve"> </w:t>
            </w:r>
            <w:r w:rsidRPr="00ED3753">
              <w:rPr>
                <w:b/>
                <w:bCs/>
                <w:i/>
                <w:iCs/>
              </w:rPr>
              <w:t>Evenzo is het personen die asiel aanvragen, overeenkomstig het Unierecht en het internationale recht, niet verboden de Unie binn</w:t>
            </w:r>
            <w:r w:rsidRPr="00ED3753">
              <w:rPr>
                <w:b/>
                <w:bCs/>
                <w:i/>
                <w:iCs/>
              </w:rPr>
              <w:t>en te komen.</w:t>
            </w:r>
            <w:r w:rsidRPr="00ED3753">
              <w:t xml:space="preserve"> Ook moet het inwoners van de Unie altijd worden toegestaan naar de Unie terug te keren. In de handeling moeten alle noodzakelijke bepalingen worden opgenomen om te waarborgen dat reisbeperkingen doeltreffend, gericht, niet-discriminerend en ev</w:t>
            </w:r>
            <w:r w:rsidRPr="00ED3753">
              <w:t>enredig zijn met de actuele epidemiologische situatie. Waar relevant moeten categorieën van reizigers worden omschreven wier reizen niet onder inreisbeperkingen vallen. Daarnaast, of anders, moeten in de handeling geografische gebieden of derde landen word</w:t>
            </w:r>
            <w:r w:rsidRPr="00ED3753">
              <w:t xml:space="preserve">en omschreven van waaruit reizen aan bijzondere maatregelen kunnen worden onderworpen, op basis van een objectieve methodiek en daarop toepasselijke criteria, </w:t>
            </w:r>
            <w:r w:rsidRPr="00ED3753">
              <w:rPr>
                <w:b/>
                <w:bCs/>
                <w:i/>
                <w:iCs/>
              </w:rPr>
              <w:t>die uit</w:t>
            </w:r>
            <w:r w:rsidRPr="00ED3753">
              <w:t xml:space="preserve"> de epidemiologische situatie </w:t>
            </w:r>
            <w:r w:rsidRPr="00ED3753">
              <w:rPr>
                <w:b/>
                <w:bCs/>
                <w:i/>
                <w:iCs/>
              </w:rPr>
              <w:t>moeten voortvloeien</w:t>
            </w:r>
            <w:r w:rsidRPr="00ED3753">
              <w:t>. In de handeling kunnen de voorwaarden w</w:t>
            </w:r>
            <w:r w:rsidRPr="00ED3753">
              <w:t>orden omschreven waaronder reizen kan worden toegestaan, zoals testen, quarantaine, zelfisolatie of andere passende maatregelen, waaronder de verplichting om een traceringsformulier voor passagiers in te vullen of een ander contacttraceringsmiddel te gebru</w:t>
            </w:r>
            <w:r w:rsidRPr="00ED3753">
              <w:t>iken, en moeten met name systemen van de Unie in aanmerking worden genomen die zijn ontwikkeld om veilig reizen te vergemakkelijken, waaronder systemen voor digitale certificaten.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A24203" w:rsidRPr="00ED3753" w:rsidRDefault="00F30C80" w:rsidP="00A24203">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A24203" w:rsidRPr="00ED3753" w:rsidRDefault="00F30C80" w:rsidP="001C7050">
      <w:pPr>
        <w:pStyle w:val="AmJustText"/>
        <w:rPr>
          <w:rFonts w:eastAsiaTheme="minorHAnsi"/>
        </w:rPr>
      </w:pPr>
      <w:r w:rsidRPr="00ED3753">
        <w:t xml:space="preserve">De </w:t>
      </w:r>
      <w:r w:rsidRPr="00ED3753">
        <w:t>epidemiologische situatie moet de basis vormen voor criteria die van toepassing zijn op het beperken van reizen en het invoeren van beperkende maatregelen in dat verband. De verordening van de Raad zou moeten worden herzien indien de epidemiologische situa</w:t>
      </w:r>
      <w:r w:rsidRPr="00ED3753">
        <w:t>tie zodanig verslechtert dat maatregelen nodig zijn waarin de oorspronkelijke verordening niet voorziet. Verwacht wordt dat de oorspronkelijke verordening voldoende ruimte biedt voor maatregelen die evenredig zijn aan de bedreiging voor de volksgezondheid.</w:t>
      </w:r>
    </w:p>
    <w:p w:rsidR="00120A92" w:rsidRPr="00ED3753" w:rsidRDefault="00F30C80" w:rsidP="003013F0">
      <w:pPr>
        <w:spacing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8</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(8)</w:t>
            </w:r>
            <w:r w:rsidRPr="00ED3753">
              <w:rPr>
                <w:b/>
                <w:i/>
              </w:rPr>
              <w:tab/>
              <w:t xml:space="preserve">Ook moeten in het Unierecht de voorschriften en waarborgen worden </w:t>
            </w:r>
            <w:r w:rsidRPr="00ED3753">
              <w:rPr>
                <w:b/>
                <w:i/>
              </w:rPr>
              <w:t>versterkt, zodat lidstaten snel kunnen optreden tegen instrumentalisering van migranten. Onder instrumentalisering moet een situatie worden verstaan waarin een derde land irreguliere migratiestromen naar de Unie teweegbrengt door de komst van onderdanen va</w:t>
            </w:r>
            <w:r w:rsidRPr="00ED3753">
              <w:rPr>
                <w:b/>
                <w:i/>
              </w:rPr>
              <w:t>n derde landen naar de buitengrenzen van de lidstaten actief aan te moedigen of te faciliteren, waarin dat handelen wijst op een bedoeling om de Unie als geheel of een lidstaat te destabiliseren en waarin dat handelen zodanig van aard is dat het essentiële</w:t>
            </w:r>
            <w:r w:rsidRPr="00ED3753">
              <w:rPr>
                <w:b/>
                <w:i/>
              </w:rPr>
              <w:t xml:space="preserve"> staatsfuncties in gevaar kan brengen, waaronder de territoriale integriteit, de handhaving van recht en orde of de bescherming van de staatsveiligheid.</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7E6935" w:rsidRPr="00ED3753" w:rsidRDefault="00F30C80" w:rsidP="007E6935">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7E6935" w:rsidRPr="00ED3753" w:rsidRDefault="00F30C80" w:rsidP="001C7050">
      <w:pPr>
        <w:pStyle w:val="AmJustText"/>
      </w:pPr>
      <w:r w:rsidRPr="00ED3753">
        <w:t>De Commissie heeft een afz</w:t>
      </w:r>
      <w:r w:rsidRPr="00ED3753">
        <w:t>onderlijk wetgevingsvoorstel ingediend met een afzonderlijke rechtsgrondslag voor instrumentalisering. Het is geen kwestie die via de Schengengrenscode moet worden aangepakt.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9</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w:t>
      </w:r>
      <w:r w:rsidRPr="00ED3753">
        <w:t>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9</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(9)</w:t>
            </w:r>
            <w:r w:rsidRPr="00ED3753">
              <w:rPr>
                <w:b/>
                <w:i/>
              </w:rPr>
              <w:tab/>
              <w:t xml:space="preserve">Onder instrumentalisering van migranten kunnen situaties worden verstaan waarin een derde land irreguliere reizen van onderdanen van derde landen naar </w:t>
            </w:r>
            <w:r w:rsidRPr="00ED3753">
              <w:rPr>
                <w:b/>
                <w:i/>
              </w:rPr>
              <w:t>zijn eigen grondgebied en vervolgens naar de buitengrens van de lidstaten actief heeft aangemoedigd of gefaciliteerd, maar ook de actieve aanmoediging of facilitering van irreguliere reizen door onderdanen van derde landen die zich al in dat derde land oph</w:t>
            </w:r>
            <w:r w:rsidRPr="00ED3753">
              <w:rPr>
                <w:b/>
                <w:i/>
              </w:rPr>
              <w:t>ouden. Instrumentalisering van migranten kan ook inhouden dat dwangmaatregelen worden opgelegd om de onderdanen van derde landen te beletten de grensgebieden van het instrumentaliserende derde land in een andere richting te verlaten dan via een lidstaat.</w:t>
            </w:r>
          </w:p>
        </w:tc>
        <w:tc>
          <w:tcPr>
            <w:tcW w:w="4876" w:type="dxa"/>
            <w:hideMark/>
          </w:tcPr>
          <w:p w:rsidR="00120A92" w:rsidRPr="00ED3753" w:rsidRDefault="00F30C80">
            <w:pPr>
              <w:pStyle w:val="Normal6"/>
              <w:rPr>
                <w:szCs w:val="24"/>
              </w:rPr>
            </w:pPr>
            <w:r w:rsidRPr="00ED3753">
              <w:rPr>
                <w:b/>
                <w:i/>
              </w:rPr>
              <w:t>S</w:t>
            </w:r>
            <w:r w:rsidRPr="00ED3753">
              <w:rPr>
                <w:b/>
                <w:i/>
              </w:rPr>
              <w:t>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614607" w:rsidRPr="00ED3753" w:rsidRDefault="00F30C80" w:rsidP="00614607">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614607" w:rsidRPr="00ED3753" w:rsidRDefault="00F30C80" w:rsidP="001C7050">
      <w:pPr>
        <w:pStyle w:val="AmJustText"/>
        <w:rPr>
          <w:rFonts w:eastAsiaTheme="minorHAnsi"/>
        </w:rPr>
      </w:pPr>
      <w:r w:rsidRPr="00ED3753">
        <w:t>De Commissie heeft een afzonderlijk wetgevingsvoorstel ingediend met een afzonderlijke rechtsgrondslag voor instrumentalisering. Het is geen kwestie die via de Schengengrenscode mo</w:t>
      </w:r>
      <w:r w:rsidRPr="00ED3753">
        <w:t>et worden aangepakt.</w:t>
      </w:r>
    </w:p>
    <w:p w:rsidR="00120A92" w:rsidRPr="00ED3753" w:rsidRDefault="00F30C80" w:rsidP="003013F0">
      <w:pPr>
        <w:spacing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10</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10</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(10)</w:t>
            </w:r>
            <w:r w:rsidRPr="00ED3753">
              <w:rPr>
                <w:b/>
                <w:i/>
              </w:rPr>
              <w:tab/>
              <w:t xml:space="preserve">De Unie moet alle middelen uit haar arsenaal van </w:t>
            </w:r>
            <w:r w:rsidRPr="00ED3753">
              <w:rPr>
                <w:b/>
                <w:i/>
              </w:rPr>
              <w:t>diplomatieke, financiële en operationele maatregelen inzetten om lidstaten te ondersteunen die met instrumentalisering worden geconfronteerd. Bij de aanpak van instrumentalisering moet de voorkeur worden gegeven aan diplomatieke inspanningen door de Unie o</w:t>
            </w:r>
            <w:r w:rsidRPr="00ED3753">
              <w:rPr>
                <w:b/>
                <w:i/>
              </w:rPr>
              <w:t>f de betrokken lidstaat. Dit kan in voorkomend geval worden aangevuld met de oplegging van beperkende maatregelen door de Unie.</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DD35C7" w:rsidRPr="00ED3753" w:rsidRDefault="00F30C80" w:rsidP="00DD35C7">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DD35C7" w:rsidRPr="00ED3753" w:rsidRDefault="00F30C80" w:rsidP="001C7050">
      <w:pPr>
        <w:pStyle w:val="AmJustText"/>
        <w:rPr>
          <w:rFonts w:eastAsiaTheme="minorHAnsi"/>
        </w:rPr>
      </w:pPr>
      <w:r w:rsidRPr="00ED3753">
        <w:t xml:space="preserve">De Commissie heeft een afzonderlijk </w:t>
      </w:r>
      <w:r w:rsidRPr="00ED3753">
        <w:t>wetgevingsvoorstel ingediend met een afzonderlijke rechtsgrondslag voor instrumentalisering. Het is geen kwestie die via de Schengengrenscode moet worden aangepakt.</w:t>
      </w:r>
    </w:p>
    <w:p w:rsidR="00120A92" w:rsidRPr="00ED3753" w:rsidRDefault="00F30C80" w:rsidP="003013F0">
      <w:pPr>
        <w:spacing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w:t>
      </w:r>
      <w:r w:rsidRPr="00ED3753">
        <w:rPr>
          <w:rStyle w:val="HideTWBExt"/>
          <w:b w:val="0"/>
        </w:rPr>
        <w:t>mend&gt;</w:t>
      </w:r>
    </w:p>
    <w:p w:rsidR="00120A92" w:rsidRPr="00ED3753" w:rsidRDefault="00F30C80" w:rsidP="00120A92">
      <w:pPr>
        <w:pStyle w:val="NormalBold"/>
      </w:pPr>
      <w:r w:rsidRPr="00ED3753">
        <w:rPr>
          <w:rStyle w:val="HideTWBExt"/>
          <w:b w:val="0"/>
        </w:rPr>
        <w:t>&lt;Article&gt;</w:t>
      </w:r>
      <w:r w:rsidRPr="00ED3753">
        <w:t>Overweging 11</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(11)</w:t>
            </w:r>
            <w:r w:rsidRPr="00ED3753">
              <w:rPr>
                <w:b/>
                <w:i/>
              </w:rPr>
              <w:tab/>
              <w:t xml:space="preserve">Tegelijkertijd moeten daarnaast de huidige voorschriften voor controles aan de buitengrenzen en grensbewaking verder worden aangescherpt. Om de lidstaten die </w:t>
            </w:r>
            <w:r w:rsidRPr="00ED3753">
              <w:rPr>
                <w:b/>
                <w:i/>
              </w:rPr>
              <w:t>geconfronteerd worden met instrumentalisering van migranten verder te ondersteunen, worden in Verordening (EU) XXX/XXX de voorschriften voor grenstoezicht aangevuld door te voorzien in specifieke maatregelen op het gebied van asiel en terugkeer, waarbij de</w:t>
            </w:r>
            <w:r w:rsidRPr="00ED3753">
              <w:rPr>
                <w:b/>
                <w:i/>
              </w:rPr>
              <w:t xml:space="preserve"> grondrechten van de betrokkenen worden geëerbiedigd, en met name door het recht op asiel te waarborgen en de noodzakelijke bijstand door de agentschappen van de VN en andere betrokken organisaties te verlenen.</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A373B2" w:rsidRPr="00ED3753" w:rsidRDefault="00F30C80" w:rsidP="00A373B2">
      <w:pPr>
        <w:pStyle w:val="JustificationTitle"/>
        <w:rPr>
          <w:noProof w:val="0"/>
          <w:szCs w:val="24"/>
        </w:rPr>
      </w:pPr>
      <w:r w:rsidRPr="00ED3753">
        <w:rPr>
          <w:rStyle w:val="HideTWBExt"/>
          <w:rFonts w:ascii="Times New Roman" w:hAnsi="Times New Roman"/>
          <w:sz w:val="24"/>
        </w:rPr>
        <w:t>&lt;T</w:t>
      </w:r>
      <w:r w:rsidRPr="00ED3753">
        <w:rPr>
          <w:rStyle w:val="HideTWBExt"/>
          <w:rFonts w:ascii="Times New Roman" w:hAnsi="Times New Roman"/>
          <w:sz w:val="24"/>
        </w:rPr>
        <w:t>itreJust&gt;</w:t>
      </w:r>
      <w:r w:rsidRPr="00ED3753">
        <w:t>Motivering</w:t>
      </w:r>
      <w:r w:rsidRPr="00ED3753">
        <w:rPr>
          <w:rStyle w:val="HideTWBExt"/>
          <w:rFonts w:ascii="Times New Roman" w:hAnsi="Times New Roman"/>
          <w:sz w:val="24"/>
        </w:rPr>
        <w:t>&lt;/TitreJust&gt;</w:t>
      </w:r>
    </w:p>
    <w:p w:rsidR="00A373B2" w:rsidRPr="00ED3753" w:rsidRDefault="00F30C80" w:rsidP="001C7050">
      <w:pPr>
        <w:pStyle w:val="AmJustText"/>
        <w:rPr>
          <w:rFonts w:eastAsiaTheme="minorHAnsi"/>
        </w:rPr>
      </w:pPr>
      <w:r w:rsidRPr="00ED3753">
        <w:t>De Commissie heeft een afzonderlijk wetgevingsvoorstel ingediend met een afzonderlijke rechtsgrondslag voor instrumentalisering. Het is geen kwestie die via de Schengengrenscode moet worden aangepakt.</w:t>
      </w:r>
    </w:p>
    <w:p w:rsidR="00120A92" w:rsidRPr="00ED3753" w:rsidRDefault="00F30C80" w:rsidP="003013F0">
      <w:pPr>
        <w:spacing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12</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12</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(12)</w:t>
            </w:r>
            <w:r w:rsidRPr="00ED3753">
              <w:rPr>
                <w:b/>
                <w:i/>
              </w:rPr>
              <w:tab/>
              <w:t xml:space="preserve">In geval van instrumentalisering moet de betrokken lidstaat, indien nodig, met name </w:t>
            </w:r>
            <w:r w:rsidRPr="00ED3753">
              <w:rPr>
                <w:b/>
                <w:i/>
              </w:rPr>
              <w:t xml:space="preserve">het grensverkeer tot een minimum kunnen beperken door enkele grensdoorlaatposten te sluiten, onder waarborging van daadwerkelijke en feitelijke toegang tot internationale beschermingsprocedures. Bij dergelijke besluiten moet in alle gevallen in aanmerking </w:t>
            </w:r>
            <w:r w:rsidRPr="00ED3753">
              <w:rPr>
                <w:b/>
                <w:i/>
              </w:rPr>
              <w:t>worden genomen of de Europese Raad heeft verklaard dat de Unie of een of meer van haar lidstaten wordt of worden geconfronteerd met een situatie van instrumentalisering van migranten. Bovendien moet bij dergelijke beperkingen volledig rekening worden gehou</w:t>
            </w:r>
            <w:r w:rsidRPr="00ED3753">
              <w:rPr>
                <w:b/>
                <w:i/>
              </w:rPr>
              <w:t>den met de rechten van burgers van de EU, onderdanen van derde landen die het recht van vrij verkeer genieten op grond van een internationale overeenkomst en onderdanen van derde landen die langdurig ingezetene zijn op grond van het interne recht of het re</w:t>
            </w:r>
            <w:r w:rsidRPr="00ED3753">
              <w:rPr>
                <w:b/>
                <w:i/>
              </w:rPr>
              <w:t>cht van de Unie of over een visum voor verblijf van langere duur beschikken, alsook hun respectieve gezinsleden. Deze beperkingen moeten ook worden toegepast met inachtneming van verplichtingen inzake internationale bescherming, waaronder met name het begi</w:t>
            </w:r>
            <w:r w:rsidRPr="00ED3753">
              <w:rPr>
                <w:b/>
                <w:i/>
              </w:rPr>
              <w:t>nsel van non-refoulement.</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5D5ED7" w:rsidRPr="00ED3753" w:rsidRDefault="00F30C80" w:rsidP="005D5ED7">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5D5ED7" w:rsidRPr="00ED3753" w:rsidRDefault="00F30C80" w:rsidP="001C7050">
      <w:pPr>
        <w:pStyle w:val="AmJustText"/>
        <w:rPr>
          <w:rFonts w:eastAsiaTheme="minorHAnsi"/>
        </w:rPr>
      </w:pPr>
      <w:r w:rsidRPr="00ED3753">
        <w:t xml:space="preserve">De Commissie heeft een afzonderlijk wetgevingsvoorstel ingediend met een afzonderlijke rechtsgrondslag voor instrumentalisering. Het is geen kwestie die </w:t>
      </w:r>
      <w:r w:rsidRPr="00ED3753">
        <w:t>via de Schengengrenscode moet worden aangepakt.</w:t>
      </w:r>
    </w:p>
    <w:p w:rsidR="00120A92" w:rsidRPr="00ED3753" w:rsidRDefault="00F30C80" w:rsidP="003013F0">
      <w:pPr>
        <w:spacing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13</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13</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(13)</w:t>
            </w:r>
            <w:r w:rsidRPr="00ED3753">
              <w:tab/>
            </w:r>
            <w:r w:rsidRPr="00ED3753">
              <w:t xml:space="preserve">Het Europees Grens- en kustwachtagentschap ondersteunt de lidstaten bij de uitvoering van de operationele aspecten van het beheer van de buitengrenzen, onder meer door </w:t>
            </w:r>
            <w:r w:rsidRPr="00ED3753">
              <w:rPr>
                <w:b/>
                <w:bCs/>
                <w:i/>
                <w:iCs/>
              </w:rPr>
              <w:t>uitwisseling van informatie,</w:t>
            </w:r>
            <w:r w:rsidRPr="00ED3753">
              <w:t xml:space="preserve"> de levering van apparatuur, capaciteitsopbouw en opleidinge</w:t>
            </w:r>
            <w:r w:rsidRPr="00ED3753">
              <w:t xml:space="preserve">n voor nationale grenswachters, gerichte informatie en risicoanalyses, alsmede door de inzet van het permanente korps. Het nieuwe mandaat van het Agentschap biedt ruime mogelijkheden </w:t>
            </w:r>
            <w:r w:rsidRPr="00ED3753">
              <w:rPr>
                <w:b/>
                <w:bCs/>
                <w:i/>
                <w:iCs/>
              </w:rPr>
              <w:t>voor</w:t>
            </w:r>
            <w:r w:rsidRPr="00ED3753">
              <w:t xml:space="preserve"> </w:t>
            </w:r>
            <w:r w:rsidRPr="00ED3753">
              <w:rPr>
                <w:b/>
                <w:bCs/>
                <w:i/>
                <w:iCs/>
              </w:rPr>
              <w:t>ondersteuning</w:t>
            </w:r>
            <w:r w:rsidRPr="00ED3753">
              <w:t xml:space="preserve"> </w:t>
            </w:r>
            <w:r w:rsidRPr="00ED3753">
              <w:rPr>
                <w:b/>
                <w:bCs/>
                <w:i/>
                <w:iCs/>
              </w:rPr>
              <w:t>van</w:t>
            </w:r>
            <w:r w:rsidRPr="00ED3753">
              <w:t xml:space="preserve"> grenstoezicht, waaronder </w:t>
            </w:r>
            <w:r w:rsidRPr="00ED3753">
              <w:rPr>
                <w:b/>
                <w:bCs/>
                <w:i/>
                <w:iCs/>
              </w:rPr>
              <w:t>screening- en</w:t>
            </w:r>
            <w:r w:rsidRPr="00ED3753">
              <w:t xml:space="preserve"> terugkeerop</w:t>
            </w:r>
            <w:r w:rsidRPr="00ED3753">
              <w:t>eraties en de uitvoering van snelle grensinterventies en/of terugkeerinterventies op verzoek en op het grondgebied van de betrokken gastlidstaat.</w:t>
            </w:r>
          </w:p>
        </w:tc>
        <w:tc>
          <w:tcPr>
            <w:tcW w:w="4876" w:type="dxa"/>
            <w:hideMark/>
          </w:tcPr>
          <w:p w:rsidR="00120A92" w:rsidRPr="00ED3753" w:rsidRDefault="00F30C80">
            <w:pPr>
              <w:pStyle w:val="Normal6"/>
              <w:rPr>
                <w:szCs w:val="24"/>
              </w:rPr>
            </w:pPr>
            <w:r w:rsidRPr="00ED3753">
              <w:t>(13)</w:t>
            </w:r>
            <w:r w:rsidRPr="00ED3753">
              <w:tab/>
              <w:t>Het Europees Grens- en kustwachtagentschap ondersteunt de lidstaten bij de uitvoering van de operationele</w:t>
            </w:r>
            <w:r w:rsidRPr="00ED3753">
              <w:t xml:space="preserve"> aspecten van het beheer van de buitengrenzen, onder meer door de levering van apparatuur, capaciteitsopbouw en opleidingen voor nationale grenswachters, gerichte informatie en risicoanalyses, alsmede door de inzet van het permanente korps. Het nieuwe mand</w:t>
            </w:r>
            <w:r w:rsidRPr="00ED3753">
              <w:t xml:space="preserve">aat van het Agentschap biedt </w:t>
            </w:r>
            <w:r w:rsidRPr="00ED3753">
              <w:rPr>
                <w:b/>
                <w:bCs/>
                <w:i/>
                <w:iCs/>
              </w:rPr>
              <w:t>de lidstaten</w:t>
            </w:r>
            <w:r w:rsidRPr="00ED3753">
              <w:t xml:space="preserve"> ruime mogelijkheden </w:t>
            </w:r>
            <w:r w:rsidRPr="00ED3753">
              <w:rPr>
                <w:b/>
                <w:bCs/>
                <w:i/>
                <w:iCs/>
              </w:rPr>
              <w:t>om te worden bijgestaan bij hun</w:t>
            </w:r>
            <w:r w:rsidRPr="00ED3753">
              <w:t xml:space="preserve"> grenstoezicht, waaronder </w:t>
            </w:r>
            <w:r w:rsidRPr="00ED3753">
              <w:rPr>
                <w:b/>
                <w:bCs/>
                <w:i/>
                <w:iCs/>
              </w:rPr>
              <w:t>wat betreft</w:t>
            </w:r>
            <w:r w:rsidRPr="00ED3753">
              <w:t xml:space="preserve"> terugkeeroperaties en de uitvoering van snelle grensinterventies en/of terugkeerinterventies op verzoek en op het grondgebied</w:t>
            </w:r>
            <w:r w:rsidRPr="00ED3753">
              <w:t xml:space="preserve"> van de betrokken gastlidstaat.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C573AF" w:rsidRPr="00ED3753" w:rsidRDefault="00F30C80" w:rsidP="00C573AF">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C573AF" w:rsidRPr="00ED3753" w:rsidRDefault="00F30C80" w:rsidP="001C7050">
      <w:pPr>
        <w:pStyle w:val="AmJustText"/>
        <w:rPr>
          <w:rFonts w:eastAsiaTheme="minorHAnsi"/>
        </w:rPr>
      </w:pPr>
      <w:r w:rsidRPr="00ED3753">
        <w:t>Er bestaat momenteel geen screeningprocedure op grond van het EU-recht.</w:t>
      </w:r>
    </w:p>
    <w:p w:rsidR="00120A92" w:rsidRPr="00ED3753" w:rsidRDefault="00F30C80" w:rsidP="003013F0">
      <w:pPr>
        <w:spacing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14</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14</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(14)</w:t>
            </w:r>
            <w:r w:rsidRPr="00ED3753">
              <w:tab/>
            </w:r>
            <w:r w:rsidRPr="00ED3753">
              <w:t>Krachtens artikel 41, lid 1, van Verordening (EU) 2019/1896 doet de uitvoerend directeur van het Europees Grens- en kustwachtagentschap een aanbeveling aan de betrokken lidstaat om het Agentschap te verzoeken de ondersteuning door het Agentschap te starten</w:t>
            </w:r>
            <w:r w:rsidRPr="00ED3753">
              <w:t xml:space="preserve">, uit te voeren of aan te passen </w:t>
            </w:r>
            <w:r w:rsidRPr="00ED3753">
              <w:rPr>
                <w:b/>
                <w:bCs/>
                <w:i/>
                <w:iCs/>
              </w:rPr>
              <w:t>om geconstateerde bedreigingen en uitdagingen aan de buitengrenzen aan te pakken wanneer aan de voorwaarden van die bepaling wordt voldaan</w:t>
            </w:r>
            <w:r w:rsidRPr="00ED3753">
              <w:t xml:space="preserve">. </w:t>
            </w:r>
            <w:r w:rsidRPr="00ED3753">
              <w:rPr>
                <w:b/>
                <w:bCs/>
                <w:i/>
                <w:iCs/>
              </w:rPr>
              <w:t>In het bijzonder kan ondersteuning door het Agentschap noodzakelijk blijken te zijn</w:t>
            </w:r>
            <w:r w:rsidRPr="00ED3753">
              <w:rPr>
                <w:b/>
                <w:bCs/>
                <w:i/>
                <w:iCs/>
              </w:rPr>
              <w:t xml:space="preserve"> in situaties waarin het Europees Grens- en kustwachtagentschap een speciale kwetsbaarheidsbeoordeling heeft uitgevoerd in verband met instrumentalisering van migranten.</w:t>
            </w:r>
            <w:r w:rsidRPr="00ED3753">
              <w:rPr>
                <w:b/>
                <w:i/>
              </w:rPr>
              <w:t xml:space="preserve"> </w:t>
            </w:r>
            <w:r w:rsidRPr="00ED3753">
              <w:rPr>
                <w:b/>
                <w:bCs/>
                <w:i/>
                <w:iCs/>
              </w:rPr>
              <w:t>Op basis van de resultaten van deze kwetsbaarheidsbeoordeling of wanneer een impactniv</w:t>
            </w:r>
            <w:r w:rsidRPr="00ED3753">
              <w:rPr>
                <w:b/>
                <w:bCs/>
                <w:i/>
                <w:iCs/>
              </w:rPr>
              <w:t>eau “kritiek” is toegekend aan een of meer buitengrenssegmenten, en rekening houdend met de relevante elementen van de noodplannen van de lidstaat, de risicoanalyse door het Agentschap en de analyselaag van het Europees situatiebeeld, doet de uitvoerend di</w:t>
            </w:r>
            <w:r w:rsidRPr="00ED3753">
              <w:rPr>
                <w:b/>
                <w:bCs/>
                <w:i/>
                <w:iCs/>
              </w:rPr>
              <w:t>recteur een aanbeveling aan de betrokken lidstaat om het Agentschap te verzoeken de ondersteuning door het Agentschap te starten, uit te voeren of aan te passen in overeenstemming met artikel 41, lid 1, van Verordening (EU) 2019/1896.</w:t>
            </w:r>
            <w:r w:rsidRPr="00ED3753">
              <w:t xml:space="preserve"> Deze bevoegdheid van </w:t>
            </w:r>
            <w:r w:rsidRPr="00ED3753">
              <w:t>de algemeen directeur laat de algemene ondersteuning die het Agentschap aan de lidstaten kan verlenen onverlet.</w:t>
            </w:r>
          </w:p>
        </w:tc>
        <w:tc>
          <w:tcPr>
            <w:tcW w:w="4876" w:type="dxa"/>
            <w:hideMark/>
          </w:tcPr>
          <w:p w:rsidR="00120A92" w:rsidRPr="00ED3753" w:rsidRDefault="00F30C80" w:rsidP="00DE3D21">
            <w:pPr>
              <w:pStyle w:val="Normal6"/>
              <w:rPr>
                <w:szCs w:val="24"/>
              </w:rPr>
            </w:pPr>
            <w:r w:rsidRPr="00ED3753">
              <w:t>(14)</w:t>
            </w:r>
            <w:r w:rsidRPr="00ED3753">
              <w:tab/>
              <w:t>Krachtens artikel 41, lid 1, van Verordening (EU) 2019/1896 doet de uitvoerend directeur van het Europees Grens- en kustwachtagentschap</w:t>
            </w:r>
            <w:r w:rsidRPr="00ED3753">
              <w:rPr>
                <w:b/>
                <w:bCs/>
                <w:i/>
                <w:iCs/>
              </w:rPr>
              <w:t>, op</w:t>
            </w:r>
            <w:r w:rsidRPr="00ED3753">
              <w:rPr>
                <w:b/>
                <w:bCs/>
                <w:i/>
                <w:iCs/>
              </w:rPr>
              <w:t xml:space="preserve"> basis van de resultaten van een kwetsbaarheidsbeoordeling of wanneer aan een of meer buitengrenssegmenten van een lidstaat een impactniveau “kritiek” wordt toegekend,</w:t>
            </w:r>
            <w:r w:rsidRPr="00ED3753">
              <w:t xml:space="preserve"> een aanbeveling aan de betrokken lidstaat om het Agentschap te verzoeken de ondersteunin</w:t>
            </w:r>
            <w:r w:rsidRPr="00ED3753">
              <w:t>g door het Agentschap te starten, uit te voeren of aan te passen. Deze bevoegdheid van de algemeen directeur laat de algemene ondersteuning die het Agentschap aan de lidstaten kan verlenen onverlet.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B90E17" w:rsidRPr="00ED3753" w:rsidRDefault="00F30C80" w:rsidP="00B90E17">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w:t>
      </w:r>
      <w:r w:rsidRPr="00ED3753">
        <w:rPr>
          <w:rStyle w:val="HideTWBExt"/>
          <w:rFonts w:ascii="Times New Roman" w:hAnsi="Times New Roman"/>
          <w:sz w:val="24"/>
        </w:rPr>
        <w:t>itreJust&gt;</w:t>
      </w:r>
    </w:p>
    <w:p w:rsidR="00B90E17" w:rsidRPr="00ED3753" w:rsidRDefault="00F30C80" w:rsidP="001C7050">
      <w:pPr>
        <w:pStyle w:val="AmJustText"/>
        <w:rPr>
          <w:rFonts w:eastAsiaTheme="minorHAnsi"/>
        </w:rPr>
      </w:pPr>
      <w:r w:rsidRPr="00ED3753">
        <w:t>Aanpassing aan de formulering van artikel 41, lid 1, van de verordening betreffende de Europese grens- en kustwacht.</w:t>
      </w:r>
    </w:p>
    <w:p w:rsidR="00CA4087" w:rsidRPr="00ED3753" w:rsidRDefault="00F30C80" w:rsidP="003013F0">
      <w:pPr>
        <w:spacing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15</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15</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(15)</w:t>
            </w:r>
            <w:r w:rsidRPr="00ED3753">
              <w:tab/>
            </w:r>
            <w:r w:rsidRPr="00ED3753">
              <w:rPr>
                <w:b/>
                <w:bCs/>
                <w:i/>
                <w:iCs/>
              </w:rPr>
              <w:t>Bovendien moet de betrokken</w:t>
            </w:r>
            <w:r w:rsidRPr="00ED3753">
              <w:t xml:space="preserve"> lidstaat </w:t>
            </w:r>
            <w:r w:rsidRPr="00ED3753">
              <w:rPr>
                <w:b/>
                <w:bCs/>
                <w:i/>
                <w:iCs/>
              </w:rPr>
              <w:t>in geval van instrumentalisering van migranten</w:t>
            </w:r>
            <w:r w:rsidRPr="00ED3753">
              <w:t xml:space="preserve"> het grenstoezicht versterken</w:t>
            </w:r>
            <w:r w:rsidRPr="00ED3753">
              <w:rPr>
                <w:b/>
                <w:bCs/>
                <w:i/>
                <w:iCs/>
              </w:rPr>
              <w:t xml:space="preserve">, onder meer, indien nodig, door middel van aanvullende maatregelen ter voorkoming van </w:t>
            </w:r>
            <w:r w:rsidRPr="00ED3753">
              <w:rPr>
                <w:b/>
                <w:bCs/>
                <w:i/>
                <w:iCs/>
              </w:rPr>
              <w:t>illegale grensoverschrijding en de inzet van aanvullende en technische middelen om ongeoorloofde overschrijding van de grens te voorkomen.</w:t>
            </w:r>
            <w:r w:rsidRPr="00ED3753">
              <w:rPr>
                <w:b/>
                <w:i/>
              </w:rPr>
              <w:t xml:space="preserve"> </w:t>
            </w:r>
            <w:r w:rsidRPr="00ED3753">
              <w:rPr>
                <w:b/>
                <w:bCs/>
                <w:i/>
                <w:iCs/>
              </w:rPr>
              <w:t>Onder technische middelen kunnen ook</w:t>
            </w:r>
            <w:r w:rsidRPr="00ED3753">
              <w:t xml:space="preserve"> moderne technologieën </w:t>
            </w:r>
            <w:r w:rsidRPr="00ED3753">
              <w:rPr>
                <w:b/>
                <w:bCs/>
                <w:i/>
                <w:iCs/>
              </w:rPr>
              <w:t>worden verstaan</w:t>
            </w:r>
            <w:r w:rsidRPr="00ED3753">
              <w:t>, waaronder drones en bewegingssensoren, ev</w:t>
            </w:r>
            <w:r w:rsidRPr="00ED3753">
              <w:t>enals verplaatsbare eenheden</w:t>
            </w:r>
            <w:r w:rsidRPr="00ED3753">
              <w:rPr>
                <w:b/>
                <w:bCs/>
                <w:i/>
                <w:iCs/>
              </w:rPr>
              <w:t>.</w:t>
            </w:r>
            <w:r w:rsidRPr="00ED3753">
              <w:t xml:space="preserve"> Het gebruik van deze </w:t>
            </w:r>
            <w:r w:rsidRPr="00ED3753">
              <w:rPr>
                <w:b/>
                <w:bCs/>
                <w:i/>
                <w:iCs/>
              </w:rPr>
              <w:t>technische middelen en in het bijzonder van</w:t>
            </w:r>
            <w:r w:rsidRPr="00ED3753">
              <w:t xml:space="preserve"> technologieën waarmee persoonsgegevens kunnen worden verzameld, moet zijn gebaseerd op en plaatsvinden in overeenstemming met duidelijk omschreven bepalingen van</w:t>
            </w:r>
            <w:r w:rsidRPr="00ED3753">
              <w:t xml:space="preserve"> het interne recht.</w:t>
            </w:r>
          </w:p>
        </w:tc>
        <w:tc>
          <w:tcPr>
            <w:tcW w:w="4876" w:type="dxa"/>
            <w:hideMark/>
          </w:tcPr>
          <w:p w:rsidR="00120A92" w:rsidRPr="00ED3753" w:rsidRDefault="00F30C80" w:rsidP="00E73D80">
            <w:pPr>
              <w:pStyle w:val="Normal6"/>
              <w:rPr>
                <w:szCs w:val="24"/>
              </w:rPr>
            </w:pPr>
            <w:r w:rsidRPr="00ED3753">
              <w:t>(15)</w:t>
            </w:r>
            <w:r w:rsidRPr="00ED3753">
              <w:tab/>
            </w:r>
            <w:r w:rsidRPr="00ED3753">
              <w:rPr>
                <w:b/>
                <w:bCs/>
                <w:i/>
                <w:iCs/>
              </w:rPr>
              <w:t>Wanneer een</w:t>
            </w:r>
            <w:r w:rsidRPr="00ED3753">
              <w:t xml:space="preserve"> lidstaat </w:t>
            </w:r>
            <w:r w:rsidRPr="00ED3753">
              <w:rPr>
                <w:b/>
                <w:bCs/>
                <w:i/>
                <w:iCs/>
              </w:rPr>
              <w:t>het nodig acht</w:t>
            </w:r>
            <w:r w:rsidRPr="00ED3753">
              <w:rPr>
                <w:b/>
                <w:bCs/>
              </w:rPr>
              <w:t xml:space="preserve"> </w:t>
            </w:r>
            <w:r w:rsidRPr="00ED3753">
              <w:t>het grenstoezicht</w:t>
            </w:r>
            <w:r w:rsidRPr="00ED3753">
              <w:rPr>
                <w:b/>
                <w:bCs/>
              </w:rPr>
              <w:t xml:space="preserve"> </w:t>
            </w:r>
            <w:r w:rsidRPr="00ED3753">
              <w:rPr>
                <w:b/>
                <w:bCs/>
                <w:i/>
                <w:iCs/>
              </w:rPr>
              <w:t>te</w:t>
            </w:r>
            <w:r w:rsidRPr="00ED3753">
              <w:rPr>
                <w:b/>
                <w:bCs/>
              </w:rPr>
              <w:t xml:space="preserve"> </w:t>
            </w:r>
            <w:r w:rsidRPr="00ED3753">
              <w:t>versterken</w:t>
            </w:r>
            <w:r w:rsidRPr="00ED3753">
              <w:rPr>
                <w:b/>
                <w:bCs/>
              </w:rPr>
              <w:t xml:space="preserve"> </w:t>
            </w:r>
            <w:r w:rsidRPr="00ED3753">
              <w:rPr>
                <w:b/>
                <w:bCs/>
                <w:i/>
                <w:iCs/>
              </w:rPr>
              <w:t>en overweegt gebruik te maken</w:t>
            </w:r>
            <w:r w:rsidRPr="00ED3753">
              <w:rPr>
                <w:b/>
                <w:bCs/>
              </w:rPr>
              <w:t xml:space="preserve"> </w:t>
            </w:r>
            <w:r w:rsidRPr="00ED3753">
              <w:rPr>
                <w:b/>
                <w:bCs/>
                <w:i/>
                <w:iCs/>
              </w:rPr>
              <w:t xml:space="preserve">van </w:t>
            </w:r>
            <w:r w:rsidRPr="00ED3753">
              <w:t>moderne technologieën, waaronder drones en bewegingssensoren, evenals verplaatsbare eenheden</w:t>
            </w:r>
            <w:r w:rsidRPr="00ED3753">
              <w:rPr>
                <w:b/>
                <w:bCs/>
                <w:i/>
                <w:iCs/>
              </w:rPr>
              <w:t>, is het van belang dat</w:t>
            </w:r>
            <w:r w:rsidRPr="00ED3753">
              <w:rPr>
                <w:b/>
                <w:bCs/>
              </w:rPr>
              <w:t xml:space="preserve"> </w:t>
            </w:r>
            <w:r w:rsidRPr="00ED3753">
              <w:t xml:space="preserve">het gebruik van deze technologieën waarmee persoonsgegevens kunnen worden verzameld, </w:t>
            </w:r>
            <w:r w:rsidRPr="00ED3753">
              <w:rPr>
                <w:b/>
                <w:bCs/>
                <w:i/>
                <w:iCs/>
              </w:rPr>
              <w:t>in overeenstemming moet zijn met het primaire recht van de Unie en de EU-wetgeving inzake gegevensbescherming</w:t>
            </w:r>
            <w:r w:rsidRPr="00ED3753">
              <w:rPr>
                <w:b/>
                <w:bCs/>
              </w:rPr>
              <w:t xml:space="preserve">, </w:t>
            </w:r>
            <w:r w:rsidRPr="00ED3753">
              <w:rPr>
                <w:b/>
                <w:bCs/>
                <w:i/>
                <w:iCs/>
              </w:rPr>
              <w:t xml:space="preserve">en </w:t>
            </w:r>
            <w:r w:rsidRPr="00ED3753">
              <w:t>moet zijn gebaseerd op en plaatsvinden in overeenstemming</w:t>
            </w:r>
            <w:r w:rsidRPr="00ED3753">
              <w:t xml:space="preserve"> met duidelijk omschreven bepalingen van het interne recht</w:t>
            </w:r>
            <w:r w:rsidRPr="00ED3753">
              <w:rPr>
                <w:b/>
                <w:bCs/>
                <w:i/>
                <w:iCs/>
              </w:rPr>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621F75" w:rsidRPr="00ED3753" w:rsidRDefault="00F30C80" w:rsidP="00621F75">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621F75" w:rsidRPr="00ED3753" w:rsidRDefault="00F30C80" w:rsidP="00894B63">
      <w:pPr>
        <w:pStyle w:val="AmJustText"/>
      </w:pPr>
      <w:r w:rsidRPr="00ED3753">
        <w:t xml:space="preserve">Aangezien de bescherming van persoonsgegevens een grondrecht is, moet elke technologie die aan de buiten- of binnengrenzen wordt </w:t>
      </w:r>
      <w:r w:rsidRPr="00ED3753">
        <w:t>gebruikt, in overeenstemming zijn met het Handvest van de grondrechten en met de EU-wetgeving inzake gegevensbescherming.</w:t>
      </w:r>
    </w:p>
    <w:p w:rsidR="00120A92" w:rsidRPr="00ED3753" w:rsidRDefault="00F30C80" w:rsidP="003013F0">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16</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16</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(16)</w:t>
            </w:r>
            <w:r w:rsidRPr="00ED3753">
              <w:tab/>
              <w:t xml:space="preserve">Aan de Commissie </w:t>
            </w:r>
            <w:r w:rsidRPr="00ED3753">
              <w:rPr>
                <w:b/>
                <w:bCs/>
                <w:i/>
                <w:iCs/>
              </w:rPr>
              <w:t>moet</w:t>
            </w:r>
            <w:r w:rsidRPr="00ED3753">
              <w:t xml:space="preserve"> de bevoegdheid worden verleend om in krachtens deze verordening vastgestelde gedelegeerde handelingen passende normen voor grensbewaking op te stellen, met name ten aanzien van de </w:t>
            </w:r>
            <w:r w:rsidRPr="00ED3753">
              <w:t>nieuwe technologieën die lidstaten kunnen gebruiken, rekening houdend met het soort grenzen (land, zee of lucht), de aan elk buitengrenssegment toegekende impactniveaus in overeenstemming met artikel 34 van Verordening (EU) 2019/1896 en andere relevante fa</w:t>
            </w:r>
            <w:r w:rsidRPr="00ED3753">
              <w:t>ctoren</w:t>
            </w:r>
            <w:r w:rsidRPr="00ED3753">
              <w:rPr>
                <w:b/>
                <w:bCs/>
                <w:i/>
                <w:iCs/>
              </w:rPr>
              <w:t>, als specifieke reactie op instrumentalisering van migranten</w:t>
            </w:r>
            <w:r w:rsidRPr="00ED3753">
              <w:t>.</w:t>
            </w:r>
          </w:p>
        </w:tc>
        <w:tc>
          <w:tcPr>
            <w:tcW w:w="4876" w:type="dxa"/>
            <w:hideMark/>
          </w:tcPr>
          <w:p w:rsidR="00120A92" w:rsidRPr="00ED3753" w:rsidRDefault="00F30C80" w:rsidP="00E73D80">
            <w:pPr>
              <w:pStyle w:val="Normal6"/>
              <w:rPr>
                <w:szCs w:val="24"/>
              </w:rPr>
            </w:pPr>
            <w:r w:rsidRPr="00ED3753">
              <w:t>(16)</w:t>
            </w:r>
            <w:r w:rsidRPr="00ED3753">
              <w:tab/>
            </w:r>
            <w:r w:rsidRPr="00ED3753">
              <w:rPr>
                <w:b/>
                <w:bCs/>
                <w:i/>
                <w:iCs/>
              </w:rPr>
              <w:t>Overeenkomstig de regels van de Unie inzake het gebruik van artificiële intelligentie</w:t>
            </w:r>
            <w:r w:rsidRPr="00ED3753">
              <w:t xml:space="preserve"> </w:t>
            </w:r>
            <w:r w:rsidRPr="00ED3753">
              <w:rPr>
                <w:b/>
                <w:bCs/>
                <w:i/>
                <w:iCs/>
              </w:rPr>
              <w:t>moet</w:t>
            </w:r>
            <w:r w:rsidRPr="00ED3753">
              <w:t xml:space="preserve"> aan de Commissie de bevoegdheid worden verleend om in krachtens deze verordening vastgestel</w:t>
            </w:r>
            <w:r w:rsidRPr="00ED3753">
              <w:t>de gedelegeerde handelingen passende normen voor grensbewaking op te stellen, met name ten aanzien van de nieuwe technologieën die lidstaten kunnen gebruiken, rekening houdend met het soort grenzen (land, zee of lucht), de aan elk buitengrenssegment toegek</w:t>
            </w:r>
            <w:r w:rsidRPr="00ED3753">
              <w:t>ende impactniveaus in overeenstemming met artikel 34 van Verordening (EU) 2019/1896 en andere relevante factoren.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450365" w:rsidRPr="00ED3753" w:rsidRDefault="00F30C80" w:rsidP="00894B63">
      <w:pPr>
        <w:pStyle w:val="AmJustTitle"/>
      </w:pPr>
      <w:r w:rsidRPr="00ED3753">
        <w:rPr>
          <w:rStyle w:val="HideTWBExt"/>
        </w:rPr>
        <w:t>&lt;TitreJust&gt;</w:t>
      </w:r>
      <w:r w:rsidRPr="00ED3753">
        <w:t>Motivering</w:t>
      </w:r>
      <w:r w:rsidRPr="00ED3753">
        <w:rPr>
          <w:rStyle w:val="HideTWBExt"/>
        </w:rPr>
        <w:t>&lt;/TitreJust&gt;</w:t>
      </w:r>
    </w:p>
    <w:p w:rsidR="00450365" w:rsidRPr="00ED3753" w:rsidRDefault="00F30C80" w:rsidP="00894B63">
      <w:pPr>
        <w:pStyle w:val="AmJustText"/>
        <w:rPr>
          <w:rFonts w:eastAsiaTheme="minorHAnsi"/>
        </w:rPr>
      </w:pPr>
      <w:r w:rsidRPr="00ED3753">
        <w:t xml:space="preserve">De Commissie heeft een afzonderlijk wetgevingsvoorstel ingediend met een </w:t>
      </w:r>
      <w:r w:rsidRPr="00ED3753">
        <w:t>afzonderlijke rechtsgrondslag voor instrumentalisering. Het is geen kwestie die via de Schengengrenscode moet worden aangepakt.</w:t>
      </w:r>
    </w:p>
    <w:p w:rsidR="00120A92" w:rsidRPr="00ED3753" w:rsidRDefault="00F30C80" w:rsidP="003013F0">
      <w:pPr>
        <w:spacing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17</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17</w:t>
      </w:r>
      <w:r w:rsidRPr="00ED3753">
        <w:rPr>
          <w:rStyle w:val="HideTWBExt"/>
          <w:b w:val="0"/>
        </w:rPr>
        <w:t>&lt;/Article</w:t>
      </w:r>
      <w:r w:rsidRPr="00ED3753">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(17)</w:t>
            </w:r>
            <w:r w:rsidRPr="00ED3753">
              <w:tab/>
              <w:t xml:space="preserve">In een gebied zonder binnengrenstoezicht moeten personen zich vrij en in veiligheid tussen lidstaten kunnen bewegen. </w:t>
            </w:r>
            <w:r w:rsidRPr="00ED3753">
              <w:t xml:space="preserve">In dit verband moet worden verduidelijkt dat het verbod op toezicht aan de binnengrenzen de bevoegdheid van lidstaten onverlet laat om op hun grondgebied </w:t>
            </w:r>
            <w:r w:rsidRPr="00ED3753">
              <w:rPr>
                <w:b/>
                <w:bCs/>
                <w:i/>
                <w:iCs/>
              </w:rPr>
              <w:t>en ook aan hun binnengrenzen</w:t>
            </w:r>
            <w:r w:rsidRPr="00ED3753">
              <w:t xml:space="preserve"> controles uit te voeren voor andere doeleinden dan grenstoezicht. Met nam</w:t>
            </w:r>
            <w:r w:rsidRPr="00ED3753">
              <w:t xml:space="preserve">e moet worden verduidelijkt dat </w:t>
            </w:r>
            <w:r w:rsidRPr="00ED3753">
              <w:rPr>
                <w:b/>
                <w:bCs/>
                <w:i/>
                <w:iCs/>
              </w:rPr>
              <w:t>het</w:t>
            </w:r>
            <w:r w:rsidRPr="00ED3753">
              <w:t xml:space="preserve"> nationale bevoegde autoriteiten, waaronder gezondheids- of rechtshandhavingsautoriteiten, in beginsel </w:t>
            </w:r>
            <w:r w:rsidRPr="00ED3753">
              <w:rPr>
                <w:b/>
                <w:bCs/>
                <w:i/>
                <w:iCs/>
              </w:rPr>
              <w:t xml:space="preserve">vrij blijft staan om controles uit te voeren in het kader van </w:t>
            </w:r>
            <w:r w:rsidRPr="00ED3753">
              <w:t>de uitoefening van het overheidsgezag krachtens het inte</w:t>
            </w:r>
            <w:r w:rsidRPr="00ED3753">
              <w:t>rne recht.</w:t>
            </w:r>
          </w:p>
        </w:tc>
        <w:tc>
          <w:tcPr>
            <w:tcW w:w="4876" w:type="dxa"/>
            <w:hideMark/>
          </w:tcPr>
          <w:p w:rsidR="00120A92" w:rsidRPr="00ED3753" w:rsidRDefault="00F30C80" w:rsidP="00E73D80">
            <w:pPr>
              <w:pStyle w:val="Normal6"/>
              <w:rPr>
                <w:szCs w:val="24"/>
              </w:rPr>
            </w:pPr>
            <w:r w:rsidRPr="00ED3753">
              <w:t>(17)</w:t>
            </w:r>
            <w:r w:rsidRPr="00ED3753">
              <w:tab/>
              <w:t>In een gebied zonder binnengrenstoezicht moeten personen</w:t>
            </w:r>
            <w:r w:rsidRPr="00ED3753">
              <w:rPr>
                <w:b/>
                <w:bCs/>
                <w:i/>
                <w:iCs/>
              </w:rPr>
              <w:t>, ongeacht hun nationaliteit,</w:t>
            </w:r>
            <w:r w:rsidRPr="00ED3753">
              <w:t xml:space="preserve"> zich vrij en in veiligheid tussen lidstaten kunnen bewegen. In dit verband moet worden verduidelijkt dat het verbod op toezicht aan de binnengrenzen de be</w:t>
            </w:r>
            <w:r w:rsidRPr="00ED3753">
              <w:t>voegdheid van lidstaten onverlet laat om op hun grondgebied controles uit te voeren voor andere doeleinden dan grenstoezicht. Met name moet worden verduidelijkt dat nationale bevoegde autoriteiten, waaronder gezondheids- of rechtshandhavingsautoriteiten, i</w:t>
            </w:r>
            <w:r w:rsidRPr="00ED3753">
              <w:t xml:space="preserve">n beginsel </w:t>
            </w:r>
            <w:r w:rsidRPr="00ED3753">
              <w:rPr>
                <w:b/>
                <w:bCs/>
                <w:i/>
                <w:iCs/>
              </w:rPr>
              <w:t>bevoegd blijven voor</w:t>
            </w:r>
            <w:r w:rsidRPr="00ED3753">
              <w:t xml:space="preserve"> de uitoefening van het overheidsgezag krachtens het interne recht</w:t>
            </w:r>
            <w:r w:rsidRPr="00ED3753">
              <w:rPr>
                <w:b/>
                <w:bCs/>
                <w:i/>
                <w:iCs/>
              </w:rPr>
              <w:t>, mits het effect van die bevoegdheden niet gelijkwaardig is aan binnengrenstoezicht</w:t>
            </w:r>
            <w:r w:rsidRPr="00ED3753">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246F43" w:rsidRPr="00ED3753" w:rsidRDefault="00F30C80" w:rsidP="00246F43">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246F43" w:rsidRPr="00ED3753" w:rsidRDefault="00F30C80" w:rsidP="00894B63">
      <w:pPr>
        <w:pStyle w:val="AmJustText"/>
        <w:rPr>
          <w:rFonts w:eastAsiaTheme="minorHAnsi"/>
          <w:i w:val="0"/>
        </w:rPr>
      </w:pPr>
      <w:r w:rsidRPr="00ED3753">
        <w:t xml:space="preserve">Krachtens artikel 77, lid 2, punt e), VWEU moeten de medewetgevers maatregelen vaststellen betreffende het ontbreken van enige controle op personen, ongeacht hun nationaliteit, bij het overschrijden van de binnengrenzen. Afgestemd op de formulering van de </w:t>
      </w:r>
      <w:r w:rsidRPr="00ED3753">
        <w:t>huidige Schengengrenscode, die ook de jurisprudentie van het HvJ-EU weerspiegelt.</w:t>
      </w:r>
    </w:p>
    <w:p w:rsidR="00120A92" w:rsidRPr="00ED3753" w:rsidRDefault="00F30C80" w:rsidP="003013F0">
      <w:pPr>
        <w:spacing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18</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18</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(18)</w:t>
            </w:r>
            <w:r w:rsidRPr="00ED3753">
              <w:tab/>
              <w:t xml:space="preserve">Hoewel onder het verbod op binnengrenstoezicht ook controles vallen die hetzelfde effect hebben, </w:t>
            </w:r>
            <w:r w:rsidRPr="00ED3753">
              <w:rPr>
                <w:b/>
                <w:bCs/>
                <w:i/>
                <w:iCs/>
              </w:rPr>
              <w:t xml:space="preserve">mogen </w:t>
            </w:r>
            <w:r w:rsidRPr="00ED3753">
              <w:t>controles door</w:t>
            </w:r>
            <w:r w:rsidRPr="00ED3753">
              <w:rPr>
                <w:b/>
                <w:bCs/>
                <w:i/>
                <w:iCs/>
              </w:rPr>
              <w:t xml:space="preserve"> bevoegde autoriteiten</w:t>
            </w:r>
            <w:r w:rsidRPr="00ED3753">
              <w:t xml:space="preserve"> niet worden beschouwd als controles met hetzelfde effect als grenscontroles wanneer grenstoezicht n</w:t>
            </w:r>
            <w:r w:rsidRPr="00ED3753">
              <w:t xml:space="preserve">iet hun doel is, wanneer zij gebaseerd zijn op algemene </w:t>
            </w:r>
            <w:r w:rsidRPr="00ED3753">
              <w:rPr>
                <w:b/>
                <w:bCs/>
                <w:i/>
                <w:iCs/>
              </w:rPr>
              <w:t>informatie</w:t>
            </w:r>
            <w:r w:rsidRPr="00ED3753">
              <w:t xml:space="preserve"> en ervaring </w:t>
            </w:r>
            <w:r w:rsidRPr="00ED3753">
              <w:rPr>
                <w:b/>
                <w:bCs/>
                <w:i/>
                <w:iCs/>
              </w:rPr>
              <w:t>van de bevoegde autoriteiten</w:t>
            </w:r>
            <w:r w:rsidRPr="00ED3753">
              <w:t xml:space="preserve"> met betrekking tot mogelijke bedreigingen van de openbare veiligheid of de openbare orde, </w:t>
            </w:r>
            <w:r w:rsidRPr="00ED3753">
              <w:rPr>
                <w:b/>
                <w:bCs/>
                <w:i/>
                <w:iCs/>
              </w:rPr>
              <w:t>ook</w:t>
            </w:r>
            <w:r w:rsidRPr="00ED3753">
              <w:t xml:space="preserve"> wanneer zij bestrijding van </w:t>
            </w:r>
            <w:r w:rsidRPr="00ED3753">
              <w:rPr>
                <w:b/>
                <w:bCs/>
                <w:i/>
                <w:iCs/>
              </w:rPr>
              <w:t>illegaal verblijf of vesti</w:t>
            </w:r>
            <w:r w:rsidRPr="00ED3753">
              <w:rPr>
                <w:b/>
                <w:bCs/>
                <w:i/>
                <w:iCs/>
              </w:rPr>
              <w:t>ging of</w:t>
            </w:r>
            <w:r w:rsidRPr="00ED3753">
              <w:t xml:space="preserve"> grensoverschrijdende criminaliteit </w:t>
            </w:r>
            <w:r w:rsidRPr="00ED3753">
              <w:rPr>
                <w:b/>
                <w:bCs/>
                <w:i/>
                <w:iCs/>
              </w:rPr>
              <w:t>in verband met irreguliere migratie</w:t>
            </w:r>
            <w:r w:rsidRPr="00ED3753">
              <w:t xml:space="preserve"> tot doel hebben, wanneer zij zodanig zijn opgezet en worden uitgevoerd dat zij duidelijk verschillen van stelselmatige personencontroles aan de </w:t>
            </w:r>
            <w:r w:rsidRPr="00ED3753">
              <w:rPr>
                <w:b/>
                <w:bCs/>
                <w:i/>
                <w:iCs/>
              </w:rPr>
              <w:t>buitengrenzen</w:t>
            </w:r>
            <w:r w:rsidRPr="00ED3753">
              <w:t>, en wanneer zij wor</w:t>
            </w:r>
            <w:r w:rsidRPr="00ED3753">
              <w:t>den uitgevoerd op vervoersknooppunten, waaronder havens, trein- of busstations en luchthavens of aan boord van diensten voor personenvervoer zelf en wanneer zij gebaseerd zijn op risicoanalyses.</w:t>
            </w:r>
          </w:p>
        </w:tc>
        <w:tc>
          <w:tcPr>
            <w:tcW w:w="4876" w:type="dxa"/>
            <w:hideMark/>
          </w:tcPr>
          <w:p w:rsidR="00120A92" w:rsidRPr="00ED3753" w:rsidRDefault="00F30C80">
            <w:pPr>
              <w:pStyle w:val="Normal6"/>
              <w:rPr>
                <w:szCs w:val="24"/>
              </w:rPr>
            </w:pPr>
            <w:r w:rsidRPr="00ED3753">
              <w:t>(18)</w:t>
            </w:r>
            <w:r w:rsidRPr="00ED3753">
              <w:tab/>
              <w:t>Hoewel onder het verbod op binnengrenstoezicht ook contr</w:t>
            </w:r>
            <w:r w:rsidRPr="00ED3753">
              <w:t xml:space="preserve">oles vallen die hetzelfde effect hebben, </w:t>
            </w:r>
            <w:r w:rsidRPr="00ED3753">
              <w:rPr>
                <w:b/>
                <w:bCs/>
                <w:i/>
                <w:iCs/>
              </w:rPr>
              <w:t xml:space="preserve">kunnen </w:t>
            </w:r>
            <w:r w:rsidRPr="00ED3753">
              <w:t>controles door</w:t>
            </w:r>
            <w:r w:rsidRPr="00ED3753">
              <w:rPr>
                <w:b/>
                <w:bCs/>
                <w:i/>
                <w:iCs/>
              </w:rPr>
              <w:t xml:space="preserve"> politiebevoegdheden</w:t>
            </w:r>
            <w:r w:rsidRPr="00ED3753">
              <w:t xml:space="preserve"> niet worden beschouwd als controles met hetzelfde effect als grenscontroles wanneer grenstoezicht niet hun doel is, wanneer zij gebaseerd zijn op algemene </w:t>
            </w:r>
            <w:r w:rsidRPr="00ED3753">
              <w:rPr>
                <w:b/>
                <w:bCs/>
                <w:i/>
                <w:iCs/>
              </w:rPr>
              <w:t>politie-informatie</w:t>
            </w:r>
            <w:r w:rsidRPr="00ED3753">
              <w:t xml:space="preserve"> en ervaring met betrekking tot mogelijke bedreigingen van de openbare veiligheid of de openbare orde, wanneer zij </w:t>
            </w:r>
            <w:r w:rsidRPr="00ED3753">
              <w:rPr>
                <w:b/>
                <w:bCs/>
                <w:i/>
                <w:iCs/>
              </w:rPr>
              <w:t xml:space="preserve">met name </w:t>
            </w:r>
            <w:r w:rsidRPr="00ED3753">
              <w:t>bestrijding van grensoverschrijdende criminaliteit tot doel hebben, wanneer zij zodanig zijn opgezet en worden uitgevoerd dat zij du</w:t>
            </w:r>
            <w:r w:rsidRPr="00ED3753">
              <w:t xml:space="preserve">idelijk verschillen van stelselmatige personencontroles aan de </w:t>
            </w:r>
            <w:r w:rsidRPr="00ED3753">
              <w:rPr>
                <w:b/>
                <w:bCs/>
                <w:i/>
                <w:iCs/>
              </w:rPr>
              <w:t>buiten- en binnengrenzen</w:t>
            </w:r>
            <w:r w:rsidRPr="00ED3753">
              <w:t xml:space="preserve">, en wanneer zij worden uitgevoerd op vervoersknooppunten, waaronder havens, trein- of busstations en luchthavens of aan boord van diensten voor personenvervoer zelf en </w:t>
            </w:r>
            <w:r w:rsidRPr="00ED3753">
              <w:t xml:space="preserve">wanneer zij gebaseerd zijn op risicoanalyses. </w:t>
            </w:r>
            <w:r w:rsidRPr="00ED3753">
              <w:rPr>
                <w:b/>
                <w:i/>
              </w:rPr>
              <w:t>Tegelijkertijd mogen de bevoegde autoriteiten, wanneer zij politiebevoegdheden uitoefenen in een grensgebied, dit alleen doen onder strikte, door de lidstaten vastgestelde gedetailleerde regels en beperkingen t</w:t>
            </w:r>
            <w:r w:rsidRPr="00ED3753">
              <w:rPr>
                <w:b/>
                <w:i/>
              </w:rPr>
              <w:t>eneinde het verwezenlijken van de doelstelling om het binnengrenstoezicht af te schaffen, niet in gevaar te brengen.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457877" w:rsidRPr="00ED3753" w:rsidRDefault="00F30C80" w:rsidP="00457877">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457877" w:rsidRPr="00ED3753" w:rsidRDefault="00F30C80" w:rsidP="00894B63">
      <w:pPr>
        <w:pStyle w:val="AmJustText"/>
      </w:pPr>
      <w:r w:rsidRPr="00ED3753">
        <w:t xml:space="preserve">De formulering moet dichter bij de in de Schengengrenscode bestaande </w:t>
      </w:r>
      <w:r w:rsidRPr="00ED3753">
        <w:t>formulering blijven. De rapporteur is het niet eens met de behandeling in de Schengengrenscode van aangelegenheden die beter aan het EU-asielacquis kunnen worden voorbehouden.</w:t>
      </w:r>
    </w:p>
    <w:p w:rsidR="00120A92" w:rsidRPr="00ED3753" w:rsidRDefault="00F30C80" w:rsidP="003013F0">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19</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w:t>
      </w:r>
      <w:r w:rsidRPr="00ED3753">
        <w:t>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19</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(19)</w:t>
            </w:r>
            <w:r w:rsidRPr="00ED3753">
              <w:tab/>
            </w:r>
            <w:r w:rsidRPr="00ED3753">
              <w:rPr>
                <w:b/>
                <w:bCs/>
                <w:i/>
                <w:iCs/>
              </w:rPr>
              <w:t>Hoewel irreguliere migratiestromen</w:t>
            </w:r>
            <w:r w:rsidRPr="00ED3753">
              <w:t xml:space="preserve"> op zichzelf niet mogen worden beschouwd als een bedreiging van de openbare orde of de binnenlandse veiligheid</w:t>
            </w:r>
            <w:r w:rsidRPr="00ED3753">
              <w:rPr>
                <w:b/>
                <w:bCs/>
                <w:i/>
                <w:iCs/>
              </w:rPr>
              <w:t>, kunn</w:t>
            </w:r>
            <w:r w:rsidRPr="00ED3753">
              <w:rPr>
                <w:b/>
                <w:bCs/>
                <w:i/>
                <w:iCs/>
              </w:rPr>
              <w:t>en zij wel aanvullende maatregelen noodzakelijk maken om de werking van het Schengengebied te waarborgen</w:t>
            </w:r>
            <w:r w:rsidRPr="00ED3753">
              <w:t>.</w:t>
            </w:r>
          </w:p>
        </w:tc>
        <w:tc>
          <w:tcPr>
            <w:tcW w:w="4876" w:type="dxa"/>
            <w:hideMark/>
          </w:tcPr>
          <w:p w:rsidR="00120A92" w:rsidRPr="00ED3753" w:rsidRDefault="00F30C80">
            <w:pPr>
              <w:pStyle w:val="Normal6"/>
              <w:rPr>
                <w:szCs w:val="24"/>
              </w:rPr>
            </w:pPr>
            <w:r w:rsidRPr="00ED3753">
              <w:t>(19)</w:t>
            </w:r>
            <w:r w:rsidRPr="00ED3753">
              <w:tab/>
            </w:r>
            <w:r w:rsidRPr="00ED3753">
              <w:rPr>
                <w:b/>
                <w:bCs/>
                <w:i/>
                <w:iCs/>
              </w:rPr>
              <w:t>Migratie en het overschrijden van buitengrenzen door een groot aantal onderdanen van derde landen zou</w:t>
            </w:r>
            <w:r w:rsidRPr="00ED3753">
              <w:t xml:space="preserve"> op zichzelf niet mogen worden beschouwd als een bedreiging van de openbare orde of de binnenlandse veiligheid.</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3524E8" w:rsidRPr="00ED3753" w:rsidRDefault="00F30C80" w:rsidP="003524E8">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3524E8" w:rsidRPr="00ED3753" w:rsidRDefault="00F30C80" w:rsidP="00894B63">
      <w:pPr>
        <w:pStyle w:val="AmJustText"/>
      </w:pPr>
      <w:r w:rsidRPr="00ED3753">
        <w:t xml:space="preserve">De tekst is vergelijkbaar met de huidige overweging 26 van de </w:t>
      </w:r>
      <w:r w:rsidRPr="00ED3753">
        <w:t>Schengengrenscode. Aangezien dit een wijzigingsverordening is, moet dit beginsel in deze verordening worden overgenomen.</w:t>
      </w:r>
    </w:p>
    <w:p w:rsidR="00120A92" w:rsidRPr="00ED3753" w:rsidRDefault="00F30C80" w:rsidP="003013F0">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20</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20</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(20)</w:t>
            </w:r>
            <w:r w:rsidRPr="00ED3753">
              <w:tab/>
            </w:r>
            <w:r w:rsidRPr="00ED3753">
              <w:rPr>
                <w:b/>
                <w:bCs/>
                <w:i/>
                <w:iCs/>
              </w:rPr>
              <w:t>De bestrijding van illegale vestiging of illegaal verblijf en</w:t>
            </w:r>
            <w:r w:rsidRPr="00ED3753">
              <w:t xml:space="preserve"> </w:t>
            </w:r>
            <w:r w:rsidRPr="00ED3753">
              <w:rPr>
                <w:b/>
                <w:bCs/>
                <w:i/>
                <w:iCs/>
              </w:rPr>
              <w:t>van</w:t>
            </w:r>
            <w:r w:rsidRPr="00ED3753">
              <w:t xml:space="preserve"> grensoverschrijdende criminaliteit in verband met irreguliere migratie, waaronder mensenhandel, migrantensmokkel en documentenfraude en </w:t>
            </w:r>
            <w:r w:rsidRPr="00ED3753">
              <w:t xml:space="preserve">andere vormen van grensoverschrijdende criminaliteit, kan </w:t>
            </w:r>
            <w:r w:rsidRPr="00ED3753">
              <w:rPr>
                <w:b/>
                <w:bCs/>
                <w:i/>
                <w:iCs/>
              </w:rPr>
              <w:t>met name</w:t>
            </w:r>
            <w:r w:rsidRPr="00ED3753">
              <w:t xml:space="preserve"> maatregelen </w:t>
            </w:r>
            <w:r w:rsidRPr="00ED3753">
              <w:rPr>
                <w:b/>
                <w:bCs/>
                <w:i/>
                <w:iCs/>
              </w:rPr>
              <w:t>omvatten</w:t>
            </w:r>
            <w:r w:rsidRPr="00ED3753">
              <w:t xml:space="preserve"> </w:t>
            </w:r>
            <w:r w:rsidRPr="00ED3753">
              <w:rPr>
                <w:b/>
                <w:bCs/>
                <w:i/>
                <w:iCs/>
              </w:rPr>
              <w:t>die de verificatie van</w:t>
            </w:r>
            <w:r w:rsidRPr="00ED3753">
              <w:t xml:space="preserve"> de identiteit, nationaliteit en verblijfsstatus van personen </w:t>
            </w:r>
            <w:r w:rsidRPr="00ED3753">
              <w:rPr>
                <w:b/>
                <w:bCs/>
                <w:i/>
                <w:iCs/>
              </w:rPr>
              <w:t>mogelijk maken</w:t>
            </w:r>
            <w:r w:rsidRPr="00ED3753">
              <w:t>, mits deze verificaties</w:t>
            </w:r>
            <w:r w:rsidRPr="00ED3753">
              <w:rPr>
                <w:b/>
                <w:bCs/>
                <w:i/>
                <w:iCs/>
              </w:rPr>
              <w:t xml:space="preserve"> </w:t>
            </w:r>
            <w:r w:rsidRPr="00ED3753">
              <w:t>niet</w:t>
            </w:r>
            <w:r w:rsidRPr="00ED3753">
              <w:rPr>
                <w:b/>
                <w:bCs/>
                <w:i/>
                <w:iCs/>
              </w:rPr>
              <w:t xml:space="preserve"> stelselmatig</w:t>
            </w:r>
            <w:r w:rsidRPr="00ED3753">
              <w:t xml:space="preserve"> </w:t>
            </w:r>
            <w:r w:rsidRPr="00ED3753">
              <w:rPr>
                <w:b/>
                <w:bCs/>
                <w:i/>
                <w:iCs/>
              </w:rPr>
              <w:t>plaatsvinden en</w:t>
            </w:r>
            <w:r w:rsidRPr="00ED3753">
              <w:t xml:space="preserve"> worden </w:t>
            </w:r>
            <w:r w:rsidRPr="00ED3753">
              <w:rPr>
                <w:b/>
                <w:bCs/>
                <w:i/>
                <w:iCs/>
              </w:rPr>
              <w:t>uitg</w:t>
            </w:r>
            <w:r w:rsidRPr="00ED3753">
              <w:rPr>
                <w:b/>
                <w:bCs/>
                <w:i/>
                <w:iCs/>
              </w:rPr>
              <w:t>evoerd</w:t>
            </w:r>
            <w:r w:rsidRPr="00ED3753">
              <w:t xml:space="preserve"> op basis van risicoanalyses.</w:t>
            </w:r>
          </w:p>
        </w:tc>
        <w:tc>
          <w:tcPr>
            <w:tcW w:w="4876" w:type="dxa"/>
            <w:hideMark/>
          </w:tcPr>
          <w:p w:rsidR="00120A92" w:rsidRPr="00ED3753" w:rsidRDefault="00F30C80" w:rsidP="00E605B4">
            <w:pPr>
              <w:pStyle w:val="Normal6"/>
              <w:rPr>
                <w:szCs w:val="24"/>
              </w:rPr>
            </w:pPr>
            <w:r w:rsidRPr="00ED3753">
              <w:t>(20)</w:t>
            </w:r>
            <w:r w:rsidRPr="00ED3753">
              <w:tab/>
            </w:r>
            <w:r w:rsidRPr="00ED3753">
              <w:rPr>
                <w:b/>
                <w:bCs/>
                <w:i/>
                <w:iCs/>
              </w:rPr>
              <w:t>Om irreguliere migratie en</w:t>
            </w:r>
            <w:r w:rsidRPr="00ED3753">
              <w:t xml:space="preserve"> grensoverschrijdende criminaliteit in verband met irreguliere migratie, waaronder mensenhandel, migrantensmokkel en documentenfraude </w:t>
            </w:r>
            <w:r w:rsidRPr="00ED3753">
              <w:rPr>
                <w:b/>
                <w:bCs/>
                <w:i/>
                <w:iCs/>
              </w:rPr>
              <w:t xml:space="preserve">tegen te gaan </w:t>
            </w:r>
            <w:r w:rsidRPr="00ED3753">
              <w:t>en andere vormen van grensoverschrijdende</w:t>
            </w:r>
            <w:r w:rsidRPr="00ED3753">
              <w:t xml:space="preserve"> criminaliteit </w:t>
            </w:r>
            <w:r w:rsidRPr="00ED3753">
              <w:rPr>
                <w:b/>
                <w:bCs/>
                <w:i/>
                <w:iCs/>
              </w:rPr>
              <w:t>te bestrijden</w:t>
            </w:r>
            <w:r w:rsidRPr="00ED3753">
              <w:t xml:space="preserve">, kan </w:t>
            </w:r>
            <w:r w:rsidRPr="00ED3753">
              <w:rPr>
                <w:b/>
                <w:bCs/>
                <w:i/>
                <w:iCs/>
              </w:rPr>
              <w:t xml:space="preserve">van de lidstaten worden verlangd dat zij </w:t>
            </w:r>
            <w:r w:rsidRPr="00ED3753">
              <w:t xml:space="preserve">maatregelen </w:t>
            </w:r>
            <w:r w:rsidRPr="00ED3753">
              <w:rPr>
                <w:b/>
                <w:bCs/>
                <w:i/>
                <w:iCs/>
              </w:rPr>
              <w:t>nemen om</w:t>
            </w:r>
            <w:r w:rsidRPr="00ED3753">
              <w:t xml:space="preserve"> de identiteit, nationaliteit en verblijfsstatus van personen </w:t>
            </w:r>
            <w:r w:rsidRPr="00ED3753">
              <w:rPr>
                <w:b/>
                <w:bCs/>
                <w:i/>
                <w:iCs/>
              </w:rPr>
              <w:t>te verifiëren</w:t>
            </w:r>
            <w:r w:rsidRPr="00ED3753">
              <w:t>, mits deze verificaties niet</w:t>
            </w:r>
            <w:r w:rsidRPr="00ED3753">
              <w:rPr>
                <w:b/>
                <w:bCs/>
                <w:i/>
                <w:iCs/>
              </w:rPr>
              <w:t xml:space="preserve"> systematisch aan de grens of in grensregio’s </w:t>
            </w:r>
            <w:r w:rsidRPr="00ED3753">
              <w:t>worden</w:t>
            </w:r>
            <w:r w:rsidRPr="00ED3753">
              <w:rPr>
                <w:b/>
                <w:bCs/>
                <w:i/>
                <w:iCs/>
              </w:rPr>
              <w:t xml:space="preserve"> verr</w:t>
            </w:r>
            <w:r w:rsidRPr="00ED3753">
              <w:rPr>
                <w:b/>
                <w:bCs/>
                <w:i/>
                <w:iCs/>
              </w:rPr>
              <w:t>icht, het non-discriminatiebeginsel niet schenden</w:t>
            </w:r>
            <w:r w:rsidRPr="00ED3753">
              <w:t xml:space="preserve"> </w:t>
            </w:r>
            <w:r w:rsidRPr="00ED3753">
              <w:rPr>
                <w:b/>
                <w:bCs/>
                <w:i/>
                <w:iCs/>
              </w:rPr>
              <w:t>en</w:t>
            </w:r>
            <w:r w:rsidRPr="00ED3753">
              <w:t xml:space="preserve"> op basis van risicoanalyses </w:t>
            </w:r>
            <w:r w:rsidRPr="00ED3753">
              <w:rPr>
                <w:b/>
                <w:bCs/>
                <w:i/>
                <w:iCs/>
              </w:rPr>
              <w:t>worden uitgevoerd</w:t>
            </w:r>
            <w:r w:rsidRPr="00ED3753">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6075CD" w:rsidRPr="00ED3753" w:rsidRDefault="00F30C80" w:rsidP="006075CD">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6075CD" w:rsidRPr="00ED3753" w:rsidRDefault="00F30C80" w:rsidP="006075CD">
      <w:pPr>
        <w:pStyle w:val="JustificationTitle"/>
        <w:jc w:val="both"/>
        <w:rPr>
          <w:rFonts w:eastAsiaTheme="minorHAnsi"/>
          <w:szCs w:val="24"/>
        </w:rPr>
      </w:pPr>
      <w:r w:rsidRPr="00ED3753">
        <w:t xml:space="preserve">De maatregelen van de lidstaten ter bestrijding van irreguliere migratie mogen geen </w:t>
      </w:r>
      <w:r w:rsidRPr="00ED3753">
        <w:t>rechtvaardiging vormen voor binnengrenstoezicht.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21</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(21)</w:t>
            </w:r>
            <w:r w:rsidRPr="00ED3753">
              <w:tab/>
              <w:t xml:space="preserve">Het gebruik van </w:t>
            </w:r>
            <w:r w:rsidRPr="00ED3753">
              <w:t>moderne technologieën voor de monitoring van verkeersstromen, met name op door de lidstaten aangewezen snelwegen en andere belangrijke wegen, kan van cruciaal belang zijn voor de aanpak van bedreigingen van de openbare orde of de binnenlandse veiligheid. H</w:t>
            </w:r>
            <w:r w:rsidRPr="00ED3753">
              <w:t xml:space="preserve">et verbod op binnengrenstoezicht mag niet worden opgevat als een verbod op de wettige uitoefening van </w:t>
            </w:r>
            <w:r w:rsidRPr="00ED3753">
              <w:rPr>
                <w:b/>
                <w:bCs/>
                <w:i/>
                <w:iCs/>
              </w:rPr>
              <w:t>politie-of andere overheidsbevoegdheden</w:t>
            </w:r>
            <w:r w:rsidRPr="00ED3753">
              <w:t xml:space="preserve"> om controles </w:t>
            </w:r>
            <w:r w:rsidRPr="00ED3753">
              <w:rPr>
                <w:b/>
                <w:bCs/>
                <w:i/>
                <w:iCs/>
              </w:rPr>
              <w:t>in de binnengrensgebieden</w:t>
            </w:r>
            <w:r w:rsidRPr="00ED3753">
              <w:t xml:space="preserve"> te verrichten</w:t>
            </w:r>
            <w:r w:rsidRPr="00ED3753">
              <w:rPr>
                <w:b/>
                <w:bCs/>
                <w:i/>
                <w:iCs/>
              </w:rPr>
              <w:t>.</w:t>
            </w:r>
            <w:r w:rsidRPr="00ED3753">
              <w:rPr>
                <w:b/>
                <w:i/>
              </w:rPr>
              <w:t xml:space="preserve"> </w:t>
            </w:r>
            <w:r w:rsidRPr="00ED3753">
              <w:rPr>
                <w:b/>
                <w:bCs/>
                <w:i/>
                <w:iCs/>
              </w:rPr>
              <w:t>Hieronder vallen ook</w:t>
            </w:r>
            <w:r w:rsidRPr="00ED3753">
              <w:t xml:space="preserve"> </w:t>
            </w:r>
            <w:r w:rsidRPr="00ED3753">
              <w:rPr>
                <w:b/>
                <w:bCs/>
                <w:i/>
                <w:iCs/>
              </w:rPr>
              <w:t>controles</w:t>
            </w:r>
            <w:r w:rsidRPr="00ED3753">
              <w:t xml:space="preserve"> waarbij gebruik wordt gemaakt van technologieën voor monitoring en bewaking die doorgaans op het grondgebied worden gebruikt of zijn gebaseerd op een risicobeoordeling ten behoeve van de bescherming van de binnenlandse veiligheid. </w:t>
            </w:r>
            <w:r w:rsidRPr="00ED3753">
              <w:rPr>
                <w:b/>
                <w:bCs/>
                <w:i/>
                <w:iCs/>
              </w:rPr>
              <w:t>Wanneer bij controles va</w:t>
            </w:r>
            <w:r w:rsidRPr="00ED3753">
              <w:rPr>
                <w:b/>
                <w:bCs/>
                <w:i/>
                <w:iCs/>
              </w:rPr>
              <w:t>n</w:t>
            </w:r>
            <w:r w:rsidRPr="00ED3753">
              <w:rPr>
                <w:b/>
                <w:bCs/>
              </w:rPr>
              <w:t xml:space="preserve"> </w:t>
            </w:r>
            <w:r w:rsidRPr="00ED3753">
              <w:t xml:space="preserve">deze technologieën </w:t>
            </w:r>
            <w:r w:rsidRPr="00ED3753">
              <w:rPr>
                <w:b/>
                <w:bCs/>
                <w:i/>
                <w:iCs/>
              </w:rPr>
              <w:t>gebruik wordt gemaakt</w:t>
            </w:r>
            <w:r w:rsidRPr="00ED3753">
              <w:t xml:space="preserve">, moeten </w:t>
            </w:r>
            <w:r w:rsidRPr="00ED3753">
              <w:rPr>
                <w:b/>
                <w:bCs/>
                <w:i/>
                <w:iCs/>
              </w:rPr>
              <w:t>die controles derhalve niet</w:t>
            </w:r>
            <w:r w:rsidRPr="00ED3753">
              <w:t xml:space="preserve"> worden </w:t>
            </w:r>
            <w:r w:rsidRPr="00ED3753">
              <w:rPr>
                <w:b/>
                <w:bCs/>
                <w:i/>
                <w:iCs/>
              </w:rPr>
              <w:t>beschouwd als controles met hetzelfde effect als grenstoezicht</w:t>
            </w:r>
            <w:r w:rsidRPr="00ED3753">
              <w:t>.</w:t>
            </w:r>
          </w:p>
        </w:tc>
        <w:tc>
          <w:tcPr>
            <w:tcW w:w="4876" w:type="dxa"/>
            <w:hideMark/>
          </w:tcPr>
          <w:p w:rsidR="00120A92" w:rsidRPr="00ED3753" w:rsidRDefault="00F30C80">
            <w:pPr>
              <w:pStyle w:val="Normal6"/>
              <w:rPr>
                <w:szCs w:val="24"/>
              </w:rPr>
            </w:pPr>
            <w:r w:rsidRPr="00ED3753">
              <w:t>(21)</w:t>
            </w:r>
            <w:r w:rsidRPr="00ED3753">
              <w:tab/>
              <w:t>Het gebruik van moderne technologieën voor de monitoring van verkeersstromen, met name op door de lid</w:t>
            </w:r>
            <w:r w:rsidRPr="00ED3753">
              <w:t>staten aangewezen snelwegen en andere belangrijke wegen, kan van cruciaal belang zijn voor de aanpak van bedreigingen van de openbare orde of de binnenlandse veiligheid. Het verbod op binnengrenstoezicht mag niet worden opgevat als een verbod op de wettige</w:t>
            </w:r>
            <w:r w:rsidRPr="00ED3753">
              <w:t xml:space="preserve"> uitoefening van </w:t>
            </w:r>
            <w:r w:rsidRPr="00ED3753">
              <w:rPr>
                <w:b/>
                <w:bCs/>
                <w:i/>
                <w:iCs/>
              </w:rPr>
              <w:t>politiebevoegdheden</w:t>
            </w:r>
            <w:r w:rsidRPr="00ED3753">
              <w:t xml:space="preserve"> om controles te verrichten</w:t>
            </w:r>
            <w:r w:rsidRPr="00ED3753">
              <w:rPr>
                <w:b/>
                <w:bCs/>
              </w:rPr>
              <w:t xml:space="preserve"> </w:t>
            </w:r>
            <w:r w:rsidRPr="00ED3753">
              <w:t>waarbij gebruik wordt gemaakt van technologieën voor monitoring en bewaking die doorgaans op het grondgebied worden gebruikt of zijn gebaseerd op een risicobeoordeling ten behoeve van de besch</w:t>
            </w:r>
            <w:r w:rsidRPr="00ED3753">
              <w:t xml:space="preserve">erming van de binnenlandse veiligheid. </w:t>
            </w:r>
            <w:r w:rsidRPr="00ED3753">
              <w:rPr>
                <w:b/>
                <w:bCs/>
                <w:i/>
                <w:iCs/>
              </w:rPr>
              <w:t>Om</w:t>
            </w:r>
            <w:r w:rsidRPr="00ED3753">
              <w:t xml:space="preserve"> deze technologieën </w:t>
            </w:r>
            <w:r w:rsidRPr="00ED3753">
              <w:rPr>
                <w:b/>
                <w:bCs/>
                <w:i/>
                <w:iCs/>
              </w:rPr>
              <w:t>doeltreffend te kunnen inzetten</w:t>
            </w:r>
            <w:r w:rsidRPr="00ED3753">
              <w:t xml:space="preserve">, moeten </w:t>
            </w:r>
            <w:r w:rsidRPr="00ED3753">
              <w:rPr>
                <w:b/>
                <w:bCs/>
                <w:i/>
                <w:iCs/>
              </w:rPr>
              <w:t xml:space="preserve">bij wegdoorlaatposten evenredige snelheidsbeperkingen kunnen </w:t>
            </w:r>
            <w:r w:rsidRPr="00ED3753">
              <w:t xml:space="preserve">worden </w:t>
            </w:r>
            <w:r w:rsidRPr="00ED3753">
              <w:rPr>
                <w:b/>
                <w:bCs/>
                <w:i/>
                <w:iCs/>
              </w:rPr>
              <w:t>ingesteld</w:t>
            </w:r>
            <w:r w:rsidRPr="00ED3753">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22</w:t>
      </w:r>
      <w:r w:rsidRPr="00ED3753">
        <w:rPr>
          <w:rStyle w:val="HideTWBExt"/>
          <w:b w:val="0"/>
        </w:rPr>
        <w:t>&lt;/NumA</w:t>
      </w:r>
      <w:r w:rsidRPr="00ED3753">
        <w:rPr>
          <w:rStyle w:val="HideTWBExt"/>
          <w:b w:val="0"/>
        </w:rPr>
        <w:t>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22</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(22)</w:t>
            </w:r>
            <w:r w:rsidRPr="00ED3753">
              <w:rPr>
                <w:b/>
                <w:i/>
              </w:rPr>
              <w:tab/>
            </w:r>
            <w:r w:rsidRPr="00ED3753">
              <w:rPr>
                <w:b/>
                <w:bCs/>
                <w:i/>
                <w:iCs/>
              </w:rPr>
              <w:t>Om</w:t>
            </w:r>
            <w:r w:rsidRPr="00ED3753">
              <w:rPr>
                <w:b/>
                <w:i/>
              </w:rPr>
              <w:t xml:space="preserve"> deze technologieën </w:t>
            </w:r>
            <w:r w:rsidRPr="00ED3753">
              <w:rPr>
                <w:b/>
                <w:bCs/>
                <w:i/>
                <w:iCs/>
              </w:rPr>
              <w:t>doeltreffend te kunnen inzetten</w:t>
            </w:r>
            <w:r w:rsidRPr="00ED3753">
              <w:rPr>
                <w:b/>
                <w:i/>
              </w:rPr>
              <w:t xml:space="preserve">, moeten </w:t>
            </w:r>
            <w:r w:rsidRPr="00ED3753">
              <w:rPr>
                <w:b/>
                <w:bCs/>
                <w:i/>
                <w:iCs/>
              </w:rPr>
              <w:t xml:space="preserve">bij wegdoorlaatposten evenredige snelheidsbeperkingen kunnen </w:t>
            </w:r>
            <w:r w:rsidRPr="00ED3753">
              <w:rPr>
                <w:b/>
                <w:i/>
              </w:rPr>
              <w:t xml:space="preserve">worden </w:t>
            </w:r>
            <w:r w:rsidRPr="00ED3753">
              <w:rPr>
                <w:b/>
                <w:bCs/>
                <w:i/>
                <w:iCs/>
              </w:rPr>
              <w:t>ingesteld</w:t>
            </w:r>
            <w:r w:rsidRPr="00ED3753">
              <w:rPr>
                <w:b/>
                <w:i/>
              </w:rPr>
              <w:t>.</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23</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25</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(25)</w:t>
            </w:r>
            <w:r w:rsidRPr="00ED3753">
              <w:tab/>
            </w:r>
            <w:r w:rsidRPr="00ED3753">
              <w:rPr>
                <w:b/>
                <w:i/>
              </w:rPr>
              <w:t>Er moeten maatregelen worden genomen tegen niet-toegestane verplaatsingen van illegaal verblijvende onderdanen van derde landen in een gebied zonder grenstoezicht aan de binnengrenzen.</w:t>
            </w:r>
            <w:r w:rsidRPr="00ED3753">
              <w:t xml:space="preserve"> Om de werking van</w:t>
            </w:r>
            <w:r w:rsidRPr="00ED3753">
              <w:t xml:space="preserve"> het Schengengebied te versterken</w:t>
            </w:r>
            <w:r w:rsidRPr="00ED3753">
              <w:rPr>
                <w:b/>
                <w:bCs/>
                <w:i/>
                <w:iCs/>
              </w:rPr>
              <w:t>,</w:t>
            </w:r>
            <w:r w:rsidRPr="00ED3753">
              <w:t xml:space="preserve"> </w:t>
            </w:r>
            <w:r w:rsidRPr="00ED3753">
              <w:rPr>
                <w:b/>
                <w:bCs/>
                <w:i/>
                <w:iCs/>
              </w:rPr>
              <w:t>moeten</w:t>
            </w:r>
            <w:r w:rsidRPr="00ED3753">
              <w:t xml:space="preserve"> lidstaten </w:t>
            </w:r>
            <w:r w:rsidRPr="00ED3753">
              <w:rPr>
                <w:b/>
                <w:bCs/>
                <w:i/>
                <w:iCs/>
              </w:rPr>
              <w:t>aanvullende maatregelen kunnen nemen tegen</w:t>
            </w:r>
            <w:r w:rsidRPr="00ED3753">
              <w:t xml:space="preserve"> irreguliere </w:t>
            </w:r>
            <w:r w:rsidRPr="00ED3753">
              <w:rPr>
                <w:b/>
                <w:bCs/>
                <w:i/>
                <w:iCs/>
              </w:rPr>
              <w:t>verplaatsingen</w:t>
            </w:r>
            <w:r w:rsidRPr="00ED3753">
              <w:t xml:space="preserve"> tussen lidstaten en </w:t>
            </w:r>
            <w:r w:rsidRPr="00ED3753">
              <w:rPr>
                <w:b/>
                <w:bCs/>
                <w:i/>
                <w:iCs/>
              </w:rPr>
              <w:t>illegaal</w:t>
            </w:r>
            <w:r w:rsidRPr="00ED3753">
              <w:t xml:space="preserve"> verblijf kunnen bestrijden</w:t>
            </w:r>
            <w:r w:rsidRPr="00ED3753">
              <w:rPr>
                <w:b/>
                <w:bCs/>
                <w:i/>
                <w:iCs/>
              </w:rPr>
              <w:t>.</w:t>
            </w:r>
            <w:r w:rsidRPr="00ED3753">
              <w:rPr>
                <w:b/>
                <w:i/>
              </w:rPr>
              <w:t xml:space="preserve"> </w:t>
            </w:r>
            <w:r w:rsidRPr="00ED3753">
              <w:rPr>
                <w:b/>
                <w:bCs/>
                <w:i/>
                <w:iCs/>
              </w:rPr>
              <w:t>Wanneer nationale rechtshandhavingsautoriteiten van een lidstaat illegaal ver</w:t>
            </w:r>
            <w:r w:rsidRPr="00ED3753">
              <w:rPr>
                <w:b/>
                <w:bCs/>
                <w:i/>
                <w:iCs/>
              </w:rPr>
              <w:t>blijvende</w:t>
            </w:r>
            <w:r w:rsidRPr="00ED3753">
              <w:rPr>
                <w:b/>
                <w:bCs/>
              </w:rPr>
              <w:t xml:space="preserve"> </w:t>
            </w:r>
            <w:r w:rsidRPr="00ED3753">
              <w:t xml:space="preserve">onderdanen van derde landen </w:t>
            </w:r>
            <w:r w:rsidRPr="00ED3753">
              <w:rPr>
                <w:b/>
                <w:bCs/>
                <w:i/>
                <w:iCs/>
              </w:rPr>
              <w:t xml:space="preserve">aan de binnengrenzen aanhouden in het kader van grensoverschrijdende politiële samenwerking, moeten die autoriteiten deze personen het recht om op hun grondgebied in te reizen of daar te verblijven kunnen ontzeggen en </w:t>
            </w:r>
            <w:r w:rsidRPr="00ED3753">
              <w:rPr>
                <w:b/>
                <w:bCs/>
                <w:i/>
                <w:iCs/>
              </w:rPr>
              <w:t>hen kunnen overbrengen naar de lidstaat van waaruit zij zijn ingereisd</w:t>
            </w:r>
            <w:r w:rsidRPr="00ED3753">
              <w:t>.</w:t>
            </w:r>
            <w:r w:rsidRPr="00ED3753">
              <w:rPr>
                <w:b/>
                <w:i/>
              </w:rPr>
              <w:t xml:space="preserve"> </w:t>
            </w:r>
            <w:r w:rsidRPr="00ED3753">
              <w:rPr>
                <w:b/>
                <w:bCs/>
                <w:i/>
                <w:iCs/>
              </w:rPr>
              <w:t>De lidstaat van waaruit de persoon rechtstreeks afkomstig is, moet op zijn beurt verplicht zijn de aangehouden onderdanen van derde landen te ontvangen.</w:t>
            </w:r>
          </w:p>
        </w:tc>
        <w:tc>
          <w:tcPr>
            <w:tcW w:w="4876" w:type="dxa"/>
            <w:hideMark/>
          </w:tcPr>
          <w:p w:rsidR="00120A92" w:rsidRPr="00ED3753" w:rsidRDefault="00F30C80" w:rsidP="00DE3D21">
            <w:pPr>
              <w:pStyle w:val="Normal6"/>
              <w:rPr>
                <w:szCs w:val="24"/>
              </w:rPr>
            </w:pPr>
            <w:r w:rsidRPr="00ED3753">
              <w:t>(25)</w:t>
            </w:r>
            <w:r w:rsidRPr="00ED3753">
              <w:tab/>
            </w:r>
            <w:r w:rsidRPr="00ED3753">
              <w:t xml:space="preserve">Om de werking van het Schengengebied te versterken </w:t>
            </w:r>
            <w:r w:rsidRPr="00ED3753">
              <w:rPr>
                <w:b/>
                <w:bCs/>
                <w:i/>
                <w:iCs/>
              </w:rPr>
              <w:t xml:space="preserve">en de </w:t>
            </w:r>
            <w:r w:rsidRPr="00ED3753">
              <w:t>lidstaten</w:t>
            </w:r>
            <w:r w:rsidRPr="00ED3753">
              <w:rPr>
                <w:b/>
                <w:bCs/>
              </w:rPr>
              <w:t xml:space="preserve"> </w:t>
            </w:r>
            <w:r w:rsidRPr="00ED3753">
              <w:rPr>
                <w:b/>
                <w:bCs/>
                <w:i/>
                <w:iCs/>
              </w:rPr>
              <w:t xml:space="preserve">te helpen bij het tegengaan van </w:t>
            </w:r>
            <w:r w:rsidRPr="00ED3753">
              <w:t xml:space="preserve">irreguliere </w:t>
            </w:r>
            <w:r w:rsidRPr="00ED3753">
              <w:rPr>
                <w:b/>
                <w:bCs/>
                <w:i/>
                <w:iCs/>
              </w:rPr>
              <w:t xml:space="preserve">migratie, ook </w:t>
            </w:r>
            <w:r w:rsidRPr="00ED3753">
              <w:t>tussen lidstaten</w:t>
            </w:r>
            <w:r w:rsidRPr="00ED3753">
              <w:rPr>
                <w:b/>
                <w:bCs/>
                <w:i/>
                <w:iCs/>
              </w:rPr>
              <w:t xml:space="preserve">, </w:t>
            </w:r>
            <w:r w:rsidRPr="00ED3753">
              <w:t xml:space="preserve">en </w:t>
            </w:r>
            <w:r w:rsidRPr="00ED3753">
              <w:rPr>
                <w:b/>
                <w:bCs/>
                <w:i/>
                <w:iCs/>
              </w:rPr>
              <w:t>onwettig</w:t>
            </w:r>
            <w:r w:rsidRPr="00ED3753">
              <w:t xml:space="preserve"> verblijf </w:t>
            </w:r>
            <w:r w:rsidRPr="00ED3753">
              <w:rPr>
                <w:b/>
                <w:bCs/>
                <w:i/>
                <w:iCs/>
              </w:rPr>
              <w:t xml:space="preserve">te </w:t>
            </w:r>
            <w:r w:rsidRPr="00ED3753">
              <w:t>kunnen bestrijden</w:t>
            </w:r>
            <w:r w:rsidRPr="00ED3753">
              <w:rPr>
                <w:b/>
                <w:bCs/>
                <w:i/>
                <w:iCs/>
              </w:rPr>
              <w:t>, heeft de Unie de afgelopen tien jaar tal van flankerende maatregelen g</w:t>
            </w:r>
            <w:r w:rsidRPr="00ED3753">
              <w:rPr>
                <w:b/>
                <w:bCs/>
                <w:i/>
                <w:iCs/>
              </w:rPr>
              <w:t xml:space="preserve">enomen, waaronder de instelling van een inreis-uitreissysteem (EES), de instelling van een Europees reisinformatie- en autorisatiesysteem (Etias) de oprichting van een Europese databank van strafregisters met betrekking tot </w:t>
            </w:r>
            <w:r w:rsidRPr="00ED3753">
              <w:t>onderdanen van derde landen</w:t>
            </w:r>
            <w:r w:rsidRPr="00ED3753">
              <w:rPr>
                <w:b/>
                <w:bCs/>
                <w:i/>
                <w:iCs/>
              </w:rPr>
              <w:t xml:space="preserve">, de </w:t>
            </w:r>
            <w:r w:rsidRPr="00ED3753">
              <w:rPr>
                <w:b/>
                <w:bCs/>
                <w:i/>
                <w:iCs/>
              </w:rPr>
              <w:t>hervorming van het Schengeninformatiesysteem (SIS), de hervorming van het Visuminformatiesysteem (VIS), twee grondige herzieningen van het mandaat van het Europees Grens- en kustwachtagentschap, en de totstandbrenging van een interoperabiliteitskader waard</w:t>
            </w:r>
            <w:r w:rsidRPr="00ED3753">
              <w:rPr>
                <w:b/>
                <w:bCs/>
                <w:i/>
                <w:iCs/>
              </w:rPr>
              <w:t>oor EU-databanken op het gebied van vrijheid, veiligheid en recht met elkaar kunnen communiceren</w:t>
            </w:r>
            <w:r w:rsidRPr="00ED3753">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4C7683" w:rsidRPr="00ED3753" w:rsidRDefault="00F30C80" w:rsidP="004C7683">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ED1E33" w:rsidRPr="00ED3753" w:rsidRDefault="00F30C80" w:rsidP="00ED1E33">
      <w:pPr>
        <w:pStyle w:val="JustificationTitle"/>
        <w:jc w:val="both"/>
        <w:rPr>
          <w:rFonts w:eastAsiaTheme="minorHAnsi"/>
          <w:szCs w:val="24"/>
        </w:rPr>
      </w:pPr>
      <w:r w:rsidRPr="00ED3753">
        <w:t xml:space="preserve">Het is belangrijk te wijzen op de reeds genomen maatregelen ter bescherming van het </w:t>
      </w:r>
      <w:r w:rsidRPr="00ED3753">
        <w:t>Schengengebied zonder binnengrenstoezicht. De schrapping vloeit voort uit de schrapping van artikel 23 bis.</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24</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26</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 xml:space="preserve">Door de </w:t>
            </w:r>
            <w:r w:rsidRPr="00ED3753">
              <w:t>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(26)</w:t>
            </w:r>
            <w:r w:rsidRPr="00ED3753">
              <w:rPr>
                <w:b/>
                <w:i/>
              </w:rPr>
              <w:tab/>
              <w:t>De procedure die een lidstaat volgt om illegaal verblijvende onderdanen van derde landen over te brengen naar een lidstaat van waaruit betrokkene direct afkomstig is, moet snel worden uitgevoerd, maar wel met i</w:t>
            </w:r>
            <w:r w:rsidRPr="00ED3753">
              <w:rPr>
                <w:b/>
                <w:i/>
              </w:rPr>
              <w:t>nachtneming van waarborgen en onder volledige eerbiediging van de grondrechten en het beginsel van non-discriminatie van artikel 21 van het Handvest, om etnisch profileren te voorkomen. Autoriteiten moeten relevante en onmiddellijk voor de autoriteiten bes</w:t>
            </w:r>
            <w:r w:rsidRPr="00ED3753">
              <w:rPr>
                <w:b/>
                <w:i/>
              </w:rPr>
              <w:t>chikbare informatie met betrekking tot de bewegingen van de betrokkenen kunnen verifiëren. Deze informatie kan onder meer bestaan uit objectieve gegevens op basis waarvan de autoriteiten kunnen vaststellen dat betrokkene recentelijk vanuit een andere lidst</w:t>
            </w:r>
            <w:r w:rsidRPr="00ED3753">
              <w:rPr>
                <w:b/>
                <w:i/>
              </w:rPr>
              <w:t>aat heeft gereisd, waaronder het bezit van documenten, met inbegrip van betalingsbewijzen of nota’s waaruit blijkt dat recentelijk vanuit een andere lidstaat is gereisd. Aan onderdanen van derde landen die in het kader van de procedure worden overgebracht,</w:t>
            </w:r>
            <w:r w:rsidRPr="00ED3753">
              <w:rPr>
                <w:b/>
                <w:i/>
              </w:rPr>
              <w:t xml:space="preserve"> moet een schriftelijk en met redenen omkleed besluit worden uitgereikt. Hoewel het besluit onmiddellijk uitvoerbaar moet zijn, moet aan de onderdaan van een derde land een doeltreffend rechtsmiddel van beroep of bezwaar tegen het overbrengingsbesluit word</w:t>
            </w:r>
            <w:r w:rsidRPr="00ED3753">
              <w:rPr>
                <w:b/>
                <w:i/>
              </w:rPr>
              <w:t>en toegekend. Dit rechtsmiddel mag geen opschortende werking hebben.</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784CF6" w:rsidRPr="00ED3753" w:rsidRDefault="00F30C80" w:rsidP="00784CF6">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784CF6" w:rsidRPr="00ED3753" w:rsidRDefault="00F30C80" w:rsidP="00894B63">
      <w:pPr>
        <w:pStyle w:val="AmJustText"/>
        <w:rPr>
          <w:rFonts w:eastAsiaTheme="minorHAnsi"/>
          <w:i w:val="0"/>
        </w:rPr>
      </w:pPr>
      <w:r w:rsidRPr="00ED3753">
        <w:t xml:space="preserve">Het is niet de taak van de Schengengrenscode om een interne terugkeerprocedure in het Schengengebied in te </w:t>
      </w:r>
      <w:r w:rsidRPr="00ED3753">
        <w:t>voeren. Dit is duidelijk in strijd met de geest van het Schengengebied zonder binnengrenstoezicht en weerspiegelt de noodzaak van vooruitgang bij het hervormen van andere beleidsterreinen.</w:t>
      </w:r>
    </w:p>
    <w:p w:rsidR="00120A92" w:rsidRPr="00ED3753" w:rsidRDefault="00F30C80" w:rsidP="003013F0">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25</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w:t>
      </w:r>
      <w:r w:rsidRPr="00ED3753">
        <w:t>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27</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(27)</w:t>
            </w:r>
            <w:r w:rsidRPr="00ED3753">
              <w:tab/>
            </w:r>
            <w:r w:rsidRPr="00ED3753">
              <w:rPr>
                <w:b/>
                <w:bCs/>
                <w:i/>
                <w:iCs/>
              </w:rPr>
              <w:t xml:space="preserve">De overbrengingsprocedure </w:t>
            </w:r>
            <w:r w:rsidRPr="00ED3753">
              <w:t xml:space="preserve">waarin deze verordening voorziet, mag </w:t>
            </w:r>
            <w:r w:rsidRPr="00ED3753">
              <w:rPr>
                <w:b/>
                <w:bCs/>
                <w:i/>
                <w:iCs/>
              </w:rPr>
              <w:t>geen</w:t>
            </w:r>
            <w:r w:rsidRPr="00ED3753">
              <w:t xml:space="preserve"> afbreuk doen aan de bestaande mogelijkheid voor lidstaten om illegaal verblijvende onderdanen van derde landen terug te zenden in overeenstemming met bilaterale overeenkomsten of regelingen als bedoeld in artikel 6, lid 3, van Richtlijn 2008/115/EG (de “t</w:t>
            </w:r>
            <w:r w:rsidRPr="00ED3753">
              <w:t xml:space="preserve">erugkeerrichtlijn”) wanneer deze personen niet in de nabijheid van binnengrenzen worden aangetroffen. </w:t>
            </w:r>
            <w:r w:rsidRPr="00ED3753">
              <w:rPr>
                <w:b/>
                <w:i/>
              </w:rPr>
              <w:t>Om de toepassing van die overeenkomsten te vereenvoudigen, en in aanvulling op de doelstelling om het gebied zonder binnengrenzen te beschermen, moet de l</w:t>
            </w:r>
            <w:r w:rsidRPr="00ED3753">
              <w:rPr>
                <w:b/>
                <w:i/>
              </w:rPr>
              <w:t>idstaten de mogelijkheid worden geboden om nieuwe overeenkomsten of regelingen aan te gaan en bestaande aan te passen. De Commissie moet in alle gevallen in kennis worden gesteld van deze wijzigingen of aanpassingen van nieuwe overeenkomsten of regelingen.</w:t>
            </w:r>
            <w:r w:rsidRPr="00ED3753">
              <w:rPr>
                <w:b/>
                <w:i/>
              </w:rPr>
              <w:t xml:space="preserve"> Wanneer een lidstaat een onderdaan van een derde land heeft teruggenomen ingevolge de in deze verordening bedoelde procedure of op grond van een bilaterale overeenkomst of regeling, moet de betrokken lidstaat een terugkeerbesluit uitvaardigen overeenkomst</w:t>
            </w:r>
            <w:r w:rsidRPr="00ED3753">
              <w:rPr>
                <w:b/>
                <w:i/>
              </w:rPr>
              <w:t>ig de terugkeerrichtlijn. Om de samenhang tussen de nieuwe in deze verordening bedoelde procedures en bestaande voorschriften inzake de terugkeer van onderdanen van derde landen te waarborgen, is derhalve een gerichte aanpassing nodig van artikel 6, lid 3,</w:t>
            </w:r>
            <w:r w:rsidRPr="00ED3753">
              <w:rPr>
                <w:b/>
                <w:i/>
              </w:rPr>
              <w:t xml:space="preserve"> van de terugkeerrichtlijn.</w:t>
            </w:r>
          </w:p>
        </w:tc>
        <w:tc>
          <w:tcPr>
            <w:tcW w:w="4876" w:type="dxa"/>
            <w:hideMark/>
          </w:tcPr>
          <w:p w:rsidR="00120A92" w:rsidRPr="00ED3753" w:rsidRDefault="00F30C80">
            <w:pPr>
              <w:pStyle w:val="Normal6"/>
              <w:rPr>
                <w:szCs w:val="24"/>
              </w:rPr>
            </w:pPr>
            <w:r w:rsidRPr="00ED3753">
              <w:t>(27)</w:t>
            </w:r>
            <w:r w:rsidRPr="00ED3753">
              <w:tab/>
            </w:r>
            <w:r w:rsidRPr="00ED3753">
              <w:rPr>
                <w:b/>
                <w:bCs/>
                <w:i/>
                <w:iCs/>
              </w:rPr>
              <w:t xml:space="preserve">Niets </w:t>
            </w:r>
            <w:r w:rsidRPr="00ED3753">
              <w:t xml:space="preserve">waarin deze verordening voorziet, mag afbreuk doen aan de bestaande mogelijkheid voor lidstaten om illegaal verblijvende onderdanen van derde landen terug te zenden in overeenstemming met bilaterale overeenkomsten of </w:t>
            </w:r>
            <w:r w:rsidRPr="00ED3753">
              <w:t>regelingen als bedoeld in artikel 6, lid 3, van Richtlijn 2008/115/EG (de “terugkeerrichtlijn”) wanneer deze personen niet in de nabijheid van binnengrenzen worden aangetroffen.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3479D1" w:rsidRPr="00ED3753" w:rsidRDefault="00F30C80" w:rsidP="003479D1">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3479D1" w:rsidRPr="00ED3753" w:rsidRDefault="00F30C80" w:rsidP="003479D1">
      <w:pPr>
        <w:pStyle w:val="JustificationTitle"/>
        <w:jc w:val="both"/>
        <w:rPr>
          <w:rFonts w:eastAsiaTheme="minorHAnsi"/>
          <w:szCs w:val="24"/>
        </w:rPr>
      </w:pPr>
      <w:r w:rsidRPr="00ED3753">
        <w:t>De standsti</w:t>
      </w:r>
      <w:r w:rsidRPr="00ED3753">
        <w:t>llclausule in de terugkeerrichtlijn was bedoeld om ervoor te zorgen dat de EU naar een meer geharmoniseerde aanpak toewerkt. De rapporteur wil in dat opzicht geen stap achteruit zetten door meer bilaterale overeenkomsten binnen het Schengengebied aan te mo</w:t>
      </w:r>
      <w:r w:rsidRPr="00ED3753">
        <w:t>edigen die alleen dienen om de EU-regels te omzeilen.</w:t>
      </w:r>
    </w:p>
    <w:p w:rsidR="00120A92" w:rsidRPr="00ED3753" w:rsidRDefault="00F30C80" w:rsidP="00120A92">
      <w:r w:rsidRPr="00ED3753">
        <w:rPr>
          <w:rStyle w:val="HideTWBExt"/>
        </w:rPr>
        <w:t>&lt;/Amend&gt;</w:t>
      </w:r>
    </w:p>
    <w:p w:rsidR="004B222E" w:rsidRPr="00ED3753" w:rsidRDefault="00F30C80" w:rsidP="004B222E">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26</w:t>
      </w:r>
      <w:r w:rsidRPr="00ED3753">
        <w:rPr>
          <w:rStyle w:val="HideTWBExt"/>
          <w:b w:val="0"/>
        </w:rPr>
        <w:t>&lt;/NumAm&gt;</w:t>
      </w:r>
    </w:p>
    <w:p w:rsidR="0095790A" w:rsidRPr="00ED3753" w:rsidRDefault="00F30C80" w:rsidP="0095790A">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95790A" w:rsidRPr="00ED3753" w:rsidRDefault="00F30C80" w:rsidP="0095790A">
      <w:pPr>
        <w:pStyle w:val="NormalBold"/>
      </w:pPr>
      <w:r w:rsidRPr="00ED3753">
        <w:rPr>
          <w:rStyle w:val="HideTWBExt"/>
          <w:b w:val="0"/>
        </w:rPr>
        <w:t>&lt;Article&gt;</w:t>
      </w:r>
      <w:r w:rsidRPr="00ED3753">
        <w:t>Overweging 28</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95790A">
        <w:trPr>
          <w:jc w:val="center"/>
        </w:trPr>
        <w:tc>
          <w:tcPr>
            <w:tcW w:w="9752" w:type="dxa"/>
            <w:gridSpan w:val="2"/>
          </w:tcPr>
          <w:p w:rsidR="0095790A" w:rsidRPr="00ED3753" w:rsidRDefault="0095790A">
            <w:pPr>
              <w:keepNext/>
            </w:pPr>
          </w:p>
        </w:tc>
      </w:tr>
      <w:tr w:rsidR="00264914" w:rsidRPr="00ED3753" w:rsidTr="0095790A">
        <w:trPr>
          <w:jc w:val="center"/>
        </w:trPr>
        <w:tc>
          <w:tcPr>
            <w:tcW w:w="4876" w:type="dxa"/>
            <w:hideMark/>
          </w:tcPr>
          <w:p w:rsidR="0095790A" w:rsidRPr="00ED3753" w:rsidRDefault="00F30C80">
            <w:pPr>
              <w:pStyle w:val="ColumnHeading"/>
              <w:keepNext/>
            </w:pPr>
            <w:r w:rsidRPr="00ED3753">
              <w:t>Door de Commissie voorgestelde tekst</w:t>
            </w:r>
          </w:p>
        </w:tc>
        <w:tc>
          <w:tcPr>
            <w:tcW w:w="4876" w:type="dxa"/>
            <w:hideMark/>
          </w:tcPr>
          <w:p w:rsidR="0095790A" w:rsidRPr="00ED3753" w:rsidRDefault="00F30C80">
            <w:pPr>
              <w:pStyle w:val="ColumnHeading"/>
              <w:keepNext/>
            </w:pPr>
            <w:r w:rsidRPr="00ED3753">
              <w:t>Amendement</w:t>
            </w:r>
          </w:p>
        </w:tc>
      </w:tr>
      <w:tr w:rsidR="00264914" w:rsidRPr="00ED3753" w:rsidTr="0095790A">
        <w:trPr>
          <w:jc w:val="center"/>
        </w:trPr>
        <w:tc>
          <w:tcPr>
            <w:tcW w:w="4876" w:type="dxa"/>
            <w:hideMark/>
          </w:tcPr>
          <w:p w:rsidR="0095790A" w:rsidRPr="00ED3753" w:rsidRDefault="00F30C80">
            <w:pPr>
              <w:pStyle w:val="Normal6"/>
            </w:pPr>
            <w:r w:rsidRPr="00ED3753">
              <w:t>(28)</w:t>
            </w:r>
            <w:r w:rsidRPr="00ED3753">
              <w:tab/>
              <w:t xml:space="preserve">Bij optreden </w:t>
            </w:r>
            <w:r w:rsidRPr="00ED3753">
              <w:t xml:space="preserve">tegen bedreigingen voor het Schengengebied kan het in uitzonderlijke gevallen nodig zijn dat de lidstaten maatregelen voor de binnengrenzen nemen. </w:t>
            </w:r>
            <w:r w:rsidRPr="00ED3753">
              <w:rPr>
                <w:b/>
                <w:bCs/>
                <w:i/>
                <w:iCs/>
              </w:rPr>
              <w:t>De lidstaten blijven bevoegd om te bepalen of</w:t>
            </w:r>
            <w:r w:rsidRPr="00ED3753">
              <w:t xml:space="preserve"> tijdelijke herinvoering </w:t>
            </w:r>
            <w:r w:rsidRPr="00ED3753">
              <w:rPr>
                <w:b/>
                <w:bCs/>
                <w:i/>
                <w:iCs/>
              </w:rPr>
              <w:t>of verlenging</w:t>
            </w:r>
            <w:r w:rsidRPr="00ED3753">
              <w:t xml:space="preserve"> van </w:t>
            </w:r>
            <w:r w:rsidRPr="00ED3753">
              <w:rPr>
                <w:b/>
                <w:bCs/>
                <w:i/>
                <w:iCs/>
              </w:rPr>
              <w:t>grenstoezicht</w:t>
            </w:r>
            <w:r w:rsidRPr="00ED3753">
              <w:t xml:space="preserve"> </w:t>
            </w:r>
            <w:r w:rsidRPr="00ED3753">
              <w:rPr>
                <w:b/>
                <w:bCs/>
                <w:i/>
                <w:iCs/>
              </w:rPr>
              <w:t>noodzak</w:t>
            </w:r>
            <w:r w:rsidRPr="00ED3753">
              <w:rPr>
                <w:b/>
                <w:bCs/>
                <w:i/>
                <w:iCs/>
              </w:rPr>
              <w:t>elijk</w:t>
            </w:r>
            <w:r w:rsidRPr="00ED3753">
              <w:t xml:space="preserve"> </w:t>
            </w:r>
            <w:r w:rsidRPr="00ED3753">
              <w:rPr>
                <w:b/>
                <w:bCs/>
                <w:i/>
                <w:iCs/>
              </w:rPr>
              <w:t>is</w:t>
            </w:r>
            <w:r w:rsidRPr="00ED3753">
              <w:t xml:space="preserve">. Ingevolge de bestaande voorschriften is </w:t>
            </w:r>
            <w:r w:rsidRPr="00ED3753">
              <w:rPr>
                <w:b/>
                <w:bCs/>
                <w:i/>
                <w:iCs/>
              </w:rPr>
              <w:t>herinvoering</w:t>
            </w:r>
            <w:r w:rsidRPr="00ED3753">
              <w:t xml:space="preserve"> van binnengrenstoezicht toegestaan wanneer gedurende beperkte tijd in één lidstaat sprake is van een ernstige bedreiging van de binnenlandse veiligheid of de openbare orde. Met name kunnen terr</w:t>
            </w:r>
            <w:r w:rsidRPr="00ED3753">
              <w:t>orisme en georganiseerde criminaliteit, grootschalige noodsituaties op het gebied van de volksgezondheid of grote of belangrijke internationale gebeurtenissen, bijvoorbeeld op het gebied van sport, handel of politiek, een ernstige bedreiging van de openbar</w:t>
            </w:r>
            <w:r w:rsidRPr="00ED3753">
              <w:t>e orde of de binnenlandse veiligheid vormen.</w:t>
            </w:r>
          </w:p>
        </w:tc>
        <w:tc>
          <w:tcPr>
            <w:tcW w:w="4876" w:type="dxa"/>
            <w:hideMark/>
          </w:tcPr>
          <w:p w:rsidR="0095790A" w:rsidRPr="00ED3753" w:rsidRDefault="00F30C80" w:rsidP="00756435">
            <w:pPr>
              <w:pStyle w:val="Normal6"/>
              <w:rPr>
                <w:szCs w:val="24"/>
              </w:rPr>
            </w:pPr>
            <w:r w:rsidRPr="00ED3753">
              <w:t>(28)</w:t>
            </w:r>
            <w:r w:rsidRPr="00ED3753">
              <w:tab/>
              <w:t xml:space="preserve">Bij optreden tegen bedreigingen voor het Schengengebied kan het in uitzonderlijke gevallen nodig zijn dat de lidstaten maatregelen voor de binnengrenzen nemen. </w:t>
            </w:r>
            <w:r w:rsidRPr="00ED3753">
              <w:rPr>
                <w:b/>
                <w:bCs/>
                <w:i/>
                <w:iCs/>
              </w:rPr>
              <w:t>Aangezien de</w:t>
            </w:r>
            <w:r w:rsidRPr="00ED3753">
              <w:t xml:space="preserve"> tijdelijke herinvoering van </w:t>
            </w:r>
            <w:r w:rsidRPr="00ED3753">
              <w:rPr>
                <w:b/>
                <w:bCs/>
                <w:i/>
                <w:iCs/>
              </w:rPr>
              <w:t>binne</w:t>
            </w:r>
            <w:r w:rsidRPr="00ED3753">
              <w:rPr>
                <w:b/>
                <w:bCs/>
                <w:i/>
                <w:iCs/>
              </w:rPr>
              <w:t>ngrenstoezicht</w:t>
            </w:r>
            <w:r w:rsidRPr="00ED3753">
              <w:t xml:space="preserve"> </w:t>
            </w:r>
            <w:r w:rsidRPr="00ED3753">
              <w:rPr>
                <w:b/>
                <w:bCs/>
                <w:i/>
                <w:iCs/>
              </w:rPr>
              <w:t>gevolgen heeft voor het vrije verkeer van personen, moet een besluit tot herinvoering van dergelijk toezicht worden genomen in overeenstemming met gezamenlijk overeengekomen criteria en naar behoren aan de Commissie worden meegedeeld of door</w:t>
            </w:r>
            <w:r w:rsidRPr="00ED3753">
              <w:rPr>
                <w:b/>
                <w:bCs/>
                <w:i/>
                <w:iCs/>
              </w:rPr>
              <w:t xml:space="preserve"> een instelling van de Unie worden aanbevolen</w:t>
            </w:r>
            <w:r w:rsidRPr="00ED3753">
              <w:t xml:space="preserve">. Ingevolge de bestaande voorschriften is </w:t>
            </w:r>
            <w:r w:rsidRPr="00ED3753">
              <w:rPr>
                <w:b/>
                <w:bCs/>
                <w:i/>
                <w:iCs/>
              </w:rPr>
              <w:t>invoering</w:t>
            </w:r>
            <w:r w:rsidRPr="00ED3753">
              <w:t xml:space="preserve"> van binnengrenstoezicht toegestaan wanneer gedurende beperkte tijd in één lidstaat sprake is van een ernstige bedreiging van de binnenlandse veiligheid of de o</w:t>
            </w:r>
            <w:r w:rsidRPr="00ED3753">
              <w:t xml:space="preserve">penbare orde. Met name kunnen terrorisme en georganiseerde criminaliteit, grootschalige noodsituaties op het gebied van de volksgezondheid of grote of belangrijke internationale gebeurtenissen, bijvoorbeeld op het gebied van sport, handel of politiek, een </w:t>
            </w:r>
            <w:r w:rsidRPr="00ED3753">
              <w:t>ernstige bedreiging van de openbare orde of de binnenlandse veiligheid vormen.</w:t>
            </w:r>
          </w:p>
        </w:tc>
      </w:tr>
    </w:tbl>
    <w:p w:rsidR="0095790A" w:rsidRPr="00ED3753" w:rsidRDefault="00F30C80" w:rsidP="0095790A">
      <w:pPr>
        <w:pStyle w:val="Olang"/>
      </w:pPr>
      <w:r w:rsidRPr="00ED3753">
        <w:t xml:space="preserve">Or. </w:t>
      </w:r>
      <w:r w:rsidRPr="00ED3753">
        <w:rPr>
          <w:rStyle w:val="HideTWBExt"/>
        </w:rPr>
        <w:t>&lt;Original&gt;</w:t>
      </w:r>
      <w:r w:rsidRPr="00ED3753">
        <w:rPr>
          <w:rStyle w:val="HideTWBInt"/>
        </w:rPr>
        <w:t>{EN}</w:t>
      </w:r>
      <w:r w:rsidRPr="00ED3753">
        <w:t>en</w:t>
      </w:r>
      <w:r w:rsidRPr="00ED3753">
        <w:rPr>
          <w:rStyle w:val="HideTWBExt"/>
        </w:rPr>
        <w:t>&lt;/Original&gt;</w:t>
      </w:r>
    </w:p>
    <w:p w:rsidR="00B95AE0" w:rsidRPr="00ED3753" w:rsidRDefault="00F30C80" w:rsidP="00B95AE0">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B95AE0" w:rsidRPr="00ED3753" w:rsidRDefault="00F30C80" w:rsidP="00B95AE0">
      <w:pPr>
        <w:pStyle w:val="JustificationTitle"/>
        <w:jc w:val="both"/>
        <w:rPr>
          <w:rFonts w:eastAsiaTheme="minorHAnsi"/>
          <w:szCs w:val="24"/>
        </w:rPr>
      </w:pPr>
      <w:r w:rsidRPr="00ED3753">
        <w:t xml:space="preserve">De basis waarop de tijdelijke herinvoering van binnengrenstoezicht moet plaatsvinden, is reeds uiteengezet in </w:t>
      </w:r>
      <w:r w:rsidRPr="00ED3753">
        <w:t>de huidige versie van de Schengengrenscode (zie overweging 23). Deze basis mag niet worden verward met nieuwe overwegingen die een andere aanpak suggereren.</w:t>
      </w:r>
    </w:p>
    <w:p w:rsidR="0095790A" w:rsidRPr="00ED3753" w:rsidRDefault="00F30C80" w:rsidP="0095790A">
      <w:pPr>
        <w:rPr>
          <w:szCs w:val="24"/>
        </w:rPr>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27</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29</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(29)</w:t>
            </w:r>
            <w:r w:rsidRPr="00ED3753">
              <w:rPr>
                <w:b/>
                <w:i/>
              </w:rPr>
              <w:tab/>
              <w:t>Daarnaast kan een ernstige bedreiging van de openbare orde of de binnenlandse veiligheid ook ontstaan door grootschalige niet-toegestane verplaatsingen van irreguliere</w:t>
            </w:r>
            <w:r w:rsidRPr="00ED3753">
              <w:rPr>
                <w:b/>
                <w:i/>
              </w:rPr>
              <w:t xml:space="preserve"> migranten tussen de lidstaten wanneer hierdoor de totale middelen en capaciteit van de verantwoordelijke nationale diensten onder druk komen te staan, en wanneer de andere in deze verordening bedoelde middelen ontoereikend zijn om deze instroom en verplaa</w:t>
            </w:r>
            <w:r w:rsidRPr="00ED3753">
              <w:rPr>
                <w:b/>
                <w:i/>
              </w:rPr>
              <w:t>tsingen het hoofd te kunnen bieden. In dit verband moeten de lidstaten kunnen vertrouwen op beschikbare objectieve en gekwantificeerde verslagen over niet-toegestane verplaatsingen, met name wanneer deze regelmatig door de bevoegde agentschappen van de Uni</w:t>
            </w:r>
            <w:r w:rsidRPr="00ED3753">
              <w:rPr>
                <w:b/>
                <w:i/>
              </w:rPr>
              <w:t>e overeenkomstig hun respectieve mandaten worden opgesteld. Een lidstaat moet van de door de agentschappen verstrekte informatie gebruik kunnen maken om in de risicobeoordeling de uitzonderlijke aard aan te tonen van de geconstateerde bedreiging die van ni</w:t>
            </w:r>
            <w:r w:rsidRPr="00ED3753">
              <w:rPr>
                <w:b/>
                <w:i/>
              </w:rPr>
              <w:t>et-toegestane verplaatsingen uitgaat, om de herinvoering van grenstoezicht aan de binnengrenzen op deze grond te rechtvaardigen.</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C84843" w:rsidRPr="00ED3753" w:rsidRDefault="00F30C80" w:rsidP="00C84843">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C84843" w:rsidRPr="00ED3753" w:rsidRDefault="00F30C80" w:rsidP="00C84843">
      <w:pPr>
        <w:pStyle w:val="JustificationTitle"/>
        <w:jc w:val="both"/>
        <w:rPr>
          <w:rFonts w:eastAsiaTheme="minorHAnsi"/>
          <w:szCs w:val="24"/>
        </w:rPr>
      </w:pPr>
      <w:r w:rsidRPr="00ED3753">
        <w:t xml:space="preserve">De noodzaak van hervormingen op andere </w:t>
      </w:r>
      <w:r w:rsidRPr="00ED3753">
        <w:t>beleidsterreinen mag niet als voorwendsel voor binnengrenstoezicht worden gebruikt. Deze overweging biedt de lidstaten simpelweg een nieuwe grond voor de invoering van binnengrenstoezicht die tot nu toe onwettig was. Deze overweging is onmogelijk te vereni</w:t>
      </w:r>
      <w:r w:rsidRPr="00ED3753">
        <w:t>gen met de rechtsgrondslag van artikel 77, lid 2, punt e).</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28</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31</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(31)</w:t>
            </w:r>
            <w:r w:rsidRPr="00ED3753">
              <w:tab/>
              <w:t xml:space="preserve">Het nieuwe </w:t>
            </w:r>
            <w:r w:rsidRPr="00ED3753">
              <w:t>waarborgmechanisme voor het Schengengebied moet de Raad in staat stellen om, op voorstel van de Commissie, bij besluit de herinvoering of verlenging van binnengrenstoezicht toe te staan wanneer dit gerechtvaardigd is vanwege een specifieke bedreiging die w</w:t>
            </w:r>
            <w:r w:rsidRPr="00ED3753">
              <w:t>ordt geconstateerd op basis van kennisgevingen van individuele lidstaten, of van andere beschikbare informatie</w:t>
            </w:r>
            <w:r w:rsidRPr="00ED3753">
              <w:rPr>
                <w:b/>
                <w:bCs/>
                <w:i/>
                <w:iCs/>
              </w:rPr>
              <w:t>, waaronder met name een risicobeoordeling, in geval van verlenging van het binnengrenstoezicht tot meer dan zes maanden</w:t>
            </w:r>
            <w:r w:rsidRPr="00ED3753">
              <w:t xml:space="preserve">. Gezien de politiek </w:t>
            </w:r>
            <w:r w:rsidRPr="00ED3753">
              <w:t>gevoelige aard van een dergelijk besluit, dat ingrijpt in de mogelijkheid voor lidstaten om in bijzondere omstandigheden opnieuw binnengrenstoezicht in te voeren of dit te verlengen, moeten aan de Raad uitvoeringsbevoegdheden worden verleend om een besluit</w:t>
            </w:r>
            <w:r w:rsidRPr="00ED3753">
              <w:t xml:space="preserve"> vast te stellen op basis van een voorstel van de Commissie.</w:t>
            </w:r>
          </w:p>
        </w:tc>
        <w:tc>
          <w:tcPr>
            <w:tcW w:w="4876" w:type="dxa"/>
            <w:hideMark/>
          </w:tcPr>
          <w:p w:rsidR="00120A92" w:rsidRPr="00ED3753" w:rsidRDefault="00F30C80">
            <w:pPr>
              <w:pStyle w:val="Normal6"/>
              <w:rPr>
                <w:szCs w:val="24"/>
              </w:rPr>
            </w:pPr>
            <w:r w:rsidRPr="00ED3753">
              <w:t>(31)</w:t>
            </w:r>
            <w:r w:rsidRPr="00ED3753">
              <w:tab/>
              <w:t xml:space="preserve">Het nieuwe waarborgmechanisme </w:t>
            </w:r>
            <w:r w:rsidRPr="00ED3753">
              <w:rPr>
                <w:b/>
                <w:bCs/>
                <w:i/>
                <w:iCs/>
              </w:rPr>
              <w:t>op Unieniveau</w:t>
            </w:r>
            <w:r w:rsidRPr="00ED3753">
              <w:t xml:space="preserve"> voor het Schengengebied moet de Raad in staat stellen om, op voorstel van de Commissie </w:t>
            </w:r>
            <w:r w:rsidRPr="00ED3753">
              <w:rPr>
                <w:b/>
                <w:bCs/>
                <w:i/>
                <w:iCs/>
              </w:rPr>
              <w:t>en na raadpleging van het Europees Parlement</w:t>
            </w:r>
            <w:r w:rsidRPr="00ED3753">
              <w:t>, bij besluit d</w:t>
            </w:r>
            <w:r w:rsidRPr="00ED3753">
              <w:t xml:space="preserve">e herinvoering of verlenging van binnengrenstoezicht toe te staan wanneer dit gerechtvaardigd is vanwege een specifieke bedreiging die wordt geconstateerd op basis van kennisgevingen van individuele lidstaten, </w:t>
            </w:r>
            <w:r w:rsidRPr="00ED3753">
              <w:rPr>
                <w:b/>
                <w:bCs/>
                <w:i/>
                <w:iCs/>
              </w:rPr>
              <w:t xml:space="preserve">een risicobeoordeling en </w:t>
            </w:r>
            <w:r w:rsidRPr="00ED3753">
              <w:t>andere beschikbare in</w:t>
            </w:r>
            <w:r w:rsidRPr="00ED3753">
              <w:t>formatie. Gezien de politiek gevoelige aard van een dergelijk besluit, dat ingrijpt in de mogelijkheid voor lidstaten om in bijzondere omstandigheden opnieuw binnengrenstoezicht in te voeren of dit te verlengen, moeten aan de Raad uitvoeringsbevoegdheden w</w:t>
            </w:r>
            <w:r w:rsidRPr="00ED3753">
              <w:t xml:space="preserve">orden verleend om een besluit vast te stellen op basis van een voorstel van de Commissie </w:t>
            </w:r>
            <w:r w:rsidRPr="00ED3753">
              <w:rPr>
                <w:b/>
                <w:bCs/>
                <w:i/>
                <w:iCs/>
              </w:rPr>
              <w:t>en na raadpleging van het Europees Parlement</w:t>
            </w:r>
            <w:r w:rsidRPr="00ED3753">
              <w:t xml:space="preserve">. </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5A4C73" w:rsidRPr="00ED3753" w:rsidRDefault="00F30C80" w:rsidP="005A4C73">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5A4C73" w:rsidRPr="00ED3753" w:rsidRDefault="00F30C80" w:rsidP="005A4C73">
      <w:pPr>
        <w:pStyle w:val="JustificationTitle"/>
        <w:jc w:val="both"/>
        <w:rPr>
          <w:szCs w:val="24"/>
        </w:rPr>
      </w:pPr>
      <w:r w:rsidRPr="00ED3753">
        <w:t xml:space="preserve">Het Parlement moet als medewetgever een rol krijgen </w:t>
      </w:r>
      <w:r w:rsidRPr="00ED3753">
        <w:t>bij het bepalen of de herinvoering van binnengrenstoezicht passend is.</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29</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32</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(32)</w:t>
            </w:r>
            <w:r w:rsidRPr="00ED3753">
              <w:tab/>
              <w:t xml:space="preserve">Wanneer moet worden bepaald of herinvoering of verlenging van binnengrenstoezicht door de lidstaten gerechtvaardigd is, </w:t>
            </w:r>
            <w:r w:rsidRPr="00ED3753">
              <w:rPr>
                <w:b/>
                <w:bCs/>
                <w:i/>
                <w:iCs/>
              </w:rPr>
              <w:t>moet</w:t>
            </w:r>
            <w:r w:rsidRPr="00ED3753">
              <w:t xml:space="preserve"> de Raad in aanmerking nemen of er andere maatregelen beschikbaar zijn die een hoge mate van veiligheid op het grondgebied kunnen waarborgen</w:t>
            </w:r>
            <w:r w:rsidRPr="00ED3753">
              <w:rPr>
                <w:b/>
                <w:bCs/>
                <w:i/>
                <w:iCs/>
              </w:rPr>
              <w:t>, waaronder geïntensiveerde controles in de binnengrensgebieden door bevoegde autoriteiten</w:t>
            </w:r>
            <w:r w:rsidRPr="00ED3753">
              <w:t>. Indien verlenging van he</w:t>
            </w:r>
            <w:r w:rsidRPr="00ED3753">
              <w:t xml:space="preserve">t toezicht niet gerechtvaardigd wordt geacht, moet de Commissie </w:t>
            </w:r>
            <w:r w:rsidRPr="00ED3753">
              <w:rPr>
                <w:b/>
                <w:bCs/>
                <w:i/>
                <w:iCs/>
              </w:rPr>
              <w:t>in plaats daarvan</w:t>
            </w:r>
            <w:r w:rsidRPr="00ED3753">
              <w:t xml:space="preserve"> het gebruik aanbevelen van andere maatregelen die passender worden geacht om de geconstateerde bedreiging het hoofd te bieden.</w:t>
            </w:r>
          </w:p>
        </w:tc>
        <w:tc>
          <w:tcPr>
            <w:tcW w:w="4876" w:type="dxa"/>
            <w:hideMark/>
          </w:tcPr>
          <w:p w:rsidR="00120A92" w:rsidRPr="00ED3753" w:rsidRDefault="00F30C80" w:rsidP="0001637A">
            <w:pPr>
              <w:pStyle w:val="Normal6"/>
              <w:rPr>
                <w:szCs w:val="24"/>
              </w:rPr>
            </w:pPr>
            <w:r w:rsidRPr="00ED3753">
              <w:t>(32)</w:t>
            </w:r>
            <w:r w:rsidRPr="00ED3753">
              <w:tab/>
              <w:t>Wanneer moet worden bepaald of herinvoerin</w:t>
            </w:r>
            <w:r w:rsidRPr="00ED3753">
              <w:t xml:space="preserve">g of verlenging van binnengrenstoezicht door de lidstaten gerechtvaardigd is, </w:t>
            </w:r>
            <w:r w:rsidRPr="00ED3753">
              <w:rPr>
                <w:b/>
                <w:bCs/>
                <w:i/>
                <w:iCs/>
              </w:rPr>
              <w:t>moeten</w:t>
            </w:r>
            <w:r w:rsidRPr="00ED3753">
              <w:t xml:space="preserve"> de </w:t>
            </w:r>
            <w:r w:rsidRPr="00ED3753">
              <w:rPr>
                <w:b/>
                <w:bCs/>
                <w:i/>
                <w:iCs/>
              </w:rPr>
              <w:t xml:space="preserve">Commissie, de </w:t>
            </w:r>
            <w:r w:rsidRPr="00ED3753">
              <w:t xml:space="preserve">Raad </w:t>
            </w:r>
            <w:r w:rsidRPr="00ED3753">
              <w:rPr>
                <w:b/>
                <w:bCs/>
                <w:i/>
                <w:iCs/>
              </w:rPr>
              <w:t xml:space="preserve">en het Parlement </w:t>
            </w:r>
            <w:r w:rsidRPr="00ED3753">
              <w:t xml:space="preserve">in aanmerking nemen </w:t>
            </w:r>
            <w:r w:rsidRPr="00ED3753">
              <w:rPr>
                <w:b/>
                <w:bCs/>
                <w:i/>
                <w:iCs/>
              </w:rPr>
              <w:t xml:space="preserve">dat binnengrenstoezicht een uiterste middel blijft dat ernstige gevolgen heeft voor alle personen die het recht </w:t>
            </w:r>
            <w:r w:rsidRPr="00ED3753">
              <w:rPr>
                <w:b/>
                <w:bCs/>
                <w:i/>
                <w:iCs/>
              </w:rPr>
              <w:t>hebben om zich zonder binnengrenstoezicht binnen het gebied te verplaatsen.</w:t>
            </w:r>
            <w:r w:rsidRPr="00ED3753">
              <w:rPr>
                <w:b/>
                <w:i/>
              </w:rPr>
              <w:t xml:space="preserve"> De herinvoering of verlenging van binnengrenstoezicht moet uitzonderlijk zijn en het evenredigheidsbeginsel moet worden geëerbiedigd</w:t>
            </w:r>
            <w:r w:rsidRPr="00ED3753">
              <w:rPr>
                <w:b/>
                <w:bCs/>
                <w:i/>
                <w:iCs/>
              </w:rPr>
              <w:t>.</w:t>
            </w:r>
            <w:r w:rsidRPr="00ED3753">
              <w:rPr>
                <w:b/>
                <w:i/>
              </w:rPr>
              <w:t xml:space="preserve"> De omvang en de duur van de tijdelijke herinvo</w:t>
            </w:r>
            <w:r w:rsidRPr="00ED3753">
              <w:rPr>
                <w:b/>
                <w:i/>
              </w:rPr>
              <w:t xml:space="preserve">ering van dergelijke maatregelen moeten worden beperkt tot het minimum dat vereist is om op een ernstige bedreiging voor de openbare orde of de binnenlandse veiligheid te kunnen reageren. </w:t>
            </w:r>
            <w:r w:rsidRPr="00ED3753">
              <w:rPr>
                <w:b/>
                <w:bCs/>
                <w:i/>
                <w:iCs/>
              </w:rPr>
              <w:t>De Raad moet nagaan</w:t>
            </w:r>
            <w:r w:rsidRPr="00ED3753">
              <w:t xml:space="preserve"> of er andere maatregelen beschikbaar zijn die ee</w:t>
            </w:r>
            <w:r w:rsidRPr="00ED3753">
              <w:t xml:space="preserve">n hoge mate van veiligheid op het grondgebied kunnen waarborgen. Indien verlenging van het toezicht niet gerechtvaardigd wordt geacht, </w:t>
            </w:r>
            <w:r w:rsidRPr="00ED3753">
              <w:rPr>
                <w:b/>
                <w:bCs/>
                <w:i/>
                <w:iCs/>
              </w:rPr>
              <w:t xml:space="preserve">moet het binnengrenstoezicht onmiddellijk worden opgeheven en </w:t>
            </w:r>
            <w:r w:rsidRPr="00ED3753">
              <w:t>moet de Commissie het gebruik aanbevelen van andere maatreg</w:t>
            </w:r>
            <w:r w:rsidRPr="00ED3753">
              <w:t>elen die passender worden geacht om de geconstateerde bedreiging het hoofd te bieden.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30</w:t>
      </w:r>
      <w:r w:rsidRPr="00ED3753">
        <w:rPr>
          <w:rStyle w:val="HideTWBExt"/>
          <w:b w:val="0"/>
        </w:rPr>
        <w:t>&lt;/NumAm&gt;</w:t>
      </w:r>
    </w:p>
    <w:p w:rsidR="003407D1" w:rsidRPr="00ED3753" w:rsidRDefault="00F30C80" w:rsidP="003407D1">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3407D1" w:rsidRPr="00ED3753" w:rsidRDefault="00F30C80" w:rsidP="003407D1">
      <w:pPr>
        <w:pStyle w:val="NormalBold"/>
      </w:pPr>
      <w:r w:rsidRPr="00ED3753">
        <w:rPr>
          <w:rStyle w:val="HideTWBExt"/>
          <w:b w:val="0"/>
        </w:rPr>
        <w:t>&lt;Article&gt;</w:t>
      </w:r>
      <w:r w:rsidRPr="00ED3753">
        <w:t>Overweging 34</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3407D1">
        <w:trPr>
          <w:jc w:val="center"/>
        </w:trPr>
        <w:tc>
          <w:tcPr>
            <w:tcW w:w="9752" w:type="dxa"/>
            <w:gridSpan w:val="2"/>
          </w:tcPr>
          <w:p w:rsidR="003407D1" w:rsidRPr="00ED3753" w:rsidRDefault="003407D1">
            <w:pPr>
              <w:keepNext/>
            </w:pPr>
          </w:p>
        </w:tc>
      </w:tr>
      <w:tr w:rsidR="00264914" w:rsidRPr="00ED3753" w:rsidTr="003407D1">
        <w:trPr>
          <w:jc w:val="center"/>
        </w:trPr>
        <w:tc>
          <w:tcPr>
            <w:tcW w:w="4876" w:type="dxa"/>
            <w:hideMark/>
          </w:tcPr>
          <w:p w:rsidR="003407D1" w:rsidRPr="00ED3753" w:rsidRDefault="00F30C80">
            <w:pPr>
              <w:pStyle w:val="ColumnHeading"/>
              <w:keepNext/>
            </w:pPr>
            <w:r w:rsidRPr="00ED3753">
              <w:t xml:space="preserve">Door </w:t>
            </w:r>
            <w:r w:rsidRPr="00ED3753">
              <w:t>de Commissie voorgestelde tekst</w:t>
            </w:r>
          </w:p>
        </w:tc>
        <w:tc>
          <w:tcPr>
            <w:tcW w:w="4876" w:type="dxa"/>
            <w:hideMark/>
          </w:tcPr>
          <w:p w:rsidR="003407D1" w:rsidRPr="00ED3753" w:rsidRDefault="00F30C80">
            <w:pPr>
              <w:pStyle w:val="ColumnHeading"/>
              <w:keepNext/>
            </w:pPr>
            <w:r w:rsidRPr="00ED3753">
              <w:t>Amendement</w:t>
            </w:r>
          </w:p>
        </w:tc>
      </w:tr>
      <w:tr w:rsidR="00264914" w:rsidRPr="00ED3753" w:rsidTr="003407D1">
        <w:trPr>
          <w:jc w:val="center"/>
        </w:trPr>
        <w:tc>
          <w:tcPr>
            <w:tcW w:w="4876" w:type="dxa"/>
            <w:hideMark/>
          </w:tcPr>
          <w:p w:rsidR="003407D1" w:rsidRPr="00ED3753" w:rsidRDefault="00F30C80">
            <w:pPr>
              <w:pStyle w:val="Normal6"/>
            </w:pPr>
            <w:r w:rsidRPr="00ED3753">
              <w:t>(34)</w:t>
            </w:r>
            <w:r w:rsidRPr="00ED3753">
              <w:tab/>
              <w:t>Om de naleving van het beginsel van evenredigheid te waarborgen, moet het besluit van de Raad worden genomen voor een beperkte duur van ten hoogste zes maanden, die na regelmatige evaluatie op voorstel van d</w:t>
            </w:r>
            <w:r w:rsidRPr="00ED3753">
              <w:t xml:space="preserve">e Commissie kan worden verlengd </w:t>
            </w:r>
            <w:r w:rsidRPr="00ED3753">
              <w:rPr>
                <w:b/>
                <w:bCs/>
                <w:i/>
                <w:iCs/>
              </w:rPr>
              <w:t>voor zolang als de bedreiging blijkt aan te houden</w:t>
            </w:r>
            <w:r w:rsidRPr="00ED3753">
              <w:t>. In het aanvankelijke besluit moet een beoordeling worden opgenomen van de verwachte gevolgen van de genomen maatregelen, waaronder ook hun nadelige neveneffecten, om te bep</w:t>
            </w:r>
            <w:r w:rsidRPr="00ED3753">
              <w:t xml:space="preserve">alen of toezicht aan de binnengrenzen gerechtvaardigd is dan wel of in plaats daarvan op doeltreffende wijze minder beperkende maatregelen </w:t>
            </w:r>
            <w:r w:rsidRPr="00ED3753">
              <w:rPr>
                <w:b/>
                <w:bCs/>
                <w:i/>
                <w:iCs/>
              </w:rPr>
              <w:t>kunnen</w:t>
            </w:r>
            <w:r w:rsidRPr="00ED3753">
              <w:t xml:space="preserve"> worden toegepast. In volgende besluiten moet rekening worden gehouden met de ontwikkeling van de geconstateerd</w:t>
            </w:r>
            <w:r w:rsidRPr="00ED3753">
              <w:t>e bedreiging. De lidstaten moeten de Commissie en de lidstaten onmiddellijk in kennis stellen van de herinvoering van binnengrenstoezicht in overeenstemming met het besluit van de Raad.</w:t>
            </w:r>
          </w:p>
        </w:tc>
        <w:tc>
          <w:tcPr>
            <w:tcW w:w="4876" w:type="dxa"/>
            <w:hideMark/>
          </w:tcPr>
          <w:p w:rsidR="003407D1" w:rsidRPr="00ED3753" w:rsidRDefault="00F30C80">
            <w:pPr>
              <w:pStyle w:val="Normal6"/>
              <w:rPr>
                <w:szCs w:val="24"/>
              </w:rPr>
            </w:pPr>
            <w:r w:rsidRPr="00ED3753">
              <w:t>(34)</w:t>
            </w:r>
            <w:r w:rsidRPr="00ED3753">
              <w:tab/>
            </w:r>
            <w:r w:rsidRPr="00ED3753">
              <w:t xml:space="preserve">Om de naleving van het beginsel van evenredigheid te waarborgen, moet het besluit van de Raad worden genomen voor een beperkte duur van ten hoogste zes maanden, die na regelmatige evaluatie op voorstel van de Commissie kan worden verlengd </w:t>
            </w:r>
            <w:r w:rsidRPr="00ED3753">
              <w:rPr>
                <w:b/>
                <w:bCs/>
                <w:i/>
                <w:iCs/>
              </w:rPr>
              <w:t>tot maximaal twee</w:t>
            </w:r>
            <w:r w:rsidRPr="00ED3753">
              <w:rPr>
                <w:b/>
                <w:bCs/>
                <w:i/>
                <w:iCs/>
              </w:rPr>
              <w:t xml:space="preserve"> jaar in uitzonderlijke gevallen</w:t>
            </w:r>
            <w:r w:rsidRPr="00ED3753">
              <w:t>. In het aanvankelijke besluit moet een beoordeling worden opgenomen van de verwachte gevolgen van de genomen maatregelen, waaronder ook hun nadelige neveneffecten, om te bepalen of toezicht aan de binnengrenzen gerechtvaard</w:t>
            </w:r>
            <w:r w:rsidRPr="00ED3753">
              <w:t xml:space="preserve">igd is dan wel of in plaats daarvan op doeltreffende wijze minder beperkende maatregelen </w:t>
            </w:r>
            <w:r w:rsidRPr="00ED3753">
              <w:rPr>
                <w:b/>
                <w:bCs/>
                <w:i/>
                <w:iCs/>
              </w:rPr>
              <w:t>moeten</w:t>
            </w:r>
            <w:r w:rsidRPr="00ED3753">
              <w:t xml:space="preserve"> worden toegepast. In volgende besluiten moet rekening worden gehouden met de ontwikkeling van de geconstateerde bedreiging. De lidstaten moeten de Commissie</w:t>
            </w:r>
            <w:r w:rsidRPr="00ED3753">
              <w:rPr>
                <w:b/>
                <w:bCs/>
                <w:i/>
                <w:iCs/>
              </w:rPr>
              <w:t>, he</w:t>
            </w:r>
            <w:r w:rsidRPr="00ED3753">
              <w:rPr>
                <w:b/>
                <w:bCs/>
                <w:i/>
                <w:iCs/>
              </w:rPr>
              <w:t>t Parlement</w:t>
            </w:r>
            <w:r w:rsidRPr="00ED3753">
              <w:t xml:space="preserve"> en de lidstaten onmiddellijk in kennis stellen van de herinvoering van binnengrenstoezicht in overeenstemming met het besluit van de Raad.</w:t>
            </w:r>
          </w:p>
        </w:tc>
      </w:tr>
    </w:tbl>
    <w:p w:rsidR="003407D1" w:rsidRPr="00ED3753" w:rsidRDefault="00F30C80" w:rsidP="003407D1">
      <w:pPr>
        <w:pStyle w:val="Olang"/>
      </w:pPr>
      <w:r w:rsidRPr="00ED3753">
        <w:t xml:space="preserve">Or. </w:t>
      </w:r>
      <w:r w:rsidRPr="00ED3753">
        <w:rPr>
          <w:rStyle w:val="HideTWBExt"/>
        </w:rPr>
        <w:t>&lt;Original&gt;</w:t>
      </w:r>
      <w:r w:rsidRPr="00ED3753">
        <w:rPr>
          <w:rStyle w:val="HideTWBInt"/>
        </w:rPr>
        <w:t>{EN}</w:t>
      </w:r>
      <w:r w:rsidRPr="00ED3753">
        <w:t>en</w:t>
      </w:r>
      <w:r w:rsidRPr="00ED3753">
        <w:rPr>
          <w:rStyle w:val="HideTWBExt"/>
        </w:rPr>
        <w:t>&lt;/Original&gt;</w:t>
      </w:r>
    </w:p>
    <w:p w:rsidR="003407D1" w:rsidRPr="00ED3753" w:rsidRDefault="00F30C80" w:rsidP="003407D1">
      <w:pPr>
        <w:rPr>
          <w:szCs w:val="24"/>
        </w:rPr>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w:t>
      </w:r>
      <w:r w:rsidRPr="00ED3753">
        <w:t>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35</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(35)</w:t>
            </w:r>
            <w:r w:rsidRPr="00ED3753">
              <w:tab/>
              <w:t xml:space="preserve">Herinvoering van binnengrenstoezicht moet ook mogelijk blijven wanneer ernstige tekortkomingen in het beheer van de buitengrenzen blijven </w:t>
            </w:r>
            <w:r w:rsidRPr="00ED3753">
              <w:t xml:space="preserve">bestaan die de algemene werking van de ruimte zonder binnengrenstoezicht in gevaar brengen. </w:t>
            </w:r>
            <w:r w:rsidRPr="00ED3753">
              <w:rPr>
                <w:b/>
                <w:i/>
              </w:rPr>
              <w:t xml:space="preserve">De perioden waarin grenstoezicht door lidstaten is ingevoerd vanwege de urgentie van de situatie of waarin de Raad een besluit neemt om herinvoering aan te bevelen </w:t>
            </w:r>
            <w:r w:rsidRPr="00ED3753">
              <w:rPr>
                <w:b/>
                <w:i/>
              </w:rPr>
              <w:t>omdat een bedreiging een aanzienlijk aantal lidstaten treft, mogen niet worden meegerekend in de termijn van twee jaar die geldt voor herinvoeringen wegens ernstige tekortkomingen aan de buitengrenzen.</w:t>
            </w:r>
          </w:p>
        </w:tc>
        <w:tc>
          <w:tcPr>
            <w:tcW w:w="4876" w:type="dxa"/>
            <w:hideMark/>
          </w:tcPr>
          <w:p w:rsidR="00120A92" w:rsidRPr="00ED3753" w:rsidRDefault="00F30C80">
            <w:pPr>
              <w:pStyle w:val="Normal6"/>
              <w:rPr>
                <w:szCs w:val="24"/>
              </w:rPr>
            </w:pPr>
            <w:r w:rsidRPr="00ED3753">
              <w:t>(35)</w:t>
            </w:r>
            <w:r w:rsidRPr="00ED3753">
              <w:tab/>
              <w:t>Herinvoering van binnengrenstoezicht moet ook mog</w:t>
            </w:r>
            <w:r w:rsidRPr="00ED3753">
              <w:t>elijk blijven wanneer ernstige tekortkomingen in het beheer van de buitengrenzen blijven bestaan die de algemene werking van de ruimte zonder binnengrenstoezicht in gevaar brengen.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F95AF3" w:rsidRPr="00ED3753" w:rsidRDefault="00F30C80" w:rsidP="00F95AF3">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F95AF3" w:rsidRPr="00ED3753" w:rsidRDefault="00F30C80" w:rsidP="00894B63">
      <w:pPr>
        <w:pStyle w:val="AmJustText"/>
      </w:pPr>
      <w:r w:rsidRPr="00ED3753">
        <w:t xml:space="preserve">De </w:t>
      </w:r>
      <w:r w:rsidRPr="00ED3753">
        <w:t>cumulatie van periodes van binnengrenstoezicht is niet bevorderlijk om het gebruik ervan te verminderen en is door het HvJ-EU onwettig verklaard. Juist dit soort cumulatie van gronden voor binnengrenstoezicht werd door de lidstaten gebruikt om het grenstoe</w:t>
      </w:r>
      <w:r w:rsidRPr="00ED3753">
        <w:t>zicht langer te handhaven.</w:t>
      </w:r>
    </w:p>
    <w:p w:rsidR="00120A92" w:rsidRPr="00ED3753" w:rsidRDefault="00F30C80" w:rsidP="003013F0">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32</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36</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(36)</w:t>
            </w:r>
            <w:r w:rsidRPr="00ED3753">
              <w:tab/>
            </w:r>
            <w:r w:rsidRPr="00ED3753">
              <w:t xml:space="preserve">Wanneer op grond van eenzijdige besluiten van de lidstaten </w:t>
            </w:r>
            <w:r w:rsidRPr="00ED3753">
              <w:rPr>
                <w:b/>
                <w:bCs/>
                <w:i/>
                <w:iCs/>
              </w:rPr>
              <w:t>of op het niveau van de Unie</w:t>
            </w:r>
            <w:r w:rsidRPr="00ED3753">
              <w:t xml:space="preserve"> opnieuw grenstoezicht aan de binnengrenzen wordt ingevoerd, heeft dat ernstige gevolgen voor de werking van het Schengengebied. Om te waarborgen dat besluiten tot herin</w:t>
            </w:r>
            <w:r w:rsidRPr="00ED3753">
              <w:t>voering van grenstoezicht uitsluitend indien nodig als uiterste middel worden genomen, moet het besluit over tijdelijke herinvoering of verlenging van grenstoezicht worden gebaseerd op gemeenschappelijke criteria</w:t>
            </w:r>
            <w:r w:rsidRPr="00ED3753">
              <w:rPr>
                <w:b/>
                <w:bCs/>
                <w:i/>
                <w:iCs/>
              </w:rPr>
              <w:t>, waarbij de nadruk ligt op noodzaak en even</w:t>
            </w:r>
            <w:r w:rsidRPr="00ED3753">
              <w:rPr>
                <w:b/>
                <w:bCs/>
                <w:i/>
                <w:iCs/>
              </w:rPr>
              <w:t>redigheid</w:t>
            </w:r>
            <w:r w:rsidRPr="00ED3753">
              <w:t>. Het evenredigheidsbeginsel vereist dat de herinvoering van binnengrenstoezicht wordt onderworpen aan waarborgen die in de loop der tijd strenger worden.</w:t>
            </w:r>
          </w:p>
        </w:tc>
        <w:tc>
          <w:tcPr>
            <w:tcW w:w="4876" w:type="dxa"/>
            <w:hideMark/>
          </w:tcPr>
          <w:p w:rsidR="00120A92" w:rsidRPr="00ED3753" w:rsidRDefault="00F30C80">
            <w:pPr>
              <w:pStyle w:val="Normal6"/>
              <w:rPr>
                <w:szCs w:val="24"/>
              </w:rPr>
            </w:pPr>
            <w:r w:rsidRPr="00ED3753">
              <w:t>(36)</w:t>
            </w:r>
            <w:r w:rsidRPr="00ED3753">
              <w:tab/>
              <w:t xml:space="preserve">Wanneer op grond van </w:t>
            </w:r>
            <w:r w:rsidRPr="00ED3753">
              <w:rPr>
                <w:b/>
                <w:bCs/>
                <w:i/>
                <w:iCs/>
              </w:rPr>
              <w:t>hetzij</w:t>
            </w:r>
            <w:r w:rsidRPr="00ED3753">
              <w:rPr>
                <w:b/>
                <w:bCs/>
              </w:rPr>
              <w:t xml:space="preserve"> </w:t>
            </w:r>
            <w:r w:rsidRPr="00ED3753">
              <w:rPr>
                <w:b/>
                <w:bCs/>
                <w:i/>
                <w:iCs/>
              </w:rPr>
              <w:t xml:space="preserve">besluiten op het niveau van de Unie, hetzij op basis van </w:t>
            </w:r>
            <w:r w:rsidRPr="00ED3753">
              <w:t>ee</w:t>
            </w:r>
            <w:r w:rsidRPr="00ED3753">
              <w:t>nzijdige besluiten van de lidstaten opnieuw grenstoezicht aan de binnengrenzen wordt ingevoerd, heeft dat ernstige gevolgen voor de werking van het Schengengebied. Om te waarborgen dat besluiten tot herinvoering van grenstoezicht uitsluitend indien nodig a</w:t>
            </w:r>
            <w:r w:rsidRPr="00ED3753">
              <w:t xml:space="preserve">ls uiterste middel worden genomen, moet het besluit over tijdelijke herinvoering of verlenging van grenstoezicht worden gebaseerd op gemeenschappelijke criteria </w:t>
            </w:r>
            <w:r w:rsidRPr="00ED3753">
              <w:rPr>
                <w:b/>
                <w:bCs/>
                <w:i/>
                <w:iCs/>
              </w:rPr>
              <w:t>en strikt noodzakelijk en evenredig zijn</w:t>
            </w:r>
            <w:r w:rsidRPr="00ED3753">
              <w:t>. Het evenredigheidsbeginsel vereist dat de herinvoerin</w:t>
            </w:r>
            <w:r w:rsidRPr="00ED3753">
              <w:t>g van binnengrenstoezicht wordt onderworpen aan waarborgen die in de loop der tijd strenger worden.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33</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36 bis</w:t>
      </w:r>
      <w:r w:rsidRPr="00ED3753">
        <w:t xml:space="preserve"> (nieuw)</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tcPr>
          <w:p w:rsidR="00120A92" w:rsidRPr="00ED3753" w:rsidRDefault="00120A92">
            <w:pPr>
              <w:pStyle w:val="Normal6"/>
            </w:pPr>
          </w:p>
        </w:tc>
        <w:tc>
          <w:tcPr>
            <w:tcW w:w="4876" w:type="dxa"/>
            <w:hideMark/>
          </w:tcPr>
          <w:p w:rsidR="00120A92" w:rsidRPr="00ED3753" w:rsidRDefault="00F30C80">
            <w:pPr>
              <w:pStyle w:val="Normal6"/>
              <w:rPr>
                <w:szCs w:val="24"/>
              </w:rPr>
            </w:pPr>
            <w:r w:rsidRPr="00ED3753">
              <w:rPr>
                <w:b/>
                <w:i/>
              </w:rPr>
              <w:t>(36 bis)</w:t>
            </w:r>
            <w:r w:rsidRPr="00ED3753">
              <w:rPr>
                <w:b/>
                <w:i/>
              </w:rPr>
              <w:tab/>
              <w:t>Elke afwijking van het grondbeginsel van het vrije verkeer van personen moet restrictief worden opgevat en het begrip openbare orde veronderstelt dat er sprake is van een werke</w:t>
            </w:r>
            <w:r w:rsidRPr="00ED3753">
              <w:rPr>
                <w:b/>
                <w:i/>
              </w:rPr>
              <w:t>lijke, actuele en voldoende ernstige bedreiging die een fundamenteel belang van de samenleving aantast.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E16DDC" w:rsidRPr="00ED3753" w:rsidRDefault="00F30C80" w:rsidP="00E16DDC">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E16DDC" w:rsidRPr="00ED3753" w:rsidRDefault="00F30C80" w:rsidP="00894B63">
      <w:pPr>
        <w:pStyle w:val="AmJustText"/>
      </w:pPr>
      <w:r w:rsidRPr="00ED3753">
        <w:t xml:space="preserve">De tekst is in overeenstemming met het standpunt van het Parlement in eerste lezing </w:t>
      </w:r>
      <w:r w:rsidRPr="00ED3753">
        <w:t>over de eerder voorgestelde hervorming van de Schengengrenscode.</w:t>
      </w:r>
    </w:p>
    <w:p w:rsidR="00120A92" w:rsidRPr="00ED3753" w:rsidRDefault="00F30C80" w:rsidP="003013F0">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34</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37</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(37)</w:t>
            </w:r>
            <w:r w:rsidRPr="00ED3753">
              <w:tab/>
              <w:t xml:space="preserve">In </w:t>
            </w:r>
            <w:r w:rsidRPr="00ED3753">
              <w:t>eerste instantie moeten lidstaten bij de beoordeling van de geschiktheid van binnengrenstoezicht kijken naar de aard van de geconstateerde ernstige bedreiging. Daarbij moeten de lidstaten bijzondere aandacht schenken aan de verwachte gevolgen van het binne</w:t>
            </w:r>
            <w:r w:rsidRPr="00ED3753">
              <w:t>ngrenstoezicht voor het verkeer van personen in de ruimte zonder binnengrenstoezicht en de werking van de grensregio’s, en deze gevolgen beoordelen. Deze beoordeling moet worden opgenomen in de kennisgeving die lidstaten aan de Commissie moeten zenden. Bij</w:t>
            </w:r>
            <w:r w:rsidRPr="00ED3753">
              <w:t xml:space="preserve"> verlenging van binnengrenstoezicht wegens voorzienbare gebeurtenissen na een eerste termijn van </w:t>
            </w:r>
            <w:r w:rsidRPr="00ED3753">
              <w:rPr>
                <w:b/>
                <w:bCs/>
                <w:i/>
                <w:iCs/>
              </w:rPr>
              <w:t>zes</w:t>
            </w:r>
            <w:r w:rsidRPr="00ED3753">
              <w:t xml:space="preserve"> maanden moeten de lidstaten ook de geschiktheid </w:t>
            </w:r>
            <w:r w:rsidRPr="00ED3753">
              <w:rPr>
                <w:b/>
                <w:bCs/>
                <w:i/>
                <w:iCs/>
              </w:rPr>
              <w:t>beoordelen</w:t>
            </w:r>
            <w:r w:rsidRPr="00ED3753">
              <w:t xml:space="preserve"> van alternatieve maatregelen om dezelfde doelen na te streven als binnengrenstoezicht, waaronder</w:t>
            </w:r>
            <w:r w:rsidRPr="00ED3753">
              <w:t xml:space="preserve"> evenredige controles die worden uitgevoerd bij de uitoefening van </w:t>
            </w:r>
            <w:r w:rsidRPr="00ED3753">
              <w:rPr>
                <w:b/>
                <w:bCs/>
                <w:i/>
                <w:iCs/>
              </w:rPr>
              <w:t>politie- of andere overheidsbevoegdheden</w:t>
            </w:r>
            <w:r w:rsidRPr="00ED3753">
              <w:t xml:space="preserve"> of door vormen van politiële samenwerking krachtens het recht van de Unie</w:t>
            </w:r>
            <w:r w:rsidRPr="00ED3753">
              <w:rPr>
                <w:b/>
                <w:bCs/>
                <w:i/>
                <w:iCs/>
              </w:rPr>
              <w:t>, en de mogelijkheid om de overbrengingsprocedure te gebruiken</w:t>
            </w:r>
            <w:r w:rsidRPr="00ED3753">
              <w:t>.</w:t>
            </w:r>
          </w:p>
        </w:tc>
        <w:tc>
          <w:tcPr>
            <w:tcW w:w="4876" w:type="dxa"/>
            <w:hideMark/>
          </w:tcPr>
          <w:p w:rsidR="00120A92" w:rsidRPr="00ED3753" w:rsidRDefault="00F30C80">
            <w:pPr>
              <w:pStyle w:val="Normal6"/>
              <w:rPr>
                <w:szCs w:val="24"/>
              </w:rPr>
            </w:pPr>
            <w:r w:rsidRPr="00ED3753">
              <w:t>(37)</w:t>
            </w:r>
            <w:r w:rsidRPr="00ED3753">
              <w:tab/>
              <w:t>In eer</w:t>
            </w:r>
            <w:r w:rsidRPr="00ED3753">
              <w:t>ste instantie moeten lidstaten bij de beoordeling van de geschiktheid van binnengrenstoezicht kijken naar de aard van de geconstateerde ernstige bedreiging. Daarbij moeten de lidstaten bijzondere aandacht schenken aan de verwachte gevolgen van het binnengr</w:t>
            </w:r>
            <w:r w:rsidRPr="00ED3753">
              <w:t xml:space="preserve">enstoezicht voor het verkeer van personen in de ruimte zonder binnengrenstoezicht en de werking van de grensregio’s, en deze gevolgen beoordelen. Deze beoordeling moet worden opgenomen in de kennisgeving die lidstaten aan de Commissie </w:t>
            </w:r>
            <w:r w:rsidRPr="00ED3753">
              <w:rPr>
                <w:b/>
                <w:bCs/>
                <w:i/>
                <w:iCs/>
              </w:rPr>
              <w:t>en het Europees Parle</w:t>
            </w:r>
            <w:r w:rsidRPr="00ED3753">
              <w:rPr>
                <w:b/>
                <w:bCs/>
                <w:i/>
                <w:iCs/>
              </w:rPr>
              <w:t>ment</w:t>
            </w:r>
            <w:r w:rsidRPr="00ED3753">
              <w:t xml:space="preserve"> moeten zenden. Bij verlenging van binnengrenstoezicht wegens voorzienbare gebeurtenissen na een eerste termijn van </w:t>
            </w:r>
            <w:r w:rsidRPr="00ED3753">
              <w:rPr>
                <w:b/>
                <w:bCs/>
                <w:i/>
                <w:iCs/>
              </w:rPr>
              <w:t>drie</w:t>
            </w:r>
            <w:r w:rsidRPr="00ED3753">
              <w:t xml:space="preserve"> maanden moeten de lidstaten ook </w:t>
            </w:r>
            <w:r w:rsidRPr="00ED3753">
              <w:rPr>
                <w:b/>
                <w:bCs/>
                <w:i/>
                <w:iCs/>
              </w:rPr>
              <w:t>een risicobeoordeling uitvoeren, met inbegrip van een beoordeling van</w:t>
            </w:r>
            <w:r w:rsidRPr="00ED3753">
              <w:t xml:space="preserve"> de geschiktheid van alternati</w:t>
            </w:r>
            <w:r w:rsidRPr="00ED3753">
              <w:t xml:space="preserve">eve maatregelen om dezelfde doelen na te streven als binnengrenstoezicht, waaronder evenredige controles die worden uitgevoerd bij de uitoefening van </w:t>
            </w:r>
            <w:r w:rsidRPr="00ED3753">
              <w:rPr>
                <w:b/>
                <w:bCs/>
                <w:i/>
                <w:iCs/>
              </w:rPr>
              <w:t>politiebevoegdheden</w:t>
            </w:r>
            <w:r w:rsidRPr="00ED3753">
              <w:t xml:space="preserve"> of door vormen van politiële samenwerking krachtens het recht van de Unie.</w:t>
            </w:r>
          </w:p>
        </w:tc>
      </w:tr>
    </w:tbl>
    <w:p w:rsidR="00120A92" w:rsidRPr="00ED3753" w:rsidRDefault="00F30C80" w:rsidP="00120A92">
      <w:pPr>
        <w:pStyle w:val="Olang"/>
      </w:pPr>
      <w:r w:rsidRPr="00ED3753">
        <w:rPr>
          <w:noProof w:val="0"/>
        </w:rPr>
        <w:t xml:space="preserve">Or. </w:t>
      </w:r>
      <w:r w:rsidRPr="00ED3753">
        <w:rPr>
          <w:rStyle w:val="HideTWBExt"/>
          <w:noProof w:val="0"/>
        </w:rPr>
        <w:t>&lt;Origi</w:t>
      </w:r>
      <w:r w:rsidRPr="00ED3753">
        <w:rPr>
          <w:rStyle w:val="HideTWBExt"/>
          <w:noProof w:val="0"/>
        </w:rPr>
        <w:t>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35</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38</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(38)</w:t>
            </w:r>
            <w:r w:rsidRPr="00ED3753">
              <w:tab/>
              <w:t xml:space="preserve">Om schadelijke gevolgen van de herinvoering van </w:t>
            </w:r>
            <w:r w:rsidRPr="00ED3753">
              <w:t>binnengrenstoezicht te beperken, moet een besluit tot herinvoering van binnengrenstoezicht vergezeld gaan van de eventueel noodzakelijke verzachtende maatregelen. Daartoe moeten maatregelen behoren die de doortocht van goederen, vervoerspersoneel en zeevar</w:t>
            </w:r>
            <w:r w:rsidRPr="00ED3753">
              <w:t>enden goed laten verlopen door de instelling van “green lanes”. Daarnaast, en gelet op de noodzaak om het verkeer te waarborgen van personen met een essentiële functie voor de instandhouding van de toeleveringsketen of de verrichting van essentiële dienste</w:t>
            </w:r>
            <w:r w:rsidRPr="00ED3753">
              <w:t>n, moeten de lidstaten ook de bestaande richtsnoeren inzake grensarbeiders toepassen</w:t>
            </w:r>
            <w:r w:rsidRPr="00ED3753">
              <w:rPr>
                <w:vertAlign w:val="superscript"/>
              </w:rPr>
              <w:t>45</w:t>
            </w:r>
            <w:r w:rsidRPr="00ED3753">
              <w:t>. In dit licht bezien moet in de voorschriften voor de herinvoering van grenstoezicht aan de binnengrenzen rekening worden gehouden met de richtsnoeren en aanbevelingen d</w:t>
            </w:r>
            <w:r w:rsidRPr="00ED3753">
              <w:t xml:space="preserve">ie gedurende de COVID-19-pandemie zijn vastgesteld als degelijk vangnet voor de gemeenschappelijke markt, om te waarborgen dat zij door de lidstaten </w:t>
            </w:r>
            <w:r w:rsidRPr="00ED3753">
              <w:rPr>
                <w:b/>
                <w:bCs/>
                <w:i/>
                <w:iCs/>
              </w:rPr>
              <w:t>in voorkomend geval</w:t>
            </w:r>
            <w:r w:rsidRPr="00ED3753">
              <w:t xml:space="preserve"> worden toegepast als verzachtende maatregelen wanneer opnieuw binnengrenstoezicht is in</w:t>
            </w:r>
            <w:r w:rsidRPr="00ED3753">
              <w:t xml:space="preserve">gevoerd. </w:t>
            </w:r>
            <w:r w:rsidRPr="00ED3753">
              <w:rPr>
                <w:b/>
                <w:i/>
              </w:rPr>
              <w:t xml:space="preserve">Er moeten met name maatregelen worden genomen om te zorgen voor een ononderbroken werking van de gemeenschappelijke markt en om de belangen van grensregio’s en “tweelingsteden” te waarborgen, onder meer door middel van vergunningen of afwijkingen </w:t>
            </w:r>
            <w:r w:rsidRPr="00ED3753">
              <w:rPr>
                <w:b/>
                <w:i/>
              </w:rPr>
              <w:t>voor de inwoners van grensregio’s.</w:t>
            </w:r>
          </w:p>
        </w:tc>
        <w:tc>
          <w:tcPr>
            <w:tcW w:w="4876" w:type="dxa"/>
            <w:hideMark/>
          </w:tcPr>
          <w:p w:rsidR="00120A92" w:rsidRPr="00ED3753" w:rsidRDefault="00F30C80">
            <w:pPr>
              <w:pStyle w:val="Normal6"/>
              <w:rPr>
                <w:szCs w:val="24"/>
              </w:rPr>
            </w:pPr>
            <w:r w:rsidRPr="00ED3753">
              <w:t>(38)</w:t>
            </w:r>
            <w:r w:rsidRPr="00ED3753">
              <w:tab/>
              <w:t>Om schadelijke gevolgen van de herinvoering van binnengrenstoezicht te beperken, moet een besluit tot herinvoering van binnengrenstoezicht vergezeld gaan van de eventueel noodzakelijke verzachtende maatregelen</w:t>
            </w:r>
            <w:r w:rsidRPr="00ED3753">
              <w:rPr>
                <w:b/>
                <w:bCs/>
                <w:i/>
                <w:iCs/>
              </w:rPr>
              <w:t xml:space="preserve">, maar </w:t>
            </w:r>
            <w:r w:rsidRPr="00ED3753">
              <w:rPr>
                <w:b/>
                <w:bCs/>
                <w:i/>
                <w:iCs/>
              </w:rPr>
              <w:t>altijd met het oog op een zo spoedig mogelijke opheffing van het binnengrenstoezicht</w:t>
            </w:r>
            <w:r w:rsidRPr="00ED3753">
              <w:t>. Daartoe moeten maatregelen behoren die de doortocht van goederen, vervoerspersoneel en zeevarenden goed laten verlopen door de instelling van “green lanes”. Daarnaast, en</w:t>
            </w:r>
            <w:r w:rsidRPr="00ED3753">
              <w:t xml:space="preserve"> gelet op de noodzaak om het verkeer te waarborgen van personen met een essentiële functie voor de instandhouding van de toeleveringsketen of de verrichting van essentiële diensten, moeten de lidstaten ook de bestaande richtsnoeren inzake grensarbeiders to</w:t>
            </w:r>
            <w:r w:rsidRPr="00ED3753">
              <w:t>epassen</w:t>
            </w:r>
            <w:r w:rsidRPr="00ED3753">
              <w:rPr>
                <w:vertAlign w:val="superscript"/>
              </w:rPr>
              <w:t>45</w:t>
            </w:r>
            <w:r w:rsidRPr="00ED3753">
              <w:t xml:space="preserve">. In dit licht bezien moet in de voorschriften voor de herinvoering van grenstoezicht aan de binnengrenzen rekening worden gehouden met de richtsnoeren en aanbevelingen die gedurende de COVID-19-pandemie zijn vastgesteld als degelijk vangnet voor </w:t>
            </w:r>
            <w:r w:rsidRPr="00ED3753">
              <w:t>de gemeenschappelijke markt, om te waarborgen dat zij door de lidstaten worden toegepast als verzachtende maatregelen wanneer opnieuw binnengrenstoezicht is ingevoerd.</w:t>
            </w:r>
          </w:p>
        </w:tc>
      </w:tr>
      <w:tr w:rsidR="00264914" w:rsidRPr="00ED3753" w:rsidTr="00120A92">
        <w:trPr>
          <w:jc w:val="center"/>
        </w:trPr>
        <w:tc>
          <w:tcPr>
            <w:tcW w:w="4876" w:type="dxa"/>
            <w:hideMark/>
          </w:tcPr>
          <w:p w:rsidR="00120A92" w:rsidRPr="00ED3753" w:rsidRDefault="00F30C80">
            <w:pPr>
              <w:pStyle w:val="Normal6"/>
            </w:pPr>
            <w:r w:rsidRPr="00ED3753">
              <w:t>__________________</w:t>
            </w:r>
          </w:p>
        </w:tc>
        <w:tc>
          <w:tcPr>
            <w:tcW w:w="4876" w:type="dxa"/>
            <w:hideMark/>
          </w:tcPr>
          <w:p w:rsidR="00120A92" w:rsidRPr="00ED3753" w:rsidRDefault="00F30C80">
            <w:pPr>
              <w:pStyle w:val="Normal6"/>
              <w:rPr>
                <w:szCs w:val="24"/>
              </w:rPr>
            </w:pPr>
            <w:r w:rsidRPr="00ED3753">
              <w:t>__________________</w:t>
            </w:r>
          </w:p>
        </w:tc>
      </w:tr>
      <w:tr w:rsidR="00264914" w:rsidRPr="00ED3753" w:rsidTr="00120A92">
        <w:trPr>
          <w:jc w:val="center"/>
        </w:trPr>
        <w:tc>
          <w:tcPr>
            <w:tcW w:w="4876" w:type="dxa"/>
            <w:hideMark/>
          </w:tcPr>
          <w:p w:rsidR="00120A92" w:rsidRPr="00ED3753" w:rsidRDefault="00F30C80">
            <w:pPr>
              <w:pStyle w:val="Normal6"/>
            </w:pPr>
            <w:r w:rsidRPr="00ED3753">
              <w:rPr>
                <w:vertAlign w:val="superscript"/>
              </w:rPr>
              <w:t xml:space="preserve">45 </w:t>
            </w:r>
            <w:r w:rsidRPr="00ED3753">
              <w:t>2020/C 102 I/03.</w:t>
            </w:r>
          </w:p>
        </w:tc>
        <w:tc>
          <w:tcPr>
            <w:tcW w:w="4876" w:type="dxa"/>
            <w:hideMark/>
          </w:tcPr>
          <w:p w:rsidR="00120A92" w:rsidRPr="00ED3753" w:rsidRDefault="00F30C80">
            <w:pPr>
              <w:pStyle w:val="Normal6"/>
              <w:rPr>
                <w:szCs w:val="24"/>
              </w:rPr>
            </w:pPr>
            <w:r w:rsidRPr="00ED3753">
              <w:rPr>
                <w:vertAlign w:val="superscript"/>
              </w:rPr>
              <w:t xml:space="preserve">45 </w:t>
            </w:r>
            <w:r w:rsidRPr="00ED3753">
              <w:t>2020/C 102 I/03.</w:t>
            </w:r>
          </w:p>
        </w:tc>
      </w:tr>
    </w:tbl>
    <w:p w:rsidR="00120A92" w:rsidRPr="00ED3753" w:rsidRDefault="00F30C80" w:rsidP="00120A92">
      <w:pPr>
        <w:pStyle w:val="Olang"/>
      </w:pPr>
      <w:r w:rsidRPr="00ED3753">
        <w:rPr>
          <w:noProof w:val="0"/>
        </w:rPr>
        <w:t xml:space="preserve">Or. </w:t>
      </w:r>
      <w:r w:rsidRPr="00ED3753">
        <w:rPr>
          <w:rStyle w:val="HideTWBExt"/>
          <w:noProof w:val="0"/>
        </w:rPr>
        <w:t>&lt;Or</w:t>
      </w:r>
      <w:r w:rsidRPr="00ED3753">
        <w:rPr>
          <w:rStyle w:val="HideTWBExt"/>
          <w:noProof w:val="0"/>
        </w:rPr>
        <w:t>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36</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39</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(39)</w:t>
            </w:r>
            <w:r w:rsidRPr="00ED3753">
              <w:tab/>
              <w:t>De kennisgeving die de lidstaten moeten doen,</w:t>
            </w:r>
            <w:r w:rsidRPr="00ED3753">
              <w:t xml:space="preserve"> moet doorslaggevend zijn bij de beoordeling van de naleving van de criteria en voorwaarden voor een tijdelijke herinvoering van binnengrenstoezicht. Om te waarborgen </w:t>
            </w:r>
            <w:r w:rsidRPr="00ED3753">
              <w:rPr>
                <w:b/>
                <w:bCs/>
                <w:i/>
                <w:iCs/>
              </w:rPr>
              <w:t>dat</w:t>
            </w:r>
            <w:r w:rsidRPr="00ED3753">
              <w:t xml:space="preserve"> </w:t>
            </w:r>
            <w:r w:rsidRPr="00ED3753">
              <w:rPr>
                <w:b/>
                <w:bCs/>
                <w:i/>
                <w:iCs/>
              </w:rPr>
              <w:t>vergelijkbare informatie wordt verstrekt</w:t>
            </w:r>
            <w:r w:rsidRPr="00ED3753">
              <w:t>, moet de Commissie</w:t>
            </w:r>
            <w:r w:rsidRPr="00ED3753">
              <w:rPr>
                <w:b/>
                <w:bCs/>
                <w:i/>
                <w:iCs/>
              </w:rPr>
              <w:t xml:space="preserve"> bij uitvoeringshandeling</w:t>
            </w:r>
            <w:r w:rsidRPr="00ED3753">
              <w:t xml:space="preserve"> een model vaststellen voor de kennisgeving van de herinvoering van binnengrenstoezicht. Lidstaten moeten het recht hebben de in de kennisgeving verstrekte informatie geheel of gedeeltelijk te rubriceren, zonder afbreuk te doen aan de werking van passende </w:t>
            </w:r>
            <w:r w:rsidRPr="00ED3753">
              <w:t>en veilige kanalen voor politiële samenwerking.</w:t>
            </w:r>
          </w:p>
        </w:tc>
        <w:tc>
          <w:tcPr>
            <w:tcW w:w="4876" w:type="dxa"/>
            <w:hideMark/>
          </w:tcPr>
          <w:p w:rsidR="00120A92" w:rsidRPr="00ED3753" w:rsidRDefault="00F30C80">
            <w:pPr>
              <w:pStyle w:val="Normal6"/>
              <w:rPr>
                <w:szCs w:val="24"/>
              </w:rPr>
            </w:pPr>
            <w:r w:rsidRPr="00ED3753">
              <w:t>(39)</w:t>
            </w:r>
            <w:r w:rsidRPr="00ED3753">
              <w:tab/>
              <w:t xml:space="preserve">De kennisgeving die de lidstaten moeten doen, moet doorslaggevend zijn bij de beoordeling van de naleving van de criteria en voorwaarden voor een tijdelijke herinvoering van binnengrenstoezicht. Om </w:t>
            </w:r>
            <w:r w:rsidRPr="00ED3753">
              <w:rPr>
                <w:b/>
                <w:bCs/>
                <w:i/>
                <w:iCs/>
              </w:rPr>
              <w:t>een g</w:t>
            </w:r>
            <w:r w:rsidRPr="00ED3753">
              <w:rPr>
                <w:b/>
                <w:bCs/>
                <w:i/>
                <w:iCs/>
              </w:rPr>
              <w:t>oed toezicht op en een goede monitoring van heringevoerd binnengrenstoezicht</w:t>
            </w:r>
            <w:r w:rsidRPr="00ED3753">
              <w:t xml:space="preserve"> te waarborgen, moet de Commissie </w:t>
            </w:r>
            <w:r w:rsidRPr="00ED3753">
              <w:rPr>
                <w:b/>
                <w:bCs/>
                <w:i/>
                <w:iCs/>
              </w:rPr>
              <w:t>door middel van een gedelegeerde handeling</w:t>
            </w:r>
            <w:r w:rsidRPr="00ED3753">
              <w:t xml:space="preserve"> een model vaststellen voor de kennisgeving van de herinvoering van binnengrenstoezicht. Lidstaten moete</w:t>
            </w:r>
            <w:r w:rsidRPr="00ED3753">
              <w:t xml:space="preserve">n het recht hebben de in de kennisgeving verstrekte informatie geheel of gedeeltelijk te rubriceren, zonder afbreuk te doen aan de werking van passende en veilige kanalen voor politiële samenwerking. </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8447B6" w:rsidRPr="00ED3753" w:rsidRDefault="00F30C80" w:rsidP="008447B6">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w:t>
      </w:r>
      <w:r w:rsidRPr="00ED3753">
        <w:rPr>
          <w:rStyle w:val="HideTWBExt"/>
          <w:rFonts w:ascii="Times New Roman" w:hAnsi="Times New Roman"/>
          <w:sz w:val="24"/>
        </w:rPr>
        <w:t>/TitreJust&gt;</w:t>
      </w:r>
    </w:p>
    <w:p w:rsidR="008447B6" w:rsidRPr="00ED3753" w:rsidRDefault="00F30C80" w:rsidP="008447B6">
      <w:pPr>
        <w:pStyle w:val="JustificationTitle"/>
        <w:jc w:val="both"/>
        <w:rPr>
          <w:szCs w:val="24"/>
        </w:rPr>
      </w:pPr>
      <w:r w:rsidRPr="00ED3753">
        <w:t>Aangezien de kennisgeving door de lidstaten zo belangrijk is om te bepalen of de regels van de Schengengrenscode worden nageleefd, moet het model voor de kennisgeving worden beschouwd als een element dat niet-essentiële onderdelen van de verord</w:t>
      </w:r>
      <w:r w:rsidRPr="00ED3753">
        <w:t>ening aanvult.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37</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40</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(40)</w:t>
            </w:r>
            <w:r w:rsidRPr="00ED3753">
              <w:tab/>
            </w:r>
            <w:r w:rsidRPr="00ED3753">
              <w:t>Om te waarborgen dat binnengrenstoezicht werkelijk een uiterste middel is, dat uitsluitend wordt toegepast zolang dat nodig is, en om de noodzaak en evenredigheid van binnengrenstoezicht wegens voorzienbare bedreigingen te kunnen beoordelen, moeten lidstat</w:t>
            </w:r>
            <w:r w:rsidRPr="00ED3753">
              <w:t xml:space="preserve">en risicobeoordelingen bij de Commissie indienen wanneer binnengrenstoezicht wegens voorzienbare bedreigingen langer dan een aanvankelijke termijn van </w:t>
            </w:r>
            <w:r w:rsidRPr="00ED3753">
              <w:rPr>
                <w:b/>
                <w:bCs/>
                <w:i/>
                <w:iCs/>
              </w:rPr>
              <w:t>zes</w:t>
            </w:r>
            <w:r w:rsidRPr="00ED3753">
              <w:t xml:space="preserve"> maanden wordt gehandhaafd. De lidstaten moeten met name de omvang en de ontwikkeling van de geconstat</w:t>
            </w:r>
            <w:r w:rsidRPr="00ED3753">
              <w:t>eerde ernstige bedreiging toelichten en onder meer aangeven hoelang de geconstateerde ernstige bedreiging naar verwachting zal aanhouden en welke delen van de binnengrenzen daardoor getroffen zullen worden, en tevens aangeven welke maatregelen zij zullen n</w:t>
            </w:r>
            <w:r w:rsidRPr="00ED3753">
              <w:t>emen voor afstemming met de andere lidstaten die door deze maatregelen worden getroffen of dreigen te worden getroffen.</w:t>
            </w:r>
          </w:p>
        </w:tc>
        <w:tc>
          <w:tcPr>
            <w:tcW w:w="4876" w:type="dxa"/>
            <w:hideMark/>
          </w:tcPr>
          <w:p w:rsidR="00120A92" w:rsidRPr="00ED3753" w:rsidRDefault="00F30C80">
            <w:pPr>
              <w:pStyle w:val="Normal6"/>
              <w:rPr>
                <w:szCs w:val="24"/>
              </w:rPr>
            </w:pPr>
            <w:r w:rsidRPr="00ED3753">
              <w:t>(40)</w:t>
            </w:r>
            <w:r w:rsidRPr="00ED3753">
              <w:tab/>
            </w:r>
            <w:r w:rsidRPr="00ED3753">
              <w:t>Om te waarborgen dat binnengrenstoezicht werkelijk een uiterste middel is, dat uitsluitend wordt toegepast zolang dat nodig is, en om de noodzaak en evenredigheid van binnengrenstoezicht wegens voorzienbare bedreigingen te kunnen beoordelen, moeten lidstat</w:t>
            </w:r>
            <w:r w:rsidRPr="00ED3753">
              <w:t xml:space="preserve">en risicobeoordelingen bij de Commissie indienen wanneer binnengrenstoezicht wegens voorzienbare bedreigingen langer dan een aanvankelijke termijn van </w:t>
            </w:r>
            <w:r w:rsidRPr="00ED3753">
              <w:rPr>
                <w:b/>
                <w:bCs/>
                <w:i/>
                <w:iCs/>
              </w:rPr>
              <w:t>drie</w:t>
            </w:r>
            <w:r w:rsidRPr="00ED3753">
              <w:t xml:space="preserve"> maanden wordt gehandhaafd. De lidstaten moeten met name de omvang en de ontwikkeling van de geconsta</w:t>
            </w:r>
            <w:r w:rsidRPr="00ED3753">
              <w:t xml:space="preserve">teerde ernstige bedreiging toelichten en onder meer aangeven hoelang de geconstateerde ernstige bedreiging naar verwachting zal aanhouden en welke delen van de binnengrenzen daardoor getroffen zullen worden, </w:t>
            </w:r>
            <w:r w:rsidRPr="00ED3753">
              <w:rPr>
                <w:b/>
                <w:bCs/>
                <w:i/>
                <w:iCs/>
              </w:rPr>
              <w:t xml:space="preserve">waarom alternatieve maatregelen de vastgestelde </w:t>
            </w:r>
            <w:r w:rsidRPr="00ED3753">
              <w:rPr>
                <w:b/>
                <w:bCs/>
                <w:i/>
                <w:iCs/>
              </w:rPr>
              <w:t xml:space="preserve">bedreiging niet zullen wegnemen, </w:t>
            </w:r>
            <w:r w:rsidRPr="00ED3753">
              <w:t>en tevens aangeven welke maatregelen zij zullen nemen voor afstemming met de andere lidstaten die door deze maatregelen worden getroffen of dreigen te worden getroffen.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w:t>
      </w:r>
      <w:r w:rsidRPr="00ED3753">
        <w:t>ement</w:t>
      </w:r>
      <w:r w:rsidRPr="00ED3753">
        <w:tab/>
      </w:r>
      <w:r w:rsidRPr="00ED3753">
        <w:tab/>
      </w:r>
      <w:r w:rsidRPr="00ED3753">
        <w:rPr>
          <w:rStyle w:val="HideTWBExt"/>
          <w:b w:val="0"/>
        </w:rPr>
        <w:t>&lt;NumAm&gt;</w:t>
      </w:r>
      <w:r w:rsidRPr="00ED3753">
        <w:t>38</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42</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(42)</w:t>
            </w:r>
            <w:r w:rsidRPr="00ED3753">
              <w:tab/>
              <w:t xml:space="preserve">Om de maatregelen met gevolgen voor het reizen zonder binnengrenstoezicht </w:t>
            </w:r>
            <w:r w:rsidRPr="00ED3753">
              <w:rPr>
                <w:b/>
                <w:bCs/>
                <w:i/>
                <w:iCs/>
              </w:rPr>
              <w:t xml:space="preserve">voldoende </w:t>
            </w:r>
            <w:r w:rsidRPr="00ED3753">
              <w:rPr>
                <w:b/>
                <w:bCs/>
                <w:i/>
                <w:iCs/>
              </w:rPr>
              <w:t>transparant te maken</w:t>
            </w:r>
            <w:r w:rsidRPr="00ED3753">
              <w:t xml:space="preserve">, moeten de lidstaten </w:t>
            </w:r>
            <w:r w:rsidRPr="00ED3753">
              <w:rPr>
                <w:b/>
                <w:bCs/>
                <w:i/>
                <w:iCs/>
              </w:rPr>
              <w:t>ook</w:t>
            </w:r>
            <w:r w:rsidRPr="00ED3753">
              <w:t xml:space="preserve"> het Europees Parlement en de Raad </w:t>
            </w:r>
            <w:r w:rsidRPr="00ED3753">
              <w:rPr>
                <w:b/>
                <w:bCs/>
                <w:i/>
                <w:iCs/>
              </w:rPr>
              <w:t>in kennis stellen</w:t>
            </w:r>
            <w:r w:rsidRPr="00ED3753">
              <w:t xml:space="preserve"> </w:t>
            </w:r>
            <w:r w:rsidRPr="00ED3753">
              <w:rPr>
                <w:b/>
                <w:bCs/>
                <w:i/>
                <w:iCs/>
              </w:rPr>
              <w:t>van de belangrijkste aspecten</w:t>
            </w:r>
            <w:r w:rsidRPr="00ED3753">
              <w:t xml:space="preserve"> </w:t>
            </w:r>
            <w:r w:rsidRPr="00ED3753">
              <w:rPr>
                <w:b/>
                <w:bCs/>
                <w:i/>
                <w:iCs/>
              </w:rPr>
              <w:t>van</w:t>
            </w:r>
            <w:r w:rsidRPr="00ED3753">
              <w:t xml:space="preserve"> de voorgenomen herinvoering van grenstoezicht. In gerechtvaardigde gevallen kunnen de lidstaten deze informatie ook als gehe</w:t>
            </w:r>
            <w:r w:rsidRPr="00ED3753">
              <w:t>im aanmerken. Krachtens artikel 33 van de Schengengrenscode moet de Commissie jaarlijks bij het Europees Parlement en de Raad een verslag indienen over de werking van de ruimte zonder binnengrenstoezicht (het “verslag over de staat van Schengen”), waarin b</w:t>
            </w:r>
            <w:r w:rsidRPr="00ED3753">
              <w:t>ijzondere aandacht</w:t>
            </w:r>
            <w:r w:rsidRPr="00ED3753">
              <w:rPr>
                <w:b/>
                <w:bCs/>
                <w:i/>
                <w:iCs/>
              </w:rPr>
              <w:t xml:space="preserve"> aan de</w:t>
            </w:r>
            <w:r w:rsidRPr="00ED3753">
              <w:t xml:space="preserve"> </w:t>
            </w:r>
            <w:r w:rsidRPr="00ED3753">
              <w:rPr>
                <w:b/>
                <w:bCs/>
                <w:i/>
                <w:iCs/>
              </w:rPr>
              <w:t>situatie met betrekking tot niet-toegestane verplaatsingen van onderdanen van derde landen</w:t>
            </w:r>
            <w:r w:rsidRPr="00ED3753">
              <w:t xml:space="preserve"> moet worden geschonken </w:t>
            </w:r>
            <w:r w:rsidRPr="00ED3753">
              <w:rPr>
                <w:b/>
                <w:bCs/>
                <w:i/>
                <w:iCs/>
              </w:rPr>
              <w:t>op basis van de beschikbare informatie van de betrokken agentschappen en analyses van de gegevens uit de relevante i</w:t>
            </w:r>
            <w:r w:rsidRPr="00ED3753">
              <w:rPr>
                <w:b/>
                <w:bCs/>
                <w:i/>
                <w:iCs/>
              </w:rPr>
              <w:t>nformatiesystemen</w:t>
            </w:r>
            <w:r w:rsidRPr="00ED3753">
              <w:t xml:space="preserve">. Ook moeten in dat verslag de noodzaak en evenredigheid van </w:t>
            </w:r>
            <w:r w:rsidRPr="00ED3753">
              <w:rPr>
                <w:b/>
                <w:bCs/>
                <w:i/>
                <w:iCs/>
              </w:rPr>
              <w:t>de</w:t>
            </w:r>
            <w:r w:rsidRPr="00ED3753">
              <w:t xml:space="preserve"> herinvoering van grenstoezicht in de verslagperiode worden beoordeeld. Het verslag over de staat van Schengen moet tevens voldoen aan de rapportageverplichtingen die voortvloe</w:t>
            </w:r>
            <w:r w:rsidRPr="00ED3753">
              <w:t>ien uit artikel 20 van het Schengenevaluatiemechanisme</w:t>
            </w:r>
            <w:r w:rsidRPr="00ED3753">
              <w:rPr>
                <w:vertAlign w:val="superscript"/>
              </w:rPr>
              <w:t>46</w:t>
            </w:r>
            <w:r w:rsidRPr="00ED3753">
              <w:t>.</w:t>
            </w:r>
          </w:p>
        </w:tc>
        <w:tc>
          <w:tcPr>
            <w:tcW w:w="4876" w:type="dxa"/>
            <w:hideMark/>
          </w:tcPr>
          <w:p w:rsidR="00120A92" w:rsidRPr="00ED3753" w:rsidRDefault="00F30C80">
            <w:pPr>
              <w:pStyle w:val="Normal6"/>
              <w:rPr>
                <w:szCs w:val="24"/>
              </w:rPr>
            </w:pPr>
            <w:r w:rsidRPr="00ED3753">
              <w:t>(42)</w:t>
            </w:r>
            <w:r w:rsidRPr="00ED3753">
              <w:tab/>
              <w:t xml:space="preserve">Om </w:t>
            </w:r>
            <w:r w:rsidRPr="00ED3753">
              <w:rPr>
                <w:b/>
                <w:bCs/>
                <w:i/>
                <w:iCs/>
              </w:rPr>
              <w:t>te zorgen voor voldoende toezicht, transparantie en verantwoording met betrekking tot</w:t>
            </w:r>
            <w:r w:rsidRPr="00ED3753">
              <w:t xml:space="preserve"> de maatregelen </w:t>
            </w:r>
            <w:r w:rsidRPr="00ED3753">
              <w:rPr>
                <w:b/>
                <w:bCs/>
                <w:i/>
                <w:iCs/>
              </w:rPr>
              <w:t xml:space="preserve">van de lidstaten </w:t>
            </w:r>
            <w:r w:rsidRPr="00ED3753">
              <w:t xml:space="preserve">met gevolgen voor het reizen zonder binnengrenstoezicht, moeten de lidstaten </w:t>
            </w:r>
            <w:r w:rsidRPr="00ED3753">
              <w:rPr>
                <w:b/>
                <w:bCs/>
                <w:i/>
                <w:iCs/>
              </w:rPr>
              <w:t xml:space="preserve">aan </w:t>
            </w:r>
            <w:r w:rsidRPr="00ED3753">
              <w:t>het Europees Parlement en de Raad</w:t>
            </w:r>
            <w:r w:rsidRPr="00ED3753">
              <w:rPr>
                <w:b/>
                <w:bCs/>
                <w:i/>
                <w:iCs/>
              </w:rPr>
              <w:t xml:space="preserve"> gedetailleerde informatie verstrekken</w:t>
            </w:r>
            <w:r w:rsidRPr="00ED3753">
              <w:t xml:space="preserve"> </w:t>
            </w:r>
            <w:r w:rsidRPr="00ED3753">
              <w:rPr>
                <w:b/>
                <w:bCs/>
                <w:i/>
                <w:iCs/>
              </w:rPr>
              <w:t>over</w:t>
            </w:r>
            <w:r w:rsidRPr="00ED3753">
              <w:t xml:space="preserve"> de voorgenomen herinvoering van grenstoezicht. In gerechtvaardigde gevallen kunnen de lidstaten de</w:t>
            </w:r>
            <w:r w:rsidRPr="00ED3753">
              <w:t>ze informatie ook als geheim aanmerken. Krachtens artikel 33 van de Schengengrenscode moet de Commissie jaarlijks bij het Europees Parlement en de Raad een verslag indienen over de werking van de ruimte zonder binnengrenstoezicht (het “verslag over de staa</w:t>
            </w:r>
            <w:r w:rsidRPr="00ED3753">
              <w:t xml:space="preserve">t van Schengen”), waarin bijzondere aandacht moet worden geschonken </w:t>
            </w:r>
            <w:r w:rsidRPr="00ED3753">
              <w:rPr>
                <w:b/>
                <w:bCs/>
                <w:i/>
                <w:iCs/>
              </w:rPr>
              <w:t>aan</w:t>
            </w:r>
            <w:r w:rsidRPr="00ED3753">
              <w:rPr>
                <w:i/>
                <w:iCs/>
              </w:rPr>
              <w:t xml:space="preserve"> </w:t>
            </w:r>
            <w:r w:rsidRPr="00ED3753">
              <w:rPr>
                <w:b/>
                <w:bCs/>
                <w:i/>
                <w:iCs/>
              </w:rPr>
              <w:t>het grenstoezicht dat al langer dan zes maanden wordt uitgevoerd</w:t>
            </w:r>
            <w:r w:rsidRPr="00ED3753">
              <w:t xml:space="preserve">. Ook moeten in dat verslag de noodzaak en evenredigheid van </w:t>
            </w:r>
            <w:r w:rsidRPr="00ED3753">
              <w:rPr>
                <w:b/>
                <w:bCs/>
                <w:i/>
                <w:iCs/>
              </w:rPr>
              <w:t>elke</w:t>
            </w:r>
            <w:r w:rsidRPr="00ED3753">
              <w:t xml:space="preserve"> herinvoering van grenstoezicht in de verslagperiode wo</w:t>
            </w:r>
            <w:r w:rsidRPr="00ED3753">
              <w:t>rden beoordeeld. Het verslag over de staat van Schengen moet tevens voldoen aan de rapportageverplichtingen die voortvloeien uit artikel 20 van het Schengenevaluatiemechanisme</w:t>
            </w:r>
            <w:r w:rsidRPr="00ED3753">
              <w:rPr>
                <w:vertAlign w:val="superscript"/>
              </w:rPr>
              <w:t>46</w:t>
            </w:r>
            <w:r w:rsidRPr="00ED3753">
              <w:t>.</w:t>
            </w:r>
          </w:p>
        </w:tc>
      </w:tr>
      <w:tr w:rsidR="00264914" w:rsidRPr="00ED3753" w:rsidTr="00120A92">
        <w:trPr>
          <w:jc w:val="center"/>
        </w:trPr>
        <w:tc>
          <w:tcPr>
            <w:tcW w:w="4876" w:type="dxa"/>
            <w:hideMark/>
          </w:tcPr>
          <w:p w:rsidR="00120A92" w:rsidRPr="00ED3753" w:rsidRDefault="00F30C80">
            <w:pPr>
              <w:pStyle w:val="Normal6"/>
            </w:pPr>
            <w:r w:rsidRPr="00ED3753">
              <w:t>__________________</w:t>
            </w:r>
          </w:p>
        </w:tc>
        <w:tc>
          <w:tcPr>
            <w:tcW w:w="4876" w:type="dxa"/>
            <w:hideMark/>
          </w:tcPr>
          <w:p w:rsidR="00120A92" w:rsidRPr="00ED3753" w:rsidRDefault="00F30C80">
            <w:pPr>
              <w:pStyle w:val="Normal6"/>
              <w:rPr>
                <w:szCs w:val="24"/>
              </w:rPr>
            </w:pPr>
            <w:r w:rsidRPr="00ED3753">
              <w:t>__________________</w:t>
            </w:r>
          </w:p>
        </w:tc>
      </w:tr>
      <w:tr w:rsidR="00264914" w:rsidRPr="00ED3753" w:rsidTr="00120A92">
        <w:trPr>
          <w:jc w:val="center"/>
        </w:trPr>
        <w:tc>
          <w:tcPr>
            <w:tcW w:w="4876" w:type="dxa"/>
            <w:hideMark/>
          </w:tcPr>
          <w:p w:rsidR="00120A92" w:rsidRPr="00ED3753" w:rsidRDefault="00F30C80">
            <w:pPr>
              <w:pStyle w:val="Normal6"/>
            </w:pPr>
            <w:r w:rsidRPr="00ED3753">
              <w:rPr>
                <w:vertAlign w:val="superscript"/>
              </w:rPr>
              <w:t>46</w:t>
            </w:r>
            <w:r w:rsidRPr="00ED3753">
              <w:t xml:space="preserve"> Verordening (EU) nr. 1053/2013 van</w:t>
            </w:r>
            <w:r w:rsidRPr="00ED3753">
              <w:t xml:space="preserve"> de Raad van 7 oktober 2013 betreffende de instelling van een evaluatie- en toezichtsmechanisme voor de controle van de toepassing van het Schengenacquis en tot intrekking van het Besluit van het Uitvoerend Comité van 16 september 1998 tot oprichting van e</w:t>
            </w:r>
            <w:r w:rsidRPr="00ED3753">
              <w:t>en Permanente Schengenbeoordelings- en toepassingscommissie (PB L 295 van 6.11.2013, blz. 27).</w:t>
            </w:r>
          </w:p>
        </w:tc>
        <w:tc>
          <w:tcPr>
            <w:tcW w:w="4876" w:type="dxa"/>
            <w:hideMark/>
          </w:tcPr>
          <w:p w:rsidR="00120A92" w:rsidRPr="00ED3753" w:rsidRDefault="00F30C80">
            <w:pPr>
              <w:pStyle w:val="Normal6"/>
              <w:rPr>
                <w:szCs w:val="24"/>
              </w:rPr>
            </w:pPr>
            <w:r w:rsidRPr="00ED3753">
              <w:rPr>
                <w:vertAlign w:val="superscript"/>
              </w:rPr>
              <w:t>46</w:t>
            </w:r>
            <w:r w:rsidRPr="00ED3753">
              <w:t xml:space="preserve"> Verordening (EU) nr. 1053/2013 van de Raad van 7 oktober 2013 betreffende de instelling van een evaluatie- en toezichtsmechanisme voor de controle van de toepassing van het Schengenacquis en tot intrekking van het Besluit van het Uitvoerend Comité van 16 </w:t>
            </w:r>
            <w:r w:rsidRPr="00ED3753">
              <w:t>september 1998 tot oprichting van een Permanente Schengenbeoordelings- en toepassingscommissie (PB L 295 van 6.11.2013, blz. 27).</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DD0364" w:rsidRPr="00ED3753" w:rsidRDefault="00F30C80" w:rsidP="00DD0364">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DD0364" w:rsidRPr="00ED3753" w:rsidRDefault="00F30C80" w:rsidP="00DD0364">
      <w:pPr>
        <w:pStyle w:val="JustificationTitle"/>
        <w:jc w:val="both"/>
        <w:rPr>
          <w:rFonts w:eastAsiaTheme="minorHAnsi"/>
          <w:szCs w:val="24"/>
        </w:rPr>
      </w:pPr>
      <w:r w:rsidRPr="00ED3753">
        <w:t>Het verslag over de staat van Schengen moet zich toespitsen</w:t>
      </w:r>
      <w:r w:rsidRPr="00ED3753">
        <w:t xml:space="preserve"> op het Schengengebied zonder binnengrenstoezicht en de opheffing van het ingevoerd binnengrenstoezicht.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39</w:t>
      </w:r>
      <w:r w:rsidRPr="00ED3753">
        <w:rPr>
          <w:rStyle w:val="HideTWBExt"/>
          <w:b w:val="0"/>
        </w:rPr>
        <w:t>&lt;/NumAm&gt;</w:t>
      </w:r>
    </w:p>
    <w:p w:rsidR="003407D1" w:rsidRPr="00ED3753" w:rsidRDefault="00F30C80" w:rsidP="003407D1">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3407D1" w:rsidRPr="00ED3753" w:rsidRDefault="00F30C80" w:rsidP="003407D1">
      <w:pPr>
        <w:pStyle w:val="NormalBold"/>
      </w:pPr>
      <w:r w:rsidRPr="00ED3753">
        <w:rPr>
          <w:rStyle w:val="HideTWBExt"/>
          <w:b w:val="0"/>
        </w:rPr>
        <w:t>&lt;Article&gt;</w:t>
      </w:r>
      <w:r w:rsidRPr="00ED3753">
        <w:t>Overweging 43</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3407D1">
        <w:trPr>
          <w:jc w:val="center"/>
        </w:trPr>
        <w:tc>
          <w:tcPr>
            <w:tcW w:w="9752" w:type="dxa"/>
            <w:gridSpan w:val="2"/>
          </w:tcPr>
          <w:p w:rsidR="003407D1" w:rsidRPr="00ED3753" w:rsidRDefault="003407D1">
            <w:pPr>
              <w:keepNext/>
            </w:pPr>
          </w:p>
        </w:tc>
      </w:tr>
      <w:tr w:rsidR="00264914" w:rsidRPr="00ED3753" w:rsidTr="003407D1">
        <w:trPr>
          <w:jc w:val="center"/>
        </w:trPr>
        <w:tc>
          <w:tcPr>
            <w:tcW w:w="4876" w:type="dxa"/>
            <w:hideMark/>
          </w:tcPr>
          <w:p w:rsidR="003407D1" w:rsidRPr="00ED3753" w:rsidRDefault="00F30C80">
            <w:pPr>
              <w:pStyle w:val="ColumnHeading"/>
              <w:keepNext/>
            </w:pPr>
            <w:r w:rsidRPr="00ED3753">
              <w:t xml:space="preserve">Door de Commissie </w:t>
            </w:r>
            <w:r w:rsidRPr="00ED3753">
              <w:t>voorgestelde tekst</w:t>
            </w:r>
          </w:p>
        </w:tc>
        <w:tc>
          <w:tcPr>
            <w:tcW w:w="4876" w:type="dxa"/>
            <w:hideMark/>
          </w:tcPr>
          <w:p w:rsidR="003407D1" w:rsidRPr="00ED3753" w:rsidRDefault="00F30C80">
            <w:pPr>
              <w:pStyle w:val="ColumnHeading"/>
              <w:keepNext/>
            </w:pPr>
            <w:r w:rsidRPr="00ED3753">
              <w:t>Amendement</w:t>
            </w:r>
          </w:p>
        </w:tc>
      </w:tr>
      <w:tr w:rsidR="00264914" w:rsidRPr="00ED3753" w:rsidTr="003407D1">
        <w:trPr>
          <w:jc w:val="center"/>
        </w:trPr>
        <w:tc>
          <w:tcPr>
            <w:tcW w:w="4876" w:type="dxa"/>
            <w:hideMark/>
          </w:tcPr>
          <w:p w:rsidR="003407D1" w:rsidRPr="00ED3753" w:rsidRDefault="00F30C80">
            <w:pPr>
              <w:pStyle w:val="Normal6"/>
            </w:pPr>
            <w:r w:rsidRPr="00ED3753">
              <w:t>(43)</w:t>
            </w:r>
            <w:r w:rsidRPr="00ED3753">
              <w:tab/>
              <w:t xml:space="preserve">Het mechanisme voor de tijdelijke herinvoering van grenstoezicht aan de binnengrenzen in urgente situaties of wegens voorzienbare bedreigingen </w:t>
            </w:r>
            <w:r w:rsidRPr="00ED3753">
              <w:rPr>
                <w:b/>
                <w:bCs/>
                <w:i/>
                <w:iCs/>
              </w:rPr>
              <w:t>moet</w:t>
            </w:r>
            <w:r w:rsidRPr="00ED3753">
              <w:t xml:space="preserve"> de Commissie </w:t>
            </w:r>
            <w:r w:rsidRPr="00ED3753">
              <w:rPr>
                <w:b/>
                <w:bCs/>
                <w:i/>
                <w:iCs/>
              </w:rPr>
              <w:t>de mogelijkheid bieden</w:t>
            </w:r>
            <w:r w:rsidRPr="00ED3753">
              <w:t xml:space="preserve"> </w:t>
            </w:r>
            <w:r w:rsidRPr="00ED3753">
              <w:rPr>
                <w:b/>
                <w:bCs/>
                <w:i/>
                <w:iCs/>
              </w:rPr>
              <w:t>om</w:t>
            </w:r>
            <w:r w:rsidRPr="00ED3753">
              <w:t xml:space="preserve"> overleg met lidstaten te</w:t>
            </w:r>
            <w:r w:rsidRPr="00ED3753">
              <w:rPr>
                <w:b/>
                <w:bCs/>
                <w:i/>
                <w:iCs/>
              </w:rPr>
              <w:t xml:space="preserve"> voeren</w:t>
            </w:r>
            <w:r w:rsidRPr="00ED3753">
              <w:t xml:space="preserve">, </w:t>
            </w:r>
            <w:r w:rsidRPr="00ED3753">
              <w:t xml:space="preserve">ook op verzoek van een lidstaat. Betrokken agentschappen van de Unie </w:t>
            </w:r>
            <w:r w:rsidRPr="00ED3753">
              <w:rPr>
                <w:b/>
                <w:bCs/>
                <w:i/>
                <w:iCs/>
              </w:rPr>
              <w:t>moeten</w:t>
            </w:r>
            <w:r w:rsidRPr="00ED3753">
              <w:t xml:space="preserve"> indien nodig aan dit overleg deelnemen om hun deskundigheid te delen. Bij dit overleg moet worden gekeken naar de wijze waarop binnengrenstoezicht wordt uitgeoefend en de planning </w:t>
            </w:r>
            <w:r w:rsidRPr="00ED3753">
              <w:t>daarvoor</w:t>
            </w:r>
            <w:r w:rsidRPr="00ED3753">
              <w:rPr>
                <w:b/>
                <w:bCs/>
                <w:i/>
                <w:iCs/>
              </w:rPr>
              <w:t>,</w:t>
            </w:r>
            <w:r w:rsidRPr="00ED3753">
              <w:t xml:space="preserve"> eventuele verzachtende maatregelen </w:t>
            </w:r>
            <w:r w:rsidRPr="00ED3753">
              <w:rPr>
                <w:b/>
                <w:bCs/>
                <w:i/>
                <w:iCs/>
              </w:rPr>
              <w:t>en de mogelijkheden om in plaats van grenstoezicht alternatieve maatregelen toe te passen</w:t>
            </w:r>
            <w:r w:rsidRPr="00ED3753">
              <w:t>. Indien de Commissie of een lidstaat een advies heeft uitgebracht waarin zorgen worden geuit over de herinvoering van gre</w:t>
            </w:r>
            <w:r w:rsidRPr="00ED3753">
              <w:t>nstoezicht, is dit overleg verplicht.</w:t>
            </w:r>
          </w:p>
        </w:tc>
        <w:tc>
          <w:tcPr>
            <w:tcW w:w="4876" w:type="dxa"/>
            <w:hideMark/>
          </w:tcPr>
          <w:p w:rsidR="003407D1" w:rsidRPr="00ED3753" w:rsidRDefault="00F30C80">
            <w:pPr>
              <w:pStyle w:val="Normal6"/>
              <w:rPr>
                <w:szCs w:val="24"/>
              </w:rPr>
            </w:pPr>
            <w:r w:rsidRPr="00ED3753">
              <w:t>(43)</w:t>
            </w:r>
            <w:r w:rsidRPr="00ED3753">
              <w:tab/>
              <w:t xml:space="preserve">Het mechanisme voor de tijdelijke herinvoering van grenstoezicht aan de binnengrenzen in urgente situaties of wegens voorzienbare bedreigingen </w:t>
            </w:r>
            <w:r w:rsidRPr="00ED3753">
              <w:rPr>
                <w:b/>
                <w:bCs/>
                <w:i/>
                <w:iCs/>
              </w:rPr>
              <w:t>verplicht</w:t>
            </w:r>
            <w:r w:rsidRPr="00ED3753">
              <w:t xml:space="preserve"> de Commissie overleg met lidstaten </w:t>
            </w:r>
            <w:r w:rsidRPr="00ED3753">
              <w:rPr>
                <w:b/>
                <w:bCs/>
                <w:i/>
                <w:iCs/>
              </w:rPr>
              <w:t>te</w:t>
            </w:r>
            <w:r w:rsidRPr="00ED3753">
              <w:rPr>
                <w:b/>
                <w:bCs/>
              </w:rPr>
              <w:t xml:space="preserve"> </w:t>
            </w:r>
            <w:r w:rsidRPr="00ED3753">
              <w:rPr>
                <w:b/>
                <w:bCs/>
                <w:i/>
                <w:iCs/>
              </w:rPr>
              <w:t>organiseren</w:t>
            </w:r>
            <w:r w:rsidRPr="00ED3753">
              <w:t>, ook op ve</w:t>
            </w:r>
            <w:r w:rsidRPr="00ED3753">
              <w:t xml:space="preserve">rzoek van een lidstaat. Betrokken agentschappen van de Unie </w:t>
            </w:r>
            <w:r w:rsidRPr="00ED3753">
              <w:rPr>
                <w:b/>
                <w:bCs/>
                <w:i/>
                <w:iCs/>
              </w:rPr>
              <w:t>kunnen</w:t>
            </w:r>
            <w:r w:rsidRPr="00ED3753">
              <w:t xml:space="preserve"> indien nodig aan dit overleg deelnemen om hun deskundigheid te delen. Bij dit overleg moet worden gekeken naar </w:t>
            </w:r>
            <w:r w:rsidRPr="00ED3753">
              <w:rPr>
                <w:b/>
                <w:bCs/>
                <w:i/>
                <w:iCs/>
              </w:rPr>
              <w:t>de mogelijkheid om alternatieve maatregelen toe te passen en, indien nodig,</w:t>
            </w:r>
            <w:r w:rsidRPr="00ED3753">
              <w:rPr>
                <w:b/>
                <w:bCs/>
              </w:rPr>
              <w:t xml:space="preserve"> </w:t>
            </w:r>
            <w:r w:rsidRPr="00ED3753">
              <w:t>de</w:t>
            </w:r>
            <w:r w:rsidRPr="00ED3753">
              <w:t xml:space="preserve"> wijze waarop binnengrenstoezicht wordt uitgeoefend</w:t>
            </w:r>
            <w:r w:rsidRPr="00ED3753">
              <w:rPr>
                <w:b/>
                <w:bCs/>
                <w:i/>
                <w:iCs/>
              </w:rPr>
              <w:t>,</w:t>
            </w:r>
            <w:r w:rsidRPr="00ED3753">
              <w:t xml:space="preserve"> de planning daarvoor </w:t>
            </w:r>
            <w:r w:rsidRPr="00ED3753">
              <w:rPr>
                <w:b/>
                <w:bCs/>
                <w:i/>
                <w:iCs/>
              </w:rPr>
              <w:t>en</w:t>
            </w:r>
            <w:r w:rsidRPr="00ED3753">
              <w:t xml:space="preserve"> eventuele verzachtende maatregelen. Indien de Commissie of een lidstaat een advies heeft uitgebracht waarin zorgen worden geuit over de herinvoering van grenstoezicht, is dit over</w:t>
            </w:r>
            <w:r w:rsidRPr="00ED3753">
              <w:t>leg verplicht.</w:t>
            </w:r>
          </w:p>
        </w:tc>
      </w:tr>
    </w:tbl>
    <w:p w:rsidR="003407D1" w:rsidRPr="00ED3753" w:rsidRDefault="00F30C80" w:rsidP="003407D1">
      <w:pPr>
        <w:pStyle w:val="Olang"/>
      </w:pPr>
      <w:r w:rsidRPr="00ED3753">
        <w:t xml:space="preserve">Or. </w:t>
      </w:r>
      <w:r w:rsidRPr="00ED3753">
        <w:rPr>
          <w:rStyle w:val="HideTWBExt"/>
        </w:rPr>
        <w:t>&lt;Original&gt;</w:t>
      </w:r>
      <w:r w:rsidRPr="00ED3753">
        <w:rPr>
          <w:rStyle w:val="HideTWBInt"/>
        </w:rPr>
        <w:t>{EN}</w:t>
      </w:r>
      <w:r w:rsidRPr="00ED3753">
        <w:t>en</w:t>
      </w:r>
      <w:r w:rsidRPr="00ED3753">
        <w:rPr>
          <w:rStyle w:val="HideTWBExt"/>
        </w:rPr>
        <w:t>&lt;/Original&gt;</w:t>
      </w:r>
    </w:p>
    <w:p w:rsidR="003407D1" w:rsidRPr="00ED3753" w:rsidRDefault="00F30C80" w:rsidP="003407D1">
      <w:pPr>
        <w:rPr>
          <w:szCs w:val="24"/>
        </w:rPr>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40</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44</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(44)</w:t>
            </w:r>
            <w:r w:rsidRPr="00ED3753">
              <w:tab/>
              <w:t xml:space="preserve">De Commissie en de </w:t>
            </w:r>
            <w:r w:rsidRPr="00ED3753">
              <w:t>lidstaten moeten de mogelijkheid behouden om hun zorgen te uiten over de noodzaak en evenredigheid van een besluit van een lidstaat om in urgente gevallen of vanwege een voorzienbare bedreiging opnieuw binnengrenstoezicht in te voeren. Indien wegens voorzi</w:t>
            </w:r>
            <w:r w:rsidRPr="00ED3753">
              <w:t xml:space="preserve">enbare bedreigingen opnieuw toezicht aan de binnengrenzen wordt ingevoerd en dit in totaal tot meer dan </w:t>
            </w:r>
            <w:r w:rsidRPr="00ED3753">
              <w:rPr>
                <w:b/>
                <w:bCs/>
                <w:i/>
                <w:iCs/>
              </w:rPr>
              <w:t>18</w:t>
            </w:r>
            <w:r w:rsidRPr="00ED3753">
              <w:t xml:space="preserve"> maanden wordt verlengd, moet de Commissie worden verplicht om een advies uit te brengen over de noodzaak en de evenredigheid van dit binnengrenstoezi</w:t>
            </w:r>
            <w:r w:rsidRPr="00ED3753">
              <w:t xml:space="preserve">cht. </w:t>
            </w:r>
            <w:r w:rsidRPr="00ED3753">
              <w:rPr>
                <w:b/>
                <w:i/>
              </w:rPr>
              <w:t>Wanneer een lidstaat van mening is dat er uitzonderlijke situaties zijn die de aanhoudende noodzaak van binnengrenstoezicht gedurende meer dan twee jaar rechtvaardigen, moet de Commissie een vervolgadvies uitbrengen.</w:t>
            </w:r>
            <w:r w:rsidRPr="00ED3753">
              <w:t xml:space="preserve"> Dit advies doet geen afbreuk aan d</w:t>
            </w:r>
            <w:r w:rsidRPr="00ED3753">
              <w:t xml:space="preserve">e handhavingsmaatregelen, waaronder inbreukmaatregelen, die de Commissie te allen tijde </w:t>
            </w:r>
            <w:r w:rsidRPr="00ED3753">
              <w:rPr>
                <w:b/>
                <w:bCs/>
                <w:i/>
                <w:iCs/>
              </w:rPr>
              <w:t>kan</w:t>
            </w:r>
            <w:r w:rsidRPr="00ED3753">
              <w:t xml:space="preserve"> nemen tegen een lidstaat die zijn verplichtingen uit hoofde van het Unierecht niet nakomt. Wanneer een advies wordt uitgebracht, moet de Commissie in overleg treden</w:t>
            </w:r>
            <w:r w:rsidRPr="00ED3753">
              <w:t xml:space="preserve"> met de betrokken lidstaten.</w:t>
            </w:r>
          </w:p>
        </w:tc>
        <w:tc>
          <w:tcPr>
            <w:tcW w:w="4876" w:type="dxa"/>
            <w:hideMark/>
          </w:tcPr>
          <w:p w:rsidR="00120A92" w:rsidRPr="00ED3753" w:rsidRDefault="00F30C80">
            <w:pPr>
              <w:pStyle w:val="Normal6"/>
              <w:rPr>
                <w:szCs w:val="24"/>
              </w:rPr>
            </w:pPr>
            <w:r w:rsidRPr="00ED3753">
              <w:t>(44)</w:t>
            </w:r>
            <w:r w:rsidRPr="00ED3753">
              <w:tab/>
              <w:t>De Commissie en de lidstaten moeten de mogelijkheid behouden om hun zorgen te uiten over de noodzaak en evenredigheid van een besluit van een lidstaat om in urgente gevallen of vanwege een voorzienbare bedreiging opnieuw b</w:t>
            </w:r>
            <w:r w:rsidRPr="00ED3753">
              <w:t xml:space="preserve">innengrenstoezicht in te voeren. Indien wegens voorzienbare bedreigingen opnieuw toezicht aan de binnengrenzen wordt ingevoerd en dit in totaal tot meer dan </w:t>
            </w:r>
            <w:r w:rsidRPr="00ED3753">
              <w:rPr>
                <w:b/>
                <w:bCs/>
                <w:i/>
                <w:iCs/>
              </w:rPr>
              <w:t>zes</w:t>
            </w:r>
            <w:r w:rsidRPr="00ED3753">
              <w:t xml:space="preserve"> maanden wordt verlengd, moet de Commissie worden verplicht om een advies uit te brengen over de</w:t>
            </w:r>
            <w:r w:rsidRPr="00ED3753">
              <w:t xml:space="preserve"> noodzaak en de evenredigheid van dit binnengrenstoezicht. Dit advies doet geen afbreuk aan de handhavingsmaatregelen, waaronder inbreukmaatregelen, die de Commissie te allen tijde </w:t>
            </w:r>
            <w:r w:rsidRPr="00ED3753">
              <w:rPr>
                <w:b/>
                <w:bCs/>
                <w:i/>
                <w:iCs/>
              </w:rPr>
              <w:t>moet</w:t>
            </w:r>
            <w:r w:rsidRPr="00ED3753">
              <w:t xml:space="preserve"> nemen tegen een lidstaat die zijn verplichtingen uit hoofde van het Un</w:t>
            </w:r>
            <w:r w:rsidRPr="00ED3753">
              <w:t>ierecht niet nakomt. Wanneer een advies wordt uitgebracht, moet de Commissie in overleg treden met de betrokken lidstaten.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DB7CF4" w:rsidRPr="00ED3753" w:rsidRDefault="00F30C80" w:rsidP="00DB7CF4">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DB7CF4" w:rsidRPr="00ED3753" w:rsidRDefault="00F30C80" w:rsidP="00DB7CF4">
      <w:pPr>
        <w:pStyle w:val="JustificationTitle"/>
        <w:jc w:val="both"/>
        <w:rPr>
          <w:rFonts w:eastAsiaTheme="minorHAnsi"/>
          <w:szCs w:val="24"/>
        </w:rPr>
      </w:pPr>
      <w:r w:rsidRPr="00ED3753">
        <w:t>Dergelijk onbeperkt binnengrenstoezicht is door het HvJ-EU onwetti</w:t>
      </w:r>
      <w:r w:rsidRPr="00ED3753">
        <w:t>g verklaard.</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45</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(45)</w:t>
            </w:r>
            <w:r w:rsidRPr="00ED3753">
              <w:tab/>
            </w:r>
            <w:r w:rsidRPr="00ED3753">
              <w:t xml:space="preserve">Om een analyse achteraf van het besluit over tijdelijke herinvoering van binnengrenstoezicht mogelijk te maken, moeten de lidstaten verplicht blijven om bij het Europees Parlement, de Raad en de Commissie een verslag over de </w:t>
            </w:r>
            <w:r w:rsidRPr="00ED3753">
              <w:rPr>
                <w:b/>
                <w:bCs/>
                <w:i/>
                <w:iCs/>
              </w:rPr>
              <w:t>herinvoering</w:t>
            </w:r>
            <w:r w:rsidRPr="00ED3753">
              <w:t xml:space="preserve"> van grenstoezicht </w:t>
            </w:r>
            <w:r w:rsidRPr="00ED3753">
              <w:t>aan binnengrenzen in te dienen nadat zij het toezicht hebben opgeheven. Indien het toezicht gedurende</w:t>
            </w:r>
            <w:r w:rsidRPr="00ED3753">
              <w:rPr>
                <w:b/>
                <w:bCs/>
                <w:i/>
                <w:iCs/>
              </w:rPr>
              <w:t xml:space="preserve"> langere tijd</w:t>
            </w:r>
            <w:r w:rsidRPr="00ED3753">
              <w:t xml:space="preserve"> in stand wordt gehouden, moet dat verslag ook na </w:t>
            </w:r>
            <w:r w:rsidRPr="00ED3753">
              <w:rPr>
                <w:b/>
                <w:bCs/>
                <w:i/>
                <w:iCs/>
              </w:rPr>
              <w:t>twaalf</w:t>
            </w:r>
            <w:r w:rsidRPr="00ED3753">
              <w:t xml:space="preserve"> maanden worden ingediend</w:t>
            </w:r>
            <w:r w:rsidRPr="00ED3753">
              <w:rPr>
                <w:b/>
                <w:bCs/>
                <w:i/>
                <w:iCs/>
              </w:rPr>
              <w:t>, en daarna jaarlijks indien het toezicht bij wijze van uitzo</w:t>
            </w:r>
            <w:r w:rsidRPr="00ED3753">
              <w:rPr>
                <w:b/>
                <w:bCs/>
                <w:i/>
                <w:iCs/>
              </w:rPr>
              <w:t>ndering in stand wordt gehouden, en voor zo lang als dat het geval is</w:t>
            </w:r>
            <w:r w:rsidRPr="00ED3753">
              <w:t>. Met name moeten in het verslag de aanvankelijke en vervolgbeoordeling van de noodzaak van binnengrenstoezicht worden opgenomen en moet worden aangegeven op welke wijze aan de criteria v</w:t>
            </w:r>
            <w:r w:rsidRPr="00ED3753">
              <w:t>oor herinvoering van binnengrenstoezicht is voldaan. De Commissie moet bij uitvoeringshandeling een model vaststellen en dit online aanbieden.</w:t>
            </w:r>
          </w:p>
        </w:tc>
        <w:tc>
          <w:tcPr>
            <w:tcW w:w="4876" w:type="dxa"/>
            <w:hideMark/>
          </w:tcPr>
          <w:p w:rsidR="00120A92" w:rsidRPr="00ED3753" w:rsidRDefault="00F30C80" w:rsidP="002323DE">
            <w:pPr>
              <w:pStyle w:val="Normal6"/>
              <w:rPr>
                <w:szCs w:val="24"/>
              </w:rPr>
            </w:pPr>
            <w:r w:rsidRPr="00ED3753">
              <w:t>(45)</w:t>
            </w:r>
            <w:r w:rsidRPr="00ED3753">
              <w:tab/>
              <w:t>Om een analyse achteraf van het besluit over tijdelijke herinvoering van binnengrenstoezicht mogelijk te mak</w:t>
            </w:r>
            <w:r w:rsidRPr="00ED3753">
              <w:t xml:space="preserve">en, moeten de lidstaten verplicht blijven om bij het Europees Parlement, de Raad en de Commissie een verslag over de </w:t>
            </w:r>
            <w:r w:rsidRPr="00ED3753">
              <w:rPr>
                <w:b/>
                <w:bCs/>
                <w:i/>
                <w:iCs/>
              </w:rPr>
              <w:t>invoering</w:t>
            </w:r>
            <w:r w:rsidRPr="00ED3753">
              <w:t xml:space="preserve"> van grenstoezicht aan binnengrenzen in te dienen nadat zij het toezicht hebben opgeheven. Indien het toezicht gedurende </w:t>
            </w:r>
            <w:r w:rsidRPr="00ED3753">
              <w:rPr>
                <w:b/>
                <w:bCs/>
                <w:i/>
                <w:iCs/>
              </w:rPr>
              <w:t>een perio</w:t>
            </w:r>
            <w:r w:rsidRPr="00ED3753">
              <w:rPr>
                <w:b/>
                <w:bCs/>
                <w:i/>
                <w:iCs/>
              </w:rPr>
              <w:t xml:space="preserve">de van meer dan zes maanden </w:t>
            </w:r>
            <w:r w:rsidRPr="00ED3753">
              <w:t xml:space="preserve">in stand wordt gehouden, moet dat verslag ook na </w:t>
            </w:r>
            <w:r w:rsidRPr="00ED3753">
              <w:rPr>
                <w:b/>
                <w:bCs/>
                <w:i/>
                <w:iCs/>
              </w:rPr>
              <w:t xml:space="preserve">die eerste periode van zes </w:t>
            </w:r>
            <w:r w:rsidRPr="00ED3753">
              <w:t>maanden worden ingediend. Met name moeten in het verslag de aanvankelijke en vervolgbeoordeling van de noodzaak van binnengrenstoezicht worden opgenomen</w:t>
            </w:r>
            <w:r w:rsidRPr="00ED3753">
              <w:t xml:space="preserve"> en moet worden aangegeven op welke wijze aan de criteria voor herinvoering van binnengrenstoezicht is voldaan. De Commissie moet bij uitvoeringshandeling een model vaststellen en dit online aanbieden.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42</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Overweging 46</w:t>
      </w:r>
      <w:r w:rsidRPr="00ED37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(46)</w:t>
            </w:r>
            <w:r w:rsidRPr="00ED3753">
              <w:tab/>
              <w:t xml:space="preserve">Bij de uitvoering van deze verordening moeten lidstaten zich onthouden van </w:t>
            </w:r>
            <w:r w:rsidRPr="00ED3753">
              <w:t>discriminatie op grond van geslacht, ras of etnische afkomst, godsdienst of overtuiging, handicap, leeftijd of seksuele gerichtheid.</w:t>
            </w:r>
          </w:p>
        </w:tc>
        <w:tc>
          <w:tcPr>
            <w:tcW w:w="4876" w:type="dxa"/>
            <w:hideMark/>
          </w:tcPr>
          <w:p w:rsidR="00120A92" w:rsidRPr="00ED3753" w:rsidRDefault="00F30C80">
            <w:pPr>
              <w:pStyle w:val="Normal6"/>
              <w:rPr>
                <w:szCs w:val="24"/>
              </w:rPr>
            </w:pPr>
            <w:r w:rsidRPr="00ED3753">
              <w:t>(46)</w:t>
            </w:r>
            <w:r w:rsidRPr="00ED3753">
              <w:tab/>
              <w:t xml:space="preserve">Bij de uitvoering van deze verordening moeten lidstaten zich onthouden van discriminatie op grond van geslacht, </w:t>
            </w:r>
            <w:r w:rsidRPr="00ED3753">
              <w:rPr>
                <w:b/>
                <w:bCs/>
                <w:i/>
                <w:iCs/>
              </w:rPr>
              <w:t>ras, k</w:t>
            </w:r>
            <w:r w:rsidRPr="00ED3753">
              <w:rPr>
                <w:b/>
                <w:bCs/>
                <w:i/>
                <w:iCs/>
              </w:rPr>
              <w:t>leur,</w:t>
            </w:r>
            <w:r w:rsidRPr="00ED3753">
              <w:t xml:space="preserve"> etnische </w:t>
            </w:r>
            <w:r w:rsidRPr="00ED3753">
              <w:rPr>
                <w:b/>
                <w:bCs/>
                <w:i/>
                <w:iCs/>
              </w:rPr>
              <w:t>of sociale</w:t>
            </w:r>
            <w:r w:rsidRPr="00ED3753">
              <w:t xml:space="preserve"> afkomst</w:t>
            </w:r>
            <w:r w:rsidRPr="00ED3753">
              <w:rPr>
                <w:b/>
                <w:bCs/>
                <w:i/>
                <w:iCs/>
              </w:rPr>
              <w:t>,</w:t>
            </w:r>
            <w:r w:rsidRPr="00ED3753">
              <w:t xml:space="preserve"> </w:t>
            </w:r>
            <w:r w:rsidRPr="00ED3753">
              <w:rPr>
                <w:b/>
                <w:bCs/>
                <w:i/>
                <w:iCs/>
              </w:rPr>
              <w:t>genetische kenmerken,</w:t>
            </w:r>
            <w:r w:rsidRPr="00ED3753">
              <w:t xml:space="preserve"> </w:t>
            </w:r>
            <w:r w:rsidRPr="00ED3753">
              <w:rPr>
                <w:b/>
                <w:bCs/>
                <w:i/>
                <w:iCs/>
              </w:rPr>
              <w:t>taal</w:t>
            </w:r>
            <w:r w:rsidRPr="00ED3753">
              <w:t>, godsdienst of overtuiging</w:t>
            </w:r>
            <w:r w:rsidRPr="00ED3753">
              <w:rPr>
                <w:b/>
                <w:bCs/>
                <w:i/>
                <w:iCs/>
              </w:rPr>
              <w:t>, politieke of andere denkbeelden, het behoren tot een nationale minderheid, vermogen, geboorte</w:t>
            </w:r>
            <w:r w:rsidRPr="00ED3753">
              <w:t>, handicap, leeftijd of seksuele geaardheid.</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w:t>
      </w:r>
      <w:r w:rsidRPr="00ED3753">
        <w:rPr>
          <w:rStyle w:val="HideTWBExt"/>
          <w:noProof w:val="0"/>
        </w:rPr>
        <w:t>nal&gt;</w:t>
      </w:r>
    </w:p>
    <w:p w:rsidR="00DB0092" w:rsidRPr="00ED3753" w:rsidRDefault="00F30C80" w:rsidP="00DB0092">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DB0092" w:rsidRPr="00ED3753" w:rsidRDefault="00F30C80" w:rsidP="00894B63">
      <w:pPr>
        <w:pStyle w:val="AmJustText"/>
      </w:pPr>
      <w:r w:rsidRPr="00ED3753">
        <w:t>In overeenstemming gebracht met artikel 21 van het Handvest van de grondrechten.</w:t>
      </w:r>
    </w:p>
    <w:p w:rsidR="00120A92" w:rsidRPr="00ED3753" w:rsidRDefault="00F30C80" w:rsidP="003013F0">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43</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 xml:space="preserve">Artikel 1 – alinea 1 – punt 1 </w:t>
      </w:r>
      <w:r w:rsidRPr="00ED3753">
        <w:t>– b</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 – alinea 1 – punt 27</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27.</w:t>
            </w:r>
            <w:r w:rsidRPr="00ED3753">
              <w:tab/>
              <w:t>“</w:t>
            </w:r>
            <w:r w:rsidRPr="00ED3753">
              <w:rPr>
                <w:b/>
                <w:bCs/>
                <w:i/>
                <w:iCs/>
              </w:rPr>
              <w:t>instrumentalisering van migranten</w:t>
            </w:r>
            <w:r w:rsidRPr="00ED3753">
              <w:t>”:</w:t>
            </w:r>
            <w:r w:rsidRPr="00ED3753">
              <w:rPr>
                <w:b/>
                <w:bCs/>
              </w:rPr>
              <w:t xml:space="preserve"> </w:t>
            </w:r>
            <w:r w:rsidRPr="00ED3753">
              <w:t xml:space="preserve">een situatie waarin </w:t>
            </w:r>
            <w:r w:rsidRPr="00ED3753">
              <w:rPr>
                <w:b/>
                <w:bCs/>
                <w:i/>
                <w:iCs/>
              </w:rPr>
              <w:t xml:space="preserve">een derde land irreguliere </w:t>
            </w:r>
            <w:r w:rsidRPr="00ED3753">
              <w:rPr>
                <w:b/>
                <w:bCs/>
                <w:i/>
                <w:iCs/>
              </w:rPr>
              <w:t xml:space="preserve">migratiestromen naar de Unie teweegbrengt door de komst van onderdanen van derde landen naar de buitengrenzen, op of vanuit het grondgebied van dat derde land en vervolgens verder naar die buitengrenzen actief aan te moedigen of te faciliteren, waarin dat </w:t>
            </w:r>
            <w:r w:rsidRPr="00ED3753">
              <w:rPr>
                <w:b/>
                <w:bCs/>
                <w:i/>
                <w:iCs/>
              </w:rPr>
              <w:t>handelen wijst op een bedoeling om de Unie als geheel of een lidstaat te destabiliseren en waarin dat handelen zodanig van aard is dat het essentiële staatsfuncties in gevaar kan brengen, waaronder de territoriale integriteit, de handhaving van recht en or</w:t>
            </w:r>
            <w:r w:rsidRPr="00ED3753">
              <w:rPr>
                <w:b/>
                <w:bCs/>
                <w:i/>
                <w:iCs/>
              </w:rPr>
              <w:t>de of de bescherming van de staatsveiligheid</w:t>
            </w:r>
            <w:r w:rsidRPr="00ED3753">
              <w:t>;</w:t>
            </w:r>
          </w:p>
        </w:tc>
        <w:tc>
          <w:tcPr>
            <w:tcW w:w="4876" w:type="dxa"/>
            <w:hideMark/>
          </w:tcPr>
          <w:p w:rsidR="00120A92" w:rsidRPr="00ED3753" w:rsidRDefault="00F30C80" w:rsidP="00716BD3">
            <w:pPr>
              <w:pStyle w:val="Normal6"/>
              <w:rPr>
                <w:szCs w:val="24"/>
              </w:rPr>
            </w:pPr>
            <w:r w:rsidRPr="00ED3753">
              <w:t>27.</w:t>
            </w:r>
            <w:r w:rsidRPr="00ED3753">
              <w:tab/>
              <w:t>“</w:t>
            </w:r>
            <w:r w:rsidRPr="00ED3753">
              <w:rPr>
                <w:b/>
                <w:bCs/>
                <w:i/>
                <w:iCs/>
              </w:rPr>
              <w:t>grootschalige noodsituatie op het gebied van de volksgezondheid</w:t>
            </w:r>
            <w:r w:rsidRPr="00ED3753">
              <w:t xml:space="preserve">”: een situatie waarin </w:t>
            </w:r>
            <w:r w:rsidRPr="00ED3753">
              <w:rPr>
                <w:b/>
                <w:bCs/>
                <w:i/>
                <w:iCs/>
              </w:rPr>
              <w:t>het Europees Centrum voor ziektepreventie en -bestrijding in een of meer derde landen een potentieel epidemische infect</w:t>
            </w:r>
            <w:r w:rsidRPr="00ED3753">
              <w:rPr>
                <w:b/>
                <w:bCs/>
                <w:i/>
                <w:iCs/>
              </w:rPr>
              <w:t>ieziekte heeft vastgesteld, zoals omschreven in de desbetreffende instrumenten van de Wereldgezondheidsorganisatie</w:t>
            </w:r>
            <w:r w:rsidRPr="00ED3753">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423252" w:rsidRPr="00ED3753" w:rsidRDefault="00F30C80" w:rsidP="00423252">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423252" w:rsidRPr="00ED3753" w:rsidRDefault="00F30C80" w:rsidP="00894B63">
      <w:pPr>
        <w:pStyle w:val="AmJustText"/>
        <w:rPr>
          <w:i w:val="0"/>
        </w:rPr>
      </w:pPr>
      <w:r w:rsidRPr="00ED3753">
        <w:t xml:space="preserve">Het gebruik van de term “grootschalige noodsituatie op het gebied van de </w:t>
      </w:r>
      <w:r w:rsidRPr="00ED3753">
        <w:t>volksgezondheid” in artikel 25 vereist een passende definitie. In overeenstemming met de andere bepalingen met betrekking tot de volksgezondheid duidt een grootschalige noodsituatie op het gebied van de volksgezondheid op het bestaan van een epidemie. Er i</w:t>
      </w:r>
      <w:r w:rsidRPr="00ED3753">
        <w:t>s geen rechtvaardiging of toegevoegde waarde voor het opnemen van een definitie van “instrumentalisering” in de Schengengrenscode. Als er een dergelijke definitie moet komen, moet deze naar behoren in de voorgestelde verordening betreffende instrumentalise</w:t>
      </w:r>
      <w:r w:rsidRPr="00ED3753">
        <w:t>ring worden opgenomen.</w:t>
      </w:r>
    </w:p>
    <w:p w:rsidR="00120A92" w:rsidRPr="00ED3753" w:rsidRDefault="00F30C80" w:rsidP="003013F0">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44</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2</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 xml:space="preserve">Artikel 5 – lid 4 </w:t>
      </w:r>
      <w:r w:rsidRPr="00ED3753">
        <w:rPr>
          <w:rStyle w:val="HideTWBExt"/>
        </w:rPr>
        <w:t>&lt;/Article2</w:t>
      </w:r>
      <w:r w:rsidRPr="00ED3753">
        <w:rPr>
          <w:rStyle w:val="HideTWBExt"/>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894B63">
        <w:trPr>
          <w:jc w:val="center"/>
        </w:trPr>
        <w:tc>
          <w:tcPr>
            <w:tcW w:w="9752" w:type="dxa"/>
            <w:gridSpan w:val="2"/>
          </w:tcPr>
          <w:p w:rsidR="00120A92" w:rsidRPr="00ED3753" w:rsidRDefault="00120A92">
            <w:pPr>
              <w:keepNext/>
            </w:pPr>
          </w:p>
        </w:tc>
      </w:tr>
      <w:tr w:rsidR="00264914" w:rsidRPr="00ED3753" w:rsidTr="00894B63">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894B63">
        <w:trPr>
          <w:jc w:val="center"/>
        </w:trPr>
        <w:tc>
          <w:tcPr>
            <w:tcW w:w="4876" w:type="dxa"/>
            <w:hideMark/>
          </w:tcPr>
          <w:p w:rsidR="00120A92" w:rsidRPr="00ED3753" w:rsidRDefault="00F30C80">
            <w:pPr>
              <w:pStyle w:val="Normal6"/>
            </w:pPr>
            <w:r w:rsidRPr="00ED3753">
              <w:rPr>
                <w:b/>
                <w:i/>
              </w:rPr>
              <w:t>(2)</w:t>
            </w:r>
            <w:r w:rsidRPr="00ED3753">
              <w:rPr>
                <w:b/>
                <w:i/>
              </w:rPr>
              <w:tab/>
              <w:t>Aan artikel 5 wordt een nieuw lid 4 toegevoegd:</w:t>
            </w:r>
          </w:p>
        </w:tc>
        <w:tc>
          <w:tcPr>
            <w:tcW w:w="4876" w:type="dxa"/>
            <w:hideMark/>
          </w:tcPr>
          <w:p w:rsidR="00120A92" w:rsidRPr="00ED3753" w:rsidRDefault="00F30C80">
            <w:pPr>
              <w:pStyle w:val="Normal6"/>
              <w:rPr>
                <w:szCs w:val="24"/>
              </w:rPr>
            </w:pPr>
            <w:r w:rsidRPr="00ED3753">
              <w:rPr>
                <w:b/>
                <w:i/>
              </w:rPr>
              <w:t>Schrappen</w:t>
            </w:r>
          </w:p>
        </w:tc>
      </w:tr>
      <w:tr w:rsidR="00264914" w:rsidRPr="00ED3753" w:rsidTr="00894B63">
        <w:trPr>
          <w:jc w:val="center"/>
        </w:trPr>
        <w:tc>
          <w:tcPr>
            <w:tcW w:w="4876" w:type="dxa"/>
            <w:hideMark/>
          </w:tcPr>
          <w:p w:rsidR="00120A92" w:rsidRPr="00ED3753" w:rsidRDefault="00F30C80">
            <w:pPr>
              <w:pStyle w:val="Normal6"/>
            </w:pPr>
            <w:r w:rsidRPr="00ED3753">
              <w:rPr>
                <w:b/>
                <w:i/>
              </w:rPr>
              <w:t>4.</w:t>
            </w:r>
            <w:r w:rsidRPr="00ED3753">
              <w:rPr>
                <w:b/>
                <w:i/>
              </w:rPr>
              <w:tab/>
              <w:t xml:space="preserve">In geval van instrumentalisering van migranten kunnen de lidstaten het aantal grensdoorlaatposten dat ingevolge lid 1 is aangemeld of de </w:t>
            </w:r>
            <w:r w:rsidRPr="00ED3753">
              <w:rPr>
                <w:b/>
                <w:i/>
              </w:rPr>
              <w:t>openingstijden van die doorlaatposten beperken indien de omstandigheden dat vereisen.</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Beperkingen die op grond van de eerste alinea zijn vastgesteld, worden uitgevoerd op een wijze die evenredig is en volledig rekening houdt met de rechten van:</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a)</w:t>
            </w:r>
            <w:r w:rsidRPr="00ED3753">
              <w:rPr>
                <w:b/>
                <w:i/>
              </w:rPr>
              <w:tab/>
            </w:r>
            <w:r w:rsidRPr="00ED3753">
              <w:rPr>
                <w:b/>
                <w:i/>
              </w:rPr>
              <w:t>personen die onder het Unierecht inzake vrij verkeer vallen;</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b)</w:t>
            </w:r>
            <w:r w:rsidRPr="00ED3753">
              <w:rPr>
                <w:b/>
                <w:i/>
              </w:rPr>
              <w:tab/>
            </w:r>
            <w:r w:rsidRPr="00ED3753">
              <w:rPr>
                <w:b/>
                <w:bCs/>
                <w:i/>
                <w:iCs/>
              </w:rPr>
              <w:t>onderdanen van derde landen die langdurig ingezetene zijn op grond van Richtlijn 2003/109/EG van de Raad</w:t>
            </w:r>
            <w:r w:rsidRPr="00ED3753">
              <w:rPr>
                <w:b/>
                <w:bCs/>
                <w:i/>
                <w:iCs/>
                <w:vertAlign w:val="superscript"/>
              </w:rPr>
              <w:t>56</w:t>
            </w:r>
            <w:r w:rsidRPr="00ED3753">
              <w:rPr>
                <w:b/>
                <w:bCs/>
                <w:i/>
                <w:iCs/>
              </w:rPr>
              <w:t>, personen die hun verblijfsrecht aan andere rechtsinstrumenten van de Unie of van h</w:t>
            </w:r>
            <w:r w:rsidRPr="00ED3753">
              <w:rPr>
                <w:b/>
                <w:bCs/>
                <w:i/>
                <w:iCs/>
              </w:rPr>
              <w:t>et interne recht ontlenen of over een nationaal visum voor verblijf van langere duur beschikken, alsook hun respectieve gezinsleden;</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c)</w:t>
            </w:r>
            <w:r w:rsidRPr="00ED3753">
              <w:rPr>
                <w:b/>
                <w:i/>
              </w:rPr>
              <w:tab/>
              <w:t>onderdanen van derde landen die internationale bescherming vragen.</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__________________</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bCs/>
                <w:i/>
                <w:iCs/>
                <w:vertAlign w:val="superscript"/>
              </w:rPr>
              <w:t>56</w:t>
            </w:r>
            <w:r w:rsidRPr="00ED3753">
              <w:t xml:space="preserve"> </w:t>
            </w:r>
            <w:r w:rsidRPr="00ED3753">
              <w:rPr>
                <w:b/>
                <w:bCs/>
                <w:i/>
                <w:iCs/>
              </w:rPr>
              <w:t>Richtlijn 2003/109/EG van</w:t>
            </w:r>
            <w:r w:rsidRPr="00ED3753">
              <w:rPr>
                <w:b/>
                <w:bCs/>
                <w:i/>
                <w:iCs/>
              </w:rPr>
              <w:t xml:space="preserve"> de Raad van 25 november 2003 betreffende de status van langdurig ingezeten onderdanen van derde landen (PB L 16 van 23.1.2004, blz. 44).</w:t>
            </w:r>
          </w:p>
        </w:tc>
        <w:tc>
          <w:tcPr>
            <w:tcW w:w="4876" w:type="dxa"/>
          </w:tcPr>
          <w:p w:rsidR="00120A92" w:rsidRPr="00ED3753" w:rsidRDefault="00120A92">
            <w:pPr>
              <w:pStyle w:val="Normal6"/>
              <w:rPr>
                <w:szCs w:val="24"/>
              </w:rPr>
            </w:pP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8C154D" w:rsidRPr="00ED3753" w:rsidRDefault="00F30C80" w:rsidP="008C154D">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8C154D" w:rsidRPr="00ED3753" w:rsidRDefault="00F30C80" w:rsidP="008C154D">
      <w:pPr>
        <w:pStyle w:val="JustificationTitle"/>
        <w:jc w:val="both"/>
        <w:rPr>
          <w:rFonts w:eastAsiaTheme="minorHAnsi"/>
          <w:szCs w:val="24"/>
        </w:rPr>
      </w:pPr>
      <w:r w:rsidRPr="00ED3753">
        <w:t xml:space="preserve">Het is niet duidelijk waarom lidstaten die in het </w:t>
      </w:r>
      <w:r w:rsidRPr="00ED3753">
        <w:t>kader van de huidige Schengengrenscode al het recht hebben om grensdoorlaatposten te sluiten, daarvoor nieuwe gronden nodig hebben. Vanuit praktisch oogpunt is het van belang dat grensdoorlaatposten open blijven, wanneer personen die bescherming zoeken aan</w:t>
      </w:r>
      <w:r w:rsidRPr="00ED3753">
        <w:t xml:space="preserve"> de buitengrens komen, zodat zij hun recht op bescherming daadwerkelijk kunnen uitoefenen.</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45</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13 – lid 1 – alinea 2</w:t>
      </w:r>
      <w:r w:rsidRPr="00ED37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894B63">
        <w:trPr>
          <w:jc w:val="center"/>
        </w:trPr>
        <w:tc>
          <w:tcPr>
            <w:tcW w:w="9752" w:type="dxa"/>
            <w:gridSpan w:val="2"/>
          </w:tcPr>
          <w:p w:rsidR="00120A92" w:rsidRPr="00ED3753" w:rsidRDefault="00120A92">
            <w:pPr>
              <w:keepNext/>
            </w:pPr>
          </w:p>
        </w:tc>
      </w:tr>
      <w:tr w:rsidR="00264914" w:rsidRPr="00ED3753" w:rsidTr="00894B63">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894B63">
        <w:trPr>
          <w:jc w:val="center"/>
        </w:trPr>
        <w:tc>
          <w:tcPr>
            <w:tcW w:w="4876" w:type="dxa"/>
            <w:hideMark/>
          </w:tcPr>
          <w:p w:rsidR="00120A92" w:rsidRPr="00ED3753" w:rsidRDefault="00F30C80">
            <w:pPr>
              <w:pStyle w:val="Normal6"/>
            </w:pPr>
            <w:r w:rsidRPr="00ED3753">
              <w:t xml:space="preserve">Een persoon die een grens </w:t>
            </w:r>
            <w:r w:rsidRPr="00ED3753">
              <w:rPr>
                <w:b/>
                <w:bCs/>
                <w:i/>
                <w:iCs/>
              </w:rPr>
              <w:t>illegaal</w:t>
            </w:r>
            <w:r w:rsidRPr="00ED3753">
              <w:t xml:space="preserve"> heeft overschreden en niet het recht heeft om op het grondgebied van de betrokken lidstaat te verblijven, </w:t>
            </w:r>
            <w:r w:rsidRPr="00ED3753">
              <w:rPr>
                <w:b/>
                <w:bCs/>
                <w:i/>
                <w:iCs/>
              </w:rPr>
              <w:t>wordt</w:t>
            </w:r>
            <w:r w:rsidRPr="00ED3753">
              <w:t xml:space="preserve"> aangehouden en onderworpen aan procedures in overeenstemming met Richtlijn 2008/115/EG.</w:t>
            </w:r>
          </w:p>
        </w:tc>
        <w:tc>
          <w:tcPr>
            <w:tcW w:w="4876" w:type="dxa"/>
            <w:hideMark/>
          </w:tcPr>
          <w:p w:rsidR="00120A92" w:rsidRPr="00ED3753" w:rsidRDefault="00F30C80">
            <w:pPr>
              <w:pStyle w:val="Normal6"/>
              <w:rPr>
                <w:szCs w:val="24"/>
              </w:rPr>
            </w:pPr>
            <w:r w:rsidRPr="00ED3753">
              <w:rPr>
                <w:b/>
                <w:bCs/>
                <w:i/>
                <w:iCs/>
              </w:rPr>
              <w:t>Onverminderd de artikelen 3 en 4</w:t>
            </w:r>
            <w:r w:rsidRPr="00ED3753">
              <w:rPr>
                <w:b/>
                <w:bCs/>
              </w:rPr>
              <w:t xml:space="preserve"> </w:t>
            </w:r>
            <w:r w:rsidRPr="00ED3753">
              <w:rPr>
                <w:b/>
                <w:bCs/>
                <w:i/>
                <w:iCs/>
              </w:rPr>
              <w:t>wordt</w:t>
            </w:r>
            <w:r w:rsidRPr="00ED3753">
              <w:t xml:space="preserve"> een persoon die </w:t>
            </w:r>
            <w:r w:rsidRPr="00ED3753">
              <w:t>een grens</w:t>
            </w:r>
            <w:r w:rsidRPr="00ED3753">
              <w:rPr>
                <w:b/>
                <w:bCs/>
                <w:i/>
                <w:iCs/>
              </w:rPr>
              <w:t xml:space="preserve"> onrechtmatig</w:t>
            </w:r>
            <w:r w:rsidRPr="00ED3753">
              <w:t xml:space="preserve"> heeft overschreden en niet het recht heeft om op het grondgebied van de betrokken lidstaat te verblijven, aangehouden en onderworpen aan procedures in overeenstemming met Richtlijn 2008/115/EG.</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6460F8" w:rsidRPr="00ED3753" w:rsidRDefault="00F30C80" w:rsidP="006460F8">
      <w:pPr>
        <w:pStyle w:val="JustificationTitle"/>
        <w:rPr>
          <w:noProof w:val="0"/>
          <w:szCs w:val="24"/>
        </w:rPr>
      </w:pPr>
      <w:r w:rsidRPr="00ED3753">
        <w:rPr>
          <w:rStyle w:val="HideTWBExt"/>
          <w:rFonts w:ascii="Times New Roman" w:hAnsi="Times New Roman"/>
          <w:sz w:val="24"/>
        </w:rPr>
        <w:t>&lt;Titre</w:t>
      </w:r>
      <w:r w:rsidRPr="00ED3753">
        <w:rPr>
          <w:rStyle w:val="HideTWBExt"/>
          <w:rFonts w:ascii="Times New Roman" w:hAnsi="Times New Roman"/>
          <w:sz w:val="24"/>
        </w:rPr>
        <w:t>Just&gt;</w:t>
      </w:r>
      <w:r w:rsidRPr="00ED3753">
        <w:t>Motivering</w:t>
      </w:r>
      <w:r w:rsidRPr="00ED3753">
        <w:rPr>
          <w:rStyle w:val="HideTWBExt"/>
          <w:rFonts w:ascii="Times New Roman" w:hAnsi="Times New Roman"/>
          <w:sz w:val="24"/>
        </w:rPr>
        <w:t>&lt;/TitreJust&gt;</w:t>
      </w:r>
    </w:p>
    <w:p w:rsidR="006460F8" w:rsidRPr="00ED3753" w:rsidRDefault="00F30C80" w:rsidP="006460F8">
      <w:pPr>
        <w:pStyle w:val="JustificationTitle"/>
        <w:jc w:val="both"/>
        <w:rPr>
          <w:rFonts w:eastAsiaTheme="minorHAnsi"/>
          <w:szCs w:val="24"/>
        </w:rPr>
      </w:pPr>
      <w:r w:rsidRPr="00ED3753">
        <w:t>Het overschrijden van grenzen is niet illegaal. De toepassing van de terugkeerrichtlijn mag geen afbreuk doen aan de rechten van personen die internationale bescherming vragen.</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46</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13 – lid 4</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4.</w:t>
            </w:r>
            <w:r w:rsidRPr="00ED3753">
              <w:tab/>
            </w:r>
            <w:r w:rsidRPr="00ED3753">
              <w:t xml:space="preserve">De bewaking geschiedt door vaste of mobiele eenheden die patrouilles verrichten of zich aan onderkende of vermeende zwakke plekken posteren, teneinde onrechtmatige grensoverschrijding te voorkomen of personen die de grens </w:t>
            </w:r>
            <w:r w:rsidRPr="00ED3753">
              <w:rPr>
                <w:b/>
                <w:bCs/>
                <w:i/>
                <w:iCs/>
              </w:rPr>
              <w:t>illegaal</w:t>
            </w:r>
            <w:r w:rsidRPr="00ED3753">
              <w:t xml:space="preserve"> overschrijden aan te houd</w:t>
            </w:r>
            <w:r w:rsidRPr="00ED3753">
              <w:t>en. De bewaking kan eveneens met technische middelen geschieden, waaronder elektronische middelen, apparatuur en bewakingssystemen.</w:t>
            </w:r>
          </w:p>
        </w:tc>
        <w:tc>
          <w:tcPr>
            <w:tcW w:w="4876" w:type="dxa"/>
            <w:hideMark/>
          </w:tcPr>
          <w:p w:rsidR="00120A92" w:rsidRPr="00ED3753" w:rsidRDefault="00F30C80" w:rsidP="008710AC">
            <w:pPr>
              <w:pStyle w:val="Normal6"/>
              <w:rPr>
                <w:szCs w:val="24"/>
              </w:rPr>
            </w:pPr>
            <w:r w:rsidRPr="00ED3753">
              <w:t>4.</w:t>
            </w:r>
            <w:r w:rsidRPr="00ED3753">
              <w:tab/>
              <w:t>De bewaking geschiedt door vaste of mobiele eenheden die patrouilles verrichten of zich aan onderkende of vermeende zwakk</w:t>
            </w:r>
            <w:r w:rsidRPr="00ED3753">
              <w:t xml:space="preserve">e plekken posteren, teneinde onrechtmatige grensoverschrijding te voorkomen of personen die de grens </w:t>
            </w:r>
            <w:r w:rsidRPr="00ED3753">
              <w:rPr>
                <w:b/>
                <w:bCs/>
                <w:i/>
                <w:iCs/>
              </w:rPr>
              <w:t>onrechtmatig</w:t>
            </w:r>
            <w:r w:rsidRPr="00ED3753">
              <w:t xml:space="preserve"> overschrijden aan te houden. De bewaking kan eveneens met technische middelen geschieden, waaronder elektronische middelen, apparatuur en bewa</w:t>
            </w:r>
            <w:r w:rsidRPr="00ED3753">
              <w:t>kingssystemen</w:t>
            </w:r>
            <w:r w:rsidRPr="00ED3753">
              <w:rPr>
                <w:b/>
                <w:bCs/>
                <w:i/>
                <w:iCs/>
              </w:rPr>
              <w:t>, en wordt uitgevoerd overeenkomstig artikel 5 van Verordening (EU).../... van het Europees Parlement en de Raad tot vaststelling van geharmoniseerde regels betreffende artificiële intelligentie (wet op de artificiële intelligentie) en tot wij</w:t>
            </w:r>
            <w:r w:rsidRPr="00ED3753">
              <w:rPr>
                <w:b/>
                <w:bCs/>
                <w:i/>
                <w:iCs/>
              </w:rPr>
              <w:t>ziging van bepaalde wetgevingshandelingen van de Unie</w:t>
            </w:r>
            <w:r w:rsidRPr="00ED3753">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537B47" w:rsidRPr="00ED3753" w:rsidRDefault="00F30C80" w:rsidP="00537B47">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537B47" w:rsidRPr="00ED3753" w:rsidRDefault="00F30C80" w:rsidP="00537B47">
      <w:pPr>
        <w:pStyle w:val="JustificationTitle"/>
        <w:jc w:val="both"/>
        <w:rPr>
          <w:rFonts w:eastAsiaTheme="minorHAnsi"/>
          <w:szCs w:val="24"/>
        </w:rPr>
      </w:pPr>
      <w:r w:rsidRPr="00ED3753">
        <w:t xml:space="preserve">In een tijd van snelle technologische vooruitgang, met name op het gebied van artificiële intelligentie, is het belangrijk te </w:t>
      </w:r>
      <w:r w:rsidRPr="00ED3753">
        <w:t>benadrukken dat er beperkingen zijn aan apparatuur die voor grensbewaking moet worden gebruikt.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47</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13 – lid 5</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5.</w:t>
            </w:r>
            <w:r w:rsidRPr="00ED3753">
              <w:rPr>
                <w:b/>
                <w:i/>
              </w:rPr>
              <w:tab/>
              <w:t>In geval van instrumentalisering van migranten intensiveert de betrokken lidstaat de grensbewaking waar nodig om de toegenom</w:t>
            </w:r>
            <w:r w:rsidRPr="00ED3753">
              <w:rPr>
                <w:b/>
                <w:i/>
              </w:rPr>
              <w:t>en bedreiging het hoofd te bieden. De lidstaat voorziet in voorkomend geval met name in uitbreiding van de middelen en technische voorzieningen om onrechtmatige grensoverschrijding te voorkomen.</w:t>
            </w:r>
          </w:p>
        </w:tc>
        <w:tc>
          <w:tcPr>
            <w:tcW w:w="4876" w:type="dxa"/>
            <w:hideMark/>
          </w:tcPr>
          <w:p w:rsidR="00120A92" w:rsidRPr="00ED3753" w:rsidRDefault="00F30C80">
            <w:pPr>
              <w:pStyle w:val="Normal6"/>
              <w:rPr>
                <w:szCs w:val="24"/>
              </w:rPr>
            </w:pPr>
            <w:r w:rsidRPr="00ED3753">
              <w:rPr>
                <w:b/>
                <w:i/>
              </w:rPr>
              <w:t>Schrappen</w:t>
            </w:r>
          </w:p>
        </w:tc>
      </w:tr>
      <w:tr w:rsidR="00264914" w:rsidRPr="00ED3753" w:rsidTr="00120A92">
        <w:trPr>
          <w:jc w:val="center"/>
        </w:trPr>
        <w:tc>
          <w:tcPr>
            <w:tcW w:w="4876" w:type="dxa"/>
            <w:hideMark/>
          </w:tcPr>
          <w:p w:rsidR="00120A92" w:rsidRPr="00ED3753" w:rsidRDefault="00F30C80">
            <w:pPr>
              <w:pStyle w:val="Normal6"/>
            </w:pPr>
            <w:r w:rsidRPr="00ED3753">
              <w:rPr>
                <w:b/>
                <w:i/>
              </w:rPr>
              <w:t>Onder deze technische voorzieningen kunnen moderne</w:t>
            </w:r>
            <w:r w:rsidRPr="00ED3753">
              <w:rPr>
                <w:b/>
                <w:i/>
              </w:rPr>
              <w:t xml:space="preserve"> technologieën worden verstaan, waaronder drones en bewegingssensoren, evenals mobiele eenheden om onrechtmatige grensoverschrijding naar de Unie te voorkomen.</w:t>
            </w:r>
          </w:p>
        </w:tc>
        <w:tc>
          <w:tcPr>
            <w:tcW w:w="4876" w:type="dxa"/>
          </w:tcPr>
          <w:p w:rsidR="00120A92" w:rsidRPr="00ED3753" w:rsidRDefault="00120A92">
            <w:pPr>
              <w:pStyle w:val="Normal6"/>
              <w:rPr>
                <w:szCs w:val="24"/>
              </w:rPr>
            </w:pP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FF663A" w:rsidRPr="00ED3753" w:rsidRDefault="00F30C80" w:rsidP="00FF663A">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FF663A" w:rsidRPr="00ED3753" w:rsidRDefault="00F30C80" w:rsidP="00FF663A">
      <w:pPr>
        <w:pStyle w:val="JustificationTitle"/>
        <w:jc w:val="both"/>
        <w:rPr>
          <w:rFonts w:eastAsiaTheme="minorHAnsi"/>
          <w:szCs w:val="24"/>
        </w:rPr>
      </w:pPr>
      <w:r w:rsidRPr="00ED3753">
        <w:t>Voortvloeiende wijziging die</w:t>
      </w:r>
      <w:r w:rsidRPr="00ED3753">
        <w:t xml:space="preserve"> is gebaseerd op het standpunt van de rapporteur dat instrumentalisering geen deel van de Schengengrenscode mag uitmaken. Het is niet duidelijk wat de resterende toegevoegde waarde van de bepaling zou zijn.</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48</w:t>
      </w:r>
      <w:r w:rsidRPr="00ED3753">
        <w:rPr>
          <w:rStyle w:val="HideTWBExt"/>
          <w:b w:val="0"/>
        </w:rPr>
        <w:t>&lt;/NumAm&gt;</w:t>
      </w:r>
    </w:p>
    <w:p w:rsidR="00120A92" w:rsidRPr="00ED3753" w:rsidRDefault="00F30C80" w:rsidP="00120A92">
      <w:pPr>
        <w:pStyle w:val="NormalBold12b"/>
        <w:keepNext/>
      </w:pPr>
      <w:r w:rsidRPr="00ED3753">
        <w:rPr>
          <w:rStyle w:val="HideTWBExt"/>
          <w:b w:val="0"/>
        </w:rPr>
        <w:t>&lt;Do</w:t>
      </w:r>
      <w:r w:rsidRPr="00ED3753">
        <w:rPr>
          <w:rStyle w:val="HideTWBExt"/>
          <w:b w:val="0"/>
        </w:rPr>
        <w:t>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nr. 2016/399</w:t>
      </w:r>
      <w:r w:rsidRPr="00ED3753">
        <w:rPr>
          <w:rStyle w:val="HideTWBExt"/>
        </w:rPr>
        <w:t>&lt;/DocAmend2&gt;</w:t>
      </w:r>
    </w:p>
    <w:p w:rsidR="00120A92" w:rsidRPr="00ED3753" w:rsidRDefault="00F30C80" w:rsidP="00120A92">
      <w:r w:rsidRPr="00ED3753">
        <w:rPr>
          <w:rStyle w:val="HideTWBExt"/>
        </w:rPr>
        <w:t>&lt;Article2&gt;</w:t>
      </w:r>
      <w:r w:rsidRPr="00ED3753">
        <w:t>Artikel 13 – lid 6</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6.</w:t>
            </w:r>
            <w:r w:rsidRPr="00ED3753">
              <w:rPr>
                <w:b/>
                <w:i/>
              </w:rPr>
              <w:tab/>
            </w:r>
            <w:r w:rsidRPr="00ED3753">
              <w:rPr>
                <w:b/>
                <w:bCs/>
                <w:i/>
                <w:iCs/>
              </w:rPr>
              <w:t>Onverminderd</w:t>
            </w:r>
            <w:r w:rsidRPr="00ED3753">
              <w:rPr>
                <w:b/>
                <w:bCs/>
                <w:i/>
                <w:iCs/>
              </w:rPr>
              <w:t xml:space="preserve"> de ondersteuning die het Europees Grens- en kustwachtagentschap de lidstaten kan verlenen, kan het Agentschap in geval van instrumentalisering van migranten een kwetsbaarheidsbeoordeling uitvoeren als bedoeld in artikel 10, lid 1, punt c, en artikel 32 va</w:t>
            </w:r>
            <w:r w:rsidRPr="00ED3753">
              <w:rPr>
                <w:b/>
                <w:bCs/>
                <w:i/>
                <w:iCs/>
              </w:rPr>
              <w:t>n Verordening (EU) 2019/1896 van het Europees Parlement en de Raad</w:t>
            </w:r>
            <w:r w:rsidRPr="00ED3753">
              <w:rPr>
                <w:b/>
                <w:bCs/>
                <w:i/>
                <w:iCs/>
                <w:vertAlign w:val="superscript"/>
              </w:rPr>
              <w:t>57</w:t>
            </w:r>
            <w:r w:rsidRPr="00ED3753">
              <w:rPr>
                <w:b/>
                <w:bCs/>
                <w:i/>
                <w:iCs/>
              </w:rPr>
              <w:t>, teneinde de betrokken lidstaat de noodzakelijke ondersteuning te verlenen.</w:t>
            </w:r>
          </w:p>
        </w:tc>
        <w:tc>
          <w:tcPr>
            <w:tcW w:w="4876" w:type="dxa"/>
            <w:hideMark/>
          </w:tcPr>
          <w:p w:rsidR="00120A92" w:rsidRPr="00ED3753" w:rsidRDefault="00F30C80">
            <w:pPr>
              <w:pStyle w:val="Normal6"/>
              <w:rPr>
                <w:szCs w:val="24"/>
              </w:rPr>
            </w:pPr>
            <w:r w:rsidRPr="00ED3753">
              <w:rPr>
                <w:b/>
                <w:i/>
              </w:rPr>
              <w:t>Schrappen</w:t>
            </w:r>
          </w:p>
        </w:tc>
      </w:tr>
      <w:tr w:rsidR="00264914" w:rsidRPr="00ED3753" w:rsidTr="00120A92">
        <w:trPr>
          <w:jc w:val="center"/>
        </w:trPr>
        <w:tc>
          <w:tcPr>
            <w:tcW w:w="4876" w:type="dxa"/>
            <w:hideMark/>
          </w:tcPr>
          <w:p w:rsidR="00120A92" w:rsidRPr="00ED3753" w:rsidRDefault="00F30C80">
            <w:pPr>
              <w:pStyle w:val="Normal6"/>
            </w:pPr>
            <w:r w:rsidRPr="00ED3753">
              <w:rPr>
                <w:b/>
                <w:i/>
              </w:rPr>
              <w:t xml:space="preserve">Op basis van de uitkomsten van die beoordeling of van enige andere relevante </w:t>
            </w:r>
            <w:r w:rsidRPr="00ED3753">
              <w:rPr>
                <w:b/>
                <w:i/>
              </w:rPr>
              <w:t>kwetsbaarheidsbeoordeling of van de toekenning van een impactniveau “kritiek” aan het desbetreffende grenssegment in de zin van artikel 35, lid 1, punt d), van Verordening (EU) 2019/1896, doet de uitvoerend directeur van het Europees Grens- en kustwachtage</w:t>
            </w:r>
            <w:r w:rsidRPr="00ED3753">
              <w:rPr>
                <w:b/>
                <w:i/>
              </w:rPr>
              <w:t>ntschap aan elke betrokken lidstaat aanbevelingen in overeenstemming met artikel 41, lid 1, van die verordening.</w:t>
            </w:r>
          </w:p>
        </w:tc>
        <w:tc>
          <w:tcPr>
            <w:tcW w:w="4876" w:type="dxa"/>
          </w:tcPr>
          <w:p w:rsidR="00120A92" w:rsidRPr="00ED3753" w:rsidRDefault="00120A92">
            <w:pPr>
              <w:pStyle w:val="Normal6"/>
              <w:rPr>
                <w:szCs w:val="24"/>
              </w:rPr>
            </w:pPr>
          </w:p>
        </w:tc>
      </w:tr>
      <w:tr w:rsidR="00264914" w:rsidRPr="00ED3753" w:rsidTr="00120A92">
        <w:trPr>
          <w:jc w:val="center"/>
        </w:trPr>
        <w:tc>
          <w:tcPr>
            <w:tcW w:w="4876" w:type="dxa"/>
            <w:hideMark/>
          </w:tcPr>
          <w:p w:rsidR="00120A92" w:rsidRPr="00ED3753" w:rsidRDefault="00F30C80">
            <w:pPr>
              <w:pStyle w:val="Normal6"/>
            </w:pPr>
            <w:r w:rsidRPr="00ED3753">
              <w:rPr>
                <w:b/>
                <w:i/>
              </w:rPr>
              <w:t>__________________</w:t>
            </w:r>
          </w:p>
        </w:tc>
        <w:tc>
          <w:tcPr>
            <w:tcW w:w="4876" w:type="dxa"/>
          </w:tcPr>
          <w:p w:rsidR="00120A92" w:rsidRPr="00ED3753" w:rsidRDefault="00120A92">
            <w:pPr>
              <w:pStyle w:val="Normal6"/>
              <w:rPr>
                <w:szCs w:val="24"/>
              </w:rPr>
            </w:pPr>
          </w:p>
        </w:tc>
      </w:tr>
      <w:tr w:rsidR="00264914" w:rsidRPr="00ED3753" w:rsidTr="00120A92">
        <w:trPr>
          <w:jc w:val="center"/>
        </w:trPr>
        <w:tc>
          <w:tcPr>
            <w:tcW w:w="4876" w:type="dxa"/>
            <w:hideMark/>
          </w:tcPr>
          <w:p w:rsidR="00120A92" w:rsidRPr="00ED3753" w:rsidRDefault="00F30C80">
            <w:pPr>
              <w:pStyle w:val="Normal6"/>
            </w:pPr>
            <w:r w:rsidRPr="00ED3753">
              <w:rPr>
                <w:b/>
                <w:bCs/>
                <w:i/>
                <w:iCs/>
                <w:vertAlign w:val="superscript"/>
              </w:rPr>
              <w:t>57</w:t>
            </w:r>
            <w:r w:rsidRPr="00ED3753">
              <w:rPr>
                <w:b/>
                <w:bCs/>
                <w:i/>
                <w:iCs/>
              </w:rPr>
              <w:t xml:space="preserve"> Verordening (EU) 2019/1896 van het Europees Parlement en de Raad van 13 november 2019 betreffende de Europese grens- en kustwacht en tot intrekking van Verordening (EU) nr. 1052/2013 en Verordening (EU) 2016/1624 (PB L 295 van 14.11.2019).</w:t>
            </w:r>
          </w:p>
        </w:tc>
        <w:tc>
          <w:tcPr>
            <w:tcW w:w="4876" w:type="dxa"/>
          </w:tcPr>
          <w:p w:rsidR="00120A92" w:rsidRPr="00ED3753" w:rsidRDefault="00120A92">
            <w:pPr>
              <w:pStyle w:val="Normal6"/>
              <w:rPr>
                <w:szCs w:val="24"/>
              </w:rPr>
            </w:pPr>
          </w:p>
        </w:tc>
      </w:tr>
    </w:tbl>
    <w:p w:rsidR="00120A92" w:rsidRPr="00ED3753" w:rsidRDefault="00F30C80" w:rsidP="00120A92">
      <w:pPr>
        <w:pStyle w:val="Olang"/>
      </w:pPr>
      <w:r w:rsidRPr="00ED3753">
        <w:rPr>
          <w:noProof w:val="0"/>
        </w:rPr>
        <w:t xml:space="preserve">Or. </w:t>
      </w:r>
      <w:r w:rsidRPr="00ED3753">
        <w:rPr>
          <w:rStyle w:val="HideTWBExt"/>
          <w:noProof w:val="0"/>
        </w:rPr>
        <w:t>&lt;Original</w:t>
      </w:r>
      <w:r w:rsidRPr="00ED3753">
        <w:rPr>
          <w:rStyle w:val="HideTWBExt"/>
          <w:noProof w:val="0"/>
        </w:rPr>
        <w:t>&gt;</w:t>
      </w:r>
      <w:r w:rsidRPr="00ED3753">
        <w:rPr>
          <w:rStyle w:val="HideTWBInt"/>
          <w:noProof w:val="0"/>
        </w:rPr>
        <w:t>{EN}</w:t>
      </w:r>
      <w:r w:rsidRPr="00ED3753">
        <w:rPr>
          <w:noProof w:val="0"/>
        </w:rPr>
        <w:t>en</w:t>
      </w:r>
      <w:r w:rsidRPr="00ED3753">
        <w:rPr>
          <w:rStyle w:val="HideTWBExt"/>
          <w:noProof w:val="0"/>
        </w:rPr>
        <w:t>&lt;/Original&gt;</w:t>
      </w:r>
    </w:p>
    <w:p w:rsidR="00C07133" w:rsidRPr="00ED3753" w:rsidRDefault="00F30C80" w:rsidP="00C07133">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C07133" w:rsidRPr="00ED3753" w:rsidRDefault="00F30C80" w:rsidP="00C07133">
      <w:pPr>
        <w:pStyle w:val="JustificationTitle"/>
        <w:jc w:val="both"/>
        <w:rPr>
          <w:rFonts w:eastAsiaTheme="minorHAnsi"/>
          <w:szCs w:val="24"/>
        </w:rPr>
      </w:pPr>
      <w:r w:rsidRPr="00ED3753">
        <w:t>Voortvloeiende wijziging die is gebaseerd op het standpunt van de rapporteur dat instrumentalisering geen deel van de Schengengrenscode mag uitmaken. Het is niet duidelijk wat de resterende toegevoegde w</w:t>
      </w:r>
      <w:r w:rsidRPr="00ED3753">
        <w:t>aarde van de bepaling zou zijn. Deze bepaling wijzigt het mandaat van de Europese grens- en kustwacht niet en heeft derhalve geen toegevoegde waarde.</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49</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13 – lid 7</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7.</w:t>
            </w:r>
            <w:r w:rsidRPr="00ED3753">
              <w:tab/>
              <w:t xml:space="preserve">De Commissie is bevoegd overeenkomstig artikel 37 gedelegeerde </w:t>
            </w:r>
            <w:r w:rsidRPr="00ED3753">
              <w:t xml:space="preserve">handelingen vast te stellen betreffende aanvullende maatregelen inzake bewaking, waaronder de ontwikkeling van normen voor grensbewaking, in het bijzonder het gebruik van technologieën voor bewaking en monitoring aan de buitengrenzen, rekening houdend met </w:t>
            </w:r>
            <w:r w:rsidRPr="00ED3753">
              <w:t>het soort grenzen, de aan elk buitengrenssegment toegekende impactniveaus overeenkomstig artikel 34 van Verordening (EU) 2019/1896 en andere relevante factoren.</w:t>
            </w:r>
          </w:p>
        </w:tc>
        <w:tc>
          <w:tcPr>
            <w:tcW w:w="4876" w:type="dxa"/>
            <w:hideMark/>
          </w:tcPr>
          <w:p w:rsidR="00120A92" w:rsidRPr="00ED3753" w:rsidRDefault="00F30C80">
            <w:pPr>
              <w:pStyle w:val="Normal6"/>
              <w:rPr>
                <w:szCs w:val="24"/>
              </w:rPr>
            </w:pPr>
            <w:r w:rsidRPr="00ED3753">
              <w:t>7.</w:t>
            </w:r>
            <w:r w:rsidRPr="00ED3753">
              <w:tab/>
              <w:t>De Commissie is bevoegd overeenkomstig artikel 37 gedelegeerde handelingen vast te stellen b</w:t>
            </w:r>
            <w:r w:rsidRPr="00ED3753">
              <w:t xml:space="preserve">etreffende aanvullende maatregelen inzake bewaking, waaronder de ontwikkeling van normen voor grensbewaking, in het bijzonder het gebruik van technologieën voor bewaking en monitoring aan de buitengrenzen, </w:t>
            </w:r>
            <w:r w:rsidRPr="00ED3753">
              <w:rPr>
                <w:b/>
                <w:bCs/>
                <w:i/>
                <w:iCs/>
              </w:rPr>
              <w:t>overeenkomstig artikel 5 van de wet op artificiële</w:t>
            </w:r>
            <w:r w:rsidRPr="00ED3753">
              <w:rPr>
                <w:b/>
                <w:bCs/>
                <w:i/>
                <w:iCs/>
              </w:rPr>
              <w:t xml:space="preserve"> intelligentie,</w:t>
            </w:r>
            <w:r w:rsidRPr="00ED3753">
              <w:t xml:space="preserve"> rekening houdend met het soort grenzen, de aan elk buitengrenssegment toegekende impactniveaus overeenkomstig artikel 34 van Verordening (EU) 2019/1896 en andere relevante factoren.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E67152" w:rsidRPr="00ED3753" w:rsidRDefault="00F30C80" w:rsidP="00E67152">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w:t>
      </w:r>
      <w:r w:rsidRPr="00ED3753">
        <w:rPr>
          <w:rStyle w:val="HideTWBExt"/>
          <w:rFonts w:ascii="Times New Roman" w:hAnsi="Times New Roman"/>
          <w:sz w:val="24"/>
        </w:rPr>
        <w:t>treJust&gt;</w:t>
      </w:r>
    </w:p>
    <w:p w:rsidR="00044BDE" w:rsidRPr="00ED3753" w:rsidRDefault="00F30C80" w:rsidP="00044BDE">
      <w:pPr>
        <w:pStyle w:val="JustificationTitle"/>
        <w:jc w:val="both"/>
        <w:rPr>
          <w:rFonts w:eastAsiaTheme="minorHAnsi"/>
          <w:szCs w:val="24"/>
        </w:rPr>
      </w:pPr>
      <w:r w:rsidRPr="00ED3753">
        <w:t>Het gebruik van artificiële intelligentie (AI) in bewakings- en monitoringtechnologieën zal in de AI-wet worden vastgelegd. Het is belangrijk erop te wijzen dat alle door de Commissie bij gedelegeerde handelingen voorgestelde normen binnen het kad</w:t>
      </w:r>
      <w:r w:rsidRPr="00ED3753">
        <w:t>er van dat instrument moeten vallen, voor zover zij betrekking hebben op AI.</w:t>
      </w:r>
    </w:p>
    <w:p w:rsidR="009C7E1F" w:rsidRPr="00ED3753" w:rsidRDefault="00F30C80" w:rsidP="009C7E1F">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50</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53604D" w:rsidRPr="00ED3753" w:rsidRDefault="00F30C80" w:rsidP="00120A92">
      <w:pPr>
        <w:pStyle w:val="NormalBold"/>
      </w:pPr>
      <w:r w:rsidRPr="00ED3753">
        <w:rPr>
          <w:rStyle w:val="HideTWBExt"/>
          <w:b w:val="0"/>
        </w:rPr>
        <w:t>&lt;Article&gt;</w:t>
      </w:r>
      <w:r w:rsidRPr="00ED3753">
        <w:t>Artikel 1 – alinea 1 – punt 4 – inleidende formule</w:t>
      </w:r>
    </w:p>
    <w:p w:rsidR="00120A92" w:rsidRPr="00ED3753" w:rsidRDefault="00F30C80" w:rsidP="00120A92">
      <w:pPr>
        <w:pStyle w:val="NormalBold"/>
        <w:rPr>
          <w:rStyle w:val="HideTWBExt"/>
          <w:b w:val="0"/>
        </w:rPr>
      </w:pPr>
      <w:r w:rsidRPr="00ED3753">
        <w:rPr>
          <w:rStyle w:val="HideTWBExt"/>
          <w:b w:val="0"/>
        </w:rPr>
        <w:t>&lt;/Article&gt;</w:t>
      </w:r>
    </w:p>
    <w:p w:rsidR="0002439A" w:rsidRPr="00ED3753" w:rsidRDefault="00F30C80" w:rsidP="0002439A">
      <w:pPr>
        <w:keepNext/>
      </w:pPr>
      <w:r w:rsidRPr="00ED3753">
        <w:rPr>
          <w:rStyle w:val="HideTWBExt"/>
        </w:rPr>
        <w:t>&lt;DocAmend2&gt;</w:t>
      </w:r>
      <w:r w:rsidRPr="00ED3753">
        <w:t>Verordening (EU) 2016/399</w:t>
      </w:r>
      <w:r w:rsidRPr="00ED3753">
        <w:rPr>
          <w:rStyle w:val="HideTWBExt"/>
        </w:rPr>
        <w:t>&lt;/DocAmend2&gt;</w:t>
      </w:r>
    </w:p>
    <w:p w:rsidR="0002439A" w:rsidRPr="00ED3753" w:rsidRDefault="00F30C80" w:rsidP="00894B63">
      <w:r w:rsidRPr="00ED3753">
        <w:rPr>
          <w:rStyle w:val="HideTWBExt"/>
        </w:rPr>
        <w:t>&lt;Article2&gt;</w:t>
      </w:r>
      <w:r w:rsidRPr="00ED3753">
        <w:t>Hoofdstuk V – titel</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(4)</w:t>
            </w:r>
            <w:r w:rsidRPr="00ED3753">
              <w:tab/>
              <w:t xml:space="preserve">De titel van hoofdstuk V wordt als volgt gewijzigd: “Specifieke maatregelen in verband met </w:t>
            </w:r>
            <w:r w:rsidRPr="00ED3753">
              <w:rPr>
                <w:b/>
                <w:bCs/>
                <w:i/>
                <w:iCs/>
              </w:rPr>
              <w:t>de</w:t>
            </w:r>
            <w:r w:rsidRPr="00ED3753">
              <w:t xml:space="preserve"> </w:t>
            </w:r>
            <w:r w:rsidRPr="00ED3753">
              <w:rPr>
                <w:b/>
                <w:bCs/>
                <w:i/>
                <w:iCs/>
              </w:rPr>
              <w:t>buitengrenzen</w:t>
            </w:r>
            <w:r w:rsidRPr="00ED3753">
              <w:t>”</w:t>
            </w:r>
          </w:p>
        </w:tc>
        <w:tc>
          <w:tcPr>
            <w:tcW w:w="4876" w:type="dxa"/>
            <w:hideMark/>
          </w:tcPr>
          <w:p w:rsidR="00120A92" w:rsidRPr="00ED3753" w:rsidRDefault="00F30C80">
            <w:pPr>
              <w:pStyle w:val="Normal6"/>
              <w:rPr>
                <w:szCs w:val="24"/>
              </w:rPr>
            </w:pPr>
            <w:r w:rsidRPr="00ED3753">
              <w:t>(4)</w:t>
            </w:r>
            <w:r w:rsidRPr="00ED3753">
              <w:tab/>
              <w:t xml:space="preserve">De titel </w:t>
            </w:r>
            <w:r w:rsidRPr="00ED3753">
              <w:t xml:space="preserve">van hoofdstuk V wordt als volgt gewijzigd: “Specifieke maatregelen in verband met </w:t>
            </w:r>
            <w:r w:rsidRPr="00ED3753">
              <w:rPr>
                <w:b/>
                <w:bCs/>
                <w:i/>
                <w:iCs/>
              </w:rPr>
              <w:t>het buitengrenstoezicht</w:t>
            </w:r>
            <w:r w:rsidRPr="00ED3753">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 xml:space="preserve">Artikel 1 </w:t>
      </w:r>
      <w:r w:rsidRPr="00ED3753">
        <w:t>– alinea 1 – punt 4 – alinea 1</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21 bis – lid 1</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1.</w:t>
            </w:r>
            <w:r w:rsidRPr="00ED3753">
              <w:tab/>
              <w:t>Dit artikel is van toepassing op situaties waarin het Europees Centr</w:t>
            </w:r>
            <w:r w:rsidRPr="00ED3753">
              <w:t xml:space="preserve">um voor ziektepreventie en -bestrijding </w:t>
            </w:r>
            <w:r w:rsidRPr="00ED3753">
              <w:rPr>
                <w:b/>
                <w:bCs/>
                <w:i/>
                <w:iCs/>
              </w:rPr>
              <w:t>of de Commissie vaststellen</w:t>
            </w:r>
            <w:r w:rsidRPr="00ED3753">
              <w:t xml:space="preserve"> dat in een of meer derde landen een potentieel epidemische infectieziekte bestaat als omschreven in de desbetreffende instrumenten van de Wereldgezondheidsorganisatie.</w:t>
            </w:r>
          </w:p>
        </w:tc>
        <w:tc>
          <w:tcPr>
            <w:tcW w:w="4876" w:type="dxa"/>
            <w:hideMark/>
          </w:tcPr>
          <w:p w:rsidR="00120A92" w:rsidRPr="00ED3753" w:rsidRDefault="00F30C80">
            <w:pPr>
              <w:pStyle w:val="Normal6"/>
              <w:rPr>
                <w:szCs w:val="24"/>
              </w:rPr>
            </w:pPr>
            <w:r w:rsidRPr="00ED3753">
              <w:t>1.</w:t>
            </w:r>
            <w:r w:rsidRPr="00ED3753">
              <w:tab/>
            </w:r>
            <w:r w:rsidRPr="00ED3753">
              <w:t xml:space="preserve">Dit artikel is van toepassing op situaties waarin het Europees Centrum voor ziektepreventie en -bestrijding </w:t>
            </w:r>
            <w:r w:rsidRPr="00ED3753">
              <w:rPr>
                <w:b/>
                <w:bCs/>
                <w:i/>
                <w:iCs/>
              </w:rPr>
              <w:t>vaststelt</w:t>
            </w:r>
            <w:r w:rsidRPr="00ED3753">
              <w:t xml:space="preserve"> dat in een of meer derde landen een potentieel epidemische infectieziekte bestaat als omschreven in de desbetreffende instrumenten van de </w:t>
            </w:r>
            <w:r w:rsidRPr="00ED3753">
              <w:t>Wereldgezondheidsorganisatie.</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E66A08" w:rsidRPr="00ED3753" w:rsidRDefault="00F30C80" w:rsidP="00E66A08">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E66A08" w:rsidRPr="00ED3753" w:rsidRDefault="00F30C80" w:rsidP="00E66A08">
      <w:pPr>
        <w:pStyle w:val="JustificationTitle"/>
        <w:jc w:val="both"/>
        <w:rPr>
          <w:rFonts w:eastAsiaTheme="minorHAnsi"/>
          <w:szCs w:val="24"/>
        </w:rPr>
      </w:pPr>
      <w:r w:rsidRPr="00ED3753">
        <w:t>Om verwarring of politisering te voorkomen, moet de vaststelling van dergelijke infectieziekten aan het bevoegde agentschap worden overgelaten.</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52</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4 – alinea 1</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21 bis – lid 2 – alinea 1</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De Raad kan op basis van een voorstel van de Commissie een uitvoeringsverordening vaststellen die voorziet in tijdelijke beperking van reizen naar de lidstaten.</w:t>
            </w:r>
          </w:p>
        </w:tc>
        <w:tc>
          <w:tcPr>
            <w:tcW w:w="4876" w:type="dxa"/>
            <w:hideMark/>
          </w:tcPr>
          <w:p w:rsidR="00120A92" w:rsidRPr="00ED3753" w:rsidRDefault="00F30C80">
            <w:pPr>
              <w:pStyle w:val="Normal6"/>
              <w:rPr>
                <w:szCs w:val="24"/>
              </w:rPr>
            </w:pPr>
            <w:r w:rsidRPr="00ED3753">
              <w:t>De Raad kan op basis van een voorstel van de C</w:t>
            </w:r>
            <w:r w:rsidRPr="00ED3753">
              <w:t>ommissie</w:t>
            </w:r>
            <w:r w:rsidRPr="00ED3753">
              <w:rPr>
                <w:b/>
                <w:bCs/>
                <w:i/>
                <w:iCs/>
              </w:rPr>
              <w:t>, en na raadpleging van het Europees Parlement,</w:t>
            </w:r>
            <w:r w:rsidRPr="00ED3753">
              <w:t xml:space="preserve"> een uitvoeringsverordening vaststellen die voorziet in tijdelijke beperking van reizen naar de lidstaten.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997E99" w:rsidRPr="00ED3753" w:rsidRDefault="00F30C80" w:rsidP="00997E99">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997E99" w:rsidRPr="00ED3753" w:rsidRDefault="00F30C80" w:rsidP="00997E99">
      <w:pPr>
        <w:pStyle w:val="JustificationTitle"/>
        <w:jc w:val="both"/>
        <w:rPr>
          <w:rFonts w:eastAsiaTheme="minorHAnsi"/>
          <w:szCs w:val="24"/>
        </w:rPr>
      </w:pPr>
      <w:r w:rsidRPr="00ED3753">
        <w:t xml:space="preserve">Hoewel buitengrenstoezicht </w:t>
      </w:r>
      <w:r w:rsidRPr="00ED3753">
        <w:t>in de eerste plaats een bevoegdheid van de lidstaten blijft, is het in het kader van de verordening van de Europese grens- en kustwacht een gedeelde bevoegdheid met Frontex. In dat verband moeten de medewetgevers, wanneer beperkingen aan de buitengrenzen o</w:t>
      </w:r>
      <w:r w:rsidRPr="00ED3753">
        <w:t>p het niveau van de Unie moeten worden ingevoerd, een rol spelen in de desbetreffende rechtshandeling.</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53</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5</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23 – alinea 1 – punt a – ii</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ii)</w:t>
            </w:r>
            <w:r w:rsidRPr="00ED3753">
              <w:tab/>
              <w:t xml:space="preserve">zijn gebaseerd op algemene </w:t>
            </w:r>
            <w:r w:rsidRPr="00ED3753">
              <w:rPr>
                <w:b/>
                <w:bCs/>
                <w:i/>
                <w:iCs/>
              </w:rPr>
              <w:t>informatie</w:t>
            </w:r>
            <w:r w:rsidRPr="00ED3753">
              <w:t xml:space="preserve"> en ervaring van de bevoegde autoriteiten inzake mogelijke</w:t>
            </w:r>
            <w:r w:rsidRPr="00ED3753">
              <w:t xml:space="preserve"> bedreigingen voor de openbare veiligheid of de openbare orde en, in het bijzonder, bedoeld zijn om:</w:t>
            </w:r>
          </w:p>
        </w:tc>
        <w:tc>
          <w:tcPr>
            <w:tcW w:w="4876" w:type="dxa"/>
            <w:hideMark/>
          </w:tcPr>
          <w:p w:rsidR="00120A92" w:rsidRPr="00ED3753" w:rsidRDefault="00F30C80">
            <w:pPr>
              <w:pStyle w:val="Normal6"/>
              <w:rPr>
                <w:szCs w:val="24"/>
              </w:rPr>
            </w:pPr>
            <w:r w:rsidRPr="00ED3753">
              <w:t>ii)</w:t>
            </w:r>
            <w:r w:rsidRPr="00ED3753">
              <w:tab/>
              <w:t xml:space="preserve">zijn gebaseerd op algemene </w:t>
            </w:r>
            <w:r w:rsidRPr="00ED3753">
              <w:rPr>
                <w:b/>
                <w:bCs/>
                <w:i/>
                <w:iCs/>
              </w:rPr>
              <w:t>politie-informatie</w:t>
            </w:r>
            <w:r w:rsidRPr="00ED3753">
              <w:t xml:space="preserve"> en ervaring van de bevoegde autoriteiten inzake mogelijke bedreigingen voor de openbare veiligheid of de </w:t>
            </w:r>
            <w:r w:rsidRPr="00ED3753">
              <w:t>openbare orde en, in het bijzonder, bedoeld zijn om:</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54</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5</w:t>
      </w:r>
      <w:r w:rsidRPr="00ED3753">
        <w:rPr>
          <w:rStyle w:val="HideTWBExt"/>
          <w:b w:val="0"/>
        </w:rPr>
        <w:t>&lt;/Article&gt;</w:t>
      </w:r>
    </w:p>
    <w:p w:rsidR="00120A92" w:rsidRPr="00ED3753" w:rsidRDefault="00F30C80" w:rsidP="00120A92">
      <w:pPr>
        <w:keepNext/>
      </w:pPr>
      <w:r w:rsidRPr="00ED3753">
        <w:rPr>
          <w:rStyle w:val="HideTWBExt"/>
        </w:rPr>
        <w:t>&lt;DocAmend2&gt;</w:t>
      </w:r>
      <w:r w:rsidRPr="00ED3753">
        <w:t xml:space="preserve">Verordening </w:t>
      </w:r>
      <w:r w:rsidRPr="00ED3753">
        <w:t>(EU) 2016/399</w:t>
      </w:r>
      <w:r w:rsidRPr="00ED3753">
        <w:rPr>
          <w:rStyle w:val="HideTWBExt"/>
        </w:rPr>
        <w:t>&lt;/DocAmend2&gt;</w:t>
      </w:r>
    </w:p>
    <w:p w:rsidR="00120A92" w:rsidRPr="00ED3753" w:rsidRDefault="00F30C80" w:rsidP="00120A92">
      <w:r w:rsidRPr="00ED3753">
        <w:rPr>
          <w:rStyle w:val="HideTWBExt"/>
        </w:rPr>
        <w:t>&lt;Article2&gt;</w:t>
      </w:r>
      <w:r w:rsidRPr="00ED3753">
        <w:t>Artikel 23 – alinea 1 – punt a – ii – streepje 2</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w:t>
            </w:r>
            <w:r w:rsidRPr="00ED3753">
              <w:rPr>
                <w:b/>
                <w:i/>
              </w:rPr>
              <w:tab/>
              <w:t>illegale vestiging of illegaal verblijf in verband met irreguliere migratie te bestrijden; of</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64246F" w:rsidRPr="00ED3753" w:rsidRDefault="00F30C80" w:rsidP="0064246F">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64246F" w:rsidRPr="00ED3753" w:rsidRDefault="00F30C80" w:rsidP="0064246F">
      <w:pPr>
        <w:pStyle w:val="JustificationTitle"/>
        <w:jc w:val="both"/>
        <w:rPr>
          <w:rFonts w:eastAsiaTheme="minorHAnsi"/>
          <w:szCs w:val="24"/>
        </w:rPr>
      </w:pPr>
      <w:r w:rsidRPr="00ED3753">
        <w:t xml:space="preserve">Overeenkomstig overweging 26 van de huidige Schengengrenscode mag migratie op zich niet als een bedreiging voor de openbare orde of de binnenlandse veiligheid worden beschouwd. Het gebruik </w:t>
      </w:r>
      <w:r w:rsidRPr="00ED3753">
        <w:t>van grenstoezichtmaatregelen ter voorkoming van migratie binnen het Schengengebied is in strijd met de vereisten van artikel 77, lid 2, punt e), VWEU voor medewetgevers.</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55</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w:t>
      </w:r>
      <w:r w:rsidRPr="00ED3753">
        <w:rPr>
          <w:rStyle w:val="HideTWBExt"/>
          <w:b w:val="0"/>
        </w:rPr>
        <w:t>/DocAmend&gt;</w:t>
      </w:r>
    </w:p>
    <w:p w:rsidR="00120A92" w:rsidRPr="00ED3753" w:rsidRDefault="00F30C80" w:rsidP="00120A92">
      <w:pPr>
        <w:pStyle w:val="NormalBold"/>
      </w:pPr>
      <w:r w:rsidRPr="00ED3753">
        <w:rPr>
          <w:rStyle w:val="HideTWBExt"/>
          <w:b w:val="0"/>
        </w:rPr>
        <w:t>&lt;Article&gt;</w:t>
      </w:r>
      <w:r w:rsidRPr="00ED3753">
        <w:t>Artikel 1 – alinea 1 – punt 5</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23 – alinea 1 – punt e</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e)</w:t>
            </w:r>
            <w:r w:rsidRPr="00ED3753">
              <w:rPr>
                <w:b/>
                <w:i/>
              </w:rPr>
              <w:tab/>
              <w:t xml:space="preserve">veiligheidscontroles van </w:t>
            </w:r>
            <w:r w:rsidRPr="00ED3753">
              <w:rPr>
                <w:b/>
                <w:i/>
              </w:rPr>
              <w:t>passagiersgegevens in relevante databanken inzake personen die binnen de ruimte zonder binnengrenstoezicht reizen, die door de bevoegde autoriteiten krachtens het toepasselijke recht kunnen worden uitgevoerd.</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71441F" w:rsidRPr="00ED3753" w:rsidRDefault="00F30C80" w:rsidP="0071441F">
      <w:pPr>
        <w:pStyle w:val="JustificationTitle"/>
        <w:rPr>
          <w:noProof w:val="0"/>
          <w:szCs w:val="24"/>
        </w:rPr>
      </w:pPr>
      <w:r w:rsidRPr="00ED3753">
        <w:rPr>
          <w:rStyle w:val="HideTWBExt"/>
          <w:rFonts w:ascii="Times New Roman" w:hAnsi="Times New Roman"/>
          <w:sz w:val="24"/>
        </w:rPr>
        <w:t>&lt;Tit</w:t>
      </w:r>
      <w:r w:rsidRPr="00ED3753">
        <w:rPr>
          <w:rStyle w:val="HideTWBExt"/>
          <w:rFonts w:ascii="Times New Roman" w:hAnsi="Times New Roman"/>
          <w:sz w:val="24"/>
        </w:rPr>
        <w:t>reJust&gt;</w:t>
      </w:r>
      <w:r w:rsidRPr="00ED3753">
        <w:t>Motivering</w:t>
      </w:r>
      <w:r w:rsidRPr="00ED3753">
        <w:rPr>
          <w:rStyle w:val="HideTWBExt"/>
          <w:rFonts w:ascii="Times New Roman" w:hAnsi="Times New Roman"/>
          <w:sz w:val="24"/>
        </w:rPr>
        <w:t>&lt;/TitreJust&gt;</w:t>
      </w:r>
    </w:p>
    <w:p w:rsidR="0071441F" w:rsidRPr="00ED3753" w:rsidRDefault="00F30C80" w:rsidP="0071441F">
      <w:pPr>
        <w:pStyle w:val="JustificationTitle"/>
        <w:jc w:val="both"/>
        <w:rPr>
          <w:szCs w:val="24"/>
        </w:rPr>
      </w:pPr>
      <w:r w:rsidRPr="00ED3753">
        <w:t>Deze bepaling is niet passend in het licht van de uitspraak van het HvJ-EU in zaak C-817/19.</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56</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w:t>
      </w:r>
      <w:r w:rsidRPr="00ED3753">
        <w:t xml:space="preserve"> 6</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23 bis</w:t>
      </w:r>
      <w:r w:rsidRPr="00ED37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894B63">
        <w:trPr>
          <w:jc w:val="center"/>
        </w:trPr>
        <w:tc>
          <w:tcPr>
            <w:tcW w:w="9752" w:type="dxa"/>
            <w:gridSpan w:val="2"/>
          </w:tcPr>
          <w:p w:rsidR="00120A92" w:rsidRPr="00ED3753" w:rsidRDefault="00120A92">
            <w:pPr>
              <w:keepNext/>
            </w:pPr>
          </w:p>
        </w:tc>
      </w:tr>
      <w:tr w:rsidR="00264914" w:rsidRPr="00ED3753" w:rsidTr="00894B63">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894B63">
        <w:trPr>
          <w:jc w:val="center"/>
        </w:trPr>
        <w:tc>
          <w:tcPr>
            <w:tcW w:w="4876" w:type="dxa"/>
            <w:hideMark/>
          </w:tcPr>
          <w:p w:rsidR="00120A92" w:rsidRPr="00ED3753" w:rsidRDefault="00F30C80">
            <w:pPr>
              <w:pStyle w:val="Normal6"/>
            </w:pPr>
            <w:r w:rsidRPr="00ED3753">
              <w:rPr>
                <w:b/>
                <w:i/>
              </w:rPr>
              <w:t>(6)</w:t>
            </w:r>
            <w:r w:rsidRPr="00ED3753">
              <w:rPr>
                <w:b/>
                <w:i/>
              </w:rPr>
              <w:tab/>
              <w:t>Het volgende artikel 23 bis wordt ingevoegd:</w:t>
            </w:r>
          </w:p>
        </w:tc>
        <w:tc>
          <w:tcPr>
            <w:tcW w:w="4876" w:type="dxa"/>
            <w:hideMark/>
          </w:tcPr>
          <w:p w:rsidR="00120A92" w:rsidRPr="00ED3753" w:rsidRDefault="00F30C80">
            <w:pPr>
              <w:pStyle w:val="Normal6"/>
              <w:rPr>
                <w:szCs w:val="24"/>
              </w:rPr>
            </w:pPr>
            <w:r w:rsidRPr="00ED3753">
              <w:rPr>
                <w:b/>
                <w:i/>
              </w:rPr>
              <w:t>Schrappen</w:t>
            </w:r>
          </w:p>
        </w:tc>
      </w:tr>
      <w:tr w:rsidR="00264914" w:rsidRPr="00ED3753" w:rsidTr="00894B63">
        <w:trPr>
          <w:jc w:val="center"/>
        </w:trPr>
        <w:tc>
          <w:tcPr>
            <w:tcW w:w="4876" w:type="dxa"/>
            <w:hideMark/>
          </w:tcPr>
          <w:p w:rsidR="00120A92" w:rsidRPr="00ED3753" w:rsidRDefault="00F30C80" w:rsidP="00894B63">
            <w:pPr>
              <w:pStyle w:val="Normal6"/>
              <w:jc w:val="center"/>
            </w:pPr>
            <w:r w:rsidRPr="00ED3753">
              <w:rPr>
                <w:b/>
                <w:i/>
              </w:rPr>
              <w:t>Artikel 23 bis</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rsidP="00894B63">
            <w:pPr>
              <w:pStyle w:val="Normal6"/>
              <w:jc w:val="center"/>
            </w:pPr>
            <w:r w:rsidRPr="00ED3753">
              <w:rPr>
                <w:b/>
                <w:i/>
              </w:rPr>
              <w:t>Procedure voor de overbrenging</w:t>
            </w:r>
            <w:r w:rsidRPr="00ED3753">
              <w:rPr>
                <w:b/>
                <w:i/>
              </w:rPr>
              <w:t xml:space="preserve"> van aan de binnengrenzen aangehouden personen</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1.</w:t>
            </w:r>
            <w:r w:rsidRPr="00ED3753">
              <w:rPr>
                <w:b/>
                <w:i/>
              </w:rPr>
              <w:tab/>
              <w:t>Dit artikel is van toepassing op de aanhouding van een onderdaan van een derde land in de nabijheid van binnengrenzen, onder omstandigheden waarin aan alle onderstaande voorwaarden wordt voldaan:</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a)</w:t>
            </w:r>
            <w:r w:rsidRPr="00ED3753">
              <w:rPr>
                <w:b/>
                <w:i/>
              </w:rPr>
              <w:tab/>
              <w:t xml:space="preserve">de </w:t>
            </w:r>
            <w:r w:rsidRPr="00ED3753">
              <w:rPr>
                <w:b/>
                <w:i/>
              </w:rPr>
              <w:t>onderdaan van het derde land voldoet niet of niet meer aan de voorwaarden voor binnenkomst van artikel 6, lid 1;</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b)</w:t>
            </w:r>
            <w:r w:rsidRPr="00ED3753">
              <w:rPr>
                <w:b/>
                <w:i/>
              </w:rPr>
              <w:tab/>
              <w:t>de onderdaan van het derde land valt niet onder de uitzondering van artikel 6, lid 5, punt a);</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c)</w:t>
            </w:r>
            <w:r w:rsidRPr="00ED3753">
              <w:rPr>
                <w:b/>
                <w:i/>
              </w:rPr>
              <w:tab/>
              <w:t xml:space="preserve">de onderdaan van het derde land wordt </w:t>
            </w:r>
            <w:r w:rsidRPr="00ED3753">
              <w:rPr>
                <w:b/>
                <w:i/>
              </w:rPr>
              <w:t>aangehouden in het kader van grensoverschrijdende operationele politiële samenwerking, met name tijdens gezamenlijke politiepatrouilles;</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d)</w:t>
            </w:r>
            <w:r w:rsidRPr="00ED3753">
              <w:rPr>
                <w:b/>
                <w:i/>
              </w:rPr>
              <w:tab/>
              <w:t>er zijn duidelijke aanwijzingen dat de onderdaan van het derde land rechtstreeks vanuit een andere lidstaat is aan</w:t>
            </w:r>
            <w:r w:rsidRPr="00ED3753">
              <w:rPr>
                <w:b/>
                <w:i/>
              </w:rPr>
              <w:t>gekomen, blijkens onmiddellijk voor de aanhoudende autoriteiten beschikbare informatie, waaronder verklaringen van de betrokkene, bij die betrokkene aangetroffen identiteits-, reis- of andere documenten of blijkens de resultaten van bevragingen van relevan</w:t>
            </w:r>
            <w:r w:rsidRPr="00ED3753">
              <w:rPr>
                <w:b/>
                <w:i/>
              </w:rPr>
              <w:t>te nationale databanken en databanken van de Unie.</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2.</w:t>
            </w:r>
            <w:r w:rsidRPr="00ED3753">
              <w:rPr>
                <w:b/>
                <w:i/>
              </w:rPr>
              <w:tab/>
              <w:t xml:space="preserve">Op basis van de bevinding dat de betrokken onderdaan van een derde land niet het recht heeft om op het grondgebied van de lidstaat te verblijven, kunnen de bevoegde autoriteiten van die lidstaat </w:t>
            </w:r>
            <w:r w:rsidRPr="00ED3753">
              <w:rPr>
                <w:b/>
                <w:i/>
              </w:rPr>
              <w:t>besluiten om de persoon onmiddellijk over te brengen naar de lidstaat van waaruit de persoon is ingereisd of heeft getracht in te reizen, in overeenstemming met de procedure die is omschreven in bijlage XII.</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3.</w:t>
            </w:r>
            <w:r w:rsidRPr="00ED3753">
              <w:rPr>
                <w:b/>
                <w:i/>
              </w:rPr>
              <w:tab/>
              <w:t xml:space="preserve">Wanneer een lidstaat de in lid 2 bedoelde </w:t>
            </w:r>
            <w:r w:rsidRPr="00ED3753">
              <w:rPr>
                <w:b/>
                <w:i/>
              </w:rPr>
              <w:t>procedure toepast, moet de ontvangende lidstaat alle noodzakelijke maatregelen treffen om de betrokken onderdaan van een derde land te ontvangen in overeenstemming met de procedures die zijn omschreven in bijlage XII.</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4.</w:t>
            </w:r>
            <w:r w:rsidRPr="00ED3753">
              <w:rPr>
                <w:b/>
                <w:i/>
              </w:rPr>
              <w:tab/>
              <w:t>Met ingang van [één jaar na de in</w:t>
            </w:r>
            <w:r w:rsidRPr="00ED3753">
              <w:rPr>
                <w:b/>
                <w:i/>
              </w:rPr>
              <w:t>werkingtreding van de verordening] en vervolgens jaarlijks dienen de lidstaten bij de Commissie de gegevens in die overeenkomstig punt 3 van bijlage XII zijn vastgelegd met betrekking tot de toepassing van lid 1, 2 en 3.</w:t>
            </w:r>
          </w:p>
        </w:tc>
        <w:tc>
          <w:tcPr>
            <w:tcW w:w="4876" w:type="dxa"/>
          </w:tcPr>
          <w:p w:rsidR="00120A92" w:rsidRPr="00ED3753" w:rsidRDefault="00120A92">
            <w:pPr>
              <w:pStyle w:val="Normal6"/>
              <w:rPr>
                <w:szCs w:val="24"/>
              </w:rPr>
            </w:pP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6035D4" w:rsidRPr="00ED3753" w:rsidRDefault="00F30C80" w:rsidP="006035D4">
      <w:pPr>
        <w:pStyle w:val="JustificationTitle"/>
        <w:rPr>
          <w:noProof w:val="0"/>
          <w:szCs w:val="24"/>
        </w:rPr>
      </w:pPr>
      <w:r w:rsidRPr="00ED3753">
        <w:rPr>
          <w:rStyle w:val="HideTWBExt"/>
          <w:rFonts w:ascii="Times New Roman" w:hAnsi="Times New Roman"/>
          <w:sz w:val="24"/>
        </w:rPr>
        <w:t>&lt;</w:t>
      </w:r>
      <w:r w:rsidRPr="00ED3753">
        <w:rPr>
          <w:rStyle w:val="HideTWBExt"/>
          <w:rFonts w:ascii="Times New Roman" w:hAnsi="Times New Roman"/>
          <w:sz w:val="24"/>
        </w:rPr>
        <w:t>TitreJust&gt;</w:t>
      </w:r>
      <w:r w:rsidRPr="00ED3753">
        <w:t>Motivering</w:t>
      </w:r>
      <w:r w:rsidRPr="00ED3753">
        <w:rPr>
          <w:rStyle w:val="HideTWBExt"/>
          <w:rFonts w:ascii="Times New Roman" w:hAnsi="Times New Roman"/>
          <w:sz w:val="24"/>
        </w:rPr>
        <w:t>&lt;/TitreJust&gt;</w:t>
      </w:r>
    </w:p>
    <w:p w:rsidR="006035D4" w:rsidRPr="00ED3753" w:rsidRDefault="00F30C80" w:rsidP="006035D4">
      <w:pPr>
        <w:pStyle w:val="JustificationTitle"/>
        <w:jc w:val="both"/>
        <w:rPr>
          <w:rFonts w:eastAsiaTheme="minorHAnsi"/>
          <w:szCs w:val="24"/>
        </w:rPr>
      </w:pPr>
      <w:r w:rsidRPr="00ED3753">
        <w:t>Het is niet de taak van de Schengengrenscode om een interne terugkeerprocedure in het Schengengebied in te voeren. Dit is duidelijk in strijd met de geest van het Schengengebied zonder binnengrenstoezicht en weerspiegelt ee</w:t>
      </w:r>
      <w:r w:rsidRPr="00ED3753">
        <w:t>rder de noodzaak van vooruitgang bij het hervormen van andere beleidsterreinen.</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57</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8</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w:t>
      </w:r>
      <w:r w:rsidRPr="00ED3753">
        <w:t>16/399</w:t>
      </w:r>
      <w:r w:rsidRPr="00ED3753">
        <w:rPr>
          <w:rStyle w:val="HideTWBExt"/>
        </w:rPr>
        <w:t>&lt;/DocAmend2&gt;</w:t>
      </w:r>
    </w:p>
    <w:p w:rsidR="00120A92" w:rsidRPr="00ED3753" w:rsidRDefault="00F30C80" w:rsidP="00120A92">
      <w:r w:rsidRPr="00ED3753">
        <w:rPr>
          <w:rStyle w:val="HideTWBExt"/>
        </w:rPr>
        <w:t>&lt;Article2&gt;</w:t>
      </w:r>
      <w:r w:rsidRPr="00ED3753">
        <w:t>Artikel 25 – lid 1 – alinea 2 – punt a</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(a)</w:t>
            </w:r>
            <w:r w:rsidRPr="00ED3753">
              <w:tab/>
            </w:r>
            <w:r w:rsidRPr="00ED3753">
              <w:rPr>
                <w:b/>
                <w:bCs/>
                <w:i/>
                <w:iCs/>
              </w:rPr>
              <w:t>activiteiten die verband houden met</w:t>
            </w:r>
            <w:r w:rsidRPr="00ED3753">
              <w:t xml:space="preserve"> terrorisme of georganiseerde criminaliteit;</w:t>
            </w:r>
          </w:p>
        </w:tc>
        <w:tc>
          <w:tcPr>
            <w:tcW w:w="4876" w:type="dxa"/>
            <w:hideMark/>
          </w:tcPr>
          <w:p w:rsidR="00120A92" w:rsidRPr="00ED3753" w:rsidRDefault="00F30C80">
            <w:pPr>
              <w:pStyle w:val="Normal6"/>
              <w:rPr>
                <w:szCs w:val="24"/>
              </w:rPr>
            </w:pPr>
            <w:r w:rsidRPr="00ED3753">
              <w:t>(a)</w:t>
            </w:r>
            <w:r w:rsidRPr="00ED3753">
              <w:tab/>
            </w:r>
            <w:r w:rsidRPr="00ED3753">
              <w:rPr>
                <w:b/>
                <w:bCs/>
                <w:i/>
                <w:iCs/>
              </w:rPr>
              <w:t xml:space="preserve">een directe en onmiddellijke dreiging </w:t>
            </w:r>
            <w:r w:rsidRPr="00ED3753">
              <w:rPr>
                <w:b/>
                <w:bCs/>
                <w:i/>
                <w:iCs/>
              </w:rPr>
              <w:t>van</w:t>
            </w:r>
            <w:r w:rsidRPr="00ED3753">
              <w:rPr>
                <w:b/>
                <w:bCs/>
              </w:rPr>
              <w:t xml:space="preserve"> </w:t>
            </w:r>
            <w:r w:rsidRPr="00ED3753">
              <w:t xml:space="preserve">terrorisme of </w:t>
            </w:r>
            <w:r w:rsidRPr="00ED3753">
              <w:rPr>
                <w:b/>
                <w:bCs/>
                <w:i/>
                <w:iCs/>
              </w:rPr>
              <w:t xml:space="preserve">ernstige </w:t>
            </w:r>
            <w:r w:rsidRPr="00ED3753">
              <w:t>georganiseerde criminaliteit;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323433" w:rsidRPr="00ED3753" w:rsidRDefault="00F30C80" w:rsidP="00323433">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323433" w:rsidRPr="00ED3753" w:rsidRDefault="00F30C80" w:rsidP="00894B63">
      <w:pPr>
        <w:pStyle w:val="AmJustText"/>
      </w:pPr>
      <w:r w:rsidRPr="00ED3753">
        <w:t>Het is belangrijk eraan te herinneren dat het binnengrenstoezicht een uiterste middel is. De voorgestelde bepaling is in dit verband</w:t>
      </w:r>
      <w:r w:rsidRPr="00ED3753">
        <w:t xml:space="preserve"> veel te ruim.</w:t>
      </w:r>
    </w:p>
    <w:p w:rsidR="0098489D" w:rsidRPr="00ED3753" w:rsidRDefault="00F30C80" w:rsidP="0098489D">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58</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8</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25 – lid 1 – alinea 2 – punt</w:t>
      </w:r>
      <w:r w:rsidRPr="00ED3753">
        <w:t xml:space="preserve"> c</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(c)</w:t>
            </w:r>
            <w:r w:rsidRPr="00ED3753">
              <w:rPr>
                <w:b/>
                <w:i/>
              </w:rPr>
              <w:tab/>
              <w:t>een situatie die zich kenmerkt door grootschalige niet-toegestane verplaatsingen van onderdanen van derde landen tussen de lidstaten, die de algemene werking van de ruimte zonder binnengr</w:t>
            </w:r>
            <w:r w:rsidRPr="00ED3753">
              <w:rPr>
                <w:b/>
                <w:i/>
              </w:rPr>
              <w:t>enstoezicht in gevaar brengt;</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59</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8</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25 – lid 3</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3.</w:t>
            </w:r>
            <w:r w:rsidRPr="00ED3753">
              <w:rPr>
                <w:b/>
                <w:i/>
              </w:rPr>
              <w:tab/>
              <w:t xml:space="preserve">Wanneer dezelfde bedreiging voortduurt, kan het grenstoezicht aan de binnengrenzen worden verlengd in overeenstemming met de artikelen 25 bis, 28 of </w:t>
            </w:r>
            <w:r w:rsidRPr="00ED3753">
              <w:rPr>
                <w:b/>
                <w:i/>
              </w:rPr>
              <w:t>29.</w:t>
            </w:r>
          </w:p>
        </w:tc>
        <w:tc>
          <w:tcPr>
            <w:tcW w:w="4876" w:type="dxa"/>
            <w:hideMark/>
          </w:tcPr>
          <w:p w:rsidR="00120A92" w:rsidRPr="00ED3753" w:rsidRDefault="00F30C80">
            <w:pPr>
              <w:pStyle w:val="Normal6"/>
              <w:rPr>
                <w:szCs w:val="24"/>
              </w:rPr>
            </w:pPr>
            <w:r w:rsidRPr="00ED3753">
              <w:rPr>
                <w:b/>
                <w:i/>
              </w:rPr>
              <w:t>Schrappen</w:t>
            </w:r>
          </w:p>
        </w:tc>
      </w:tr>
      <w:tr w:rsidR="00264914" w:rsidRPr="00ED3753" w:rsidTr="00120A92">
        <w:trPr>
          <w:jc w:val="center"/>
        </w:trPr>
        <w:tc>
          <w:tcPr>
            <w:tcW w:w="4876" w:type="dxa"/>
            <w:hideMark/>
          </w:tcPr>
          <w:p w:rsidR="00120A92" w:rsidRPr="00ED3753" w:rsidRDefault="00F30C80">
            <w:pPr>
              <w:pStyle w:val="Normal6"/>
            </w:pPr>
            <w:r w:rsidRPr="00ED3753">
              <w:rPr>
                <w:b/>
                <w:i/>
              </w:rPr>
              <w:t>Dezelfde bedreiging wordt geacht te bestaan wanneer de door de lidstaat aangevoerde rechtvaardiging voor de verlenging van het grenstoezicht is gebaseerd op de vaststelling van het voortduren van de bedreiging die ook de rechtvaardiging vorm</w:t>
            </w:r>
            <w:r w:rsidRPr="00ED3753">
              <w:rPr>
                <w:b/>
                <w:i/>
              </w:rPr>
              <w:t>de voor de aanvankelijke herinvoering van het grenstoezicht.</w:t>
            </w:r>
          </w:p>
        </w:tc>
        <w:tc>
          <w:tcPr>
            <w:tcW w:w="4876" w:type="dxa"/>
          </w:tcPr>
          <w:p w:rsidR="00120A92" w:rsidRPr="00ED3753" w:rsidRDefault="00120A92">
            <w:pPr>
              <w:pStyle w:val="Normal6"/>
              <w:rPr>
                <w:szCs w:val="24"/>
              </w:rPr>
            </w:pP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60</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9</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w:t>
      </w:r>
      <w:r w:rsidRPr="00ED3753">
        <w:t>rdening (EU) 2016/399</w:t>
      </w:r>
      <w:r w:rsidRPr="00ED3753">
        <w:rPr>
          <w:rStyle w:val="HideTWBExt"/>
        </w:rPr>
        <w:t>&lt;/DocAmend2&gt;</w:t>
      </w:r>
    </w:p>
    <w:p w:rsidR="00120A92" w:rsidRPr="00ED3753" w:rsidRDefault="00F30C80" w:rsidP="00120A92">
      <w:r w:rsidRPr="00ED3753">
        <w:rPr>
          <w:rStyle w:val="HideTWBExt"/>
        </w:rPr>
        <w:t>&lt;Article2&gt;</w:t>
      </w:r>
      <w:r w:rsidRPr="00ED3753">
        <w:t>Artikel 25 bis – lid 2</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w:t>
            </w:r>
            <w:r w:rsidRPr="00ED3753">
              <w:tab/>
              <w:t xml:space="preserve">Op hetzelfde moment als waarop de lidstaat het grenstoezicht op grond van lid 1 opnieuw invoert, stelt deze de Commissie en </w:t>
            </w:r>
            <w:r w:rsidRPr="00ED3753">
              <w:t>de andere lidstaten in kennis van de herinvoering van het grenstoezicht, overeenkomstig artikel 27, lid 1.</w:t>
            </w:r>
          </w:p>
        </w:tc>
        <w:tc>
          <w:tcPr>
            <w:tcW w:w="4876" w:type="dxa"/>
            <w:hideMark/>
          </w:tcPr>
          <w:p w:rsidR="00120A92" w:rsidRPr="00ED3753" w:rsidRDefault="00F30C80">
            <w:pPr>
              <w:pStyle w:val="Normal6"/>
              <w:rPr>
                <w:szCs w:val="24"/>
              </w:rPr>
            </w:pPr>
            <w:r w:rsidRPr="00ED3753">
              <w:t>2.</w:t>
            </w:r>
            <w:r w:rsidRPr="00ED3753">
              <w:tab/>
              <w:t>Op hetzelfde moment als waarop de lidstaat het grenstoezicht op grond van lid 1 opnieuw invoert, stelt deze de Commissie</w:t>
            </w:r>
            <w:r w:rsidRPr="00ED3753">
              <w:rPr>
                <w:b/>
                <w:bCs/>
                <w:i/>
                <w:iCs/>
              </w:rPr>
              <w:t>, het Europees Parlement</w:t>
            </w:r>
            <w:r w:rsidRPr="00ED3753">
              <w:t xml:space="preserve"> e</w:t>
            </w:r>
            <w:r w:rsidRPr="00ED3753">
              <w:t>n de andere lidstaten in kennis van de herinvoering van het grenstoezicht, overeenkomstig artikel 27, lid 1.</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 xml:space="preserve">Artikel </w:t>
      </w:r>
      <w:r w:rsidRPr="00ED3753">
        <w:t>1 – alinea 1 – punt 9</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25 bis – lid 5</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5.</w:t>
            </w:r>
            <w:r w:rsidRPr="00ED3753">
              <w:tab/>
              <w:t xml:space="preserve">In de zin van lid 4 en onverminderd artikel 27 bis, lid 4, kan grenstoezicht </w:t>
            </w:r>
            <w:r w:rsidRPr="00ED3753">
              <w:t xml:space="preserve">aan de binnengrenzen opnieuw worden ingevoerd voor de duur van ten hoogste </w:t>
            </w:r>
            <w:r w:rsidRPr="00ED3753">
              <w:rPr>
                <w:b/>
                <w:bCs/>
                <w:i/>
                <w:iCs/>
              </w:rPr>
              <w:t>zes</w:t>
            </w:r>
            <w:r w:rsidRPr="00ED3753">
              <w:t xml:space="preserve"> maanden. Wanneer de ernstige bedreiging voor de openbare orde of de binnenlandse veiligheid langer voortduurt, kan de lidstaat het grenstoezicht aan de binnengrenzen telkens met</w:t>
            </w:r>
            <w:r w:rsidRPr="00ED3753">
              <w:t xml:space="preserve"> ten hoogste </w:t>
            </w:r>
            <w:r w:rsidRPr="00ED3753">
              <w:rPr>
                <w:b/>
                <w:bCs/>
                <w:i/>
                <w:iCs/>
              </w:rPr>
              <w:t>zes</w:t>
            </w:r>
            <w:r w:rsidRPr="00ED3753">
              <w:t xml:space="preserve"> maanden verlengen.</w:t>
            </w:r>
          </w:p>
        </w:tc>
        <w:tc>
          <w:tcPr>
            <w:tcW w:w="4876" w:type="dxa"/>
            <w:hideMark/>
          </w:tcPr>
          <w:p w:rsidR="00120A92" w:rsidRPr="00ED3753" w:rsidRDefault="00F30C80">
            <w:pPr>
              <w:pStyle w:val="Normal6"/>
              <w:rPr>
                <w:szCs w:val="24"/>
              </w:rPr>
            </w:pPr>
            <w:r w:rsidRPr="00ED3753">
              <w:t>5.</w:t>
            </w:r>
            <w:r w:rsidRPr="00ED3753">
              <w:tab/>
              <w:t xml:space="preserve">In de zin van lid 4 en onverminderd artikel 27 bis, lid 4, kan grenstoezicht aan de binnengrenzen opnieuw worden ingevoerd voor de duur van ten hoogste </w:t>
            </w:r>
            <w:r w:rsidRPr="00ED3753">
              <w:rPr>
                <w:b/>
                <w:bCs/>
                <w:i/>
                <w:iCs/>
              </w:rPr>
              <w:t>drie</w:t>
            </w:r>
            <w:r w:rsidRPr="00ED3753">
              <w:t xml:space="preserve"> maanden. Wanneer de ernstige bedreiging voor de openbare ord</w:t>
            </w:r>
            <w:r w:rsidRPr="00ED3753">
              <w:t xml:space="preserve">e of de binnenlandse veiligheid langer voortduurt, kan de lidstaat het grenstoezicht aan de binnengrenzen telkens met ten hoogste </w:t>
            </w:r>
            <w:r w:rsidRPr="00ED3753">
              <w:rPr>
                <w:b/>
                <w:bCs/>
                <w:i/>
                <w:iCs/>
              </w:rPr>
              <w:t>drie</w:t>
            </w:r>
            <w:r w:rsidRPr="00ED3753">
              <w:t xml:space="preserve"> maanden verlengen.</w:t>
            </w:r>
          </w:p>
        </w:tc>
      </w:tr>
      <w:tr w:rsidR="00264914" w:rsidRPr="00ED3753" w:rsidTr="00120A92">
        <w:trPr>
          <w:jc w:val="center"/>
        </w:trPr>
        <w:tc>
          <w:tcPr>
            <w:tcW w:w="4876" w:type="dxa"/>
            <w:hideMark/>
          </w:tcPr>
          <w:p w:rsidR="00120A92" w:rsidRPr="00ED3753" w:rsidRDefault="00F30C80">
            <w:pPr>
              <w:pStyle w:val="Normal6"/>
            </w:pPr>
            <w:r w:rsidRPr="00ED3753">
              <w:t>Van een verlenging worden de Commissie en de andere lidstaten binnen de in lid 4 bedoelde termijnen i</w:t>
            </w:r>
            <w:r w:rsidRPr="00ED3753">
              <w:t xml:space="preserve">n kennis gesteld overeenkomstig artikel 27. </w:t>
            </w:r>
            <w:r w:rsidRPr="00ED3753">
              <w:rPr>
                <w:b/>
                <w:bCs/>
                <w:i/>
                <w:iCs/>
              </w:rPr>
              <w:t>Met inachtneming van artikel 27 bis, lid 5,</w:t>
            </w:r>
            <w:r w:rsidRPr="00ED3753">
              <w:t xml:space="preserve"> </w:t>
            </w:r>
            <w:r w:rsidRPr="00ED3753">
              <w:rPr>
                <w:b/>
                <w:bCs/>
                <w:i/>
                <w:iCs/>
              </w:rPr>
              <w:t>bedraagt</w:t>
            </w:r>
            <w:r w:rsidRPr="00ED3753">
              <w:t xml:space="preserve"> de duur van grenstoezicht aan de binnengrenzen ten hoogste </w:t>
            </w:r>
            <w:r w:rsidRPr="00ED3753">
              <w:rPr>
                <w:b/>
                <w:bCs/>
                <w:i/>
                <w:iCs/>
              </w:rPr>
              <w:t>twee</w:t>
            </w:r>
            <w:r w:rsidRPr="00ED3753">
              <w:t xml:space="preserve"> jaar.</w:t>
            </w:r>
          </w:p>
        </w:tc>
        <w:tc>
          <w:tcPr>
            <w:tcW w:w="4876" w:type="dxa"/>
            <w:hideMark/>
          </w:tcPr>
          <w:p w:rsidR="00120A92" w:rsidRPr="00ED3753" w:rsidRDefault="00F30C80">
            <w:pPr>
              <w:pStyle w:val="Normal6"/>
              <w:rPr>
                <w:szCs w:val="24"/>
              </w:rPr>
            </w:pPr>
            <w:r w:rsidRPr="00ED3753">
              <w:t>Van een verlenging worden de Commissie</w:t>
            </w:r>
            <w:r w:rsidRPr="00ED3753">
              <w:rPr>
                <w:b/>
                <w:bCs/>
                <w:i/>
                <w:iCs/>
              </w:rPr>
              <w:t>, het Europees Parlement</w:t>
            </w:r>
            <w:r w:rsidRPr="00ED3753">
              <w:t xml:space="preserve"> en de andere lidstaten binnen de in lid 4 bedoelde termijnen in kennis gesteld overeenkomstig artikel 27. De duur van grenstoezicht aan de binnengrenzen </w:t>
            </w:r>
            <w:r w:rsidRPr="00ED3753">
              <w:rPr>
                <w:b/>
                <w:bCs/>
                <w:i/>
                <w:iCs/>
              </w:rPr>
              <w:t xml:space="preserve">bedraagt </w:t>
            </w:r>
            <w:r w:rsidRPr="00ED3753">
              <w:t xml:space="preserve">ten hoogste </w:t>
            </w:r>
            <w:r w:rsidRPr="00ED3753">
              <w:rPr>
                <w:b/>
                <w:bCs/>
                <w:i/>
                <w:iCs/>
              </w:rPr>
              <w:t>één</w:t>
            </w:r>
            <w:r w:rsidRPr="00ED3753">
              <w:t xml:space="preserve"> jaar.</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8B30EC" w:rsidRPr="00ED3753" w:rsidRDefault="00F30C80" w:rsidP="008B30EC">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8B30EC" w:rsidRPr="00ED3753" w:rsidRDefault="00F30C80" w:rsidP="00894B63">
      <w:pPr>
        <w:pStyle w:val="AmJustText"/>
        <w:rPr>
          <w:i w:val="0"/>
        </w:rPr>
      </w:pPr>
      <w:r w:rsidRPr="00ED3753">
        <w:t>Aangezien binnengrenstoezicht de uitzondering en niet de regel moet blijven, wordt een periode van zes maanden binnengrenstoezicht zonder verdere evaluatie te lang geacht. Binnengrenstoezicht mag niet de feitelijke situatie worden in een gebied zonder binn</w:t>
      </w:r>
      <w:r w:rsidRPr="00ED3753">
        <w:t>engrenstoezicht. De lidstaat moet in staat zijn om binnen een jaar de vastgestelde dreiging weg te nemen of andere maatregelen te nemen om de dreiging naar behoren te beheersen.</w:t>
      </w:r>
    </w:p>
    <w:p w:rsidR="00120A92" w:rsidRPr="00ED3753" w:rsidRDefault="00F30C80" w:rsidP="008B30EC">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62</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w:t>
      </w:r>
      <w:r w:rsidRPr="00ED3753">
        <w:t>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9</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25 bis – lid 6</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6.</w:t>
            </w:r>
            <w:r w:rsidRPr="00ED3753">
              <w:rPr>
                <w:b/>
                <w:i/>
              </w:rPr>
              <w:tab/>
              <w:t xml:space="preserve">In de in lid 5 bedoelde termijn zijn de </w:t>
            </w:r>
            <w:r w:rsidRPr="00ED3753">
              <w:rPr>
                <w:b/>
                <w:i/>
              </w:rPr>
              <w:t>in lid 3 bedoelde termijnen niet inbegrepen.</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63</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10</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w:t>
      </w:r>
      <w:r w:rsidRPr="00ED3753">
        <w:t>g (EU) 2016/399</w:t>
      </w:r>
      <w:r w:rsidRPr="00ED3753">
        <w:rPr>
          <w:rStyle w:val="HideTWBExt"/>
        </w:rPr>
        <w:t>&lt;/DocAmend2&gt;</w:t>
      </w:r>
    </w:p>
    <w:p w:rsidR="00120A92" w:rsidRPr="00ED3753" w:rsidRDefault="00F30C80" w:rsidP="00120A92">
      <w:r w:rsidRPr="00ED3753">
        <w:rPr>
          <w:rStyle w:val="HideTWBExt"/>
        </w:rPr>
        <w:t>&lt;Article2&gt;</w:t>
      </w:r>
      <w:r w:rsidRPr="00ED3753">
        <w:t xml:space="preserve">Artikel 26 – lid 1 – punt b </w:t>
      </w:r>
      <w:r w:rsidRPr="00ED37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B1335C">
        <w:trPr>
          <w:jc w:val="center"/>
        </w:trPr>
        <w:tc>
          <w:tcPr>
            <w:tcW w:w="9752" w:type="dxa"/>
            <w:gridSpan w:val="2"/>
          </w:tcPr>
          <w:p w:rsidR="00120A92" w:rsidRPr="00ED3753" w:rsidRDefault="00120A92">
            <w:pPr>
              <w:keepNext/>
            </w:pPr>
          </w:p>
        </w:tc>
      </w:tr>
      <w:tr w:rsidR="00264914" w:rsidRPr="00ED3753" w:rsidTr="00B1335C">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B1335C">
        <w:trPr>
          <w:jc w:val="center"/>
        </w:trPr>
        <w:tc>
          <w:tcPr>
            <w:tcW w:w="4876" w:type="dxa"/>
            <w:hideMark/>
          </w:tcPr>
          <w:p w:rsidR="00B1335C" w:rsidRPr="00ED3753" w:rsidRDefault="00F30C80" w:rsidP="00B1335C">
            <w:pPr>
              <w:pStyle w:val="Normal6"/>
            </w:pPr>
            <w:r w:rsidRPr="00ED3753">
              <w:t>(b)</w:t>
            </w:r>
            <w:r w:rsidRPr="00ED3753">
              <w:rPr>
                <w:b/>
                <w:i/>
              </w:rPr>
              <w:t xml:space="preserve"> </w:t>
            </w:r>
            <w:r w:rsidRPr="00ED3753">
              <w:rPr>
                <w:b/>
                <w:bCs/>
                <w:i/>
                <w:iCs/>
              </w:rPr>
              <w:t>de</w:t>
            </w:r>
            <w:r w:rsidRPr="00ED3753">
              <w:t xml:space="preserve"> </w:t>
            </w:r>
            <w:r w:rsidRPr="00ED3753">
              <w:rPr>
                <w:b/>
                <w:bCs/>
                <w:i/>
                <w:iCs/>
              </w:rPr>
              <w:t>verwachte</w:t>
            </w:r>
            <w:r w:rsidRPr="00ED3753">
              <w:t xml:space="preserve"> </w:t>
            </w:r>
            <w:r w:rsidRPr="00ED3753">
              <w:rPr>
                <w:b/>
                <w:bCs/>
                <w:i/>
                <w:iCs/>
              </w:rPr>
              <w:t>gevolgen van een dergelijke maatregel voor:</w:t>
            </w:r>
          </w:p>
        </w:tc>
        <w:tc>
          <w:tcPr>
            <w:tcW w:w="4876" w:type="dxa"/>
            <w:hideMark/>
          </w:tcPr>
          <w:p w:rsidR="00B1335C" w:rsidRPr="00ED3753" w:rsidRDefault="00F30C80" w:rsidP="00B1335C">
            <w:pPr>
              <w:pStyle w:val="Normal6"/>
              <w:rPr>
                <w:szCs w:val="24"/>
              </w:rPr>
            </w:pPr>
            <w:r w:rsidRPr="00ED3753">
              <w:t>(b)</w:t>
            </w:r>
            <w:r w:rsidRPr="00ED3753">
              <w:tab/>
            </w:r>
            <w:r w:rsidRPr="00ED3753">
              <w:rPr>
                <w:b/>
                <w:bCs/>
                <w:i/>
                <w:iCs/>
              </w:rPr>
              <w:t xml:space="preserve">of andere maatregelen dan de tijdelijke herinvoering van </w:t>
            </w:r>
            <w:r w:rsidRPr="00ED3753">
              <w:rPr>
                <w:b/>
                <w:bCs/>
                <w:i/>
                <w:iCs/>
              </w:rPr>
              <w:t>grenstoezicht aan de binnengrenzen de bedreiging van de openbare orde of de binnenlandse veiligheid voldoende kunnen verhelpen;</w:t>
            </w:r>
          </w:p>
        </w:tc>
      </w:tr>
      <w:tr w:rsidR="00264914" w:rsidRPr="00ED3753" w:rsidTr="00B1335C">
        <w:trPr>
          <w:jc w:val="center"/>
        </w:trPr>
        <w:tc>
          <w:tcPr>
            <w:tcW w:w="4876" w:type="dxa"/>
          </w:tcPr>
          <w:p w:rsidR="006320E9" w:rsidRPr="00ED3753" w:rsidRDefault="00F30C80" w:rsidP="00B1335C">
            <w:pPr>
              <w:pStyle w:val="Normal6"/>
              <w:rPr>
                <w:b/>
                <w:i/>
              </w:rPr>
            </w:pPr>
            <w:r w:rsidRPr="00ED3753">
              <w:rPr>
                <w:b/>
                <w:i/>
              </w:rPr>
              <w:t>– het verkeer van personen in de ruimte zonder binnengrenstoezicht; en</w:t>
            </w:r>
          </w:p>
        </w:tc>
        <w:tc>
          <w:tcPr>
            <w:tcW w:w="4876" w:type="dxa"/>
          </w:tcPr>
          <w:p w:rsidR="006320E9" w:rsidRPr="00ED3753" w:rsidRDefault="006320E9" w:rsidP="00B1335C">
            <w:pPr>
              <w:pStyle w:val="Normal6"/>
            </w:pPr>
          </w:p>
        </w:tc>
      </w:tr>
      <w:tr w:rsidR="00264914" w:rsidRPr="00ED3753" w:rsidTr="00B1335C">
        <w:trPr>
          <w:jc w:val="center"/>
        </w:trPr>
        <w:tc>
          <w:tcPr>
            <w:tcW w:w="4876" w:type="dxa"/>
          </w:tcPr>
          <w:p w:rsidR="006320E9" w:rsidRPr="00ED3753" w:rsidRDefault="00F30C80" w:rsidP="00B1335C">
            <w:pPr>
              <w:pStyle w:val="Normal6"/>
            </w:pPr>
            <w:r w:rsidRPr="00ED3753">
              <w:rPr>
                <w:b/>
                <w:i/>
              </w:rPr>
              <w:t xml:space="preserve"> – de werking van de grensregio’s, rekening houdend me</w:t>
            </w:r>
            <w:r w:rsidRPr="00ED3753">
              <w:rPr>
                <w:b/>
                <w:i/>
              </w:rPr>
              <w:t>t de sterke maatschappelijke en economische banden tussen die regio’s.</w:t>
            </w:r>
            <w:r w:rsidRPr="00ED3753">
              <w:t xml:space="preserve"> </w:t>
            </w:r>
          </w:p>
        </w:tc>
        <w:tc>
          <w:tcPr>
            <w:tcW w:w="4876" w:type="dxa"/>
          </w:tcPr>
          <w:p w:rsidR="006320E9" w:rsidRPr="00ED3753" w:rsidRDefault="006320E9" w:rsidP="00B1335C">
            <w:pPr>
              <w:pStyle w:val="Normal6"/>
            </w:pP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995BA6" w:rsidRPr="00ED3753" w:rsidRDefault="00F30C80" w:rsidP="00995BA6">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995BA6" w:rsidRPr="00ED3753" w:rsidRDefault="00F30C80" w:rsidP="00995BA6">
      <w:pPr>
        <w:pStyle w:val="JustificationTitle"/>
        <w:jc w:val="left"/>
        <w:rPr>
          <w:rFonts w:eastAsiaTheme="minorHAnsi"/>
          <w:szCs w:val="24"/>
        </w:rPr>
      </w:pPr>
      <w:r w:rsidRPr="00ED3753">
        <w:t xml:space="preserve">Het is van belang duidelijke en gedetailleerde voorschriften voor de lidstaten vast te stellen wanneer zij </w:t>
      </w:r>
      <w:r w:rsidRPr="00ED3753">
        <w:t>beoordelen of binnengrenstoezicht noodzakelijk en evenredig is. Als de binnengrens de vastgestelde dreiging niet wegneemt, mag de lidstaat geen binnengrenstoezicht invoeren.</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64</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 xml:space="preserve">Voorstel voor een </w:t>
      </w:r>
      <w:r w:rsidRPr="00ED3753">
        <w:t>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10</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26 – lid 1 – punt b bis (nieuw)</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tcPr>
          <w:p w:rsidR="00120A92" w:rsidRPr="00ED3753" w:rsidRDefault="00120A92">
            <w:pPr>
              <w:pStyle w:val="Normal6"/>
            </w:pPr>
          </w:p>
        </w:tc>
        <w:tc>
          <w:tcPr>
            <w:tcW w:w="4876" w:type="dxa"/>
            <w:hideMark/>
          </w:tcPr>
          <w:p w:rsidR="00120A92" w:rsidRPr="00ED3753" w:rsidRDefault="00F30C80">
            <w:pPr>
              <w:pStyle w:val="Normal6"/>
              <w:rPr>
                <w:szCs w:val="24"/>
              </w:rPr>
            </w:pPr>
            <w:r w:rsidRPr="00ED3753">
              <w:rPr>
                <w:b/>
                <w:i/>
              </w:rPr>
              <w:t>(b bis)</w:t>
            </w:r>
            <w:r w:rsidRPr="00ED3753">
              <w:rPr>
                <w:b/>
                <w:i/>
              </w:rPr>
              <w:tab/>
              <w:t xml:space="preserve">de </w:t>
            </w:r>
            <w:r w:rsidRPr="00ED3753">
              <w:rPr>
                <w:b/>
                <w:i/>
              </w:rPr>
              <w:t>evenredigheid van de tijdelijke herinvoering van het grenstoezicht in verhouding tot de bedreiging van de openbare orde en de binnenlandse veiligheid door rekening te houden met:</w:t>
            </w:r>
          </w:p>
        </w:tc>
      </w:tr>
      <w:tr w:rsidR="00264914" w:rsidRPr="00ED3753" w:rsidTr="00120A92">
        <w:trPr>
          <w:jc w:val="center"/>
        </w:trPr>
        <w:tc>
          <w:tcPr>
            <w:tcW w:w="4876" w:type="dxa"/>
          </w:tcPr>
          <w:p w:rsidR="00120A92" w:rsidRPr="00ED3753" w:rsidRDefault="00120A92">
            <w:pPr>
              <w:pStyle w:val="Normal6"/>
            </w:pPr>
          </w:p>
        </w:tc>
        <w:tc>
          <w:tcPr>
            <w:tcW w:w="4876" w:type="dxa"/>
            <w:hideMark/>
          </w:tcPr>
          <w:p w:rsidR="00120A92" w:rsidRPr="00ED3753" w:rsidRDefault="00F30C80">
            <w:pPr>
              <w:pStyle w:val="Normal6"/>
              <w:rPr>
                <w:szCs w:val="24"/>
              </w:rPr>
            </w:pPr>
            <w:r w:rsidRPr="00ED3753">
              <w:rPr>
                <w:b/>
                <w:i/>
              </w:rPr>
              <w:t>– het verkeer van personen in de ruimte zonder binnengrenstoezicht;</w:t>
            </w:r>
          </w:p>
        </w:tc>
      </w:tr>
      <w:tr w:rsidR="00264914" w:rsidRPr="00ED3753" w:rsidTr="00120A92">
        <w:trPr>
          <w:jc w:val="center"/>
        </w:trPr>
        <w:tc>
          <w:tcPr>
            <w:tcW w:w="4876" w:type="dxa"/>
          </w:tcPr>
          <w:p w:rsidR="00120A92" w:rsidRPr="00ED3753" w:rsidRDefault="00120A92">
            <w:pPr>
              <w:pStyle w:val="Normal6"/>
            </w:pPr>
          </w:p>
        </w:tc>
        <w:tc>
          <w:tcPr>
            <w:tcW w:w="4876" w:type="dxa"/>
            <w:hideMark/>
          </w:tcPr>
          <w:p w:rsidR="00120A92" w:rsidRPr="00ED3753" w:rsidRDefault="00F30C80">
            <w:pPr>
              <w:pStyle w:val="Normal6"/>
              <w:rPr>
                <w:szCs w:val="24"/>
              </w:rPr>
            </w:pPr>
            <w:r w:rsidRPr="00ED3753">
              <w:rPr>
                <w:b/>
                <w:i/>
              </w:rPr>
              <w:t>en</w:t>
            </w:r>
          </w:p>
        </w:tc>
      </w:tr>
      <w:tr w:rsidR="00264914" w:rsidRPr="00ED3753" w:rsidTr="00120A92">
        <w:trPr>
          <w:jc w:val="center"/>
        </w:trPr>
        <w:tc>
          <w:tcPr>
            <w:tcW w:w="4876" w:type="dxa"/>
          </w:tcPr>
          <w:p w:rsidR="00120A92" w:rsidRPr="00ED3753" w:rsidRDefault="00120A92">
            <w:pPr>
              <w:pStyle w:val="Normal6"/>
            </w:pPr>
          </w:p>
        </w:tc>
        <w:tc>
          <w:tcPr>
            <w:tcW w:w="4876" w:type="dxa"/>
            <w:hideMark/>
          </w:tcPr>
          <w:p w:rsidR="00120A92" w:rsidRPr="00ED3753" w:rsidRDefault="00F30C80">
            <w:pPr>
              <w:pStyle w:val="Normal6"/>
              <w:rPr>
                <w:szCs w:val="24"/>
              </w:rPr>
            </w:pPr>
            <w:r w:rsidRPr="00ED3753">
              <w:rPr>
                <w:b/>
                <w:i/>
              </w:rPr>
              <w:t>– de werking van de grensregio’s, rekening houdend met de sterke maatschappelijke en economische banden tussen die regio’s;</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65</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10</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26 – lid 1 – punt b ter (nieuw)</w:t>
      </w:r>
      <w:r w:rsidRPr="00ED37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95790A">
        <w:trPr>
          <w:jc w:val="center"/>
        </w:trPr>
        <w:tc>
          <w:tcPr>
            <w:tcW w:w="9752" w:type="dxa"/>
            <w:gridSpan w:val="2"/>
          </w:tcPr>
          <w:p w:rsidR="00120A92" w:rsidRPr="00ED3753" w:rsidRDefault="00120A92">
            <w:pPr>
              <w:keepNext/>
            </w:pPr>
          </w:p>
        </w:tc>
      </w:tr>
      <w:tr w:rsidR="00264914" w:rsidRPr="00ED3753" w:rsidTr="0095790A">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95790A">
        <w:trPr>
          <w:jc w:val="center"/>
        </w:trPr>
        <w:tc>
          <w:tcPr>
            <w:tcW w:w="4876" w:type="dxa"/>
          </w:tcPr>
          <w:p w:rsidR="00120A92" w:rsidRPr="00ED3753" w:rsidRDefault="00120A92">
            <w:pPr>
              <w:pStyle w:val="Normal6"/>
            </w:pPr>
          </w:p>
        </w:tc>
        <w:tc>
          <w:tcPr>
            <w:tcW w:w="4876" w:type="dxa"/>
            <w:hideMark/>
          </w:tcPr>
          <w:p w:rsidR="00120A92" w:rsidRPr="00ED3753" w:rsidRDefault="00F30C80" w:rsidP="00B1335C">
            <w:pPr>
              <w:pStyle w:val="Normal6"/>
              <w:rPr>
                <w:szCs w:val="24"/>
              </w:rPr>
            </w:pPr>
            <w:r w:rsidRPr="00ED3753">
              <w:rPr>
                <w:b/>
                <w:i/>
              </w:rPr>
              <w:t>(b ter)</w:t>
            </w:r>
            <w:r w:rsidRPr="00ED3753">
              <w:rPr>
                <w:b/>
                <w:i/>
              </w:rPr>
              <w:tab/>
              <w:t xml:space="preserve">of de herinvoering van het </w:t>
            </w:r>
            <w:r w:rsidRPr="00ED3753">
              <w:rPr>
                <w:b/>
                <w:i/>
              </w:rPr>
              <w:t>grenstoezicht aan de binnengrenzen de bedreiging voor de openbare orde of de binnenlandse veiligheid afdoende kan verhelpen.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66</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10</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26 – lid 2 – inleidende formule</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w:t>
            </w:r>
            <w:r w:rsidRPr="00ED3753">
              <w:tab/>
            </w:r>
            <w:r w:rsidRPr="00ED3753">
              <w:t xml:space="preserve">Wanneer een lidstaat besluit tot verlenging van het grenstoezicht aan de binnengrenzen ingevolge artikel 25 bis, lid 5, </w:t>
            </w:r>
            <w:r w:rsidRPr="00ED3753">
              <w:rPr>
                <w:b/>
                <w:bCs/>
                <w:i/>
                <w:iCs/>
              </w:rPr>
              <w:t>beoordeelt</w:t>
            </w:r>
            <w:r w:rsidRPr="00ED3753">
              <w:t xml:space="preserve"> die lidstaat ook uitvoerig of de met die verlenging nagestreefde doelen kunnen worden verwezenlijkt door:</w:t>
            </w:r>
          </w:p>
        </w:tc>
        <w:tc>
          <w:tcPr>
            <w:tcW w:w="4876" w:type="dxa"/>
            <w:hideMark/>
          </w:tcPr>
          <w:p w:rsidR="00120A92" w:rsidRPr="00ED3753" w:rsidRDefault="00F30C80" w:rsidP="001E42C3">
            <w:pPr>
              <w:pStyle w:val="Normal6"/>
              <w:rPr>
                <w:szCs w:val="24"/>
              </w:rPr>
            </w:pPr>
            <w:r w:rsidRPr="00ED3753">
              <w:t>2.</w:t>
            </w:r>
            <w:r w:rsidRPr="00ED3753">
              <w:tab/>
              <w:t>Wanneer een lids</w:t>
            </w:r>
            <w:r w:rsidRPr="00ED3753">
              <w:t xml:space="preserve">taat besluit tot verlenging van het grenstoezicht aan de binnengrenzen ingevolge artikel 25 bis, lid 5, </w:t>
            </w:r>
            <w:r w:rsidRPr="00ED3753">
              <w:rPr>
                <w:b/>
                <w:bCs/>
                <w:i/>
                <w:iCs/>
              </w:rPr>
              <w:t>voert</w:t>
            </w:r>
            <w:r w:rsidRPr="00ED3753">
              <w:t xml:space="preserve"> die lidstaat </w:t>
            </w:r>
            <w:r w:rsidRPr="00ED3753">
              <w:rPr>
                <w:b/>
                <w:bCs/>
                <w:i/>
                <w:iCs/>
              </w:rPr>
              <w:t>een risicobeoordeling uit waarin de criteria van lid 1 opnieuw worden bekeken</w:t>
            </w:r>
            <w:r w:rsidRPr="00ED3753">
              <w:t xml:space="preserve"> </w:t>
            </w:r>
            <w:r w:rsidRPr="00ED3753">
              <w:rPr>
                <w:b/>
                <w:bCs/>
                <w:i/>
                <w:iCs/>
              </w:rPr>
              <w:t>en</w:t>
            </w:r>
            <w:r w:rsidRPr="00ED3753">
              <w:t xml:space="preserve"> </w:t>
            </w:r>
            <w:r w:rsidRPr="00ED3753">
              <w:rPr>
                <w:b/>
                <w:bCs/>
                <w:i/>
                <w:iCs/>
              </w:rPr>
              <w:t>beoordeelt die lidstaat</w:t>
            </w:r>
            <w:r w:rsidRPr="00ED3753">
              <w:t xml:space="preserve"> ook uitvoerig of de met die </w:t>
            </w:r>
            <w:r w:rsidRPr="00ED3753">
              <w:t>verlenging nagestreefde doelen kunnen worden verwezenlijkt door:</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67</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10</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26 – lid 2 – punt b</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b)</w:t>
            </w:r>
            <w:r w:rsidRPr="00ED3753">
              <w:rPr>
                <w:b/>
                <w:i/>
              </w:rPr>
              <w:tab/>
              <w:t>de toepassing van de procedure van artikel 23 bis;</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68</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11</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27 – lid 2</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 xml:space="preserve">Door de Commissie voorgestelde </w:t>
            </w:r>
            <w:r w:rsidRPr="00ED3753">
              <w:t>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w:t>
            </w:r>
            <w:r w:rsidRPr="00ED3753">
              <w:tab/>
              <w:t xml:space="preserve">Wanneer gedurende </w:t>
            </w:r>
            <w:r w:rsidRPr="00ED3753">
              <w:rPr>
                <w:b/>
                <w:bCs/>
                <w:i/>
                <w:iCs/>
              </w:rPr>
              <w:t>zes</w:t>
            </w:r>
            <w:r w:rsidRPr="00ED3753">
              <w:t xml:space="preserve"> maanden grenstoezicht heeft plaatsgevonden in overeenstemming met artikel 25 bis, lid 4, wordt in alle volgende kennisgevingen van de verlenging van dat toezicht een risicobeoordeling opgenomen. In de risicobeoord</w:t>
            </w:r>
            <w:r w:rsidRPr="00ED3753">
              <w:t>eling worden de omvang en de verwachte ontwikkeling van de geconstateerde ernstige bedreiging omschreven, en in het bijzonder hoelang de geconstateerde ernstige bedreiging naar verwachting zal voortduren en welke delen van de binnengrenzen erdoor getroffen</w:t>
            </w:r>
            <w:r w:rsidRPr="00ED3753">
              <w:t xml:space="preserve"> kunnen worden, alsmede informatie inzake coördinatiemaatregelen met de andere lidstaten die zijn getroffen of naar verwachting zullen worden getroffen door die maatregelen.</w:t>
            </w:r>
          </w:p>
        </w:tc>
        <w:tc>
          <w:tcPr>
            <w:tcW w:w="4876" w:type="dxa"/>
            <w:hideMark/>
          </w:tcPr>
          <w:p w:rsidR="00120A92" w:rsidRPr="00ED3753" w:rsidRDefault="00F30C80">
            <w:pPr>
              <w:pStyle w:val="Normal6"/>
              <w:rPr>
                <w:szCs w:val="24"/>
              </w:rPr>
            </w:pPr>
            <w:r w:rsidRPr="00ED3753">
              <w:t>2.</w:t>
            </w:r>
            <w:r w:rsidRPr="00ED3753">
              <w:tab/>
              <w:t xml:space="preserve">Wanneer gedurende </w:t>
            </w:r>
            <w:r w:rsidRPr="00ED3753">
              <w:rPr>
                <w:b/>
                <w:bCs/>
                <w:i/>
                <w:iCs/>
              </w:rPr>
              <w:t>drie</w:t>
            </w:r>
            <w:r w:rsidRPr="00ED3753">
              <w:t xml:space="preserve"> maanden grenstoezicht heeft plaatsgevonden in overeenste</w:t>
            </w:r>
            <w:r w:rsidRPr="00ED3753">
              <w:t xml:space="preserve">mming met artikel 25 bis, lid 4, wordt in alle volgende kennisgevingen van de verlenging van dat toezicht een risicobeoordeling opgenomen </w:t>
            </w:r>
            <w:r w:rsidRPr="00ED3753">
              <w:rPr>
                <w:b/>
                <w:bCs/>
                <w:i/>
                <w:iCs/>
              </w:rPr>
              <w:t>in overeenstemming met artikel 26, lid 2</w:t>
            </w:r>
            <w:r w:rsidRPr="00ED3753">
              <w:t>. In de risicobeoordeling worden de omvang en de verwachte ontwikkeling van de</w:t>
            </w:r>
            <w:r w:rsidRPr="00ED3753">
              <w:t xml:space="preserve"> geconstateerde ernstige bedreiging omschreven, en in het bijzonder hoelang de geconstateerde ernstige bedreiging naar verwachting zal voortduren en welke delen van de binnengrenzen erdoor getroffen kunnen worden, alsmede informatie inzake coördinatiemaatr</w:t>
            </w:r>
            <w:r w:rsidRPr="00ED3753">
              <w:t>egelen met de andere lidstaten die zijn getroffen of naar verwachting zullen worden getroffen door die maatregelen.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69</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11</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27 – lid 3</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3.</w:t>
            </w:r>
            <w:r w:rsidRPr="00ED3753">
              <w:rPr>
                <w:b/>
                <w:i/>
              </w:rPr>
              <w:tab/>
              <w:t>Wanneer de herinvoering van grenstoezicht of de verlenging van dat toezi</w:t>
            </w:r>
            <w:r w:rsidRPr="00ED3753">
              <w:rPr>
                <w:b/>
                <w:i/>
              </w:rPr>
              <w:t xml:space="preserve">cht verband houdt met omvangrijke niet-toegestane verplaatsingen als bedoeld in artikel 25, lid 1, punt b), wordt in de risicobeoordeling ook informatie opgenomen over de omvang en de trends van die niet-toegestane verplaatsingen, waaronder informatie die </w:t>
            </w:r>
            <w:r w:rsidRPr="00ED3753">
              <w:rPr>
                <w:b/>
                <w:i/>
              </w:rPr>
              <w:t>de betrokken EU-agentschappen hebben verstrekt overeenkomstig hun respectieve mandaten, alsook data-analyses uit relevante informatiesystemen.</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95790A" w:rsidRPr="00ED3753" w:rsidRDefault="00F30C80" w:rsidP="0095790A">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70</w:t>
      </w:r>
      <w:r w:rsidRPr="00ED3753">
        <w:rPr>
          <w:rStyle w:val="HideTWBExt"/>
          <w:b w:val="0"/>
        </w:rPr>
        <w:t>&lt;/NumAm&gt;</w:t>
      </w:r>
    </w:p>
    <w:p w:rsidR="0095790A" w:rsidRPr="00ED3753" w:rsidRDefault="00F30C80" w:rsidP="0095790A">
      <w:pPr>
        <w:pStyle w:val="NormalBold12b"/>
        <w:keepNext/>
      </w:pPr>
      <w:r w:rsidRPr="00ED3753">
        <w:rPr>
          <w:rStyle w:val="HideTWBExt"/>
          <w:b w:val="0"/>
        </w:rPr>
        <w:t>&lt;DocAmend&gt;</w:t>
      </w:r>
      <w:r w:rsidRPr="00ED3753">
        <w:t xml:space="preserve">Voorstel voor </w:t>
      </w:r>
      <w:r w:rsidRPr="00ED3753">
        <w:t>een verordening</w:t>
      </w:r>
      <w:r w:rsidRPr="00ED3753">
        <w:rPr>
          <w:rStyle w:val="HideTWBExt"/>
          <w:b w:val="0"/>
        </w:rPr>
        <w:t>&lt;/DocAmend&gt;</w:t>
      </w:r>
    </w:p>
    <w:p w:rsidR="0095790A" w:rsidRPr="00ED3753" w:rsidRDefault="00F30C80" w:rsidP="0095790A">
      <w:pPr>
        <w:pStyle w:val="NormalBold"/>
      </w:pPr>
      <w:r w:rsidRPr="00ED3753">
        <w:rPr>
          <w:rStyle w:val="HideTWBExt"/>
          <w:b w:val="0"/>
        </w:rPr>
        <w:t>&lt;Article&gt;</w:t>
      </w:r>
      <w:r w:rsidRPr="00ED3753">
        <w:t>Artikel 1 – alinea 1 – punt 11</w:t>
      </w:r>
      <w:r w:rsidRPr="00ED3753">
        <w:rPr>
          <w:rStyle w:val="HideTWBExt"/>
          <w:b w:val="0"/>
        </w:rPr>
        <w:t>&lt;/Article&gt;</w:t>
      </w:r>
    </w:p>
    <w:p w:rsidR="0095790A" w:rsidRPr="00ED3753" w:rsidRDefault="00F30C80" w:rsidP="0095790A">
      <w:pPr>
        <w:keepNext/>
      </w:pPr>
      <w:r w:rsidRPr="00ED3753">
        <w:rPr>
          <w:rStyle w:val="HideTWBExt"/>
        </w:rPr>
        <w:t>&lt;DocAmend2&gt;</w:t>
      </w:r>
      <w:r w:rsidRPr="00ED3753">
        <w:t>Verordening (EU) 2016/399</w:t>
      </w:r>
      <w:r w:rsidRPr="00ED3753">
        <w:rPr>
          <w:rStyle w:val="HideTWBExt"/>
        </w:rPr>
        <w:t>&lt;/DocAmend2&gt;</w:t>
      </w:r>
    </w:p>
    <w:p w:rsidR="0095790A" w:rsidRPr="00ED3753" w:rsidRDefault="00F30C80" w:rsidP="0095790A">
      <w:r w:rsidRPr="00ED3753">
        <w:rPr>
          <w:rStyle w:val="HideTWBExt"/>
        </w:rPr>
        <w:t>&lt;Article2&gt;</w:t>
      </w:r>
      <w:r w:rsidRPr="00ED3753">
        <w:t>Artikel 27 – lid 4</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95790A">
        <w:trPr>
          <w:jc w:val="center"/>
        </w:trPr>
        <w:tc>
          <w:tcPr>
            <w:tcW w:w="9752" w:type="dxa"/>
            <w:gridSpan w:val="2"/>
          </w:tcPr>
          <w:p w:rsidR="0095790A" w:rsidRPr="00ED3753" w:rsidRDefault="0095790A">
            <w:pPr>
              <w:keepNext/>
            </w:pPr>
          </w:p>
        </w:tc>
      </w:tr>
      <w:tr w:rsidR="00264914" w:rsidRPr="00ED3753" w:rsidTr="0095790A">
        <w:trPr>
          <w:jc w:val="center"/>
        </w:trPr>
        <w:tc>
          <w:tcPr>
            <w:tcW w:w="4876" w:type="dxa"/>
            <w:hideMark/>
          </w:tcPr>
          <w:p w:rsidR="0095790A" w:rsidRPr="00ED3753" w:rsidRDefault="00F30C80">
            <w:pPr>
              <w:pStyle w:val="ColumnHeading"/>
              <w:keepNext/>
            </w:pPr>
            <w:r w:rsidRPr="00ED3753">
              <w:t>Door de Commissie voorgestelde tekst</w:t>
            </w:r>
          </w:p>
        </w:tc>
        <w:tc>
          <w:tcPr>
            <w:tcW w:w="4876" w:type="dxa"/>
            <w:hideMark/>
          </w:tcPr>
          <w:p w:rsidR="0095790A" w:rsidRPr="00ED3753" w:rsidRDefault="00F30C80">
            <w:pPr>
              <w:pStyle w:val="ColumnHeading"/>
              <w:keepNext/>
            </w:pPr>
            <w:r w:rsidRPr="00ED3753">
              <w:t>Amendement</w:t>
            </w:r>
          </w:p>
        </w:tc>
      </w:tr>
      <w:tr w:rsidR="00264914" w:rsidRPr="00ED3753" w:rsidTr="0095790A">
        <w:trPr>
          <w:jc w:val="center"/>
        </w:trPr>
        <w:tc>
          <w:tcPr>
            <w:tcW w:w="4876" w:type="dxa"/>
            <w:hideMark/>
          </w:tcPr>
          <w:p w:rsidR="0095790A" w:rsidRPr="00ED3753" w:rsidRDefault="00F30C80">
            <w:pPr>
              <w:pStyle w:val="Normal6"/>
            </w:pPr>
            <w:r w:rsidRPr="00ED3753">
              <w:t>4.</w:t>
            </w:r>
            <w:r w:rsidRPr="00ED3753">
              <w:tab/>
            </w:r>
            <w:r w:rsidRPr="00ED3753">
              <w:t>Op verzoek van de Commissie verstrekt de betrokken lidstaat nadere informatie, onder meer over de coördinatiemaatregelen met de lidstaten die worden getroffen door de geplande verlenging van het grenstoezicht aan de binnengrenzen, alsmede nadere informatie</w:t>
            </w:r>
            <w:r w:rsidRPr="00ED3753">
              <w:t xml:space="preserve"> die benodigd is om het mogelijke gebruik van in artikel 23 </w:t>
            </w:r>
            <w:r w:rsidRPr="00ED3753">
              <w:rPr>
                <w:b/>
                <w:bCs/>
                <w:i/>
                <w:iCs/>
              </w:rPr>
              <w:t>en artikel 23 bis</w:t>
            </w:r>
            <w:r w:rsidRPr="00ED3753">
              <w:t xml:space="preserve"> bedoelde maatregelen te beoordelen.</w:t>
            </w:r>
          </w:p>
        </w:tc>
        <w:tc>
          <w:tcPr>
            <w:tcW w:w="4876" w:type="dxa"/>
            <w:hideMark/>
          </w:tcPr>
          <w:p w:rsidR="0095790A" w:rsidRPr="00ED3753" w:rsidRDefault="00F30C80">
            <w:pPr>
              <w:pStyle w:val="Normal6"/>
              <w:rPr>
                <w:szCs w:val="24"/>
              </w:rPr>
            </w:pPr>
            <w:r w:rsidRPr="00ED3753">
              <w:t>4.</w:t>
            </w:r>
            <w:r w:rsidRPr="00ED3753">
              <w:tab/>
              <w:t>Op verzoek van de Commissie verstrekt de betrokken lidstaat nadere informatie, onder meer over de coördinatiemaatregelen met de lidstaten d</w:t>
            </w:r>
            <w:r w:rsidRPr="00ED3753">
              <w:t>ie worden getroffen door de geplande verlenging van het grenstoezicht aan de binnengrenzen, alsmede nadere informatie die benodigd is om het mogelijke gebruik van in artikel 23 bedoelde maatregelen te beoordelen.</w:t>
            </w:r>
          </w:p>
        </w:tc>
      </w:tr>
    </w:tbl>
    <w:p w:rsidR="0095790A" w:rsidRPr="00ED3753" w:rsidRDefault="00F30C80" w:rsidP="0095790A">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95790A" w:rsidRPr="00ED3753" w:rsidRDefault="00F30C80" w:rsidP="0095790A">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12</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27 bis – lid 1 – alinea 2</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w:t>
            </w:r>
            <w:r w:rsidRPr="00ED3753">
              <w:t>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Het overleg heeft met name betrekking op de geconstateerde bedreiging voor de openbare orde of de binnenlandse veiligheid, op de</w:t>
            </w:r>
            <w:r w:rsidRPr="00ED3753">
              <w:rPr>
                <w:b/>
                <w:bCs/>
                <w:i/>
                <w:iCs/>
              </w:rPr>
              <w:t xml:space="preserve"> relevantie</w:t>
            </w:r>
            <w:r w:rsidRPr="00ED3753">
              <w:t xml:space="preserve"> van de voorgenomen herinvoering van grenstoezicht, rekening</w:t>
            </w:r>
            <w:r w:rsidRPr="00ED3753">
              <w:rPr>
                <w:b/>
                <w:bCs/>
                <w:i/>
                <w:iCs/>
              </w:rPr>
              <w:t xml:space="preserve"> houdend</w:t>
            </w:r>
            <w:r w:rsidRPr="00ED3753">
              <w:t xml:space="preserve"> met de geschiktheid van alternatieve maatregelen, alsmede op de wijze waarop de wederzijdse samenwerking tussen de lidstaten in verband met het opnieuw ingevoerde grenstoezicht wordt uitgevoerd.</w:t>
            </w:r>
          </w:p>
        </w:tc>
        <w:tc>
          <w:tcPr>
            <w:tcW w:w="4876" w:type="dxa"/>
            <w:hideMark/>
          </w:tcPr>
          <w:p w:rsidR="00120A92" w:rsidRPr="00ED3753" w:rsidRDefault="00F30C80">
            <w:pPr>
              <w:pStyle w:val="Normal6"/>
              <w:rPr>
                <w:szCs w:val="24"/>
              </w:rPr>
            </w:pPr>
            <w:r w:rsidRPr="00ED3753">
              <w:t xml:space="preserve">Het overleg heeft met name betrekking op de geconstateerde bedreiging voor de openbare orde of de binnenlandse veiligheid, op de </w:t>
            </w:r>
            <w:r w:rsidRPr="00ED3753">
              <w:rPr>
                <w:b/>
                <w:bCs/>
                <w:i/>
                <w:iCs/>
              </w:rPr>
              <w:t>evenredigheid en noodzakelijkheid</w:t>
            </w:r>
            <w:r w:rsidRPr="00ED3753">
              <w:t xml:space="preserve"> van de voorgenomen herinvoering van grenstoezicht, </w:t>
            </w:r>
            <w:r w:rsidRPr="00ED3753">
              <w:rPr>
                <w:b/>
                <w:bCs/>
                <w:i/>
                <w:iCs/>
              </w:rPr>
              <w:t xml:space="preserve">onder meer door </w:t>
            </w:r>
            <w:r w:rsidRPr="00ED3753">
              <w:t>rekening</w:t>
            </w:r>
            <w:r w:rsidRPr="00ED3753">
              <w:rPr>
                <w:b/>
                <w:bCs/>
                <w:i/>
                <w:iCs/>
              </w:rPr>
              <w:t xml:space="preserve"> te houden</w:t>
            </w:r>
            <w:r w:rsidRPr="00ED3753">
              <w:t xml:space="preserve"> met de </w:t>
            </w:r>
            <w:r w:rsidRPr="00ED3753">
              <w:t>geschiktheid van alternatieve maatregelen, alsmede op de wijze waarop de wederzijdse samenwerking tussen de lidstaten in verband met het opnieuw ingevoerde grenstoezicht wordt uitgevoerd.</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CC6180" w:rsidRPr="00ED3753" w:rsidRDefault="00F30C80" w:rsidP="00CC6180">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CC6180" w:rsidRPr="00ED3753" w:rsidRDefault="00F30C80" w:rsidP="00CC6180">
      <w:pPr>
        <w:pStyle w:val="JustificationTitle"/>
        <w:jc w:val="left"/>
        <w:rPr>
          <w:rFonts w:eastAsiaTheme="minorHAnsi"/>
          <w:szCs w:val="24"/>
        </w:rPr>
      </w:pPr>
      <w:r w:rsidRPr="00ED3753">
        <w:t>D</w:t>
      </w:r>
      <w:r w:rsidRPr="00ED3753">
        <w:t>e beginselen van noodzakelijkheid en evenredigheid moeten ten grondslag liggen aan besluiten over binnengrenstoezicht, een toetsing van de relevantie hoort dat niet te zijn.</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72</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w:t>
      </w:r>
      <w:r w:rsidRPr="00ED3753">
        <w:t>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12</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27 bis – lid 3</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w:t>
            </w:r>
            <w:r w:rsidRPr="00ED3753">
              <w:tab/>
            </w:r>
            <w:r w:rsidRPr="00ED3753">
              <w:t xml:space="preserve">Nadat de Commissie kennisgevingen heeft ontvangen met betrekking tot een verlenging van het grenstoezicht aan de binnengrenzen ingevolge artikel 25 bis, lid 4, die leidt tot de voortzetting van het grenstoezicht aan de binnengrenzen voor in totaal </w:t>
            </w:r>
            <w:r w:rsidRPr="00ED3753">
              <w:rPr>
                <w:b/>
                <w:bCs/>
                <w:i/>
                <w:iCs/>
              </w:rPr>
              <w:t>achttien</w:t>
            </w:r>
            <w:r w:rsidRPr="00ED3753">
              <w:t xml:space="preserve"> maanden, brengt zij een advies uit over de noodzaak en de evenredigheid van dat binnengrenstoezicht.</w:t>
            </w:r>
          </w:p>
        </w:tc>
        <w:tc>
          <w:tcPr>
            <w:tcW w:w="4876" w:type="dxa"/>
            <w:hideMark/>
          </w:tcPr>
          <w:p w:rsidR="00120A92" w:rsidRPr="00ED3753" w:rsidRDefault="00F30C80">
            <w:pPr>
              <w:pStyle w:val="Normal6"/>
              <w:rPr>
                <w:szCs w:val="24"/>
              </w:rPr>
            </w:pPr>
            <w:r w:rsidRPr="00ED3753">
              <w:t>3.</w:t>
            </w:r>
            <w:r w:rsidRPr="00ED3753">
              <w:tab/>
              <w:t>Nadat de Commissie kennisgevingen heeft ontvangen met betrekking tot een verlenging van het grenstoezicht aan de binnengrenzen ingevolge artikel 25 bis</w:t>
            </w:r>
            <w:r w:rsidRPr="00ED3753">
              <w:t xml:space="preserve">, lid 4, die leidt tot de voortzetting van het grenstoezicht aan de binnengrenzen voor in totaal </w:t>
            </w:r>
            <w:r w:rsidRPr="00ED3753">
              <w:rPr>
                <w:b/>
                <w:bCs/>
                <w:i/>
                <w:iCs/>
              </w:rPr>
              <w:t>zes</w:t>
            </w:r>
            <w:r w:rsidRPr="00ED3753">
              <w:t xml:space="preserve"> maanden, brengt zij een advies uit over de noodzaak en de evenredigheid van dat binnengrenstoezicht.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65608F" w:rsidRPr="00ED3753" w:rsidRDefault="00F30C80" w:rsidP="0065608F">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65608F" w:rsidRPr="00ED3753" w:rsidRDefault="00F30C80" w:rsidP="0065608F">
      <w:pPr>
        <w:pStyle w:val="JustificationTitle"/>
        <w:jc w:val="both"/>
        <w:rPr>
          <w:rFonts w:eastAsiaTheme="minorHAnsi"/>
          <w:szCs w:val="24"/>
        </w:rPr>
      </w:pPr>
      <w:r w:rsidRPr="00ED3753">
        <w:t xml:space="preserve">In een context waarin binnengrenstoezicht de uitzondering blijft, is het niet haalbaar 18 maanden te wachten voordat de Commissie een advies uitbrengt. In overeenstemming met eerdere amendementen moet dit advies automatisch worden uitgebracht </w:t>
      </w:r>
      <w:r w:rsidRPr="00ED3753">
        <w:t>wanneer het binnengrenstoezicht langer dan zes maanden duurt.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73</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12</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27 bis – lid 5</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5.</w:t>
            </w:r>
            <w:r w:rsidRPr="00ED3753">
              <w:rPr>
                <w:b/>
                <w:i/>
              </w:rPr>
              <w:tab/>
              <w:t>Wanneer een lidstaat van mening is dat er sprake is van uitzonderlijke situaties die de aanhoudende noodzaak van grenstoezicht rechtvaardigen ged</w:t>
            </w:r>
            <w:r w:rsidRPr="00ED3753">
              <w:rPr>
                <w:b/>
                <w:i/>
              </w:rPr>
              <w:t>urende een termijn die langer is dan de in artikel 25, lid 5, bedoelde maximumtermijn, stelt die lidstaat de Commissie daarvan in kennis in overeenstemming met artikel 27, lid 2. In de nieuwe kennisgeving van de lidstaat wordt de aanhoudende bedreiging voo</w:t>
            </w:r>
            <w:r w:rsidRPr="00ED3753">
              <w:rPr>
                <w:b/>
                <w:i/>
              </w:rPr>
              <w:t>r de openbare orde of de binnenlandse veiligheid gestaafd, rekening houdend met het ingevolge lid 3 uitgebrachte advies van de Commissie. De Commissie brengt een vervolgadvies uit.</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74</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28 – lid 1</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1.</w:t>
            </w:r>
            <w:r w:rsidRPr="00ED3753">
              <w:tab/>
              <w:t xml:space="preserve">Wanneer de Commissie vaststelt dat een </w:t>
            </w:r>
            <w:r w:rsidRPr="00ED3753">
              <w:rPr>
                <w:b/>
                <w:bCs/>
                <w:i/>
                <w:iCs/>
              </w:rPr>
              <w:t>en dezelfde</w:t>
            </w:r>
            <w:r w:rsidRPr="00ED3753">
              <w:t xml:space="preserve"> ernstige bedreiging voor de binnenlandse veiligheid of de openbare orde een meerderheid van de lidstaten treft </w:t>
            </w:r>
            <w:r w:rsidRPr="00ED3753">
              <w:rPr>
                <w:b/>
                <w:bCs/>
                <w:i/>
                <w:iCs/>
              </w:rPr>
              <w:t>en</w:t>
            </w:r>
            <w:r w:rsidRPr="00ED3753">
              <w:t xml:space="preserve"> de algemene werking van de ruimte zonder binnengrenstoezicht in gevaar </w:t>
            </w:r>
            <w:r w:rsidRPr="00ED3753">
              <w:rPr>
                <w:b/>
                <w:bCs/>
                <w:i/>
                <w:iCs/>
              </w:rPr>
              <w:t>breng</w:t>
            </w:r>
            <w:r w:rsidRPr="00ED3753">
              <w:rPr>
                <w:b/>
                <w:bCs/>
                <w:i/>
                <w:iCs/>
              </w:rPr>
              <w:t>t</w:t>
            </w:r>
            <w:r w:rsidRPr="00ED3753">
              <w:t>, kan zij de Raad voorstellen om een uitvoeringsbesluit vast te stellen waarin de herinvoering van grenstoezicht door lidstaten wordt toegestaan wanneer de in artikel 23 en artikel 23 bis bedoelde beschikbare maatregelen niet toereikend zijn om de bedreig</w:t>
            </w:r>
            <w:r w:rsidRPr="00ED3753">
              <w:t>ing het hoofd te bieden.</w:t>
            </w:r>
          </w:p>
        </w:tc>
        <w:tc>
          <w:tcPr>
            <w:tcW w:w="4876" w:type="dxa"/>
            <w:hideMark/>
          </w:tcPr>
          <w:p w:rsidR="00120A92" w:rsidRPr="00ED3753" w:rsidRDefault="00F30C80" w:rsidP="00B1335C">
            <w:pPr>
              <w:pStyle w:val="Normal6"/>
              <w:rPr>
                <w:szCs w:val="24"/>
              </w:rPr>
            </w:pPr>
            <w:r w:rsidRPr="00ED3753">
              <w:t>1.</w:t>
            </w:r>
            <w:r w:rsidRPr="00ED3753">
              <w:tab/>
              <w:t xml:space="preserve">Wanneer de Commissie vaststelt dat een </w:t>
            </w:r>
            <w:r w:rsidRPr="00ED3753">
              <w:rPr>
                <w:b/>
                <w:bCs/>
                <w:i/>
                <w:iCs/>
              </w:rPr>
              <w:t>bijzonder</w:t>
            </w:r>
            <w:r w:rsidRPr="00ED3753">
              <w:t xml:space="preserve"> ernstige bedreiging voor de binnenlandse veiligheid of de openbare orde </w:t>
            </w:r>
            <w:r w:rsidRPr="00ED3753">
              <w:rPr>
                <w:b/>
                <w:bCs/>
                <w:i/>
                <w:iCs/>
              </w:rPr>
              <w:t xml:space="preserve">tegelijkertijd </w:t>
            </w:r>
            <w:r w:rsidRPr="00ED3753">
              <w:t xml:space="preserve">een meerderheid van de lidstaten </w:t>
            </w:r>
            <w:r w:rsidRPr="00ED3753">
              <w:rPr>
                <w:b/>
                <w:bCs/>
                <w:i/>
                <w:iCs/>
              </w:rPr>
              <w:t>op zodanige wijze</w:t>
            </w:r>
            <w:r w:rsidRPr="00ED3753">
              <w:t xml:space="preserve"> treft </w:t>
            </w:r>
            <w:r w:rsidRPr="00ED3753">
              <w:rPr>
                <w:b/>
                <w:bCs/>
                <w:i/>
                <w:iCs/>
              </w:rPr>
              <w:t>dat</w:t>
            </w:r>
            <w:r w:rsidRPr="00ED3753">
              <w:t xml:space="preserve"> de algemene werking van de ruimte zonder binnengrenstoezicht </w:t>
            </w:r>
            <w:r w:rsidRPr="00ED3753">
              <w:rPr>
                <w:b/>
                <w:bCs/>
                <w:i/>
                <w:iCs/>
              </w:rPr>
              <w:t>onmiddellijk</w:t>
            </w:r>
            <w:r w:rsidRPr="00ED3753">
              <w:t xml:space="preserve"> in gevaar </w:t>
            </w:r>
            <w:r w:rsidRPr="00ED3753">
              <w:rPr>
                <w:b/>
                <w:bCs/>
                <w:i/>
                <w:iCs/>
              </w:rPr>
              <w:t>komt</w:t>
            </w:r>
            <w:r w:rsidRPr="00ED3753">
              <w:t>, kan zij de Raad voorstellen om</w:t>
            </w:r>
            <w:r w:rsidRPr="00ED3753">
              <w:rPr>
                <w:b/>
                <w:bCs/>
                <w:i/>
                <w:iCs/>
              </w:rPr>
              <w:t xml:space="preserve">, na raadpleging van het Europees Parlement, </w:t>
            </w:r>
            <w:r w:rsidRPr="00ED3753">
              <w:t>een uitvoeringsbesluit vast te stellen waarin de herinvoering van grenstoezicht door lidst</w:t>
            </w:r>
            <w:r w:rsidRPr="00ED3753">
              <w:t>aten wordt toegestaan wanneer de in artikel 23 en artikel 23 bis bedoelde beschikbare maatregelen niet toereikend zijn om de bedreiging het hoofd te bieden.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75</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w:t>
      </w:r>
      <w:r w:rsidRPr="00ED3753">
        <w:t>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28 – lid 2</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2.</w:t>
            </w:r>
            <w:r w:rsidRPr="00ED3753">
              <w:tab/>
            </w:r>
            <w:r w:rsidRPr="00ED3753">
              <w:t xml:space="preserve">Het besluit geldt voor een termijn van ten hoogste zes maanden die op voorstel van de Commissie telkens met ten hoogste nog eens zes maanden kan worden verlengd </w:t>
            </w:r>
            <w:r w:rsidRPr="00ED3753">
              <w:rPr>
                <w:b/>
                <w:bCs/>
                <w:i/>
                <w:iCs/>
              </w:rPr>
              <w:t>zolang de bedreiging voortduurt</w:t>
            </w:r>
            <w:r w:rsidRPr="00ED3753">
              <w:t>, met inachtneming van de in lid 5 bedoelde evaluatie.</w:t>
            </w:r>
          </w:p>
        </w:tc>
        <w:tc>
          <w:tcPr>
            <w:tcW w:w="4876" w:type="dxa"/>
            <w:hideMark/>
          </w:tcPr>
          <w:p w:rsidR="00120A92" w:rsidRPr="00ED3753" w:rsidRDefault="00F30C80">
            <w:pPr>
              <w:pStyle w:val="Normal6"/>
              <w:rPr>
                <w:szCs w:val="24"/>
              </w:rPr>
            </w:pPr>
            <w:r w:rsidRPr="00ED3753">
              <w:t>2.</w:t>
            </w:r>
            <w:r w:rsidRPr="00ED3753">
              <w:tab/>
              <w:t>Het be</w:t>
            </w:r>
            <w:r w:rsidRPr="00ED3753">
              <w:t xml:space="preserve">sluit geldt voor een termijn van ten hoogste zes maanden die op voorstel van de Commissie </w:t>
            </w:r>
            <w:r w:rsidRPr="00ED3753">
              <w:rPr>
                <w:b/>
                <w:bCs/>
                <w:i/>
                <w:iCs/>
              </w:rPr>
              <w:t>ten hoogste driemaal en</w:t>
            </w:r>
            <w:r w:rsidRPr="00ED3753">
              <w:t xml:space="preserve"> telkens met ten hoogste nog eens zes maanden kan worden verlengd, met inachtneming van de in lid 5 bedoelde evaluatie. </w:t>
            </w:r>
            <w:r w:rsidRPr="00ED3753">
              <w:rPr>
                <w:b/>
                <w:i/>
              </w:rPr>
              <w:t>De maximumduur van binn</w:t>
            </w:r>
            <w:r w:rsidRPr="00ED3753">
              <w:rPr>
                <w:b/>
                <w:i/>
              </w:rPr>
              <w:t>engrenstoezicht op basis van de vastgestelde bijzonder ernstige bedreiging bedraagt hoogstens twee jaar.</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5C46BD" w:rsidRPr="00ED3753" w:rsidRDefault="00F30C80" w:rsidP="005C46BD">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5C46BD" w:rsidRPr="00ED3753" w:rsidRDefault="00F30C80" w:rsidP="005C46BD">
      <w:pPr>
        <w:pStyle w:val="JustificationTitle"/>
        <w:jc w:val="both"/>
        <w:rPr>
          <w:rFonts w:eastAsiaTheme="minorHAnsi"/>
          <w:szCs w:val="24"/>
        </w:rPr>
      </w:pPr>
      <w:r w:rsidRPr="00ED3753">
        <w:t xml:space="preserve">Aangezien de dreiging bijzonder ernstig is en op het niveau van de Unie bestaat, is </w:t>
      </w:r>
      <w:r w:rsidRPr="00ED3753">
        <w:t>een mogelijk langere periode om het probleem op te lossen aanvaardbaar. Niettemin moet het mechanisme na twee jaar aflopen, zoals voorgeschreven in artikel 29 met betrekking tot de specifieke procedure voor uitzonderlijke omstandigheden waarbij de algemene</w:t>
      </w:r>
      <w:r w:rsidRPr="00ED3753">
        <w:t xml:space="preserve"> werking van de ruimte zonder binnengrenstoezicht in gevaar komt.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76</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w:t>
      </w:r>
      <w:r w:rsidRPr="00ED3753">
        <w:rPr>
          <w:rStyle w:val="HideTWBExt"/>
        </w:rPr>
        <w:t>end2&gt;</w:t>
      </w:r>
    </w:p>
    <w:p w:rsidR="00120A92" w:rsidRPr="00ED3753" w:rsidRDefault="00F30C80" w:rsidP="00120A92">
      <w:r w:rsidRPr="00ED3753">
        <w:rPr>
          <w:rStyle w:val="HideTWBExt"/>
        </w:rPr>
        <w:t>&lt;Article2&gt;</w:t>
      </w:r>
      <w:r w:rsidRPr="00ED3753">
        <w:t>Artikel 28 – lid 3</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3.</w:t>
            </w:r>
            <w:r w:rsidRPr="00ED3753">
              <w:rPr>
                <w:b/>
                <w:i/>
              </w:rPr>
              <w:tab/>
              <w:t xml:space="preserve">Wanneer lidstaten grenstoezicht herinvoeren of verlengen vanwege de in lid 1 bedoelde bedreiging, wordt dat toezicht vanaf de inwerkingtreding van het </w:t>
            </w:r>
            <w:r w:rsidRPr="00ED3753">
              <w:rPr>
                <w:b/>
                <w:i/>
              </w:rPr>
              <w:t>besluit van de Raad uitgeoefend op grond van dat besluit.</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77</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28 – lid 5</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5.</w:t>
            </w:r>
            <w:r w:rsidRPr="00ED3753">
              <w:tab/>
              <w:t>De Commissie evalueert de ontwikkeling van de geconstateerde bedreiging en de gevolgen van de maatregelen die wor</w:t>
            </w:r>
            <w:r w:rsidRPr="00ED3753">
              <w:t>den vastgesteld in overeenstemming met het in lid 1 bedoelde besluit van de Raad om te beoordelen of de maatregelen gerechtvaardigd blijven.</w:t>
            </w:r>
          </w:p>
        </w:tc>
        <w:tc>
          <w:tcPr>
            <w:tcW w:w="4876" w:type="dxa"/>
            <w:hideMark/>
          </w:tcPr>
          <w:p w:rsidR="00120A92" w:rsidRPr="00ED3753" w:rsidRDefault="00F30C80">
            <w:pPr>
              <w:pStyle w:val="Normal6"/>
              <w:rPr>
                <w:szCs w:val="24"/>
              </w:rPr>
            </w:pPr>
            <w:r w:rsidRPr="00ED3753">
              <w:t>5.</w:t>
            </w:r>
            <w:r w:rsidRPr="00ED3753">
              <w:tab/>
              <w:t>De Commissie evalueert de ontwikkeling van de geconstateerde bedreiging en de gevolgen van de maatregelen die wo</w:t>
            </w:r>
            <w:r w:rsidRPr="00ED3753">
              <w:t xml:space="preserve">rden vastgesteld in overeenstemming met het in lid 1 bedoelde besluit van de Raad om te beoordelen of de maatregelen gerechtvaardigd blijven </w:t>
            </w:r>
            <w:r w:rsidRPr="00ED3753">
              <w:rPr>
                <w:b/>
                <w:bCs/>
                <w:i/>
                <w:iCs/>
              </w:rPr>
              <w:t>en om zo spoedig mogelijk de opheffing van het binnengrenstoezicht voor te stellen</w:t>
            </w:r>
            <w:r w:rsidRPr="00ED3753">
              <w: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BC2797" w:rsidRPr="00ED3753" w:rsidRDefault="00F30C80" w:rsidP="00BC2797">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BC2797" w:rsidRPr="00ED3753" w:rsidRDefault="00F30C80" w:rsidP="00BC2797">
      <w:pPr>
        <w:pStyle w:val="JustificationTitle"/>
        <w:jc w:val="both"/>
        <w:rPr>
          <w:rFonts w:eastAsiaTheme="minorHAnsi"/>
          <w:szCs w:val="24"/>
        </w:rPr>
      </w:pPr>
      <w:r w:rsidRPr="00ED3753">
        <w:t>De Commissie moet worden aangemoedigd zich in te zetten voor een zo spoedig mogelijke herinvoering van het binnengrenstoezicht.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78</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 xml:space="preserve">Voorstel voor een </w:t>
      </w:r>
      <w:r w:rsidRPr="00ED3753">
        <w:t>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13</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28 – lid 6</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6.</w:t>
            </w:r>
            <w:r w:rsidRPr="00ED3753">
              <w:tab/>
              <w:t xml:space="preserve">De lidstaten stellen de Commissie en de </w:t>
            </w:r>
            <w:r w:rsidRPr="00ED3753">
              <w:t>andere lidstaten onverwijld in kennis van een herinvoering van grenstoezicht in overeenstemming met het in lid 1 bedoelde besluit.</w:t>
            </w:r>
          </w:p>
        </w:tc>
        <w:tc>
          <w:tcPr>
            <w:tcW w:w="4876" w:type="dxa"/>
            <w:hideMark/>
          </w:tcPr>
          <w:p w:rsidR="00120A92" w:rsidRPr="00ED3753" w:rsidRDefault="00F30C80">
            <w:pPr>
              <w:pStyle w:val="Normal6"/>
              <w:rPr>
                <w:szCs w:val="24"/>
              </w:rPr>
            </w:pPr>
            <w:r w:rsidRPr="00ED3753">
              <w:t>6.</w:t>
            </w:r>
            <w:r w:rsidRPr="00ED3753">
              <w:tab/>
              <w:t>De lidstaten stellen de Commissie</w:t>
            </w:r>
            <w:r w:rsidRPr="00ED3753">
              <w:rPr>
                <w:b/>
                <w:bCs/>
                <w:i/>
                <w:iCs/>
              </w:rPr>
              <w:t>, het Europees Parlement</w:t>
            </w:r>
            <w:r w:rsidRPr="00ED3753">
              <w:t xml:space="preserve"> en de andere lidstaten onverwijld in kennis van een herinvoering</w:t>
            </w:r>
            <w:r w:rsidRPr="00ED3753">
              <w:t xml:space="preserve"> van grenstoezicht in overeenstemming met het in lid 1 bedoelde besluit.</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79</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13</w:t>
      </w:r>
      <w:r w:rsidRPr="00ED3753">
        <w:rPr>
          <w:rStyle w:val="HideTWBExt"/>
          <w:b w:val="0"/>
        </w:rPr>
        <w:t>&lt;/Article&gt;</w:t>
      </w:r>
    </w:p>
    <w:p w:rsidR="00120A92" w:rsidRPr="00ED3753" w:rsidRDefault="00F30C80" w:rsidP="00120A92">
      <w:pPr>
        <w:keepNext/>
      </w:pPr>
      <w:r w:rsidRPr="00ED3753">
        <w:rPr>
          <w:rStyle w:val="HideTWBExt"/>
        </w:rPr>
        <w:t>&lt;Do</w:t>
      </w:r>
      <w:r w:rsidRPr="00ED3753">
        <w:rPr>
          <w:rStyle w:val="HideTWBExt"/>
        </w:rPr>
        <w:t>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28 – lid 7</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7.</w:t>
            </w:r>
            <w:r w:rsidRPr="00ED3753">
              <w:tab/>
              <w:t xml:space="preserve">De Commissie kan een aanbeveling geven waarin andere maatregelen als bedoeld in artikel 23 </w:t>
            </w:r>
            <w:r w:rsidRPr="00ED3753">
              <w:rPr>
                <w:b/>
                <w:bCs/>
                <w:i/>
                <w:iCs/>
              </w:rPr>
              <w:t>en artikel 23 bis</w:t>
            </w:r>
            <w:r w:rsidRPr="00ED3753">
              <w:t xml:space="preserve"> worden omschreven die het binnengrenstoezicht kunnen aanvullen of geschikter zijn om de in lid 1 bedoelde geconstateerde bedreiging voor de binnenlandse veiligheid of de openbare orde het hoofd te bieden.</w:t>
            </w:r>
          </w:p>
        </w:tc>
        <w:tc>
          <w:tcPr>
            <w:tcW w:w="4876" w:type="dxa"/>
            <w:hideMark/>
          </w:tcPr>
          <w:p w:rsidR="00120A92" w:rsidRPr="00ED3753" w:rsidRDefault="00F30C80">
            <w:pPr>
              <w:pStyle w:val="Normal6"/>
              <w:rPr>
                <w:szCs w:val="24"/>
              </w:rPr>
            </w:pPr>
            <w:r w:rsidRPr="00ED3753">
              <w:t>7.</w:t>
            </w:r>
            <w:r w:rsidRPr="00ED3753">
              <w:tab/>
              <w:t>De Commissie kan een aanbeveling geven waarin a</w:t>
            </w:r>
            <w:r w:rsidRPr="00ED3753">
              <w:t>ndere maatregelen als bedoeld in artikel 23 worden omschreven die het binnengrenstoezicht kunnen aanvullen of geschikter zijn om de in lid 1 bedoelde geconstateerde bedreiging voor de binnenlandse veiligheid of de openbare orde het hoofd te bieden.</w:t>
            </w:r>
          </w:p>
        </w:tc>
      </w:tr>
    </w:tbl>
    <w:p w:rsidR="00120A92" w:rsidRPr="00ED3753" w:rsidRDefault="00F30C80" w:rsidP="00120A92">
      <w:pPr>
        <w:pStyle w:val="Olang"/>
      </w:pPr>
      <w:r w:rsidRPr="00ED3753">
        <w:rPr>
          <w:noProof w:val="0"/>
        </w:rPr>
        <w:t xml:space="preserve">Or. </w:t>
      </w:r>
      <w:r w:rsidRPr="00ED3753">
        <w:rPr>
          <w:rStyle w:val="HideTWBExt"/>
          <w:noProof w:val="0"/>
        </w:rPr>
        <w:t>&lt;O</w:t>
      </w:r>
      <w:r w:rsidRPr="00ED3753">
        <w:rPr>
          <w:rStyle w:val="HideTWBExt"/>
          <w:noProof w:val="0"/>
        </w:rPr>
        <w:t>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80</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14 – b</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31 – lid 2 –</w:t>
      </w:r>
      <w:r w:rsidRPr="00ED3753">
        <w:t xml:space="preserve"> inleidende formule</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3407D1">
        <w:trPr>
          <w:jc w:val="center"/>
        </w:trPr>
        <w:tc>
          <w:tcPr>
            <w:tcW w:w="9752" w:type="dxa"/>
            <w:gridSpan w:val="2"/>
          </w:tcPr>
          <w:p w:rsidR="003407D1" w:rsidRPr="00ED3753" w:rsidRDefault="003407D1">
            <w:pPr>
              <w:keepNext/>
            </w:pPr>
          </w:p>
        </w:tc>
      </w:tr>
      <w:tr w:rsidR="00264914" w:rsidRPr="00ED3753" w:rsidTr="003407D1">
        <w:trPr>
          <w:jc w:val="center"/>
        </w:trPr>
        <w:tc>
          <w:tcPr>
            <w:tcW w:w="4876" w:type="dxa"/>
            <w:hideMark/>
          </w:tcPr>
          <w:p w:rsidR="003407D1" w:rsidRPr="00ED3753" w:rsidRDefault="00F30C80">
            <w:pPr>
              <w:pStyle w:val="ColumnHeading"/>
              <w:keepNext/>
            </w:pPr>
            <w:r w:rsidRPr="00ED3753">
              <w:t>Door de Commissie voorgestelde tekst</w:t>
            </w:r>
          </w:p>
        </w:tc>
        <w:tc>
          <w:tcPr>
            <w:tcW w:w="4876" w:type="dxa"/>
            <w:hideMark/>
          </w:tcPr>
          <w:p w:rsidR="003407D1" w:rsidRPr="00ED3753" w:rsidRDefault="00F30C80">
            <w:pPr>
              <w:pStyle w:val="ColumnHeading"/>
              <w:keepNext/>
            </w:pPr>
            <w:r w:rsidRPr="00ED3753">
              <w:t>Amendement</w:t>
            </w:r>
          </w:p>
        </w:tc>
      </w:tr>
      <w:tr w:rsidR="00264914" w:rsidRPr="00ED3753" w:rsidTr="003407D1">
        <w:trPr>
          <w:jc w:val="center"/>
        </w:trPr>
        <w:tc>
          <w:tcPr>
            <w:tcW w:w="4876" w:type="dxa"/>
            <w:hideMark/>
          </w:tcPr>
          <w:p w:rsidR="003407D1" w:rsidRPr="00ED3753" w:rsidRDefault="00F30C80">
            <w:pPr>
              <w:pStyle w:val="Normal6"/>
            </w:pPr>
            <w:r w:rsidRPr="00ED3753">
              <w:t>2.</w:t>
            </w:r>
            <w:r w:rsidRPr="00ED3753">
              <w:tab/>
              <w:t xml:space="preserve">Wanneer een lidstaat de Commissie en de andere lidstaten in kennis stelt van de herinvoering van grenstoezicht in overeenstemming met artikel 27, lid 1, </w:t>
            </w:r>
            <w:r w:rsidRPr="00ED3753">
              <w:rPr>
                <w:b/>
                <w:bCs/>
                <w:i/>
                <w:iCs/>
              </w:rPr>
              <w:t>deelt</w:t>
            </w:r>
            <w:r w:rsidRPr="00ED3753">
              <w:t xml:space="preserve"> die lidstaat tegelijkertijd aan het Europees Parlement en de Raad het volgende </w:t>
            </w:r>
            <w:r w:rsidRPr="00ED3753">
              <w:rPr>
                <w:b/>
                <w:bCs/>
                <w:i/>
                <w:iCs/>
              </w:rPr>
              <w:t>mee</w:t>
            </w:r>
            <w:r w:rsidRPr="00ED3753">
              <w:t>:</w:t>
            </w:r>
          </w:p>
        </w:tc>
        <w:tc>
          <w:tcPr>
            <w:tcW w:w="4876" w:type="dxa"/>
            <w:hideMark/>
          </w:tcPr>
          <w:p w:rsidR="003407D1" w:rsidRPr="00ED3753" w:rsidRDefault="00F30C80" w:rsidP="004A1010">
            <w:pPr>
              <w:pStyle w:val="Normal6"/>
              <w:rPr>
                <w:szCs w:val="24"/>
              </w:rPr>
            </w:pPr>
            <w:r w:rsidRPr="00ED3753">
              <w:t>2.</w:t>
            </w:r>
            <w:r w:rsidRPr="00ED3753">
              <w:tab/>
              <w:t xml:space="preserve">Wanneer een lidstaat de Commissie en de andere lidstaten in kennis stelt van de herinvoering van grenstoezicht in overeenstemming met artikel 27, lid 1, </w:t>
            </w:r>
            <w:r w:rsidRPr="00ED3753">
              <w:rPr>
                <w:b/>
                <w:bCs/>
                <w:i/>
                <w:iCs/>
              </w:rPr>
              <w:t>doet</w:t>
            </w:r>
            <w:r w:rsidRPr="00ED3753">
              <w:t xml:space="preserve"> die lidsta</w:t>
            </w:r>
            <w:r w:rsidRPr="00ED3753">
              <w:t xml:space="preserve">at tegelijkertijd </w:t>
            </w:r>
            <w:r w:rsidRPr="00ED3753">
              <w:rPr>
                <w:b/>
                <w:bCs/>
                <w:i/>
                <w:iCs/>
              </w:rPr>
              <w:t>de volgende kennisgeving</w:t>
            </w:r>
            <w:r w:rsidRPr="00ED3753">
              <w:t xml:space="preserve"> aan het Europees Parlement en de Raad:</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D46D48" w:rsidRPr="00ED3753" w:rsidRDefault="00F30C80" w:rsidP="00D46D48">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D46D48" w:rsidRPr="00ED3753" w:rsidRDefault="00F30C80" w:rsidP="00D46D48">
      <w:pPr>
        <w:pStyle w:val="JustificationTitle"/>
        <w:jc w:val="both"/>
        <w:rPr>
          <w:rFonts w:eastAsiaTheme="minorHAnsi"/>
          <w:szCs w:val="24"/>
        </w:rPr>
      </w:pPr>
      <w:r w:rsidRPr="00ED3753">
        <w:t xml:space="preserve">Er is geen behoefte aan extra bureaucratie met betrekking tot kennisgevingen van binnengrenstoezicht. De </w:t>
      </w:r>
      <w:r w:rsidRPr="00ED3753">
        <w:t>lidstaten moeten dezelfde kennisgeving – die even gedetailleerd is – aan het Parlement en de Raad zenden, onverminderd hun recht om bepaalde informatie in de kennisgeving te rubriceren.</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 xml:space="preserve">Voorstel voor </w:t>
      </w:r>
      <w:r w:rsidRPr="00ED3753">
        <w:t>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14 – b</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31 – lid 2 – punt a</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a)</w:t>
            </w:r>
            <w:r w:rsidRPr="00ED3753">
              <w:rPr>
                <w:b/>
                <w:i/>
              </w:rPr>
              <w:tab/>
              <w:t>de gegevens van de binn</w:t>
            </w:r>
            <w:r w:rsidRPr="00ED3753">
              <w:rPr>
                <w:b/>
                <w:i/>
              </w:rPr>
              <w:t>engrenzen waar opnieuw grenstoezicht zal worden ingevoerd;</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82</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14 – b</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31 – lid 2 – punt c</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c)</w:t>
            </w:r>
            <w:r w:rsidRPr="00ED3753">
              <w:rPr>
                <w:b/>
                <w:i/>
              </w:rPr>
              <w:tab/>
              <w:t>de namen van de aangewezen grensdoorlaatposten;</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83</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14 – b</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31 – lid 2 – punt d</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 xml:space="preserve">Door de </w:t>
            </w:r>
            <w:r w:rsidRPr="00ED3753">
              <w:t>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d)</w:t>
            </w:r>
            <w:r w:rsidRPr="00ED3753">
              <w:rPr>
                <w:b/>
                <w:i/>
              </w:rPr>
              <w:tab/>
              <w:t>de datum en de duur van de geplande herinvoering;</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84</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w:t>
      </w:r>
      <w:r w:rsidRPr="00ED3753">
        <w:t>linea 1 – punt 14 – b</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31 – lid 2 – punt e</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e)</w:t>
            </w:r>
            <w:r w:rsidRPr="00ED3753">
              <w:rPr>
                <w:b/>
                <w:i/>
              </w:rPr>
              <w:tab/>
              <w:t>in voorkomend geval, de door de andere lidstaat te treffen maatregelen.</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85</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14 – b</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31 – lid 3 – alinea 2</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rPr>
                <w:b/>
                <w:i/>
              </w:rPr>
              <w:t>Lidstaten zijn niet verplicht alle in lid 2 bedoelde informatie te verstrekken wanneer dat om redenen van openbare veiligheid gerechtvaardigd is.</w:t>
            </w:r>
          </w:p>
        </w:tc>
        <w:tc>
          <w:tcPr>
            <w:tcW w:w="4876" w:type="dxa"/>
            <w:hideMark/>
          </w:tcPr>
          <w:p w:rsidR="00120A92" w:rsidRPr="00ED3753" w:rsidRDefault="00F30C80">
            <w:pPr>
              <w:pStyle w:val="Normal6"/>
              <w:rPr>
                <w:szCs w:val="24"/>
              </w:rPr>
            </w:pPr>
            <w:r w:rsidRPr="00ED3753">
              <w:rPr>
                <w:b/>
                <w:i/>
              </w:rPr>
              <w:t>Schrappen</w:t>
            </w:r>
          </w:p>
        </w:tc>
      </w:tr>
    </w:tbl>
    <w:p w:rsidR="00120A92" w:rsidRPr="00ED3753" w:rsidRDefault="00F30C80" w:rsidP="00120A92">
      <w:pPr>
        <w:pStyle w:val="Olang"/>
      </w:pPr>
      <w:r w:rsidRPr="00ED3753">
        <w:rPr>
          <w:noProof w:val="0"/>
        </w:rPr>
        <w:t xml:space="preserve">Or. </w:t>
      </w:r>
      <w:r w:rsidRPr="00ED3753">
        <w:rPr>
          <w:rStyle w:val="HideTWBExt"/>
          <w:noProof w:val="0"/>
        </w:rPr>
        <w:t>&lt;Or</w:t>
      </w:r>
      <w:r w:rsidRPr="00ED3753">
        <w:rPr>
          <w:rStyle w:val="HideTWBExt"/>
          <w:noProof w:val="0"/>
        </w:rPr>
        <w:t>iginal&gt;</w:t>
      </w:r>
      <w:r w:rsidRPr="00ED3753">
        <w:rPr>
          <w:rStyle w:val="HideTWBInt"/>
          <w:noProof w:val="0"/>
        </w:rPr>
        <w:t>{EN}</w:t>
      </w:r>
      <w:r w:rsidRPr="00ED3753">
        <w:rPr>
          <w:noProof w:val="0"/>
        </w:rPr>
        <w:t>en</w:t>
      </w:r>
      <w:r w:rsidRPr="00ED3753">
        <w:rPr>
          <w:rStyle w:val="HideTWBExt"/>
          <w:noProof w:val="0"/>
        </w:rPr>
        <w:t>&lt;/Original&gt;</w:t>
      </w:r>
    </w:p>
    <w:p w:rsidR="00796195" w:rsidRPr="00ED3753" w:rsidRDefault="00F30C80" w:rsidP="00796195">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796195" w:rsidRPr="00ED3753" w:rsidRDefault="00F30C80" w:rsidP="00894B63">
      <w:pPr>
        <w:pStyle w:val="AmJustText"/>
      </w:pPr>
      <w:r w:rsidRPr="00ED3753">
        <w:t>Het recht van de lidstaten om de informatie te rubriceren moet worden gehandhaafd. Een bijkomend recht om de informatie niet te verstrekken, is contraproductief en in strijd met de geest van wederz</w:t>
      </w:r>
      <w:r w:rsidRPr="00ED3753">
        <w:t>ijdse en loyale samenwerking.</w:t>
      </w:r>
    </w:p>
    <w:p w:rsidR="00120A92" w:rsidRPr="00ED3753" w:rsidRDefault="00F30C80" w:rsidP="00796195">
      <w:pPr>
        <w:spacing w:before="100" w:beforeAutospacing="1" w:after="100" w:afterAutospacing="1"/>
      </w:pPr>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86</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15</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33 – lid 2</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3407D1">
        <w:trPr>
          <w:jc w:val="center"/>
        </w:trPr>
        <w:tc>
          <w:tcPr>
            <w:tcW w:w="9752" w:type="dxa"/>
            <w:gridSpan w:val="2"/>
          </w:tcPr>
          <w:p w:rsidR="003407D1" w:rsidRPr="00ED3753" w:rsidRDefault="003407D1">
            <w:pPr>
              <w:keepNext/>
            </w:pPr>
          </w:p>
        </w:tc>
      </w:tr>
      <w:tr w:rsidR="00264914" w:rsidRPr="00ED3753" w:rsidTr="003407D1">
        <w:trPr>
          <w:jc w:val="center"/>
        </w:trPr>
        <w:tc>
          <w:tcPr>
            <w:tcW w:w="4876" w:type="dxa"/>
            <w:hideMark/>
          </w:tcPr>
          <w:p w:rsidR="003407D1" w:rsidRPr="00ED3753" w:rsidRDefault="00F30C80">
            <w:pPr>
              <w:pStyle w:val="ColumnHeading"/>
              <w:keepNext/>
            </w:pPr>
            <w:r w:rsidRPr="00ED3753">
              <w:t>Door de Commissie voorgestelde tekst</w:t>
            </w:r>
          </w:p>
        </w:tc>
        <w:tc>
          <w:tcPr>
            <w:tcW w:w="4876" w:type="dxa"/>
            <w:hideMark/>
          </w:tcPr>
          <w:p w:rsidR="003407D1" w:rsidRPr="00ED3753" w:rsidRDefault="00F30C80">
            <w:pPr>
              <w:pStyle w:val="ColumnHeading"/>
              <w:keepNext/>
            </w:pPr>
            <w:r w:rsidRPr="00ED3753">
              <w:t>Amendement</w:t>
            </w:r>
          </w:p>
        </w:tc>
      </w:tr>
      <w:tr w:rsidR="00264914" w:rsidRPr="00ED3753" w:rsidTr="003407D1">
        <w:trPr>
          <w:jc w:val="center"/>
        </w:trPr>
        <w:tc>
          <w:tcPr>
            <w:tcW w:w="4876" w:type="dxa"/>
            <w:hideMark/>
          </w:tcPr>
          <w:p w:rsidR="003407D1" w:rsidRPr="00ED3753" w:rsidRDefault="00F30C80">
            <w:pPr>
              <w:pStyle w:val="Normal6"/>
            </w:pPr>
            <w:r w:rsidRPr="00ED3753">
              <w:t>2.</w:t>
            </w:r>
            <w:r w:rsidRPr="00ED3753">
              <w:tab/>
            </w:r>
            <w:r w:rsidRPr="00ED3753">
              <w:t xml:space="preserve">Wanneer het grenstoezicht wordt verlengd op de wijze als bedoeld in artikel 25 bis, lid 5, dient de betrokken lidstaat onverminderd lid 1 een verslag in na het verstrijken van een termijn van </w:t>
            </w:r>
            <w:r w:rsidRPr="00ED3753">
              <w:rPr>
                <w:b/>
                <w:bCs/>
                <w:i/>
                <w:iCs/>
              </w:rPr>
              <w:t>twaalf</w:t>
            </w:r>
            <w:r w:rsidRPr="00ED3753">
              <w:t xml:space="preserve"> maanden </w:t>
            </w:r>
            <w:r w:rsidRPr="00ED3753">
              <w:rPr>
                <w:b/>
                <w:bCs/>
                <w:i/>
                <w:iCs/>
              </w:rPr>
              <w:t>en daarna telkens na twaalf maanden</w:t>
            </w:r>
            <w:r w:rsidRPr="00ED3753">
              <w:t xml:space="preserve"> indien het gr</w:t>
            </w:r>
            <w:r w:rsidRPr="00ED3753">
              <w:t>enstoezicht bij wijze van uitzondering in stand wordt gehouden.</w:t>
            </w:r>
          </w:p>
        </w:tc>
        <w:tc>
          <w:tcPr>
            <w:tcW w:w="4876" w:type="dxa"/>
            <w:hideMark/>
          </w:tcPr>
          <w:p w:rsidR="003407D1" w:rsidRPr="00ED3753" w:rsidRDefault="00F30C80">
            <w:pPr>
              <w:pStyle w:val="Normal6"/>
              <w:rPr>
                <w:szCs w:val="24"/>
              </w:rPr>
            </w:pPr>
            <w:r w:rsidRPr="00ED3753">
              <w:t>2.</w:t>
            </w:r>
            <w:r w:rsidRPr="00ED3753">
              <w:tab/>
              <w:t>Wanneer het grenstoezicht wordt verlengd op de wijze als bedoeld in artikel 25 bis, lid 5, dient de betrokken lidstaat onverminderd lid 1 een verslag in na het verstrijken van een termijn v</w:t>
            </w:r>
            <w:r w:rsidRPr="00ED3753">
              <w:t xml:space="preserve">an </w:t>
            </w:r>
            <w:r w:rsidRPr="00ED3753">
              <w:rPr>
                <w:b/>
                <w:bCs/>
                <w:i/>
                <w:iCs/>
              </w:rPr>
              <w:t>zes</w:t>
            </w:r>
            <w:r w:rsidRPr="00ED3753">
              <w:t xml:space="preserve"> maanden indien het grenstoezicht bij wijze van uitzondering in stand wordt gehouden.</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87</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 xml:space="preserve">Artikel 1 – alinea 1 – </w:t>
      </w:r>
      <w:r w:rsidRPr="00ED3753">
        <w:t>punt 15</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33 – lid 3</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3.</w:t>
            </w:r>
            <w:r w:rsidRPr="00ED3753">
              <w:tab/>
              <w:t xml:space="preserve">In het verslag wordt met name ingegaan op de initiële beoordeling en de volgende beoordelingen </w:t>
            </w:r>
            <w:r w:rsidRPr="00ED3753">
              <w:t>van de noodzaak van het grenstoezicht en de naleving van de in artikel 26 bedoelde criteria, de uitvoering van de controles, de praktische samenwerking met naburige lidstaten, de gevolgen van het toezicht voor het verkeer van personen in met name de grensr</w:t>
            </w:r>
            <w:r w:rsidRPr="00ED3753">
              <w:t>egio’s, de doeltreffendheid van de herinvoering van het grenstoezicht aan de binnengrenzen, met inbegrip van een evaluatie achteraf van de evenredigheid van de herinvoering van het grenstoezicht.</w:t>
            </w:r>
          </w:p>
        </w:tc>
        <w:tc>
          <w:tcPr>
            <w:tcW w:w="4876" w:type="dxa"/>
            <w:hideMark/>
          </w:tcPr>
          <w:p w:rsidR="00120A92" w:rsidRPr="00ED3753" w:rsidRDefault="00F30C80">
            <w:pPr>
              <w:pStyle w:val="Normal6"/>
              <w:rPr>
                <w:szCs w:val="24"/>
              </w:rPr>
            </w:pPr>
            <w:r w:rsidRPr="00ED3753">
              <w:t>3.</w:t>
            </w:r>
            <w:r w:rsidRPr="00ED3753">
              <w:tab/>
              <w:t>In het verslag wordt met name ingegaan op de initiële beo</w:t>
            </w:r>
            <w:r w:rsidRPr="00ED3753">
              <w:t>ordeling en de volgende beoordelingen van de noodzaak van het grenstoezicht en de naleving van de in artikel 26 bedoelde criteria, de uitvoering van de controles, de praktische samenwerking met naburige lidstaten, de gevolgen van het toezicht voor het verk</w:t>
            </w:r>
            <w:r w:rsidRPr="00ED3753">
              <w:t xml:space="preserve">eer van personen in met name de grensregio’s, de doeltreffendheid van de herinvoering van het grenstoezicht aan de binnengrenzen, met inbegrip van een evaluatie achteraf van de </w:t>
            </w:r>
            <w:r w:rsidRPr="00ED3753">
              <w:rPr>
                <w:b/>
                <w:bCs/>
                <w:i/>
                <w:iCs/>
              </w:rPr>
              <w:t>noodzakelijkheid en</w:t>
            </w:r>
            <w:r w:rsidRPr="00ED3753">
              <w:t xml:space="preserve"> evenredigheid van de herinvoering van het grenstoezicht.</w:t>
            </w:r>
          </w:p>
        </w:tc>
      </w:tr>
    </w:tbl>
    <w:p w:rsidR="00120A92" w:rsidRPr="00ED3753" w:rsidRDefault="00F30C80" w:rsidP="00120A92">
      <w:pPr>
        <w:pStyle w:val="Olang"/>
      </w:pPr>
      <w:r w:rsidRPr="00ED3753">
        <w:rPr>
          <w:noProof w:val="0"/>
        </w:rPr>
        <w:t>O</w:t>
      </w:r>
      <w:r w:rsidRPr="00ED3753">
        <w:rPr>
          <w:noProof w:val="0"/>
        </w:rPr>
        <w:t xml:space="preserve">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88</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15</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Artikel 33 – lid 6</w:t>
      </w:r>
      <w:r w:rsidRPr="00ED3753">
        <w:rPr>
          <w:rStyle w:val="HideTWBExt"/>
        </w:rPr>
        <w:t>&lt;</w:t>
      </w:r>
      <w:r w:rsidRPr="00ED3753">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pPr>
            <w:r w:rsidRPr="00ED3753">
              <w:t>6.</w:t>
            </w:r>
            <w:r w:rsidRPr="00ED3753">
              <w:tab/>
              <w:t xml:space="preserve">De Commissie dient ten minste elk jaar bij het Europees Parlement en de Raad een verslag in over de werking van de ruimte zonder binnengrenstoezicht (het “Verslag over de staat van </w:t>
            </w:r>
            <w:r w:rsidRPr="00ED3753">
              <w:t xml:space="preserve">Schengen”). Het verslag bevat een lijst van alle besluiten tot herinvoering van het grenstoezicht aan de binnengrenzen die in het verslagjaar zijn genomen. </w:t>
            </w:r>
            <w:r w:rsidRPr="00ED3753">
              <w:rPr>
                <w:b/>
                <w:bCs/>
                <w:i/>
                <w:iCs/>
              </w:rPr>
              <w:t>Ook</w:t>
            </w:r>
            <w:r w:rsidRPr="00ED3753">
              <w:t xml:space="preserve"> bevat </w:t>
            </w:r>
            <w:r w:rsidRPr="00ED3753">
              <w:rPr>
                <w:b/>
                <w:bCs/>
                <w:i/>
                <w:iCs/>
              </w:rPr>
              <w:t>het informatie over de trends in het Schengengebied met betrekking tot niet-toegestane ver</w:t>
            </w:r>
            <w:r w:rsidRPr="00ED3753">
              <w:rPr>
                <w:b/>
                <w:bCs/>
                <w:i/>
                <w:iCs/>
              </w:rPr>
              <w:t>plaatsingen van onderdanen van derde landen, rekening houdend met beschikbare informatie van de betrokken agentschappen van de Unie, gegevensanalyses uit relevante informatiesystemen en</w:t>
            </w:r>
            <w:r w:rsidRPr="00ED3753">
              <w:t xml:space="preserve"> een beoordeling van de noodzaak en de evenredigheid van de herinvoerin</w:t>
            </w:r>
            <w:r w:rsidRPr="00ED3753">
              <w:t>gen van grenstoezicht in de verslagperiode.</w:t>
            </w:r>
          </w:p>
        </w:tc>
        <w:tc>
          <w:tcPr>
            <w:tcW w:w="4876" w:type="dxa"/>
            <w:hideMark/>
          </w:tcPr>
          <w:p w:rsidR="00120A92" w:rsidRPr="00ED3753" w:rsidRDefault="00F30C80">
            <w:pPr>
              <w:pStyle w:val="Normal6"/>
              <w:rPr>
                <w:szCs w:val="24"/>
              </w:rPr>
            </w:pPr>
            <w:r w:rsidRPr="00ED3753">
              <w:t>6.</w:t>
            </w:r>
            <w:r w:rsidRPr="00ED3753">
              <w:tab/>
              <w:t>De Commissie dient ten minste elk jaar bij het Europees Parlement en de Raad een verslag in over de werking van de ruimte zonder binnengrenstoezicht (het “Verslag over de staat van Schengen”). Het verslag beva</w:t>
            </w:r>
            <w:r w:rsidRPr="00ED3753">
              <w:t xml:space="preserve">t een lijst van alle besluiten tot herinvoering van het grenstoezicht aan de binnengrenzen die in het verslagjaar zijn genomen. </w:t>
            </w:r>
            <w:r w:rsidRPr="00ED3753">
              <w:rPr>
                <w:b/>
                <w:bCs/>
                <w:i/>
                <w:iCs/>
              </w:rPr>
              <w:t>Het verslag besteedt bijzondere aandacht aan het grenstoezicht dat langer dan zes maanden van kracht is geweest en</w:t>
            </w:r>
            <w:r w:rsidRPr="00ED3753">
              <w:rPr>
                <w:b/>
                <w:bCs/>
              </w:rPr>
              <w:t xml:space="preserve"> </w:t>
            </w:r>
            <w:r w:rsidRPr="00ED3753">
              <w:t>bevat een beo</w:t>
            </w:r>
            <w:r w:rsidRPr="00ED3753">
              <w:t xml:space="preserve">ordeling van de noodzaak en de evenredigheid van de herinvoeringen van grenstoezicht in de verslagperiode. </w:t>
            </w:r>
            <w:r w:rsidRPr="00ED3753">
              <w:rPr>
                <w:b/>
                <w:i/>
              </w:rPr>
              <w:t>Het verslag voldoet tevens aan de rapportageverplichtingen die voortvloeien uit artikel 20 van het Schengenevaluatiemechanisme.</w:t>
            </w: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414784" w:rsidRPr="00ED3753" w:rsidRDefault="00F30C80" w:rsidP="00414784">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414784" w:rsidRPr="00ED3753" w:rsidRDefault="00F30C80" w:rsidP="00414784">
      <w:pPr>
        <w:pStyle w:val="JustificationTitle"/>
        <w:jc w:val="both"/>
        <w:rPr>
          <w:rFonts w:eastAsiaTheme="minorHAnsi"/>
          <w:szCs w:val="24"/>
        </w:rPr>
      </w:pPr>
      <w:r w:rsidRPr="00ED3753">
        <w:t>Het verslag over de staat van Schengen moet zich toespitsen op het Schengengebied zonder binnengrenstoezicht en de opheffing van het ingevoerd binnengrenstoezicht.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89</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1 – alinea 1 – punt 19</w:t>
      </w:r>
      <w:r w:rsidRPr="00ED3753">
        <w:rPr>
          <w:rStyle w:val="HideTWBExt"/>
          <w:b w:val="0"/>
        </w:rPr>
        <w:t>&lt;/Article&gt;</w:t>
      </w:r>
    </w:p>
    <w:p w:rsidR="00120A92" w:rsidRPr="00ED3753" w:rsidRDefault="00F30C80" w:rsidP="00120A92">
      <w:pPr>
        <w:keepNext/>
      </w:pPr>
      <w:r w:rsidRPr="00ED3753">
        <w:rPr>
          <w:rStyle w:val="HideTWBExt"/>
        </w:rPr>
        <w:t>&lt;DocAmend2&gt;</w:t>
      </w:r>
      <w:r w:rsidRPr="00ED3753">
        <w:t>Verordening (EU) 2016/399</w:t>
      </w:r>
      <w:r w:rsidRPr="00ED3753">
        <w:rPr>
          <w:rStyle w:val="HideTWBExt"/>
        </w:rPr>
        <w:t>&lt;/DocAmend2&gt;</w:t>
      </w:r>
    </w:p>
    <w:p w:rsidR="00120A92" w:rsidRPr="00ED3753" w:rsidRDefault="00F30C80" w:rsidP="00120A92">
      <w:r w:rsidRPr="00ED3753">
        <w:rPr>
          <w:rStyle w:val="HideTWBExt"/>
        </w:rPr>
        <w:t>&lt;Article2&gt;</w:t>
      </w:r>
      <w:r w:rsidRPr="00ED3753">
        <w:t>Bijlage XII</w:t>
      </w:r>
      <w:r w:rsidRPr="00ED37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tcPr>
          <w:p w:rsidR="001C7050" w:rsidRPr="00ED3753" w:rsidRDefault="00F30C80" w:rsidP="004907D2">
            <w:pPr>
              <w:pStyle w:val="Normal6"/>
              <w:rPr>
                <w:b/>
                <w:i/>
              </w:rPr>
            </w:pPr>
            <w:r w:rsidRPr="00ED3753">
              <w:rPr>
                <w:b/>
                <w:i/>
              </w:rPr>
              <w:t>(19)</w:t>
            </w:r>
            <w:r w:rsidRPr="00ED3753">
              <w:rPr>
                <w:b/>
                <w:i/>
              </w:rPr>
              <w:tab/>
              <w:t xml:space="preserve">Een nieuwe </w:t>
            </w:r>
            <w:r w:rsidRPr="00ED3753">
              <w:rPr>
                <w:b/>
                <w:i/>
              </w:rPr>
              <w:t>bijlage XII wordt toegevoegd:</w:t>
            </w:r>
          </w:p>
        </w:tc>
        <w:tc>
          <w:tcPr>
            <w:tcW w:w="4876" w:type="dxa"/>
          </w:tcPr>
          <w:p w:rsidR="001C7050" w:rsidRPr="00ED3753" w:rsidRDefault="00F30C80">
            <w:pPr>
              <w:pStyle w:val="Normal6"/>
              <w:rPr>
                <w:b/>
                <w:i/>
              </w:rPr>
            </w:pPr>
            <w:r w:rsidRPr="00ED3753">
              <w:rPr>
                <w:b/>
                <w:i/>
              </w:rPr>
              <w:t>Schrappen</w:t>
            </w:r>
          </w:p>
        </w:tc>
      </w:tr>
      <w:tr w:rsidR="00264914" w:rsidRPr="00ED3753" w:rsidTr="00120A92">
        <w:trPr>
          <w:jc w:val="center"/>
        </w:trPr>
        <w:tc>
          <w:tcPr>
            <w:tcW w:w="4876" w:type="dxa"/>
          </w:tcPr>
          <w:p w:rsidR="004907D2" w:rsidRPr="00ED3753" w:rsidRDefault="00F30C80" w:rsidP="00894B63">
            <w:pPr>
              <w:pStyle w:val="Normal6"/>
              <w:jc w:val="center"/>
              <w:rPr>
                <w:b/>
                <w:i/>
              </w:rPr>
            </w:pPr>
            <w:r w:rsidRPr="00ED3753">
              <w:rPr>
                <w:b/>
                <w:i/>
              </w:rPr>
              <w:t>Bijlage XII</w:t>
            </w:r>
          </w:p>
        </w:tc>
        <w:tc>
          <w:tcPr>
            <w:tcW w:w="4876" w:type="dxa"/>
          </w:tcPr>
          <w:p w:rsidR="004907D2" w:rsidRPr="00ED3753" w:rsidRDefault="004907D2">
            <w:pPr>
              <w:pStyle w:val="Normal6"/>
              <w:rPr>
                <w:b/>
                <w:i/>
              </w:rPr>
            </w:pPr>
          </w:p>
        </w:tc>
      </w:tr>
      <w:tr w:rsidR="00264914" w:rsidRPr="00ED3753" w:rsidTr="00120A92">
        <w:trPr>
          <w:jc w:val="center"/>
        </w:trPr>
        <w:tc>
          <w:tcPr>
            <w:tcW w:w="4876" w:type="dxa"/>
          </w:tcPr>
          <w:p w:rsidR="001C7050" w:rsidRPr="00ED3753" w:rsidRDefault="00F30C80" w:rsidP="00894B63">
            <w:pPr>
              <w:pStyle w:val="Normal6"/>
              <w:jc w:val="center"/>
              <w:rPr>
                <w:b/>
                <w:i/>
              </w:rPr>
            </w:pPr>
            <w:r w:rsidRPr="00ED3753">
              <w:rPr>
                <w:b/>
                <w:i/>
              </w:rPr>
              <w:t>DEEL A</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94B63">
            <w:pPr>
              <w:pStyle w:val="Normal6"/>
              <w:jc w:val="center"/>
              <w:rPr>
                <w:b/>
                <w:i/>
              </w:rPr>
            </w:pPr>
            <w:r w:rsidRPr="00ED3753">
              <w:rPr>
                <w:b/>
                <w:i/>
              </w:rPr>
              <w:t>Procedure voor de overbrenging van aan de binnengrenzen aangehouden personen</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1.</w:t>
            </w:r>
            <w:r w:rsidRPr="00ED3753">
              <w:rPr>
                <w:b/>
                <w:i/>
              </w:rPr>
              <w:tab/>
              <w:t xml:space="preserve">In besluiten wordt vermeld op welke gronden wordt vastgesteld dat een persoon geen verblijfsrecht heeft. Deze </w:t>
            </w:r>
            <w:r w:rsidRPr="00ED3753">
              <w:rPr>
                <w:b/>
                <w:i/>
              </w:rPr>
              <w:t>besluiten zijn onmiddellijk van toepassing.</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2.</w:t>
            </w:r>
            <w:r w:rsidRPr="00ED3753">
              <w:rPr>
                <w:b/>
                <w:i/>
              </w:rPr>
              <w:tab/>
              <w:t>Het besluit wordt uitgevaardigd in de vorm van een standaardformulier overeenkomstig deel B, ingevuld door de bevoegde nationale autoriteit.</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Het ingevulde standaardformulier wordt overhandigd aan de betrok</w:t>
            </w:r>
            <w:r w:rsidRPr="00ED3753">
              <w:rPr>
                <w:b/>
                <w:i/>
              </w:rPr>
              <w:t xml:space="preserve">ken onderdaan van een derde land, die de ontvangst ervan bevestigt door ondertekening van het formulier en een kopie van het ondertekende formulier ontvangt. </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Indien de onderdaan van een derde land weigert het standaardformulier te ondertekenen, maakt de</w:t>
            </w:r>
            <w:r w:rsidRPr="00ED3753">
              <w:rPr>
                <w:b/>
                <w:i/>
              </w:rPr>
              <w:t xml:space="preserve"> bevoegde autoriteit daarvan melding in het vak “Opmerkingen” op het formulier.</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3.</w:t>
            </w:r>
            <w:r w:rsidRPr="00ED3753">
              <w:rPr>
                <w:b/>
                <w:i/>
              </w:rPr>
              <w:tab/>
              <w:t>De nationale autoriteit die een besluit tot weigering uitvaardigt, legt de volgende gegevens vast:</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a)</w:t>
            </w:r>
            <w:r w:rsidRPr="00ED3753">
              <w:rPr>
                <w:b/>
                <w:i/>
              </w:rPr>
              <w:tab/>
              <w:t xml:space="preserve">voor zover zij door de autoriteit kunnen worden vastgesteld: de </w:t>
            </w:r>
            <w:r w:rsidRPr="00ED3753">
              <w:rPr>
                <w:b/>
                <w:i/>
              </w:rPr>
              <w:t xml:space="preserve">identiteit en de nationaliteit van de betrokken onderdaan van een derde land; </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b)</w:t>
            </w:r>
            <w:r w:rsidRPr="00ED3753">
              <w:rPr>
                <w:b/>
                <w:i/>
              </w:rPr>
              <w:tab/>
              <w:t xml:space="preserve">de gegevens van het eventuele identiteitsbewijs; </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c)</w:t>
            </w:r>
            <w:r w:rsidRPr="00ED3753">
              <w:rPr>
                <w:b/>
                <w:i/>
              </w:rPr>
              <w:tab/>
              <w:t>indien beschikbaar: kopieën van documenten of gegevens in verband met de identiteit of de nationaliteit van de betrok</w:t>
            </w:r>
            <w:r w:rsidRPr="00ED3753">
              <w:rPr>
                <w:b/>
                <w:i/>
              </w:rPr>
              <w:t>ken onderdaan van een derde land, in combinatie met de relevante nationale databanken en databanken van de Unie;</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d)</w:t>
            </w:r>
            <w:r w:rsidRPr="00ED3753">
              <w:rPr>
                <w:b/>
                <w:i/>
              </w:rPr>
              <w:tab/>
              <w:t xml:space="preserve">de gronden voor weigering; </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e)</w:t>
            </w:r>
            <w:r w:rsidRPr="00ED3753">
              <w:rPr>
                <w:b/>
                <w:i/>
              </w:rPr>
              <w:tab/>
              <w:t>de datum van weigering;</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f)</w:t>
            </w:r>
            <w:r w:rsidRPr="00ED3753">
              <w:rPr>
                <w:b/>
                <w:i/>
              </w:rPr>
              <w:tab/>
              <w:t>de lidstaten waarnaar de onderdaan van een derde land werd teruggestuurd.</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4.</w:t>
            </w:r>
            <w:r w:rsidRPr="00ED3753">
              <w:rPr>
                <w:b/>
                <w:i/>
              </w:rPr>
              <w:tab/>
              <w:t>De nationale autoriteiten die een besluit tot weigering uitvaardigen, leggen de volgende gegevens vast:</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a)</w:t>
            </w:r>
            <w:r w:rsidRPr="00ED3753">
              <w:rPr>
                <w:b/>
                <w:i/>
              </w:rPr>
              <w:tab/>
              <w:t xml:space="preserve">het aantal personen dat de toegang is geweigerd; </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b)</w:t>
            </w:r>
            <w:r w:rsidRPr="00ED3753">
              <w:rPr>
                <w:b/>
                <w:i/>
              </w:rPr>
              <w:tab/>
              <w:t xml:space="preserve">het aantal personen dat verblijf is geweigerd; </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c)</w:t>
            </w:r>
            <w:r w:rsidRPr="00ED3753">
              <w:rPr>
                <w:b/>
                <w:i/>
              </w:rPr>
              <w:tab/>
              <w:t xml:space="preserve">het aantal teruggezonden personen; </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d)</w:t>
            </w:r>
            <w:r w:rsidRPr="00ED3753">
              <w:rPr>
                <w:b/>
                <w:i/>
              </w:rPr>
              <w:tab/>
              <w:t>de lidstaat of lidstaten waarnaar personen werden teruggezonden;</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1C7050" w:rsidRPr="00ED3753" w:rsidRDefault="00F30C80" w:rsidP="008D1B5E">
            <w:pPr>
              <w:pStyle w:val="Normal6"/>
              <w:rPr>
                <w:b/>
                <w:i/>
              </w:rPr>
            </w:pPr>
            <w:r w:rsidRPr="00ED3753">
              <w:rPr>
                <w:b/>
                <w:i/>
              </w:rPr>
              <w:t>e)</w:t>
            </w:r>
            <w:r w:rsidRPr="00ED3753">
              <w:rPr>
                <w:b/>
                <w:i/>
              </w:rPr>
              <w:tab/>
              <w:t>voor zover deze informatie beschikbaar is: de nationaliteit van de aangehouden onderdanen van derde landen;</w:t>
            </w:r>
          </w:p>
        </w:tc>
        <w:tc>
          <w:tcPr>
            <w:tcW w:w="4876" w:type="dxa"/>
          </w:tcPr>
          <w:p w:rsidR="001C7050" w:rsidRPr="00ED3753" w:rsidRDefault="001C7050">
            <w:pPr>
              <w:pStyle w:val="Normal6"/>
              <w:rPr>
                <w:b/>
                <w:i/>
              </w:rPr>
            </w:pPr>
          </w:p>
        </w:tc>
      </w:tr>
      <w:tr w:rsidR="00264914" w:rsidRPr="00ED3753" w:rsidTr="00120A92">
        <w:trPr>
          <w:jc w:val="center"/>
        </w:trPr>
        <w:tc>
          <w:tcPr>
            <w:tcW w:w="4876" w:type="dxa"/>
          </w:tcPr>
          <w:p w:rsidR="00744099" w:rsidRPr="00ED3753" w:rsidRDefault="00F30C80" w:rsidP="008D1B5E">
            <w:pPr>
              <w:pStyle w:val="Normal6"/>
              <w:rPr>
                <w:b/>
                <w:i/>
              </w:rPr>
            </w:pPr>
            <w:r w:rsidRPr="00ED3753">
              <w:rPr>
                <w:b/>
                <w:i/>
              </w:rPr>
              <w:t>f)</w:t>
            </w:r>
            <w:r w:rsidRPr="00ED3753">
              <w:rPr>
                <w:b/>
                <w:i/>
              </w:rPr>
              <w:tab/>
              <w:t>de gronden voor de weigering van toegang en verblijf;</w:t>
            </w:r>
          </w:p>
        </w:tc>
        <w:tc>
          <w:tcPr>
            <w:tcW w:w="4876" w:type="dxa"/>
          </w:tcPr>
          <w:p w:rsidR="00744099" w:rsidRPr="00ED3753" w:rsidRDefault="00744099">
            <w:pPr>
              <w:pStyle w:val="Normal6"/>
              <w:rPr>
                <w:b/>
                <w:i/>
              </w:rPr>
            </w:pPr>
          </w:p>
        </w:tc>
      </w:tr>
      <w:tr w:rsidR="00264914" w:rsidRPr="00ED3753" w:rsidTr="00120A92">
        <w:trPr>
          <w:jc w:val="center"/>
        </w:trPr>
        <w:tc>
          <w:tcPr>
            <w:tcW w:w="4876" w:type="dxa"/>
          </w:tcPr>
          <w:p w:rsidR="00744099" w:rsidRPr="00ED3753" w:rsidRDefault="00F30C80" w:rsidP="008D1B5E">
            <w:pPr>
              <w:pStyle w:val="Normal6"/>
              <w:rPr>
                <w:b/>
                <w:i/>
              </w:rPr>
            </w:pPr>
            <w:r w:rsidRPr="00ED3753">
              <w:rPr>
                <w:b/>
                <w:i/>
              </w:rPr>
              <w:t>g)</w:t>
            </w:r>
            <w:r w:rsidRPr="00ED3753">
              <w:rPr>
                <w:b/>
                <w:i/>
              </w:rPr>
              <w:tab/>
              <w:t>het soort</w:t>
            </w:r>
            <w:r w:rsidRPr="00ED3753">
              <w:rPr>
                <w:b/>
                <w:i/>
              </w:rPr>
              <w:t xml:space="preserve"> grens als omschreven in artikel 2, punt 1, van Verordening (EU) 2016/399 waar de onderdanen van derde landen werden teruggezonden.</w:t>
            </w:r>
          </w:p>
        </w:tc>
        <w:tc>
          <w:tcPr>
            <w:tcW w:w="4876" w:type="dxa"/>
          </w:tcPr>
          <w:p w:rsidR="00744099" w:rsidRPr="00ED3753" w:rsidRDefault="00744099">
            <w:pPr>
              <w:pStyle w:val="Normal6"/>
              <w:rPr>
                <w:b/>
                <w:i/>
              </w:rPr>
            </w:pPr>
          </w:p>
        </w:tc>
      </w:tr>
      <w:tr w:rsidR="00264914" w:rsidRPr="00ED3753" w:rsidTr="00120A92">
        <w:trPr>
          <w:jc w:val="center"/>
        </w:trPr>
        <w:tc>
          <w:tcPr>
            <w:tcW w:w="4876" w:type="dxa"/>
          </w:tcPr>
          <w:p w:rsidR="00744099" w:rsidRPr="00ED3753" w:rsidRDefault="00F30C80" w:rsidP="008D1B5E">
            <w:pPr>
              <w:pStyle w:val="Normal6"/>
              <w:rPr>
                <w:b/>
                <w:i/>
              </w:rPr>
            </w:pPr>
            <w:r w:rsidRPr="00ED3753">
              <w:rPr>
                <w:b/>
                <w:i/>
              </w:rPr>
              <w:t>5.</w:t>
            </w:r>
            <w:r w:rsidRPr="00ED3753">
              <w:rPr>
                <w:b/>
                <w:i/>
              </w:rPr>
              <w:tab/>
              <w:t>Personen wie de toegang of het recht van verblijf is geweigerd, hebben het recht daartegen beroep in te stellen. Het be</w:t>
            </w:r>
            <w:r w:rsidRPr="00ED3753">
              <w:rPr>
                <w:b/>
                <w:i/>
              </w:rPr>
              <w:t>roep wordt ingesteld overeenkomstig het interne recht. De onderdaan van een derde land ontvangt tevens in een taal die de betrokkene begrijpt of redelijkerwijs verondersteld mag worden te begrijpen schriftelijke informatie over contactpunten die informatie</w:t>
            </w:r>
            <w:r w:rsidRPr="00ED3753">
              <w:rPr>
                <w:b/>
                <w:i/>
              </w:rPr>
              <w:t xml:space="preserve"> kunnen verschaffen over vertegenwoordigers die namens de betrokkene in overeenstemming met het interne recht kunnen optreden. Het instellen van beroep heeft geen opschortende werking.</w:t>
            </w:r>
          </w:p>
        </w:tc>
        <w:tc>
          <w:tcPr>
            <w:tcW w:w="4876" w:type="dxa"/>
          </w:tcPr>
          <w:p w:rsidR="00744099" w:rsidRPr="00ED3753" w:rsidRDefault="00744099">
            <w:pPr>
              <w:pStyle w:val="Normal6"/>
              <w:rPr>
                <w:b/>
                <w:i/>
              </w:rPr>
            </w:pPr>
          </w:p>
        </w:tc>
      </w:tr>
      <w:tr w:rsidR="00264914" w:rsidRPr="00ED3753" w:rsidTr="00120A92">
        <w:trPr>
          <w:jc w:val="center"/>
        </w:trPr>
        <w:tc>
          <w:tcPr>
            <w:tcW w:w="4876" w:type="dxa"/>
          </w:tcPr>
          <w:p w:rsidR="00744099" w:rsidRPr="00ED3753" w:rsidRDefault="00F30C80" w:rsidP="00744099">
            <w:pPr>
              <w:pStyle w:val="Normal6"/>
              <w:rPr>
                <w:b/>
                <w:i/>
              </w:rPr>
            </w:pPr>
            <w:r w:rsidRPr="00ED3753">
              <w:rPr>
                <w:b/>
                <w:i/>
              </w:rPr>
              <w:t>6.</w:t>
            </w:r>
            <w:r w:rsidRPr="00ED3753">
              <w:rPr>
                <w:b/>
                <w:i/>
              </w:rPr>
              <w:tab/>
              <w:t>De krachtens het interne recht bevoegde autoriteiten zorgen ervoor</w:t>
            </w:r>
            <w:r w:rsidRPr="00ED3753">
              <w:rPr>
                <w:b/>
                <w:i/>
              </w:rPr>
              <w:t xml:space="preserve"> dat de onderdaan van een derde land aan wie een besluit tot weigering is uitgevaardigd onmiddellijk en uiterlijk binnen 24 uur wordt overgebracht naar de bevoegde autoriteiten van de naburige lidstaat. De krachtens het interne recht bevoegde autoriteiten </w:t>
            </w:r>
            <w:r w:rsidRPr="00ED3753">
              <w:rPr>
                <w:b/>
                <w:i/>
              </w:rPr>
              <w:t>in de naburige lidstaat werken daartoe samen met de autoriteiten van de lidstaat.</w:t>
            </w:r>
          </w:p>
        </w:tc>
        <w:tc>
          <w:tcPr>
            <w:tcW w:w="4876" w:type="dxa"/>
          </w:tcPr>
          <w:p w:rsidR="00744099" w:rsidRPr="00ED3753" w:rsidRDefault="00744099">
            <w:pPr>
              <w:pStyle w:val="Normal6"/>
              <w:rPr>
                <w:b/>
                <w:i/>
              </w:rPr>
            </w:pPr>
          </w:p>
        </w:tc>
      </w:tr>
      <w:tr w:rsidR="00264914" w:rsidRPr="00ED3753" w:rsidTr="00120A92">
        <w:trPr>
          <w:jc w:val="center"/>
        </w:trPr>
        <w:tc>
          <w:tcPr>
            <w:tcW w:w="4876" w:type="dxa"/>
          </w:tcPr>
          <w:p w:rsidR="00744099" w:rsidRPr="00ED3753" w:rsidRDefault="00F30C80" w:rsidP="00744099">
            <w:pPr>
              <w:pStyle w:val="Normal6"/>
              <w:rPr>
                <w:b/>
                <w:i/>
              </w:rPr>
            </w:pPr>
            <w:r w:rsidRPr="00ED3753">
              <w:rPr>
                <w:b/>
                <w:i/>
              </w:rPr>
              <w:t>7.</w:t>
            </w:r>
            <w:r w:rsidRPr="00ED3753">
              <w:rPr>
                <w:b/>
                <w:i/>
              </w:rPr>
              <w:tab/>
              <w:t>Indien een onderdaan van een derde land aan wie een in lid 1 bedoeld besluit is uitgevaardigd door een vervoerder naar de grens wordt gebracht, kan de ter plaatse verant</w:t>
            </w:r>
            <w:r w:rsidRPr="00ED3753">
              <w:rPr>
                <w:b/>
                <w:i/>
              </w:rPr>
              <w:t>woordelijke autoriteit:</w:t>
            </w:r>
          </w:p>
        </w:tc>
        <w:tc>
          <w:tcPr>
            <w:tcW w:w="4876" w:type="dxa"/>
          </w:tcPr>
          <w:p w:rsidR="00744099" w:rsidRPr="00ED3753" w:rsidRDefault="00744099">
            <w:pPr>
              <w:pStyle w:val="Normal6"/>
              <w:rPr>
                <w:b/>
                <w:i/>
              </w:rPr>
            </w:pPr>
          </w:p>
        </w:tc>
      </w:tr>
      <w:tr w:rsidR="00264914" w:rsidRPr="00ED3753" w:rsidTr="00120A92">
        <w:trPr>
          <w:jc w:val="center"/>
        </w:trPr>
        <w:tc>
          <w:tcPr>
            <w:tcW w:w="4876" w:type="dxa"/>
          </w:tcPr>
          <w:p w:rsidR="00744099" w:rsidRPr="00ED3753" w:rsidRDefault="00F30C80" w:rsidP="00744099">
            <w:pPr>
              <w:pStyle w:val="Normal6"/>
              <w:rPr>
                <w:b/>
                <w:i/>
              </w:rPr>
            </w:pPr>
            <w:r w:rsidRPr="00ED3753">
              <w:rPr>
                <w:b/>
                <w:i/>
              </w:rPr>
              <w:t>a)</w:t>
            </w:r>
            <w:r w:rsidRPr="00ED3753">
              <w:rPr>
                <w:b/>
                <w:i/>
              </w:rPr>
              <w:tab/>
              <w:t>de vervoerder gelasten de onderdaan van een derde land terug te nemen en onverwijld naar de lidstaat te brengen van waaruit hij werd vervoerd;</w:t>
            </w:r>
          </w:p>
        </w:tc>
        <w:tc>
          <w:tcPr>
            <w:tcW w:w="4876" w:type="dxa"/>
          </w:tcPr>
          <w:p w:rsidR="00744099" w:rsidRPr="00ED3753" w:rsidRDefault="00744099">
            <w:pPr>
              <w:pStyle w:val="Normal6"/>
              <w:rPr>
                <w:b/>
                <w:i/>
              </w:rPr>
            </w:pPr>
          </w:p>
        </w:tc>
      </w:tr>
      <w:tr w:rsidR="00264914" w:rsidRPr="00ED3753" w:rsidTr="00120A92">
        <w:trPr>
          <w:jc w:val="center"/>
        </w:trPr>
        <w:tc>
          <w:tcPr>
            <w:tcW w:w="4876" w:type="dxa"/>
          </w:tcPr>
          <w:p w:rsidR="00744099" w:rsidRPr="00ED3753" w:rsidRDefault="00F30C80" w:rsidP="008D1B5E">
            <w:pPr>
              <w:pStyle w:val="Normal6"/>
              <w:rPr>
                <w:b/>
                <w:i/>
              </w:rPr>
            </w:pPr>
            <w:r w:rsidRPr="00ED3753">
              <w:rPr>
                <w:b/>
                <w:i/>
              </w:rPr>
              <w:t>b)</w:t>
            </w:r>
            <w:r w:rsidRPr="00ED3753">
              <w:rPr>
                <w:b/>
                <w:i/>
              </w:rPr>
              <w:tab/>
              <w:t>in afwachting van de terugbrenging, overeenkomstig het interne recht en met ina</w:t>
            </w:r>
            <w:r w:rsidRPr="00ED3753">
              <w:rPr>
                <w:b/>
                <w:i/>
              </w:rPr>
              <w:t>chtneming van de plaatselijke omstandigheden, passende maatregelen treffen om te verhinderen dat onderdanen van een derde land aan wie de toegang is geweigerd, illegaal de lidstaat binnenkomen.</w:t>
            </w:r>
          </w:p>
        </w:tc>
        <w:tc>
          <w:tcPr>
            <w:tcW w:w="4876" w:type="dxa"/>
          </w:tcPr>
          <w:p w:rsidR="00744099" w:rsidRPr="00ED3753" w:rsidRDefault="00744099">
            <w:pPr>
              <w:pStyle w:val="Normal6"/>
              <w:rPr>
                <w:b/>
                <w:i/>
              </w:rPr>
            </w:pPr>
          </w:p>
        </w:tc>
      </w:tr>
      <w:tr w:rsidR="00264914" w:rsidRPr="00ED3753" w:rsidTr="00120A92">
        <w:trPr>
          <w:jc w:val="center"/>
        </w:trPr>
        <w:tc>
          <w:tcPr>
            <w:tcW w:w="4876" w:type="dxa"/>
            <w:hideMark/>
          </w:tcPr>
          <w:p w:rsidR="00120A92" w:rsidRPr="00ED3753" w:rsidRDefault="00F30C80">
            <w:pPr>
              <w:pStyle w:val="Normal6"/>
              <w:rPr>
                <w:b/>
                <w:i/>
              </w:rPr>
            </w:pPr>
            <w:r w:rsidRPr="00ED3753">
              <w:rPr>
                <w:b/>
                <w:i/>
              </w:rPr>
              <w:t>DEEL B</w:t>
            </w:r>
          </w:p>
        </w:tc>
        <w:tc>
          <w:tcPr>
            <w:tcW w:w="4876" w:type="dxa"/>
            <w:hideMark/>
          </w:tcPr>
          <w:p w:rsidR="00120A92" w:rsidRPr="00ED3753" w:rsidRDefault="00120A92">
            <w:pPr>
              <w:pStyle w:val="Normal6"/>
              <w:rPr>
                <w:szCs w:val="24"/>
              </w:rPr>
            </w:pPr>
          </w:p>
        </w:tc>
      </w:tr>
      <w:tr w:rsidR="00264914" w:rsidRPr="00ED3753" w:rsidTr="00120A92">
        <w:trPr>
          <w:jc w:val="center"/>
        </w:trPr>
        <w:tc>
          <w:tcPr>
            <w:tcW w:w="4876" w:type="dxa"/>
          </w:tcPr>
          <w:p w:rsidR="00744099" w:rsidRPr="00ED3753" w:rsidRDefault="00F30C80" w:rsidP="004A1010">
            <w:pPr>
              <w:pStyle w:val="Normal6"/>
              <w:rPr>
                <w:b/>
                <w:i/>
              </w:rPr>
            </w:pPr>
            <w:r w:rsidRPr="00ED3753">
              <w:rPr>
                <w:b/>
                <w:i/>
              </w:rPr>
              <w:t xml:space="preserve">Modelformulier voor de overbrenging van aan de </w:t>
            </w:r>
            <w:r w:rsidRPr="00ED3753">
              <w:rPr>
                <w:b/>
                <w:i/>
              </w:rPr>
              <w:t>binnengrenzen aangehouden personen [...]</w:t>
            </w:r>
          </w:p>
        </w:tc>
        <w:tc>
          <w:tcPr>
            <w:tcW w:w="4876" w:type="dxa"/>
          </w:tcPr>
          <w:p w:rsidR="00744099" w:rsidRPr="00ED3753" w:rsidRDefault="00744099">
            <w:pPr>
              <w:pStyle w:val="Normal6"/>
              <w:rPr>
                <w:b/>
                <w:i/>
              </w:rPr>
            </w:pP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90</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2</w:t>
      </w:r>
      <w:r w:rsidRPr="00ED3753">
        <w:rPr>
          <w:rStyle w:val="HideTWBExt"/>
          <w:b w:val="0"/>
        </w:rPr>
        <w:t>&lt;/Article&gt;</w:t>
      </w:r>
    </w:p>
    <w:p w:rsidR="00120A92" w:rsidRPr="00ED3753" w:rsidRDefault="00F30C80" w:rsidP="00120A92">
      <w:pPr>
        <w:keepNext/>
      </w:pPr>
      <w:r w:rsidRPr="00ED3753">
        <w:rPr>
          <w:rStyle w:val="HideTWBExt"/>
        </w:rPr>
        <w:t>&lt;DocAmend2&gt;</w:t>
      </w:r>
      <w:r w:rsidRPr="00ED3753">
        <w:t>Richtlijn 2008/115/EG</w:t>
      </w:r>
      <w:r w:rsidRPr="00ED3753">
        <w:rPr>
          <w:rStyle w:val="HideTWBExt"/>
        </w:rPr>
        <w:t>&lt;/DocAmend2&gt;</w:t>
      </w:r>
    </w:p>
    <w:p w:rsidR="00120A92" w:rsidRPr="00ED3753" w:rsidRDefault="00F30C80" w:rsidP="00120A92">
      <w:r w:rsidRPr="00ED3753">
        <w:rPr>
          <w:rStyle w:val="HideTWBExt"/>
        </w:rPr>
        <w:t>&lt;Article2&gt;</w:t>
      </w:r>
      <w:r w:rsidRPr="00ED3753">
        <w:t>Artikel 6 – lid 3</w:t>
      </w:r>
      <w:r w:rsidRPr="00ED37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894B63">
        <w:trPr>
          <w:jc w:val="center"/>
        </w:trPr>
        <w:tc>
          <w:tcPr>
            <w:tcW w:w="9752" w:type="dxa"/>
            <w:gridSpan w:val="2"/>
          </w:tcPr>
          <w:p w:rsidR="00120A92" w:rsidRPr="00ED3753" w:rsidRDefault="00120A92">
            <w:pPr>
              <w:keepNext/>
            </w:pPr>
          </w:p>
        </w:tc>
      </w:tr>
      <w:tr w:rsidR="00264914" w:rsidRPr="00ED3753" w:rsidTr="00894B63">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894B63">
        <w:trPr>
          <w:jc w:val="center"/>
        </w:trPr>
        <w:tc>
          <w:tcPr>
            <w:tcW w:w="4876" w:type="dxa"/>
            <w:hideMark/>
          </w:tcPr>
          <w:p w:rsidR="00120A92" w:rsidRPr="00ED3753" w:rsidRDefault="00F30C80">
            <w:pPr>
              <w:pStyle w:val="Normal6"/>
              <w:jc w:val="center"/>
            </w:pPr>
            <w:r w:rsidRPr="00ED3753">
              <w:rPr>
                <w:b/>
                <w:i/>
              </w:rPr>
              <w:t>Artikel 2</w:t>
            </w:r>
          </w:p>
        </w:tc>
        <w:tc>
          <w:tcPr>
            <w:tcW w:w="4876" w:type="dxa"/>
            <w:hideMark/>
          </w:tcPr>
          <w:p w:rsidR="00120A92" w:rsidRPr="00ED3753" w:rsidRDefault="00F30C80">
            <w:pPr>
              <w:pStyle w:val="Normal6"/>
              <w:rPr>
                <w:szCs w:val="24"/>
              </w:rPr>
            </w:pPr>
            <w:r w:rsidRPr="00ED3753">
              <w:rPr>
                <w:b/>
                <w:i/>
              </w:rPr>
              <w:t>Schrappen</w:t>
            </w:r>
          </w:p>
        </w:tc>
      </w:tr>
      <w:tr w:rsidR="00264914" w:rsidRPr="00ED3753" w:rsidTr="00894B63">
        <w:trPr>
          <w:jc w:val="center"/>
        </w:trPr>
        <w:tc>
          <w:tcPr>
            <w:tcW w:w="4876" w:type="dxa"/>
            <w:hideMark/>
          </w:tcPr>
          <w:p w:rsidR="00120A92" w:rsidRPr="00ED3753" w:rsidRDefault="00F30C80">
            <w:pPr>
              <w:pStyle w:val="Normal6"/>
              <w:jc w:val="center"/>
            </w:pPr>
            <w:r w:rsidRPr="00ED3753">
              <w:rPr>
                <w:b/>
                <w:i/>
              </w:rPr>
              <w:t>Wijziging van Richtlijn 2008/115/EG</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1.</w:t>
            </w:r>
            <w:r w:rsidRPr="00ED3753">
              <w:rPr>
                <w:b/>
                <w:i/>
              </w:rPr>
              <w:tab/>
              <w:t>Artikel 6, lid 3, van Richtlijn 2008/115/EG wordt vervangen door:</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3.</w:t>
            </w:r>
            <w:r w:rsidRPr="00ED3753">
              <w:rPr>
                <w:b/>
                <w:i/>
              </w:rPr>
              <w:tab/>
              <w:t xml:space="preserve">De lidstaten kunnen ervan afzien een </w:t>
            </w:r>
            <w:r w:rsidRPr="00ED3753">
              <w:rPr>
                <w:b/>
                <w:i/>
              </w:rPr>
              <w:t>terugkeerbesluit uit te vaardigen tegen een illegaal op hun grondgebied verblijvende onderdaan van een derde land indien de betrokken onderdaan van een derde land door een andere lidstaat wordt teruggenomen in overeenstemming met de procedure van artikel 2</w:t>
            </w:r>
            <w:r w:rsidRPr="00ED3753">
              <w:rPr>
                <w:b/>
                <w:i/>
              </w:rPr>
              <w:t>3 bis van Verordening (EU) 2016/399 van het Europees Parlement en de Raad* of krachtens bilaterale overeenkomsten of regelingen.</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 xml:space="preserve">De lidstaat die de betrokken onderdaan van een derde land in overeenstemming met de eerste alinea heeft teruggenomen, </w:t>
            </w:r>
            <w:r w:rsidRPr="00ED3753">
              <w:rPr>
                <w:b/>
                <w:i/>
              </w:rPr>
              <w:t>vaardigt een terugkeerbesluit uit overeenkomstig lid 1. In die gevallen is de in de eerste alinea bedoelde uitzondering niet van toepassing.</w:t>
            </w:r>
          </w:p>
        </w:tc>
        <w:tc>
          <w:tcPr>
            <w:tcW w:w="4876" w:type="dxa"/>
          </w:tcPr>
          <w:p w:rsidR="00120A92" w:rsidRPr="00ED3753" w:rsidRDefault="00120A92">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De lidstaten stellen de Commissie onverwijld in kennis van bestaande, gewijzigde of nieuwe bilaterale overeenkoms</w:t>
            </w:r>
            <w:r w:rsidRPr="00ED3753">
              <w:rPr>
                <w:b/>
                <w:i/>
              </w:rPr>
              <w:t>ten of regelingen.</w:t>
            </w:r>
          </w:p>
        </w:tc>
        <w:tc>
          <w:tcPr>
            <w:tcW w:w="4876" w:type="dxa"/>
          </w:tcPr>
          <w:p w:rsidR="00120A92" w:rsidRPr="00ED3753" w:rsidRDefault="00120A92">
            <w:pPr>
              <w:pStyle w:val="Normal6"/>
              <w:rPr>
                <w:szCs w:val="24"/>
              </w:rPr>
            </w:pPr>
          </w:p>
        </w:tc>
      </w:tr>
      <w:tr w:rsidR="00264914" w:rsidRPr="00ED3753" w:rsidTr="001C7050">
        <w:trPr>
          <w:jc w:val="center"/>
        </w:trPr>
        <w:tc>
          <w:tcPr>
            <w:tcW w:w="4876" w:type="dxa"/>
          </w:tcPr>
          <w:p w:rsidR="003C03AE" w:rsidRPr="00ED3753" w:rsidRDefault="00F30C80">
            <w:pPr>
              <w:pStyle w:val="Normal6"/>
              <w:rPr>
                <w:b/>
                <w:i/>
              </w:rPr>
            </w:pPr>
            <w:r w:rsidRPr="00ED3753">
              <w:rPr>
                <w:b/>
                <w:i/>
              </w:rPr>
              <w:t>________</w:t>
            </w:r>
          </w:p>
        </w:tc>
        <w:tc>
          <w:tcPr>
            <w:tcW w:w="4876" w:type="dxa"/>
          </w:tcPr>
          <w:p w:rsidR="003C03AE" w:rsidRPr="00ED3753" w:rsidRDefault="003C03AE">
            <w:pPr>
              <w:pStyle w:val="Normal6"/>
              <w:rPr>
                <w:szCs w:val="24"/>
              </w:rPr>
            </w:pPr>
          </w:p>
        </w:tc>
      </w:tr>
      <w:tr w:rsidR="00264914" w:rsidRPr="00ED3753" w:rsidTr="00894B63">
        <w:trPr>
          <w:jc w:val="center"/>
        </w:trPr>
        <w:tc>
          <w:tcPr>
            <w:tcW w:w="4876" w:type="dxa"/>
            <w:hideMark/>
          </w:tcPr>
          <w:p w:rsidR="00120A92" w:rsidRPr="00ED3753" w:rsidRDefault="00F30C80">
            <w:pPr>
              <w:pStyle w:val="Normal6"/>
            </w:pPr>
            <w:r w:rsidRPr="00ED3753">
              <w:rPr>
                <w:b/>
                <w:i/>
              </w:rPr>
              <w:t>* Verordening (EU) 2016/399 van het Europees Parlement en de Raad van 9 maart 2016 betreffende een Uniecode voor de overschrijding van de grenzen door personen (Schengengrenscode) (PB L 77 van 23.3.2016, blz. 1).</w:t>
            </w:r>
          </w:p>
        </w:tc>
        <w:tc>
          <w:tcPr>
            <w:tcW w:w="4876" w:type="dxa"/>
          </w:tcPr>
          <w:p w:rsidR="00120A92" w:rsidRPr="00ED3753" w:rsidRDefault="00120A92">
            <w:pPr>
              <w:pStyle w:val="Normal6"/>
              <w:rPr>
                <w:szCs w:val="24"/>
              </w:rPr>
            </w:pP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633BD7" w:rsidRPr="00ED3753" w:rsidRDefault="00F30C80" w:rsidP="00633BD7">
      <w:pPr>
        <w:pStyle w:val="JustificationTitle"/>
        <w:rPr>
          <w:noProof w:val="0"/>
          <w:szCs w:val="24"/>
        </w:rPr>
      </w:pPr>
      <w:r w:rsidRPr="00ED3753">
        <w:rPr>
          <w:rStyle w:val="HideTWBExt"/>
          <w:rFonts w:ascii="Times New Roman" w:hAnsi="Times New Roman"/>
          <w:sz w:val="24"/>
        </w:rPr>
        <w:t>&lt;TitreJust&gt;</w:t>
      </w:r>
      <w:r w:rsidRPr="00ED3753">
        <w:t>Motivering</w:t>
      </w:r>
      <w:r w:rsidRPr="00ED3753">
        <w:rPr>
          <w:rStyle w:val="HideTWBExt"/>
          <w:rFonts w:ascii="Times New Roman" w:hAnsi="Times New Roman"/>
          <w:sz w:val="24"/>
        </w:rPr>
        <w:t>&lt;/TitreJust&gt;</w:t>
      </w:r>
    </w:p>
    <w:p w:rsidR="00633BD7" w:rsidRPr="00ED3753" w:rsidRDefault="00F30C80" w:rsidP="00633BD7">
      <w:pPr>
        <w:pStyle w:val="JustificationTitle"/>
        <w:jc w:val="both"/>
        <w:rPr>
          <w:rFonts w:eastAsiaTheme="minorHAnsi"/>
          <w:szCs w:val="24"/>
        </w:rPr>
      </w:pPr>
      <w:r w:rsidRPr="00ED3753">
        <w:t>De standstillclausule in de terugkeerrichtlijn was bedoeld om ervoor te zorgen dat de EU naar een meer geharmoniseerde aanpak toewerkt. De rapporteur wil in dat opzicht geen stap achteruit zette</w:t>
      </w:r>
      <w:r w:rsidRPr="00ED3753">
        <w:t>n door meer bilaterale overeenkomsten binnen het Schengengebied aan te moedigen die alleen dienen om de EU-regels te omzeilen.</w:t>
      </w:r>
    </w:p>
    <w:p w:rsidR="00120A92" w:rsidRPr="00ED3753" w:rsidRDefault="00F30C80" w:rsidP="00120A92">
      <w:r w:rsidRPr="00ED3753">
        <w:rPr>
          <w:rStyle w:val="HideTWBExt"/>
        </w:rPr>
        <w:t>&lt;/Amend&gt;</w:t>
      </w:r>
    </w:p>
    <w:p w:rsidR="00120A92" w:rsidRPr="00ED3753" w:rsidRDefault="00F30C80" w:rsidP="00120A92">
      <w:pPr>
        <w:pStyle w:val="AMNumberTabs0"/>
        <w:keepNext/>
      </w:pPr>
      <w:r w:rsidRPr="00ED3753">
        <w:rPr>
          <w:rStyle w:val="HideTWBExt"/>
          <w:b w:val="0"/>
        </w:rPr>
        <w:t>&lt;Amend&gt;</w:t>
      </w:r>
      <w:r w:rsidRPr="00ED3753">
        <w:t>Amendement</w:t>
      </w:r>
      <w:r w:rsidRPr="00ED3753">
        <w:tab/>
      </w:r>
      <w:r w:rsidRPr="00ED3753">
        <w:tab/>
      </w:r>
      <w:r w:rsidRPr="00ED3753">
        <w:rPr>
          <w:rStyle w:val="HideTWBExt"/>
          <w:b w:val="0"/>
        </w:rPr>
        <w:t>&lt;NumAm&gt;</w:t>
      </w:r>
      <w:r w:rsidRPr="00ED3753">
        <w:t>91</w:t>
      </w:r>
      <w:r w:rsidRPr="00ED3753">
        <w:rPr>
          <w:rStyle w:val="HideTWBExt"/>
          <w:b w:val="0"/>
        </w:rPr>
        <w:t>&lt;/NumAm&gt;</w:t>
      </w:r>
    </w:p>
    <w:p w:rsidR="00120A92" w:rsidRPr="00ED3753" w:rsidRDefault="00F30C80" w:rsidP="00120A92">
      <w:pPr>
        <w:pStyle w:val="NormalBold12b"/>
        <w:keepNext/>
      </w:pPr>
      <w:r w:rsidRPr="00ED3753">
        <w:rPr>
          <w:rStyle w:val="HideTWBExt"/>
          <w:b w:val="0"/>
        </w:rPr>
        <w:t>&lt;DocAmend&gt;</w:t>
      </w:r>
      <w:r w:rsidRPr="00ED3753">
        <w:t>Voorstel voor een verordening</w:t>
      </w:r>
      <w:r w:rsidRPr="00ED3753">
        <w:rPr>
          <w:rStyle w:val="HideTWBExt"/>
          <w:b w:val="0"/>
        </w:rPr>
        <w:t>&lt;/DocAmend&gt;</w:t>
      </w:r>
    </w:p>
    <w:p w:rsidR="00120A92" w:rsidRPr="00ED3753" w:rsidRDefault="00F30C80" w:rsidP="00120A92">
      <w:pPr>
        <w:pStyle w:val="NormalBold"/>
      </w:pPr>
      <w:r w:rsidRPr="00ED3753">
        <w:rPr>
          <w:rStyle w:val="HideTWBExt"/>
          <w:b w:val="0"/>
        </w:rPr>
        <w:t>&lt;Article&gt;</w:t>
      </w:r>
      <w:r w:rsidRPr="00ED3753">
        <w:t>Artikel 3</w:t>
      </w:r>
      <w:r w:rsidRPr="00ED3753">
        <w:rPr>
          <w:rStyle w:val="HideTWBExt"/>
          <w:b w:val="0"/>
        </w:rPr>
        <w:t>&lt;/Article&gt;</w:t>
      </w:r>
    </w:p>
    <w:p w:rsidR="00120A92" w:rsidRPr="00ED3753" w:rsidRDefault="00120A92" w:rsidP="00120A92">
      <w:pPr>
        <w:keepNext/>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4914" w:rsidRPr="00ED3753" w:rsidTr="00120A92">
        <w:trPr>
          <w:jc w:val="center"/>
        </w:trPr>
        <w:tc>
          <w:tcPr>
            <w:tcW w:w="9752" w:type="dxa"/>
            <w:gridSpan w:val="2"/>
          </w:tcPr>
          <w:p w:rsidR="00120A92" w:rsidRPr="00ED3753" w:rsidRDefault="00120A92">
            <w:pPr>
              <w:keepNext/>
            </w:pPr>
          </w:p>
        </w:tc>
      </w:tr>
      <w:tr w:rsidR="00264914" w:rsidRPr="00ED3753" w:rsidTr="00120A92">
        <w:trPr>
          <w:jc w:val="center"/>
        </w:trPr>
        <w:tc>
          <w:tcPr>
            <w:tcW w:w="4876" w:type="dxa"/>
            <w:hideMark/>
          </w:tcPr>
          <w:p w:rsidR="00120A92" w:rsidRPr="00ED3753" w:rsidRDefault="00F30C80">
            <w:pPr>
              <w:pStyle w:val="ColumnHeading"/>
              <w:keepNext/>
            </w:pPr>
            <w:r w:rsidRPr="00ED3753">
              <w:t>Door de Commissie voorgestelde tekst</w:t>
            </w:r>
          </w:p>
        </w:tc>
        <w:tc>
          <w:tcPr>
            <w:tcW w:w="4876" w:type="dxa"/>
            <w:hideMark/>
          </w:tcPr>
          <w:p w:rsidR="00120A92" w:rsidRPr="00ED3753" w:rsidRDefault="00F30C80">
            <w:pPr>
              <w:pStyle w:val="ColumnHeading"/>
              <w:keepNext/>
            </w:pPr>
            <w:r w:rsidRPr="00ED3753">
              <w:t>Amendement</w:t>
            </w:r>
          </w:p>
        </w:tc>
      </w:tr>
      <w:tr w:rsidR="00264914" w:rsidRPr="00ED3753" w:rsidTr="00120A92">
        <w:trPr>
          <w:jc w:val="center"/>
        </w:trPr>
        <w:tc>
          <w:tcPr>
            <w:tcW w:w="4876" w:type="dxa"/>
            <w:hideMark/>
          </w:tcPr>
          <w:p w:rsidR="00120A92" w:rsidRPr="00ED3753" w:rsidRDefault="00F30C80">
            <w:pPr>
              <w:pStyle w:val="Normal6"/>
              <w:jc w:val="center"/>
            </w:pPr>
            <w:r w:rsidRPr="00ED3753">
              <w:rPr>
                <w:b/>
                <w:i/>
              </w:rPr>
              <w:t>Artikel 3</w:t>
            </w:r>
          </w:p>
        </w:tc>
        <w:tc>
          <w:tcPr>
            <w:tcW w:w="4876" w:type="dxa"/>
            <w:hideMark/>
          </w:tcPr>
          <w:p w:rsidR="00120A92" w:rsidRPr="00ED3753" w:rsidRDefault="00F30C80">
            <w:pPr>
              <w:pStyle w:val="Normal6"/>
              <w:rPr>
                <w:szCs w:val="24"/>
              </w:rPr>
            </w:pPr>
            <w:r w:rsidRPr="00ED3753">
              <w:rPr>
                <w:b/>
                <w:i/>
              </w:rPr>
              <w:t>Schrappen</w:t>
            </w:r>
          </w:p>
        </w:tc>
      </w:tr>
      <w:tr w:rsidR="00264914" w:rsidRPr="00ED3753" w:rsidTr="00120A92">
        <w:trPr>
          <w:jc w:val="center"/>
        </w:trPr>
        <w:tc>
          <w:tcPr>
            <w:tcW w:w="4876" w:type="dxa"/>
            <w:hideMark/>
          </w:tcPr>
          <w:p w:rsidR="00120A92" w:rsidRPr="00ED3753" w:rsidRDefault="00F30C80">
            <w:pPr>
              <w:pStyle w:val="Normal6"/>
              <w:jc w:val="center"/>
            </w:pPr>
            <w:r w:rsidRPr="00ED3753">
              <w:rPr>
                <w:b/>
                <w:i/>
              </w:rPr>
              <w:t>Omzetting van wijziging van Richtlijn 2008/115/EG</w:t>
            </w:r>
          </w:p>
        </w:tc>
        <w:tc>
          <w:tcPr>
            <w:tcW w:w="4876" w:type="dxa"/>
          </w:tcPr>
          <w:p w:rsidR="00120A92" w:rsidRPr="00ED3753" w:rsidRDefault="00120A92">
            <w:pPr>
              <w:pStyle w:val="Normal6"/>
              <w:rPr>
                <w:szCs w:val="24"/>
              </w:rPr>
            </w:pPr>
          </w:p>
        </w:tc>
      </w:tr>
      <w:tr w:rsidR="00264914" w:rsidRPr="00ED3753" w:rsidTr="00120A92">
        <w:trPr>
          <w:jc w:val="center"/>
        </w:trPr>
        <w:tc>
          <w:tcPr>
            <w:tcW w:w="4876" w:type="dxa"/>
            <w:hideMark/>
          </w:tcPr>
          <w:p w:rsidR="00120A92" w:rsidRPr="00ED3753" w:rsidRDefault="00F30C80">
            <w:pPr>
              <w:pStyle w:val="Normal6"/>
            </w:pPr>
            <w:r w:rsidRPr="00ED3753">
              <w:rPr>
                <w:b/>
                <w:i/>
              </w:rPr>
              <w:t>1.</w:t>
            </w:r>
            <w:r w:rsidRPr="00ED3753">
              <w:rPr>
                <w:b/>
                <w:i/>
              </w:rPr>
              <w:tab/>
              <w:t>Uiterlijk op [zes maanden na de inwerkingtreding van deze verordening] stellen de lidstaten de nodige wettelijke en bestuursrechtel</w:t>
            </w:r>
            <w:r w:rsidRPr="00ED3753">
              <w:rPr>
                <w:b/>
                <w:i/>
              </w:rPr>
              <w:t>ijke bepalingen om aan artikel 2 te voldoen vast en maken zij deze bekend. Zij delen de Commissie de tekst van die bepalingen onverwijld mee.</w:t>
            </w:r>
          </w:p>
        </w:tc>
        <w:tc>
          <w:tcPr>
            <w:tcW w:w="4876" w:type="dxa"/>
          </w:tcPr>
          <w:p w:rsidR="00120A92" w:rsidRPr="00ED3753" w:rsidRDefault="00120A92">
            <w:pPr>
              <w:pStyle w:val="Normal6"/>
              <w:rPr>
                <w:szCs w:val="24"/>
              </w:rPr>
            </w:pPr>
          </w:p>
        </w:tc>
      </w:tr>
      <w:tr w:rsidR="00264914" w:rsidRPr="00ED3753" w:rsidTr="00120A92">
        <w:trPr>
          <w:jc w:val="center"/>
        </w:trPr>
        <w:tc>
          <w:tcPr>
            <w:tcW w:w="4876" w:type="dxa"/>
            <w:hideMark/>
          </w:tcPr>
          <w:p w:rsidR="00120A92" w:rsidRPr="00ED3753" w:rsidRDefault="00F30C80">
            <w:pPr>
              <w:pStyle w:val="Normal6"/>
            </w:pPr>
            <w:r w:rsidRPr="00ED3753">
              <w:rPr>
                <w:b/>
                <w:i/>
              </w:rPr>
              <w:t>Zij passen die bepalingen toe vanaf [zes maanden na de inwerkingtreding].</w:t>
            </w:r>
          </w:p>
        </w:tc>
        <w:tc>
          <w:tcPr>
            <w:tcW w:w="4876" w:type="dxa"/>
          </w:tcPr>
          <w:p w:rsidR="00120A92" w:rsidRPr="00ED3753" w:rsidRDefault="00120A92">
            <w:pPr>
              <w:pStyle w:val="Normal6"/>
              <w:rPr>
                <w:szCs w:val="24"/>
              </w:rPr>
            </w:pPr>
          </w:p>
        </w:tc>
      </w:tr>
      <w:tr w:rsidR="00264914" w:rsidRPr="00ED3753" w:rsidTr="00120A92">
        <w:trPr>
          <w:jc w:val="center"/>
        </w:trPr>
        <w:tc>
          <w:tcPr>
            <w:tcW w:w="4876" w:type="dxa"/>
            <w:hideMark/>
          </w:tcPr>
          <w:p w:rsidR="00120A92" w:rsidRPr="00ED3753" w:rsidRDefault="00F30C80">
            <w:pPr>
              <w:pStyle w:val="Normal6"/>
            </w:pPr>
            <w:r w:rsidRPr="00ED3753">
              <w:rPr>
                <w:b/>
                <w:i/>
              </w:rPr>
              <w:t xml:space="preserve">Wanneer de lidstaten die bepalingen </w:t>
            </w:r>
            <w:r w:rsidRPr="00ED3753">
              <w:rPr>
                <w:b/>
                <w:i/>
              </w:rPr>
              <w:t>aannemen, wordt in de bepalingen zelf of bij de officiële bekendmaking daarvan naar artikel 2 van deze verordening verwezen. De regels voor de verwijzing worden vastgesteld door de lidstaten.</w:t>
            </w:r>
          </w:p>
        </w:tc>
        <w:tc>
          <w:tcPr>
            <w:tcW w:w="4876" w:type="dxa"/>
          </w:tcPr>
          <w:p w:rsidR="00120A92" w:rsidRPr="00ED3753" w:rsidRDefault="00120A92">
            <w:pPr>
              <w:pStyle w:val="Normal6"/>
              <w:rPr>
                <w:szCs w:val="24"/>
              </w:rPr>
            </w:pPr>
          </w:p>
        </w:tc>
      </w:tr>
    </w:tbl>
    <w:p w:rsidR="00120A92" w:rsidRPr="00ED3753" w:rsidRDefault="00F30C80" w:rsidP="00120A92">
      <w:pPr>
        <w:pStyle w:val="Olang"/>
      </w:pPr>
      <w:r w:rsidRPr="00ED3753">
        <w:rPr>
          <w:noProof w:val="0"/>
        </w:rPr>
        <w:t xml:space="preserve">Or. </w:t>
      </w:r>
      <w:r w:rsidRPr="00ED3753">
        <w:rPr>
          <w:rStyle w:val="HideTWBExt"/>
          <w:noProof w:val="0"/>
        </w:rPr>
        <w:t>&lt;Original&gt;</w:t>
      </w:r>
      <w:r w:rsidRPr="00ED3753">
        <w:rPr>
          <w:rStyle w:val="HideTWBInt"/>
          <w:noProof w:val="0"/>
        </w:rPr>
        <w:t>{EN}</w:t>
      </w:r>
      <w:r w:rsidRPr="00ED3753">
        <w:rPr>
          <w:noProof w:val="0"/>
        </w:rPr>
        <w:t>en</w:t>
      </w:r>
      <w:r w:rsidRPr="00ED3753">
        <w:rPr>
          <w:rStyle w:val="HideTWBExt"/>
          <w:noProof w:val="0"/>
        </w:rPr>
        <w:t>&lt;/Original&gt;</w:t>
      </w:r>
    </w:p>
    <w:p w:rsidR="00120A92" w:rsidRPr="00ED3753" w:rsidRDefault="00F30C80" w:rsidP="00120A92">
      <w:r w:rsidRPr="00ED3753">
        <w:rPr>
          <w:rStyle w:val="HideTWBExt"/>
        </w:rPr>
        <w:t>&lt;/Amend&gt;&lt;/RepeatBlock-Amend&gt;</w:t>
      </w:r>
    </w:p>
    <w:p w:rsidR="004D44A8" w:rsidRPr="00ED3753" w:rsidRDefault="004D44A8" w:rsidP="002669B6">
      <w:pPr>
        <w:sectPr w:rsidR="004D44A8" w:rsidRPr="00ED3753" w:rsidSect="00ED37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ED3753" w:rsidRDefault="00F30C80" w:rsidP="004D44A8">
      <w:pPr>
        <w:pStyle w:val="PageHeading"/>
      </w:pPr>
      <w:bookmarkStart w:id="2" w:name="_Toc119402790"/>
      <w:r w:rsidRPr="00ED3753">
        <w:t>TOELICHTING</w:t>
      </w:r>
      <w:bookmarkEnd w:id="2"/>
    </w:p>
    <w:p w:rsidR="004D44A8" w:rsidRPr="00ED3753" w:rsidRDefault="00F30C80" w:rsidP="00E92374">
      <w:pPr>
        <w:spacing w:after="240"/>
        <w:jc w:val="both"/>
        <w:rPr>
          <w:szCs w:val="24"/>
        </w:rPr>
      </w:pPr>
      <w:r w:rsidRPr="00ED3753">
        <w:t>Het Schengengebied is een van de grootste verwezenlijkingen van de Unie, een tastbare en waardevolle prestatie in het hart van het EU-project, waardoor meer dan 400 miljoen mensen al meer dan 25 jaar lang zonder beperkingen kunnen reizen, hetge</w:t>
      </w:r>
      <w:r w:rsidRPr="00ED3753">
        <w:t>en uniek is in de wereld.</w:t>
      </w:r>
    </w:p>
    <w:p w:rsidR="00E92374" w:rsidRPr="00ED3753" w:rsidRDefault="00F30C80" w:rsidP="00E92374">
      <w:pPr>
        <w:spacing w:after="240"/>
        <w:jc w:val="both"/>
        <w:rPr>
          <w:szCs w:val="24"/>
        </w:rPr>
      </w:pPr>
      <w:r w:rsidRPr="00ED3753">
        <w:t xml:space="preserve">Helaas is deze ruimte van vrij verkeer, zonder binnengrenstoezicht, al enkele jaren in gevaar. Vele redenen worden gegeven voor het toenemende, en steeds meer permanente, gebruik van binnengrenstoezicht in het Schengengebied, dat </w:t>
      </w:r>
      <w:r w:rsidRPr="00ED3753">
        <w:t>voornamelijk betrekking heeft op personen: de dreiging van terrorisme, het volksgezondheidsrisico in verband met pandemieën, zelfs het personenverkeer over de grenzen zelf. De rode draad is dat de lidstaten deze redenen hebben gebruikt als voorwendsel om z</w:t>
      </w:r>
      <w:r w:rsidRPr="00ED3753">
        <w:t>ich naar binnen te keren.</w:t>
      </w:r>
    </w:p>
    <w:p w:rsidR="00E92374" w:rsidRPr="00ED3753" w:rsidRDefault="00F30C80" w:rsidP="00E92374">
      <w:pPr>
        <w:spacing w:after="240"/>
        <w:jc w:val="both"/>
        <w:rPr>
          <w:szCs w:val="24"/>
        </w:rPr>
      </w:pPr>
      <w:r w:rsidRPr="00ED3753">
        <w:t>De Europese Commissie heeft een gewijzigde versie van de Schengengrenscode voorgesteld om het Schengengebied te versterken en terug te keren naar een volledig functionerend gebied zonder binnengrenstoezicht. Helaas heeft de Commis</w:t>
      </w:r>
      <w:r w:rsidRPr="00ED3753">
        <w:t>sie gekozen voor een aanpak waarbij juist die redenen voor meer grenstoezicht en beperking van het vrije verkeer worden aanvaard.  Nieuwe gronden creëren om de invoering van binnengrenstoezicht te rechtvaardigen of meer controles toestaan die eruit zien en</w:t>
      </w:r>
      <w:r w:rsidRPr="00ED3753">
        <w:t xml:space="preserve"> aanvoelen als grenstoezicht, lijkt niet te stroken met het doel van de EU-Verdragen om de EU-burgers een ruimte van vrijheid, veiligheid en recht zonder binnengrenzen te bieden. De rapporteur heeft besloten zich bij het voorstellen van amendementen op dit</w:t>
      </w:r>
      <w:r w:rsidRPr="00ED3753">
        <w:t xml:space="preserve"> voorstel te concentreren op het primaire EU-recht, waarbij zij de grondbeginselen van het Schengengebied wil verdedigen zoals die zijn vastgelegd in de Verdragen en het Handvest van de grondrechten, met name in artikel 3 VEU, in artikel 67, lid 2, VWEU en</w:t>
      </w:r>
      <w:r w:rsidRPr="00ED3753">
        <w:t xml:space="preserve"> in artikel 77, lid 2, punt e), VWEU.</w:t>
      </w:r>
    </w:p>
    <w:p w:rsidR="00E92374" w:rsidRPr="00ED3753" w:rsidRDefault="00F30C80" w:rsidP="00E92374">
      <w:pPr>
        <w:spacing w:after="240"/>
        <w:jc w:val="both"/>
        <w:rPr>
          <w:szCs w:val="24"/>
        </w:rPr>
      </w:pPr>
      <w:r w:rsidRPr="00ED3753">
        <w:t xml:space="preserve">Wat de bepalingen inzake instrumentalisering betreft, geeft de rapporteur er de voorkeur aan deze uit de tekst te verwijderen, aangezien zij enerzijds een geopolitiek doel dienen dat van beperkt belang is voor de </w:t>
      </w:r>
      <w:r w:rsidRPr="00ED3753">
        <w:t>regels die de goede werking van het Schengengebied waarborgen, en anderzijds de Commissie een afzonderlijk, specifiek voorstel heeft gedaan voor een verordening over dit onderwerp, waarin alle elementen in verband met dit concept aan bod moeten komen.</w:t>
      </w:r>
    </w:p>
    <w:p w:rsidR="00E92374" w:rsidRPr="00ED3753" w:rsidRDefault="00F30C80" w:rsidP="00E92374">
      <w:pPr>
        <w:spacing w:after="240"/>
        <w:jc w:val="both"/>
        <w:rPr>
          <w:szCs w:val="24"/>
        </w:rPr>
      </w:pPr>
      <w:r w:rsidRPr="00ED3753">
        <w:t>Voor</w:t>
      </w:r>
      <w:r w:rsidRPr="00ED3753">
        <w:t xml:space="preserve">ts, en in ditzelfde verband, is de rapporteur van mening – zoals in de overwegingen van de huidige Schengengrenscode staat – dat migratie op zich geen “ernstige bedreiging voor de binnenlandse veiligheid” vormt. Zij is het dan ook niet eens met de door de </w:t>
      </w:r>
      <w:r w:rsidRPr="00ED3753">
        <w:t>Commissie voorgestelde invoering van het begrip “grootschalige niet-toegestane verplaatsing van onderdanen van derde landen” als Schengen-concept. Zij heeft voorgesteld dit begrip te schrappen.</w:t>
      </w:r>
    </w:p>
    <w:p w:rsidR="004D44A8" w:rsidRPr="00ED3753" w:rsidRDefault="00F30C80" w:rsidP="00E92374">
      <w:pPr>
        <w:spacing w:after="240"/>
        <w:jc w:val="both"/>
        <w:rPr>
          <w:szCs w:val="24"/>
        </w:rPr>
      </w:pPr>
      <w:r w:rsidRPr="00ED3753">
        <w:t>Wat de nieuwe procedure voor interne Schengen-terugkeer (artik</w:t>
      </w:r>
      <w:r w:rsidRPr="00ED3753">
        <w:t>el 23 bis) en de wijzigingen van de terugkeerrichtlijn betreft, geeft de rapporteur er de voorkeur aan ook deze niet in de Schengengrenscode op te nemen, omdat zij niet stroken met een rechtsgrondslag die vereist dat personen, ongeacht hun nationaliteit, b</w:t>
      </w:r>
      <w:r w:rsidRPr="00ED3753">
        <w:t>ij het overschrijden van de binnengrenzen niet worden gecontroleerd. Het kan niet de taak van de Schengengrenscode zijn om problemen op te lossen die bij de vastgelopen hervorming van het asiel- en migratiebeleid van de EU zijn ontstaan. Dergelijke bepalin</w:t>
      </w:r>
      <w:r w:rsidRPr="00ED3753">
        <w:t>gen zijn duidelijk in strijd met de geest van het Schengengebied zonder binnengrenstoezicht. Bovendien was de standstillclausule in de terugkeerrichtlijn bedoeld om ervoor te zorgen dat de EU naar een meer geharmoniseerde aanpak toewerkt. De rapporteur wil</w:t>
      </w:r>
      <w:r w:rsidRPr="00ED3753">
        <w:t xml:space="preserve"> in dat opzicht geen stap achteruit zetten door meer bilaterale overeenkomsten binnen het Schengengebied aan te moedigen die alleen dienen om de EU-regels te omzeilen.</w:t>
      </w:r>
    </w:p>
    <w:p w:rsidR="00CA7F4B" w:rsidRPr="00ED3753" w:rsidRDefault="00CA7F4B" w:rsidP="004D44A8">
      <w:pPr>
        <w:jc w:val="both"/>
        <w:rPr>
          <w:szCs w:val="24"/>
        </w:rPr>
      </w:pPr>
    </w:p>
    <w:p w:rsidR="004D44A8" w:rsidRPr="00ED3753" w:rsidRDefault="00F30C80" w:rsidP="00E92374">
      <w:pPr>
        <w:spacing w:after="240"/>
        <w:jc w:val="both"/>
        <w:rPr>
          <w:szCs w:val="24"/>
        </w:rPr>
      </w:pPr>
      <w:r w:rsidRPr="00ED3753">
        <w:t xml:space="preserve">Wat betreft de suggesties van de Commissie met betrekking tot de aanpak van pandemieën </w:t>
      </w:r>
      <w:r w:rsidRPr="00ED3753">
        <w:t>en noodsituaties op het gebied van de volksgezondheid is de rapporteur het in grote lijnen eens met de aanpak van de Europese Commissie, maar gezien het belang van de besluiten die op dit gebied – op EU-niveau – zullen worden genomen, is het belangrijk dat</w:t>
      </w:r>
      <w:r w:rsidRPr="00ED3753">
        <w:t xml:space="preserve"> het Europees Parlement bij dat proces wordt betrokken.</w:t>
      </w:r>
    </w:p>
    <w:p w:rsidR="00E92374" w:rsidRPr="00ED3753" w:rsidRDefault="00F30C80" w:rsidP="00E92374">
      <w:pPr>
        <w:spacing w:after="240"/>
        <w:jc w:val="both"/>
        <w:rPr>
          <w:szCs w:val="24"/>
        </w:rPr>
      </w:pPr>
      <w:r w:rsidRPr="00ED3753">
        <w:t>Voor een van de belangrijkste elementen van deze herziening, namelijk de termijnen voor de herinvoering van binnengrenstoezicht, heeft de rapporteur zich bovendien laten leiden door de uitspraak van d</w:t>
      </w:r>
      <w:r w:rsidRPr="00ED3753">
        <w:t xml:space="preserve">e Grote kamer van het Hof van Justitie van de Europese Unie in de gevoegde zaken </w:t>
      </w:r>
      <w:r w:rsidRPr="00ED3753">
        <w:rPr>
          <w:b/>
          <w:bCs/>
          <w:i/>
          <w:iCs/>
        </w:rPr>
        <w:t>NW tegen Landespolizeidirektion Steiermark (C-368/20), Bezirkshauptmannschaft Leibnitz (C-369/20)</w:t>
      </w:r>
      <w:r w:rsidRPr="00ED3753">
        <w:t>.</w:t>
      </w:r>
    </w:p>
    <w:p w:rsidR="00E92374" w:rsidRPr="00ED3753" w:rsidRDefault="00F30C80" w:rsidP="00E92374">
      <w:pPr>
        <w:spacing w:after="240"/>
        <w:jc w:val="both"/>
        <w:rPr>
          <w:szCs w:val="24"/>
        </w:rPr>
      </w:pPr>
      <w:r w:rsidRPr="00ED3753">
        <w:t>Het ontwerpverslag bevat strikte termijnen voor de herinvoering van binnengr</w:t>
      </w:r>
      <w:r w:rsidRPr="00ED3753">
        <w:t>enstoezicht voor de lidstaten, en duidelijke bepalingen die aangeven hoe lang zij kunnen worden gehandhaafd. Omdat de rapporteur het voorstel van de Commissie in dit opzicht te open vindt, heeft zij termijnen voorgesteld van:</w:t>
      </w:r>
    </w:p>
    <w:p w:rsidR="00E92374" w:rsidRPr="00ED3753" w:rsidRDefault="00F30C80" w:rsidP="00E92374">
      <w:pPr>
        <w:spacing w:after="240"/>
        <w:jc w:val="both"/>
        <w:rPr>
          <w:szCs w:val="24"/>
        </w:rPr>
      </w:pPr>
      <w:r w:rsidRPr="00ED3753">
        <w:t>i)</w:t>
      </w:r>
      <w:r w:rsidRPr="00ED3753">
        <w:tab/>
        <w:t xml:space="preserve">één maand, verlengbaar tot </w:t>
      </w:r>
      <w:r w:rsidRPr="00ED3753">
        <w:t>drie maanden voor onvoorziene bedreigingen;</w:t>
      </w:r>
    </w:p>
    <w:p w:rsidR="004D44A8" w:rsidRPr="00ED3753" w:rsidRDefault="00F30C80" w:rsidP="00E92374">
      <w:pPr>
        <w:spacing w:after="240"/>
        <w:jc w:val="both"/>
        <w:rPr>
          <w:szCs w:val="24"/>
        </w:rPr>
      </w:pPr>
      <w:r w:rsidRPr="00ED3753">
        <w:t>ii)</w:t>
      </w:r>
      <w:r w:rsidRPr="00ED3753">
        <w:tab/>
        <w:t>drie maanden, verlengbaar met perioden van drie maanden tot maximaal één jaar voor voorzienbare bedreigingen; en dat</w:t>
      </w:r>
    </w:p>
    <w:p w:rsidR="004D44A8" w:rsidRPr="00ED3753" w:rsidRDefault="00F30C80" w:rsidP="00E92374">
      <w:pPr>
        <w:spacing w:after="240"/>
        <w:jc w:val="both"/>
        <w:rPr>
          <w:szCs w:val="24"/>
        </w:rPr>
      </w:pPr>
      <w:r w:rsidRPr="00ED3753">
        <w:t>iii)</w:t>
      </w:r>
      <w:r w:rsidRPr="00ED3753">
        <w:tab/>
        <w:t>wanneer een lidstaat voornemens is het binnengrenstoezicht na drie maanden te verlenge</w:t>
      </w:r>
      <w:r w:rsidRPr="00ED3753">
        <w:t>n, een risicobeoordeling moet worden verstrekt;</w:t>
      </w:r>
    </w:p>
    <w:p w:rsidR="00CA7F4B" w:rsidRPr="00ED3753" w:rsidRDefault="00F30C80" w:rsidP="00E92374">
      <w:pPr>
        <w:spacing w:after="240"/>
        <w:jc w:val="both"/>
        <w:rPr>
          <w:szCs w:val="24"/>
        </w:rPr>
      </w:pPr>
      <w:r w:rsidRPr="00ED3753">
        <w:t>iv)</w:t>
      </w:r>
      <w:r w:rsidRPr="00ED3753">
        <w:tab/>
        <w:t xml:space="preserve">wanneer een lidstaat het binnengrenstoezicht wil verlengen voor een periode van meer dan zes maanden, de Commissie in dat geval verplicht is advies uit te brengen over de noodzaak en de evenredigheid van </w:t>
      </w:r>
      <w:r w:rsidRPr="00ED3753">
        <w:t>dat binnengrenstoezicht.</w:t>
      </w:r>
    </w:p>
    <w:p w:rsidR="00E92374" w:rsidRPr="00ED3753" w:rsidRDefault="00F30C80" w:rsidP="00E92374">
      <w:pPr>
        <w:jc w:val="both"/>
        <w:rPr>
          <w:szCs w:val="24"/>
        </w:rPr>
      </w:pPr>
      <w:r w:rsidRPr="00ED3753">
        <w:t xml:space="preserve">De Commissie heeft in haar voorstel besloten nieuwe bepalingen op te nemen betreffende een ernstige bedreiging van de openbare orde of de binnenlandse veiligheid die de algemene werking van het gebied zonder binnengrenstoezicht in </w:t>
      </w:r>
      <w:r w:rsidRPr="00ED3753">
        <w:t>gevaar brengt, waardoor een besluit van de Raad over de herinvoering van binnengrenstoezicht in verschillende of meerdere lidstaten tegelijk mogelijk wordt. De rapporteur kan een dergelijk mechanisme aanvaarden, maar vindt dat het strikt moet zijn gereglem</w:t>
      </w:r>
      <w:r w:rsidRPr="00ED3753">
        <w:t>enteerd. De herinvoering van grenstoezicht op EU-niveau moet mogelijk zijn voor perioden van zes maanden, die tot maximaal twee jaar kunnen worden verlengd. Dit vereist een voorstel van de Commissie voor een besluit van de Raad.</w:t>
      </w:r>
    </w:p>
    <w:p w:rsidR="00E63BBA" w:rsidRPr="00ED3753" w:rsidRDefault="00F30C80" w:rsidP="00E92374">
      <w:pPr>
        <w:spacing w:after="240"/>
        <w:jc w:val="both"/>
        <w:rPr>
          <w:szCs w:val="24"/>
        </w:rPr>
      </w:pPr>
      <w:r w:rsidRPr="00ED3753">
        <w:t>Voordat de Raad zijn beslui</w:t>
      </w:r>
      <w:r w:rsidRPr="00ED3753">
        <w:t>t aanneemt, moet hij eerst het Europees Parlement raadplegen. De procedure zou dezelfde moeten zijn voor de verlenging van het binnengrenstoezicht in het kader van dit mechanisme.</w:t>
      </w:r>
    </w:p>
    <w:p w:rsidR="004D44A8" w:rsidRPr="00ED3753" w:rsidRDefault="00F30C80" w:rsidP="00E92374">
      <w:pPr>
        <w:spacing w:after="240"/>
        <w:jc w:val="both"/>
        <w:rPr>
          <w:szCs w:val="24"/>
        </w:rPr>
      </w:pPr>
      <w:r w:rsidRPr="00ED3753">
        <w:t>Kortom, de afgelopen tien jaar is gebleken dat het voor nationale politici p</w:t>
      </w:r>
      <w:r w:rsidRPr="00ED3753">
        <w:t>olitiek gezien veel gemakkelijker is om een besluit te nemen tot herinvoering van grenstoezicht, dan om later een besluit te nemen tot opheffing van dat binnengrenstoezicht. De Europese wetgever moet niet nog meer instrumenten verschaffen waarmee nationale</w:t>
      </w:r>
      <w:r w:rsidRPr="00ED3753">
        <w:t xml:space="preserve"> politici binnengrenstoezicht kunnen rechtvaardigen. Laten we terugkeren naar Schengen, niet naar pre-Schengen.</w:t>
      </w:r>
    </w:p>
    <w:p w:rsidR="004D44A8" w:rsidRPr="00ED3753" w:rsidRDefault="004D44A8" w:rsidP="004D44A8">
      <w:pPr>
        <w:jc w:val="both"/>
      </w:pPr>
    </w:p>
    <w:p w:rsidR="004D44A8" w:rsidRPr="00ED3753" w:rsidRDefault="004D44A8" w:rsidP="002669B6"/>
    <w:sectPr w:rsidR="004D44A8" w:rsidRPr="00ED3753" w:rsidSect="004D44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D3753" w:rsidRDefault="00F30C80">
      <w:r w:rsidRPr="00ED3753">
        <w:separator/>
      </w:r>
    </w:p>
  </w:endnote>
  <w:endnote w:type="continuationSeparator" w:id="0">
    <w:p w:rsidR="00000000" w:rsidRPr="00ED3753" w:rsidRDefault="00F30C80">
      <w:r w:rsidRPr="00ED37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753" w:rsidRPr="00ED3753" w:rsidRDefault="00ED3753" w:rsidP="00ED3753">
    <w:pPr>
      <w:pStyle w:val="EPFooter"/>
    </w:pPr>
    <w:r w:rsidRPr="00ED3753">
      <w:t>PE</w:t>
    </w:r>
    <w:r w:rsidRPr="00ED3753">
      <w:rPr>
        <w:rStyle w:val="HideTWBExt"/>
      </w:rPr>
      <w:t>&lt;NoPE&gt;</w:t>
    </w:r>
    <w:r w:rsidRPr="00ED3753">
      <w:t>737.471</w:t>
    </w:r>
    <w:r w:rsidRPr="00ED3753">
      <w:rPr>
        <w:rStyle w:val="HideTWBExt"/>
      </w:rPr>
      <w:t>&lt;/NoPE&gt;&lt;Version&gt;</w:t>
    </w:r>
    <w:r w:rsidRPr="00ED3753">
      <w:t>v01-00</w:t>
    </w:r>
    <w:r w:rsidRPr="00ED3753">
      <w:rPr>
        <w:rStyle w:val="HideTWBExt"/>
      </w:rPr>
      <w:t>&lt;/Version&gt;</w:t>
    </w:r>
    <w:r w:rsidRPr="00ED3753">
      <w:tab/>
    </w:r>
    <w:r w:rsidRPr="00ED3753">
      <w:fldChar w:fldCharType="begin"/>
    </w:r>
    <w:r w:rsidRPr="00ED3753">
      <w:instrText xml:space="preserve"> PAGE  \* MERGEFORMAT </w:instrText>
    </w:r>
    <w:r w:rsidRPr="00ED3753">
      <w:fldChar w:fldCharType="separate"/>
    </w:r>
    <w:r w:rsidR="00F30C80">
      <w:rPr>
        <w:noProof/>
      </w:rPr>
      <w:t>72</w:t>
    </w:r>
    <w:r w:rsidRPr="00ED3753">
      <w:fldChar w:fldCharType="end"/>
    </w:r>
    <w:r w:rsidRPr="00ED3753">
      <w:t>/</w:t>
    </w:r>
    <w:fldSimple w:instr=" NUMPAGES  \* MERGEFORMAT ">
      <w:r w:rsidR="00F30C80">
        <w:rPr>
          <w:noProof/>
        </w:rPr>
        <w:t>75</w:t>
      </w:r>
    </w:fldSimple>
    <w:r w:rsidRPr="00ED3753">
      <w:tab/>
    </w:r>
    <w:r w:rsidRPr="00ED3753">
      <w:rPr>
        <w:rStyle w:val="HideTWBExt"/>
      </w:rPr>
      <w:t>&lt;PathFdR&gt;</w:t>
    </w:r>
    <w:r w:rsidRPr="00ED3753">
      <w:t>PR\1265716NL.docx</w:t>
    </w:r>
    <w:r w:rsidRPr="00ED3753">
      <w:rPr>
        <w:rStyle w:val="HideTWBExt"/>
      </w:rPr>
      <w:t>&lt;/PathFdR&gt;</w:t>
    </w:r>
  </w:p>
  <w:p w:rsidR="00E73D80" w:rsidRPr="00ED3753" w:rsidRDefault="00ED3753" w:rsidP="00ED3753">
    <w:pPr>
      <w:pStyle w:val="EPFooter2"/>
    </w:pPr>
    <w:r w:rsidRPr="00ED3753">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753" w:rsidRPr="00ED3753" w:rsidRDefault="00ED3753" w:rsidP="00ED3753">
    <w:pPr>
      <w:pStyle w:val="EPFooter"/>
    </w:pPr>
    <w:r w:rsidRPr="00ED3753">
      <w:rPr>
        <w:rStyle w:val="HideTWBExt"/>
      </w:rPr>
      <w:t>&lt;PathFdR&gt;</w:t>
    </w:r>
    <w:r w:rsidRPr="00ED3753">
      <w:t>PR\1265716NL.docx</w:t>
    </w:r>
    <w:r w:rsidRPr="00ED3753">
      <w:rPr>
        <w:rStyle w:val="HideTWBExt"/>
      </w:rPr>
      <w:t>&lt;/PathFdR&gt;</w:t>
    </w:r>
    <w:r w:rsidRPr="00ED3753">
      <w:tab/>
    </w:r>
    <w:r w:rsidRPr="00ED3753">
      <w:fldChar w:fldCharType="begin"/>
    </w:r>
    <w:r w:rsidRPr="00ED3753">
      <w:instrText xml:space="preserve"> PAGE  \* MERGEFORMAT </w:instrText>
    </w:r>
    <w:r w:rsidRPr="00ED3753">
      <w:fldChar w:fldCharType="separate"/>
    </w:r>
    <w:r w:rsidR="00F30C80">
      <w:rPr>
        <w:noProof/>
      </w:rPr>
      <w:t>73</w:t>
    </w:r>
    <w:r w:rsidRPr="00ED3753">
      <w:fldChar w:fldCharType="end"/>
    </w:r>
    <w:r w:rsidRPr="00ED3753">
      <w:t>/</w:t>
    </w:r>
    <w:fldSimple w:instr=" NUMPAGES  \* MERGEFORMAT ">
      <w:r w:rsidR="00F30C80">
        <w:rPr>
          <w:noProof/>
        </w:rPr>
        <w:t>75</w:t>
      </w:r>
    </w:fldSimple>
    <w:r w:rsidRPr="00ED3753">
      <w:tab/>
      <w:t>PE</w:t>
    </w:r>
    <w:r w:rsidRPr="00ED3753">
      <w:rPr>
        <w:rStyle w:val="HideTWBExt"/>
      </w:rPr>
      <w:t>&lt;NoPE&gt;</w:t>
    </w:r>
    <w:r w:rsidRPr="00ED3753">
      <w:t>737.471</w:t>
    </w:r>
    <w:r w:rsidRPr="00ED3753">
      <w:rPr>
        <w:rStyle w:val="HideTWBExt"/>
      </w:rPr>
      <w:t>&lt;/NoPE&gt;&lt;Version&gt;</w:t>
    </w:r>
    <w:r w:rsidRPr="00ED3753">
      <w:t>v01-00</w:t>
    </w:r>
    <w:r w:rsidRPr="00ED3753">
      <w:rPr>
        <w:rStyle w:val="HideTWBExt"/>
      </w:rPr>
      <w:t>&lt;/Version&gt;</w:t>
    </w:r>
  </w:p>
  <w:p w:rsidR="00E73D80" w:rsidRPr="00ED3753" w:rsidRDefault="00ED3753" w:rsidP="00ED3753">
    <w:pPr>
      <w:pStyle w:val="EPFooter2"/>
    </w:pPr>
    <w:r w:rsidRPr="00ED3753">
      <w:tab/>
    </w:r>
    <w:r w:rsidRPr="00ED3753">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753" w:rsidRPr="00ED3753" w:rsidRDefault="00ED3753" w:rsidP="00ED3753">
    <w:pPr>
      <w:pStyle w:val="EPFooter"/>
    </w:pPr>
    <w:r w:rsidRPr="00ED3753">
      <w:rPr>
        <w:rStyle w:val="HideTWBExt"/>
      </w:rPr>
      <w:t>&lt;PathFdR&gt;</w:t>
    </w:r>
    <w:r w:rsidRPr="00ED3753">
      <w:t>PR\1265716NL.docx</w:t>
    </w:r>
    <w:r w:rsidRPr="00ED3753">
      <w:rPr>
        <w:rStyle w:val="HideTWBExt"/>
      </w:rPr>
      <w:t>&lt;/PathFdR&gt;</w:t>
    </w:r>
    <w:r w:rsidRPr="00ED3753">
      <w:tab/>
    </w:r>
    <w:r w:rsidRPr="00ED3753">
      <w:tab/>
      <w:t>PE</w:t>
    </w:r>
    <w:r w:rsidRPr="00ED3753">
      <w:rPr>
        <w:rStyle w:val="HideTWBExt"/>
      </w:rPr>
      <w:t>&lt;NoPE&gt;</w:t>
    </w:r>
    <w:r w:rsidRPr="00ED3753">
      <w:t>737.471</w:t>
    </w:r>
    <w:r w:rsidRPr="00ED3753">
      <w:rPr>
        <w:rStyle w:val="HideTWBExt"/>
      </w:rPr>
      <w:t>&lt;/NoPE&gt;&lt;Version&gt;</w:t>
    </w:r>
    <w:r w:rsidRPr="00ED3753">
      <w:t>v01-00</w:t>
    </w:r>
    <w:r w:rsidRPr="00ED3753">
      <w:rPr>
        <w:rStyle w:val="HideTWBExt"/>
      </w:rPr>
      <w:t>&lt;/Version&gt;</w:t>
    </w:r>
  </w:p>
  <w:p w:rsidR="00E73D80" w:rsidRPr="00ED3753" w:rsidRDefault="00ED3753" w:rsidP="00ED3753">
    <w:pPr>
      <w:pStyle w:val="EPFooter2"/>
    </w:pPr>
    <w:r w:rsidRPr="00ED3753">
      <w:t>NL</w:t>
    </w:r>
    <w:r w:rsidRPr="00ED3753">
      <w:tab/>
    </w:r>
    <w:r w:rsidRPr="00ED3753">
      <w:rPr>
        <w:b w:val="0"/>
        <w:i/>
        <w:color w:val="C0C0C0"/>
        <w:sz w:val="22"/>
      </w:rPr>
      <w:t>In verscheidenheid verenigd</w:t>
    </w:r>
    <w:r w:rsidRPr="00ED3753">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D3753" w:rsidRDefault="00F30C80">
      <w:r w:rsidRPr="00ED3753">
        <w:separator/>
      </w:r>
    </w:p>
  </w:footnote>
  <w:footnote w:type="continuationSeparator" w:id="0">
    <w:p w:rsidR="00000000" w:rsidRPr="00ED3753" w:rsidRDefault="00F30C80">
      <w:r w:rsidRPr="00ED37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C80" w:rsidRDefault="00F30C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C80" w:rsidRDefault="00F30C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C80" w:rsidRDefault="00F30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CopyToNetwork" w:val="-1"/>
    <w:docVar w:name="DOCMNU" w:val=" 1"/>
    <w:docVar w:name="EPSTATMNU" w:val=" 5"/>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5315 HideTWBExt;}{\*\cs18 \additive \v\f1\fs20\cf15 _x000d__x000a_\spriority0 \styrsid6965315 HideTWBInt;}{\s19\ql \li0\ri0\sa120\nowidctlpar\wrapdefault\aspalpha\aspnum\faauto\adjustright\rin0\lin0\itap0 \rtlch\fcs1 \af0\afs20\alang1025 \ltrch\fcs0 \fs24\lang2057\langfe2057\cgrid\langnp2057\langfenp2057 _x000d__x000a_\sbasedon0 \snext19 \spriority0 \styrsid6965315 Normal6a;}{\s20\ql \li0\ri0\nowidctlpar\wrapdefault\aspalpha\aspnum\faauto\adjustright\rin0\lin0\itap0 \rtlch\fcs1 \af0\afs20\alang1025 \ltrch\fcs0 \b\fs24\lang2057\langfe2057\cgrid\langnp2057\langfenp2057 _x000d__x000a_\sbasedon0 \snext20 \spriority0 \styrsid6965315 NormalBold;}{\s21\ql \li0\ri0\sa240\nowidctlpar\wrapdefault\aspalpha\aspnum\faauto\adjustright\rin0\lin0\itap0 \rtlch\fcs1 \af0\afs20\alang1025 \ltrch\fcs0 _x000d__x000a_\i\fs24\lang2057\langfe2057\cgrid\langnp2057\langfenp2057 \sbasedon0 \snext21 \spriority0 \styrsid6965315 AmJustText;}{\s22\qc \li0\ri0\sb240\sa240\nowidctlpar\wrapdefault\aspalpha\aspnum\faauto\adjustright\rin0\lin0\itap0 \rtlch\fcs1 _x000d__x000a_\af0\afs20\alang1025 \ltrch\fcs0 \i\fs24\lang2057\langfe2057\cgrid\langnp2057\langfenp2057 \sbasedon0 \snext22 \spriority0 \styrsid6965315 AmCrossRef;}{_x000d__x000a_\s23\qc \li0\ri0\sb240\sa240\keepn\nowidctlpar\wrapdefault\aspalpha\aspnum\faauto\adjustright\rin0\lin0\itap0 \rtlch\fcs1 \af0\afs20\alang1025 \ltrch\fcs0 \i\fs24\lang2057\langfe2057\cgrid\langnp2057\langfenp2057 _x000d__x000a_\sbasedon0 \snext21 \spriority0 \styrsid6965315 AmJustTitle;}{\s24\qr \li0\ri0\sb240\sa240\nowidctlpar\wrapdefault\aspalpha\aspnum\faauto\adjustright\rin0\lin0\itap0 \rtlch\fcs1 \af0\afs20\alang1025 \ltrch\fcs0 _x000d__x000a_\fs24\lang2057\langfe2057\cgrid\langnp2057\langfenp2057 \sbasedon0 \snext24 \spriority0 \styrsid6965315 AmOrLang;}{\s25\qc \li0\ri0\sa240\nowidctlpar\wrapdefault\aspalpha\aspnum\faauto\adjustright\rin0\lin0\itap0 \rtlch\fcs1 \af0\afs20\alang1025 _x000d__x000a_\ltrch\fcs0 \i\fs24\lang2057\langfe2057\cgrid\langnp2057\langfenp2057 \sbasedon0 \snext25 \spriority0 \styrsid69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965315 AmNumberTabs;}{\s27\ql \li0\ri0\sb240\nowidctlpar\wrapdefault\aspalpha\aspnum\faauto\adjustright\rin0\lin0\itap0 \rtlch\fcs1 _x000d__x000a_\af0\afs20\alang1025 \ltrch\fcs0 \b\fs24\lang2057\langfe2057\cgrid\langnp2057\langfenp2057 \sbasedon0 \snext27 \spriority0 \styrsid6965315 NormalBold12b;}}{\*\rsidtbl \rsid24658\rsid223860\rsid735077\rsid1718133\rsid2892074\rsid3565327\rsid4666813_x000d__x000a_\rsid6641733\rsid6965315\rsid7823322\rsid9636012\rsid10377208\rsid11215221\rsid11549030\rsid12154954\rsid14382809\rsid14424199\rsid15204470\rsid15285974\rsid15950462\rsid16324206\rsid16389910\rsid16662270}{\mmathPr\mmathFont34\mbrkBin0\mbrkBinSub0_x000d__x000a_\msmallFrac0\mdispDef1\mlMargin0\mrMargin0\mdefJc1\mwrapIndent1440\mintLim0\mnaryLim1}{\info{\author TOADER Maria}{\operator TOADER Maria}{\creatim\yr2022\mo10\dy24\hr16\min13}{\revtim\yr2022\mo10\dy24\hr16\min13}{\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6389910 \chftnsep _x000d__x000a_\par }}{\*\ftnsepc \ltrpar \pard\plain \ltrpar\ql \li0\ri0\widctlpar\wrapdefault\aspalpha\aspnum\faauto\adjustright\rin0\lin0\itap0 \rtlch\fcs1 \af0\afs20\alang1025 \ltrch\fcs0 \fs24\lang2057\langfe2057\cgrid\langnp2057\langfenp2057 {\rtlch\fcs1 \af0 _x000d__x000a_\ltrch\fcs0 \insrsid16389910 \chftnsepc _x000d__x000a_\par }}{\*\aftnsep \ltrpar \pard\plain \ltrpar\ql \li0\ri0\widctlpar\wrapdefault\aspalpha\aspnum\faauto\adjustright\rin0\lin0\itap0 \rtlch\fcs1 \af0\afs20\alang1025 \ltrch\fcs0 \fs24\lang2057\langfe2057\cgrid\langnp2057\langfenp2057 {\rtlch\fcs1 \af0 _x000d__x000a_\ltrch\fcs0 \insrsid16389910 \chftnsep _x000d__x000a_\par }}{\*\aftnsepc \ltrpar \pard\plain \ltrpar\ql \li0\ri0\widctlpar\wrapdefault\aspalpha\aspnum\faauto\adjustright\rin0\lin0\itap0 \rtlch\fcs1 \af0\afs20\alang1025 \ltrch\fcs0 \fs24\lang2057\langfe2057\cgrid\langnp2057\langfenp2057 {\rtlch\fcs1 \af0 _x000d__x000a_\ltrch\fcs0 \insrsid163899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965315 \rtlch\fcs1 _x000d__x000a_\af0\afs20\alang1025 \ltrch\fcs0 \b\fs24\lang2057\langfe2057\cgrid\langnp2057\langfenp2057 {\rtlch\fcs1 \af0 \ltrch\fcs0 \cs17\b0\v\fs20\cf9\lang1024\langfe1024\loch\af1\hich\af1\dbch\af31501\noproof\insrsid6965315\charrsid9054398 {\*\bkmkstart restart}_x000d__x000a_\hich\af1\dbch\af31501\loch\f1 &lt;Amend&gt;}{\rtlch\fcs1 \af0 \ltrch\fcs0 \insrsid6965315\charrsid9054398 Amendment\tab \tab }{\rtlch\fcs1 \af0 \ltrch\fcs0 _x000d__x000a_\cs17\b0\v\fs20\cf9\lang1024\langfe1024\loch\af1\hich\af1\dbch\af31501\noproof\insrsid6965315\charrsid9054398 \hich\af1\dbch\af31501\loch\f1 &lt;NumAm&gt;}{\rtlch\fcs1 \af0 \ltrch\fcs0 \insrsid6965315\charrsid9054398 #}{\rtlch\fcs1 \af1 \ltrch\fcs0 _x000d__x000a_\cs18\v\f1\fs20\cf15\insrsid6965315\charrsid9054398 ENMIENDA@NRAM@}{\rtlch\fcs1 \af0 \ltrch\fcs0 \insrsid6965315\charrsid9054398 #}{\rtlch\fcs1 \af0 \ltrch\fcs0 _x000d__x000a_\cs17\b0\v\fs20\cf9\lang1024\langfe1024\loch\af1\hich\af1\dbch\af31501\noproof\insrsid6965315\charrsid9054398 \hich\af1\dbch\af31501\loch\f1 &lt;/NumAm&gt;}{\rtlch\fcs1 \af0 \ltrch\fcs0 \insrsid6965315\charrsid9054398 _x000d__x000a_\par }\pard\plain \ltrpar\s27\ql \li0\ri0\sb240\keepn\nowidctlpar\wrapdefault\aspalpha\aspnum\faauto\adjustright\rin0\lin0\itap0\pararsid6965315 \rtlch\fcs1 \af0\afs20\alang1025 \ltrch\fcs0 \b\fs24\lang2057\langfe2057\cgrid\langnp2057\langfenp2057 {_x000d__x000a_\rtlch\fcs1 \af0 \ltrch\fcs0 \cs17\b0\v\fs20\cf9\lang1024\langfe1024\loch\af1\hich\af1\dbch\af31501\noproof\insrsid6965315\charrsid9054398 \hich\af1\dbch\af31501\loch\f1 &lt;DocAmend&gt;}{\rtlch\fcs1 \af0 \ltrch\fcs0 \insrsid6965315\charrsid9054398 _x000d__x000a_Proposal for a #}{\rtlch\fcs1 \af1 \ltrch\fcs0 \cs18\v\f1\fs20\cf15\insrsid6965315\charrsid9054398 MNU[DOC1][DOC2][DOC3]@DOCMSG@DOCMNU}{\rtlch\fcs1 \af0 \ltrch\fcs0 \insrsid6965315\charrsid9054398 ##}{\rtlch\fcs1 \af1 \ltrch\fcs0 _x000d__x000a_\cs18\v\f1\fs20\cf15\insrsid6965315\charrsid9054398 MNU[AMACTYES][NOTAPP]@CHOICE@AMACTMNU}{\rtlch\fcs1 \af0 \ltrch\fcs0 \insrsid6965315\charrsid9054398 #}{\rtlch\fcs1 \af0 \ltrch\fcs0 _x000d__x000a_\cs17\b0\v\fs20\cf9\lang1024\langfe1024\loch\af1\hich\af1\dbch\af31501\noproof\insrsid6965315\charrsid9054398 \hich\af1\dbch\af31501\loch\f1 &lt;/DocAmend&gt;}{\rtlch\fcs1 \af0 \ltrch\fcs0 \insrsid6965315\charrsid9054398 _x000d__x000a_\par }\pard\plain \ltrpar\s20\ql \li0\ri0\keepn\nowidctlpar\wrapdefault\aspalpha\aspnum\faauto\adjustright\rin0\lin0\itap0\pararsid6965315 \rtlch\fcs1 \af0\afs20\alang1025 \ltrch\fcs0 \b\fs24\lang2057\langfe2057\cgrid\langnp2057\langfenp2057 {\rtlch\fcs1 \af0 _x000d__x000a_\ltrch\fcs0 \cs17\b0\v\fs20\cf9\lang1024\langfe1024\loch\af1\hich\af1\dbch\af31501\noproof\insrsid6965315\charrsid9054398 \hich\af1\dbch\af31501\loch\f1 &lt;Article&gt;}{\rtlch\fcs1 \af0 \ltrch\fcs0 \insrsid6965315\charrsid9054398 #}{\rtlch\fcs1 \af1 _x000d__x000a_\ltrch\fcs0 \cs18\v\f1\fs20\cf15\insrsid6965315\charrsid9054398 MNU[AMACTPARTYES][AMACTPARTNO]@CHOICE@AMACTMNU}{\rtlch\fcs1 \af0 \ltrch\fcs0 \insrsid6965315\charrsid9054398 #}{\rtlch\fcs1 \af0 \ltrch\fcs0 _x000d__x000a_\cs17\b0\v\fs20\cf9\lang1024\langfe1024\loch\af1\hich\af1\dbch\af31501\noproof\insrsid6965315\charrsid9054398 \hich\af1\dbch\af31501\loch\f1 &lt;/Article&gt;}{\rtlch\fcs1 \af0 \ltrch\fcs0 \insrsid6965315\charrsid9054398 _x000d__x000a_\par }\pard\plain \ltrpar\ql \li0\ri0\keepn\widctlpar\wrapdefault\aspalpha\aspnum\faauto\adjustright\rin0\lin0\itap0\pararsid6965315 \rtlch\fcs1 \af0\afs20\alang1025 \ltrch\fcs0 \fs24\lang2057\langfe2057\cgrid\langnp2057\langfenp2057 {\rtlch\fcs1 \af0 _x000d__x000a_\ltrch\fcs0 \cs17\v\fs20\cf9\lang1024\langfe1024\loch\af1\hich\af1\dbch\af31501\noproof\insrsid6965315\charrsid9054398 \hich\af1\dbch\af31501\loch\f1 &lt;DocAmend2&gt;&lt;OptDel&gt;}{\rtlch\fcs1 \af0 \ltrch\fcs0 \insrsid6965315\charrsid9054398 #}{\rtlch\fcs1 \af1 _x000d__x000a_\ltrch\fcs0 \cs18\v\f1\fs20\cf15\insrsid6965315\charrsid9054398 MNU[OPTNRACTYES][NOTAPP]@CHOICE@AMACTMNU}{\rtlch\fcs1 \af0 \ltrch\fcs0 \insrsid6965315\charrsid9054398 #}{\rtlch\fcs1 \af0 \ltrch\fcs0 _x000d__x000a_\cs17\v\fs20\cf9\lang1024\langfe1024\loch\af1\hich\af1\dbch\af31501\noproof\insrsid6965315\charrsid9054398 \hich\af1\dbch\af31501\loch\f1 &lt;/OptDel&gt;&lt;/DocAmend2&gt;}{\rtlch\fcs1 \af0 \ltrch\fcs0 \insrsid6965315\charrsid9054398 _x000d__x000a_\par }\pard \ltrpar\ql \li0\ri0\widctlpar\wrapdefault\aspalpha\aspnum\faauto\adjustright\rin0\lin0\itap0\pararsid6965315 {\rtlch\fcs1 \af0 \ltrch\fcs0 \cs17\v\fs20\cf9\lang1024\langfe1024\loch\af1\hich\af1\dbch\af31501\noproof\insrsid6965315\charrsid9054398 _x000d__x000a_\hich\af1\dbch\af31501\loch\f1 &lt;Article2&gt;&lt;OptDel&gt;}{\rtlch\fcs1 \af0 \ltrch\fcs0 \insrsid6965315\charrsid9054398 #}{\rtlch\fcs1 \af1 \ltrch\fcs0 \cs18\v\f1\fs20\cf15\insrsid6965315\charrsid9054398 MNU[OPTACTPARTYES][NOTAPP]@CHOICE@AMACTMNU}{\rtlch\fcs1 _x000d__x000a_\af0 \ltrch\fcs0 \insrsid6965315\charrsid9054398 #}{\rtlch\fcs1 \af0 \ltrch\fcs0 \cs17\v\fs20\cf9\lang1024\langfe1024\loch\af1\hich\af1\dbch\af31501\noproof\insrsid6965315\charrsid9054398 \hich\af1\dbch\af31501\loch\f1 &lt;/OptDel&gt;&lt;/Article2&gt;}{\rtlch\fcs1 _x000d__x000a_\af0 \ltrch\fcs0 \insrsid6965315\charrsid905439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6965315\charrsid9054398 \cell }\pard\plain \ltrpar\ql \li0\ri0\widctlpar\intbl\wrapdefault\aspalpha\aspnum\faauto\adjustright\rin0\lin0 \rtlch\fcs1 _x000d__x000a_\af0\afs20\alang1025 \ltrch\fcs0 \fs24\lang2057\langfe2057\cgrid\langnp2057\langfenp2057 {\rtlch\fcs1 \af0 \ltrch\fcs0 \insrsid6965315\charrsid905439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6965315\charrsid9054398 #}{\rtlch\fcs1 \af1 \ltrch\fcs0 \cs18\v\f1\fs20\cf15\insrsid6965315\charrsid9054398 MNU[OPTLEFTAMACT][LEFTPROP]@CHOICE@AMACTMNU}{\rtlch\fcs1 \af0 \ltrch\fcs0 \insrsid6965315\charrsid9054398 #\cell Amendment\cell _x000d__x000a_}\pard\plain \ltrpar\ql \li0\ri0\widctlpar\intbl\wrapdefault\aspalpha\aspnum\faauto\adjustright\rin0\lin0 \rtlch\fcs1 \af0\afs20\alang1025 \ltrch\fcs0 \fs24\lang2057\langfe2057\cgrid\langnp2057\langfenp2057 {\rtlch\fcs1 \af0 \ltrch\fcs0 _x000d__x000a_\insrsid6965315\charrsid905439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6965315\charrsid9054398 ##\cell ##}{\rtlch\fcs1 \af0\afs24 \ltrch\fcs0 \insrsid6965315\charrsid9054398 \cell }\pard\plain \ltrpar\ql \li0\ri0\widctlpar\intbl\wrapdefault\aspalpha\aspnum\faauto\adjustright\rin0\lin0 \rtlch\fcs1 _x000d__x000a_\af0\afs20\alang1025 \ltrch\fcs0 \fs24\lang2057\langfe2057\cgrid\langnp2057\langfenp2057 {\rtlch\fcs1 \af0 \ltrch\fcs0 \insrsid6965315\charrsid905439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965315 \rtlch\fcs1 \af0\afs20\alang1025 \ltrch\fcs0 \fs24\lang2057\langfe2057\cgrid\langnp2057\langfenp2057 {\rtlch\fcs1 \af0 \ltrch\fcs0 _x000d__x000a_\insrsid6965315\charrsid9054398 Or. }{\rtlch\fcs1 \af0 \ltrch\fcs0 \cs17\v\fs20\cf9\lang1024\langfe1024\loch\af1\hich\af1\dbch\af31501\noproof\insrsid6965315\charrsid9054398 \hich\af1\dbch\af31501\loch\f1 &lt;Original&gt;}{\rtlch\fcs1 \af0 \ltrch\fcs0 _x000d__x000a_\insrsid6965315\charrsid9054398 #}{\rtlch\fcs1 \af1 \ltrch\fcs0 \cs18\v\f1\fs20\cf15\insrsid6965315\charrsid9054398 MNU[ORLANGONE][ORLANGMORE]@CHOICE@ORLANGMNU}{\rtlch\fcs1 \af0 \ltrch\fcs0 \insrsid6965315\charrsid9054398 #}{\rtlch\fcs1 \af0 \ltrch\fcs0 _x000d__x000a_\cs17\v\fs20\cf9\lang1024\langfe1024\loch\af1\hich\af1\dbch\af31501\noproof\insrsid6965315\charrsid9054398 \hich\af1\dbch\af31501\loch\f1 &lt;/Original&gt;}{\rtlch\fcs1 \af0 \ltrch\fcs0 \insrsid6965315\charrsid9054398 _x000d__x000a_\par }\pard\plain \ltrpar\s22\qc \li0\ri0\sb240\sa240\nowidctlpar\wrapdefault\aspalpha\aspnum\faauto\adjustright\rin0\lin0\itap0\pararsid6965315 \rtlch\fcs1 \af0\afs20\alang1025 \ltrch\fcs0 \i\fs24\lang2057\langfe2057\cgrid\langnp2057\langfenp2057 {_x000d__x000a_\rtlch\fcs1 \af0 \ltrch\fcs0 \cs17\i0\v\fs20\cf9\lang1024\langfe1024\loch\af1\hich\af1\dbch\af31501\noproof\insrsid6965315\charrsid9054398 \hich\af1\dbch\af31501\loch\f1 &lt;OptDel&gt;}{\rtlch\fcs1 \af0 \ltrch\fcs0 \insrsid6965315\charrsid9054398 #}{_x000d__x000a_\rtlch\fcs1 \af1 \ltrch\fcs0 \cs18\v\f1\fs20\cf15\insrsid6965315\charrsid9054398 MNU[CROSSREFNO][CROSSREFYES]@CHOICE@}{\rtlch\fcs1 \af0 \ltrch\fcs0 \insrsid6965315\charrsid9054398 #}{\rtlch\fcs1 \af0 \ltrch\fcs0 _x000d__x000a_\cs17\i0\v\fs20\cf9\lang1024\langfe1024\loch\af1\hich\af1\dbch\af31501\noproof\insrsid6965315\charrsid9054398 \hich\af1\dbch\af31501\loch\f1 &lt;/OptDel&gt;}{\rtlch\fcs1 \af0 \ltrch\fcs0 \insrsid6965315\charrsid9054398 _x000d__x000a_\par }\pard\plain \ltrpar\s23\qc \li0\ri0\sb240\sa240\keepn\nowidctlpar\wrapdefault\aspalpha\aspnum\faauto\adjustright\rin0\lin0\itap0\pararsid6965315 \rtlch\fcs1 \af0\afs20\alang1025 \ltrch\fcs0 \i\fs24\lang2057\langfe2057\cgrid\langnp2057\langfenp2057 {_x000d__x000a_\rtlch\fcs1 \af0 \ltrch\fcs0 \cs17\i0\v\fs20\cf9\lang1024\langfe1024\loch\af1\hich\af1\dbch\af31501\noproof\insrsid6965315\charrsid9054398 \hich\af1\dbch\af31501\loch\f1 &lt;TitreJust&gt;}{\rtlch\fcs1 \af0 \ltrch\fcs0 \insrsid6965315\charrsid9054398 _x000d__x000a_Justification}{\rtlch\fcs1 \af0 \ltrch\fcs0 \cs17\i0\v\fs20\cf9\lang1024\langfe1024\loch\af1\hich\af1\dbch\af31501\noproof\insrsid6965315\charrsid9054398 \hich\af1\dbch\af31501\loch\f1 &lt;/TitreJust&gt;}{\rtlch\fcs1 \af0 \ltrch\fcs0 _x000d__x000a_\insrsid6965315\charrsid9054398 _x000d__x000a_\par }\pard\plain \ltrpar\s21\ql \li0\ri0\sa240\nowidctlpar\wrapdefault\aspalpha\aspnum\faauto\adjustright\rin0\lin0\itap0\pararsid6965315 \rtlch\fcs1 \af0\afs20\alang1025 \ltrch\fcs0 \i\fs24\lang2057\langfe2057\cgrid\langnp2057\langfenp2057 {\rtlch\fcs1 \af0 _x000d__x000a_\ltrch\fcs0 \cs17\i0\v\fs20\cf9\lang1024\langfe1024\loch\af1\hich\af1\dbch\af31501\noproof\insrsid6965315\charrsid9054398 \hich\af1\dbch\af31501\loch\f1 &lt;OptDelPrev&gt;}{\rtlch\fcs1 \af0 \ltrch\fcs0 \insrsid6965315\charrsid9054398 #}{\rtlch\fcs1 \af1 _x000d__x000a_\ltrch\fcs0 \cs18\v\f1\fs20\cf15\insrsid6965315\charrsid9054398 MNU[TEXTJUSTYES][TEXTJUSTNO]@CHOICE@}{\rtlch\fcs1 \af0 \ltrch\fcs0 \insrsid6965315\charrsid9054398 #}{\rtlch\fcs1 \af0 \ltrch\fcs0 _x000d__x000a_\cs17\i0\v\fs20\cf9\lang1024\langfe1024\loch\af1\hich\af1\dbch\af31501\noproof\insrsid6965315\charrsid9054398 \hich\af1\dbch\af31501\loch\f1 &lt;/OptDelPrev&gt;}{\rtlch\fcs1 \af0 \ltrch\fcs0 \insrsid6965315\charrsid9054398 _x000d__x000a_\par }\pard\plain \ltrpar\ql \li0\ri0\widctlpar\wrapdefault\aspalpha\aspnum\faauto\adjustright\rin0\lin0\itap0\pararsid6965315 \rtlch\fcs1 \af0\afs20\alang1025 \ltrch\fcs0 \fs24\lang2057\langfe2057\cgrid\langnp2057\langfenp2057 {\rtlch\fcs1 \af0 \ltrch\fcs0 _x000d__x000a_\cs17\v\fs20\cf9\lang1024\langfe1024\loch\af1\hich\af1\dbch\af31501\noproof\insrsid6965315\charrsid90543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1_x000d__x000a_a3d9b2e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5"/>
    <w:docVar w:name="TXTAUTHOR" w:val="Sylvie Guillaume"/>
    <w:docVar w:name="TXTLANGUE" w:val="NL"/>
    <w:docVar w:name="TXTLANGUEMIN" w:val="nl"/>
    <w:docVar w:name="TXTNRC" w:val="0473/2021"/>
    <w:docVar w:name="TXTNRCOD" w:val="2021/0428"/>
    <w:docVar w:name="TXTNRCOM" w:val="(2021)0891"/>
    <w:docVar w:name="TXTNRFIRSTAM" w:val="1"/>
    <w:docVar w:name="TXTNRLASTAM" w:val="91"/>
    <w:docVar w:name="TXTNRPE" w:val="737.471"/>
    <w:docVar w:name="TXTPEorAP" w:val="PE"/>
    <w:docVar w:name="TXTROUTE" w:val="PR\1265716NL.docx"/>
    <w:docVar w:name="TXTTITLE" w:val="amending Regulation (EU) 2016/399 on a Union Code on the rules governing the movement of persons across borders"/>
    <w:docVar w:name="TXTVERSION" w:val="01-00"/>
  </w:docVars>
  <w:rsids>
    <w:rsidRoot w:val="008A28BE"/>
    <w:rsid w:val="00010724"/>
    <w:rsid w:val="00011AAB"/>
    <w:rsid w:val="00012351"/>
    <w:rsid w:val="000139E5"/>
    <w:rsid w:val="0001637A"/>
    <w:rsid w:val="0002439A"/>
    <w:rsid w:val="000404D4"/>
    <w:rsid w:val="00044BDE"/>
    <w:rsid w:val="000451B2"/>
    <w:rsid w:val="00054128"/>
    <w:rsid w:val="000664F7"/>
    <w:rsid w:val="000667E7"/>
    <w:rsid w:val="00084DD2"/>
    <w:rsid w:val="00084E89"/>
    <w:rsid w:val="000A2D89"/>
    <w:rsid w:val="000B7489"/>
    <w:rsid w:val="000C0768"/>
    <w:rsid w:val="000F1096"/>
    <w:rsid w:val="00120948"/>
    <w:rsid w:val="00120A92"/>
    <w:rsid w:val="00121042"/>
    <w:rsid w:val="00123DD5"/>
    <w:rsid w:val="001266B3"/>
    <w:rsid w:val="001277AE"/>
    <w:rsid w:val="00142215"/>
    <w:rsid w:val="00155596"/>
    <w:rsid w:val="00171930"/>
    <w:rsid w:val="001767E2"/>
    <w:rsid w:val="00187008"/>
    <w:rsid w:val="0018784B"/>
    <w:rsid w:val="001B3829"/>
    <w:rsid w:val="001C3151"/>
    <w:rsid w:val="001C5592"/>
    <w:rsid w:val="001C5B44"/>
    <w:rsid w:val="001C6FFC"/>
    <w:rsid w:val="001C7050"/>
    <w:rsid w:val="001D5AEE"/>
    <w:rsid w:val="001D7B7C"/>
    <w:rsid w:val="001E0F03"/>
    <w:rsid w:val="001E42C3"/>
    <w:rsid w:val="001E72D1"/>
    <w:rsid w:val="001F26D8"/>
    <w:rsid w:val="001F7C7C"/>
    <w:rsid w:val="0020607C"/>
    <w:rsid w:val="00212B84"/>
    <w:rsid w:val="0022231E"/>
    <w:rsid w:val="002323DE"/>
    <w:rsid w:val="002346B0"/>
    <w:rsid w:val="00246F43"/>
    <w:rsid w:val="00264914"/>
    <w:rsid w:val="002667C3"/>
    <w:rsid w:val="002669B6"/>
    <w:rsid w:val="00281A02"/>
    <w:rsid w:val="00286475"/>
    <w:rsid w:val="00290BED"/>
    <w:rsid w:val="00293EA2"/>
    <w:rsid w:val="002A691D"/>
    <w:rsid w:val="002D13EE"/>
    <w:rsid w:val="002D4A3D"/>
    <w:rsid w:val="002E33EE"/>
    <w:rsid w:val="002F40BB"/>
    <w:rsid w:val="002F4B02"/>
    <w:rsid w:val="003013F0"/>
    <w:rsid w:val="00314E41"/>
    <w:rsid w:val="003176F9"/>
    <w:rsid w:val="00323433"/>
    <w:rsid w:val="00323EF8"/>
    <w:rsid w:val="003316DD"/>
    <w:rsid w:val="003407D1"/>
    <w:rsid w:val="003479D1"/>
    <w:rsid w:val="003524E8"/>
    <w:rsid w:val="00354EB1"/>
    <w:rsid w:val="00366A46"/>
    <w:rsid w:val="00370AC3"/>
    <w:rsid w:val="00372573"/>
    <w:rsid w:val="0038075C"/>
    <w:rsid w:val="003815D7"/>
    <w:rsid w:val="003824EE"/>
    <w:rsid w:val="00391352"/>
    <w:rsid w:val="0039568E"/>
    <w:rsid w:val="00397B7C"/>
    <w:rsid w:val="003B4689"/>
    <w:rsid w:val="003C03AE"/>
    <w:rsid w:val="003C2068"/>
    <w:rsid w:val="003C37CF"/>
    <w:rsid w:val="003D2DC3"/>
    <w:rsid w:val="004028B4"/>
    <w:rsid w:val="004100B1"/>
    <w:rsid w:val="00414784"/>
    <w:rsid w:val="00423252"/>
    <w:rsid w:val="00423542"/>
    <w:rsid w:val="00426E47"/>
    <w:rsid w:val="004453AB"/>
    <w:rsid w:val="00450365"/>
    <w:rsid w:val="00455743"/>
    <w:rsid w:val="004577A4"/>
    <w:rsid w:val="00457877"/>
    <w:rsid w:val="00461601"/>
    <w:rsid w:val="00465AED"/>
    <w:rsid w:val="00474D81"/>
    <w:rsid w:val="004907D2"/>
    <w:rsid w:val="00492602"/>
    <w:rsid w:val="004A1010"/>
    <w:rsid w:val="004A6B4E"/>
    <w:rsid w:val="004B222E"/>
    <w:rsid w:val="004B2B43"/>
    <w:rsid w:val="004C0915"/>
    <w:rsid w:val="004C25F3"/>
    <w:rsid w:val="004C7683"/>
    <w:rsid w:val="004D424E"/>
    <w:rsid w:val="004D44A8"/>
    <w:rsid w:val="004E42C8"/>
    <w:rsid w:val="004E733D"/>
    <w:rsid w:val="004F3FA5"/>
    <w:rsid w:val="0051271F"/>
    <w:rsid w:val="00521F46"/>
    <w:rsid w:val="0053604D"/>
    <w:rsid w:val="00537B47"/>
    <w:rsid w:val="00537EC4"/>
    <w:rsid w:val="005424BB"/>
    <w:rsid w:val="00551111"/>
    <w:rsid w:val="00551123"/>
    <w:rsid w:val="00570A6A"/>
    <w:rsid w:val="00583264"/>
    <w:rsid w:val="0058545A"/>
    <w:rsid w:val="00586E50"/>
    <w:rsid w:val="0059583D"/>
    <w:rsid w:val="005A42D9"/>
    <w:rsid w:val="005A4C73"/>
    <w:rsid w:val="005A5899"/>
    <w:rsid w:val="005C2BEF"/>
    <w:rsid w:val="005C46BD"/>
    <w:rsid w:val="005D0455"/>
    <w:rsid w:val="005D1A99"/>
    <w:rsid w:val="005D5ED7"/>
    <w:rsid w:val="005D7609"/>
    <w:rsid w:val="005D7EE8"/>
    <w:rsid w:val="006035D4"/>
    <w:rsid w:val="00604528"/>
    <w:rsid w:val="006075CD"/>
    <w:rsid w:val="00614607"/>
    <w:rsid w:val="00621F75"/>
    <w:rsid w:val="006320E9"/>
    <w:rsid w:val="00633BD7"/>
    <w:rsid w:val="00640BF0"/>
    <w:rsid w:val="00642325"/>
    <w:rsid w:val="0064246F"/>
    <w:rsid w:val="006460F8"/>
    <w:rsid w:val="006541EE"/>
    <w:rsid w:val="0065608F"/>
    <w:rsid w:val="006A1E2B"/>
    <w:rsid w:val="006A2F5D"/>
    <w:rsid w:val="006B3065"/>
    <w:rsid w:val="006F7907"/>
    <w:rsid w:val="00707E79"/>
    <w:rsid w:val="0071441F"/>
    <w:rsid w:val="0071660E"/>
    <w:rsid w:val="00716BD3"/>
    <w:rsid w:val="00743189"/>
    <w:rsid w:val="00743D33"/>
    <w:rsid w:val="00744099"/>
    <w:rsid w:val="00751E3A"/>
    <w:rsid w:val="00756435"/>
    <w:rsid w:val="00784CF6"/>
    <w:rsid w:val="007932B3"/>
    <w:rsid w:val="00793EA9"/>
    <w:rsid w:val="00796195"/>
    <w:rsid w:val="007963D1"/>
    <w:rsid w:val="007D4112"/>
    <w:rsid w:val="007D6F68"/>
    <w:rsid w:val="007E6935"/>
    <w:rsid w:val="007F031A"/>
    <w:rsid w:val="00812050"/>
    <w:rsid w:val="00823A6A"/>
    <w:rsid w:val="00823E6B"/>
    <w:rsid w:val="00826780"/>
    <w:rsid w:val="00827155"/>
    <w:rsid w:val="00830D7A"/>
    <w:rsid w:val="00837CCD"/>
    <w:rsid w:val="008447B6"/>
    <w:rsid w:val="008633CC"/>
    <w:rsid w:val="00865190"/>
    <w:rsid w:val="008710AC"/>
    <w:rsid w:val="008719B9"/>
    <w:rsid w:val="008813E1"/>
    <w:rsid w:val="00883A0B"/>
    <w:rsid w:val="00894B63"/>
    <w:rsid w:val="00894ECE"/>
    <w:rsid w:val="00896BB4"/>
    <w:rsid w:val="008A28BE"/>
    <w:rsid w:val="008A7FB8"/>
    <w:rsid w:val="008B24BC"/>
    <w:rsid w:val="008B30EC"/>
    <w:rsid w:val="008B707D"/>
    <w:rsid w:val="008B7124"/>
    <w:rsid w:val="008C154D"/>
    <w:rsid w:val="008D1B5E"/>
    <w:rsid w:val="008E3BFB"/>
    <w:rsid w:val="009022B8"/>
    <w:rsid w:val="00914537"/>
    <w:rsid w:val="00917CC4"/>
    <w:rsid w:val="00922E8D"/>
    <w:rsid w:val="009249CA"/>
    <w:rsid w:val="00932ED4"/>
    <w:rsid w:val="0095790A"/>
    <w:rsid w:val="00960FDA"/>
    <w:rsid w:val="009763DA"/>
    <w:rsid w:val="0098489D"/>
    <w:rsid w:val="00995BA6"/>
    <w:rsid w:val="009975B3"/>
    <w:rsid w:val="00997E99"/>
    <w:rsid w:val="009A216D"/>
    <w:rsid w:val="009B4B93"/>
    <w:rsid w:val="009B4ECC"/>
    <w:rsid w:val="009B7735"/>
    <w:rsid w:val="009C7E1F"/>
    <w:rsid w:val="009F24BE"/>
    <w:rsid w:val="009F6C2F"/>
    <w:rsid w:val="009F767A"/>
    <w:rsid w:val="00A22533"/>
    <w:rsid w:val="00A24203"/>
    <w:rsid w:val="00A26F46"/>
    <w:rsid w:val="00A34FD3"/>
    <w:rsid w:val="00A36929"/>
    <w:rsid w:val="00A373B2"/>
    <w:rsid w:val="00A50548"/>
    <w:rsid w:val="00A60EE7"/>
    <w:rsid w:val="00A65E8E"/>
    <w:rsid w:val="00A73D38"/>
    <w:rsid w:val="00A910C9"/>
    <w:rsid w:val="00A91D2C"/>
    <w:rsid w:val="00A93FBD"/>
    <w:rsid w:val="00A96504"/>
    <w:rsid w:val="00AA31C0"/>
    <w:rsid w:val="00AA35B0"/>
    <w:rsid w:val="00AC2CD6"/>
    <w:rsid w:val="00AC7A3C"/>
    <w:rsid w:val="00AD18C8"/>
    <w:rsid w:val="00AD7FA6"/>
    <w:rsid w:val="00AE4643"/>
    <w:rsid w:val="00AF0416"/>
    <w:rsid w:val="00AF65A8"/>
    <w:rsid w:val="00B10CB4"/>
    <w:rsid w:val="00B1335C"/>
    <w:rsid w:val="00B13D6F"/>
    <w:rsid w:val="00B23B72"/>
    <w:rsid w:val="00B42702"/>
    <w:rsid w:val="00B57B8B"/>
    <w:rsid w:val="00B6058C"/>
    <w:rsid w:val="00B66D54"/>
    <w:rsid w:val="00B708DE"/>
    <w:rsid w:val="00B720DD"/>
    <w:rsid w:val="00B85407"/>
    <w:rsid w:val="00B90E17"/>
    <w:rsid w:val="00B95702"/>
    <w:rsid w:val="00B95AE0"/>
    <w:rsid w:val="00BB50B4"/>
    <w:rsid w:val="00BC2797"/>
    <w:rsid w:val="00BC6489"/>
    <w:rsid w:val="00BD480C"/>
    <w:rsid w:val="00BE2FC7"/>
    <w:rsid w:val="00C06BB0"/>
    <w:rsid w:val="00C07133"/>
    <w:rsid w:val="00C20954"/>
    <w:rsid w:val="00C2187A"/>
    <w:rsid w:val="00C23324"/>
    <w:rsid w:val="00C42A41"/>
    <w:rsid w:val="00C47E74"/>
    <w:rsid w:val="00C51143"/>
    <w:rsid w:val="00C573AF"/>
    <w:rsid w:val="00C57A72"/>
    <w:rsid w:val="00C73602"/>
    <w:rsid w:val="00C8106F"/>
    <w:rsid w:val="00C84843"/>
    <w:rsid w:val="00CA4087"/>
    <w:rsid w:val="00CA7F4B"/>
    <w:rsid w:val="00CC6180"/>
    <w:rsid w:val="00CD487A"/>
    <w:rsid w:val="00CD630B"/>
    <w:rsid w:val="00CE5C37"/>
    <w:rsid w:val="00CF0203"/>
    <w:rsid w:val="00CF60C8"/>
    <w:rsid w:val="00D06183"/>
    <w:rsid w:val="00D2633C"/>
    <w:rsid w:val="00D30DE2"/>
    <w:rsid w:val="00D32924"/>
    <w:rsid w:val="00D42466"/>
    <w:rsid w:val="00D46D48"/>
    <w:rsid w:val="00D503A3"/>
    <w:rsid w:val="00D63EE8"/>
    <w:rsid w:val="00D67915"/>
    <w:rsid w:val="00D93AA9"/>
    <w:rsid w:val="00D97054"/>
    <w:rsid w:val="00DA64C8"/>
    <w:rsid w:val="00DA6ED0"/>
    <w:rsid w:val="00DB0092"/>
    <w:rsid w:val="00DB7CF4"/>
    <w:rsid w:val="00DC5011"/>
    <w:rsid w:val="00DC7207"/>
    <w:rsid w:val="00DD0364"/>
    <w:rsid w:val="00DD35C7"/>
    <w:rsid w:val="00DE3D21"/>
    <w:rsid w:val="00E05909"/>
    <w:rsid w:val="00E11AFD"/>
    <w:rsid w:val="00E12623"/>
    <w:rsid w:val="00E16DDC"/>
    <w:rsid w:val="00E171B6"/>
    <w:rsid w:val="00E2009B"/>
    <w:rsid w:val="00E54F25"/>
    <w:rsid w:val="00E605B4"/>
    <w:rsid w:val="00E63BBA"/>
    <w:rsid w:val="00E66A08"/>
    <w:rsid w:val="00E67152"/>
    <w:rsid w:val="00E72695"/>
    <w:rsid w:val="00E73D80"/>
    <w:rsid w:val="00E81B72"/>
    <w:rsid w:val="00E92374"/>
    <w:rsid w:val="00EB0486"/>
    <w:rsid w:val="00EB1753"/>
    <w:rsid w:val="00EB47FC"/>
    <w:rsid w:val="00EB6CFF"/>
    <w:rsid w:val="00ED1654"/>
    <w:rsid w:val="00ED1E33"/>
    <w:rsid w:val="00ED3753"/>
    <w:rsid w:val="00EE3996"/>
    <w:rsid w:val="00F07062"/>
    <w:rsid w:val="00F07628"/>
    <w:rsid w:val="00F23CFC"/>
    <w:rsid w:val="00F30C80"/>
    <w:rsid w:val="00F3171A"/>
    <w:rsid w:val="00F32D04"/>
    <w:rsid w:val="00F433E2"/>
    <w:rsid w:val="00F904AE"/>
    <w:rsid w:val="00F934F8"/>
    <w:rsid w:val="00F95AF3"/>
    <w:rsid w:val="00FB5053"/>
    <w:rsid w:val="00FB52FE"/>
    <w:rsid w:val="00FB7E14"/>
    <w:rsid w:val="00FC0A34"/>
    <w:rsid w:val="00FD1DEF"/>
    <w:rsid w:val="00FE3B3F"/>
    <w:rsid w:val="00FE6742"/>
    <w:rsid w:val="00FF663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2EBD47-7490-46CC-BA96-C7AE333A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120A92"/>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2D4A3D"/>
    <w:pPr>
      <w:tabs>
        <w:tab w:val="right" w:pos="454"/>
        <w:tab w:val="left" w:pos="737"/>
      </w:tabs>
      <w:ind w:left="737" w:hanging="737"/>
    </w:pPr>
    <w:rPr>
      <w:snapToGrid w:val="0"/>
      <w:sz w:val="18"/>
      <w:lang w:eastAsia="en-US"/>
    </w:rPr>
  </w:style>
  <w:style w:type="paragraph" w:customStyle="1" w:styleId="Lgendetitre">
    <w:name w:val="Légende titre"/>
    <w:basedOn w:val="Normal"/>
    <w:rsid w:val="002D4A3D"/>
    <w:pPr>
      <w:spacing w:before="240" w:after="240"/>
    </w:pPr>
    <w:rPr>
      <w:b/>
      <w:i/>
      <w:snapToGrid w:val="0"/>
      <w:lang w:eastAsia="en-US"/>
    </w:rPr>
  </w:style>
  <w:style w:type="paragraph" w:customStyle="1" w:styleId="Lgendestandard">
    <w:name w:val="Légende standard"/>
    <w:basedOn w:val="Normal"/>
    <w:rsid w:val="002D4A3D"/>
    <w:rPr>
      <w:sz w:val="18"/>
    </w:rPr>
  </w:style>
  <w:style w:type="character" w:customStyle="1" w:styleId="FooterChar">
    <w:name w:val="Footer Char"/>
    <w:basedOn w:val="DefaultParagraphFont"/>
    <w:link w:val="Footer"/>
    <w:semiHidden/>
    <w:rsid w:val="00120A92"/>
    <w:rPr>
      <w:sz w:val="22"/>
    </w:rPr>
  </w:style>
  <w:style w:type="paragraph" w:styleId="Footer">
    <w:name w:val="footer"/>
    <w:link w:val="FooterChar"/>
    <w:semiHidden/>
    <w:unhideWhenUsed/>
    <w:rsid w:val="00120A9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120A92"/>
    <w:rPr>
      <w:noProof/>
      <w:sz w:val="24"/>
    </w:rPr>
  </w:style>
  <w:style w:type="paragraph" w:customStyle="1" w:styleId="Normal12">
    <w:name w:val="Normal12"/>
    <w:basedOn w:val="Normal"/>
    <w:link w:val="Normal12Char"/>
    <w:rsid w:val="00120A92"/>
    <w:pPr>
      <w:spacing w:after="240"/>
    </w:pPr>
    <w:rPr>
      <w:noProof/>
    </w:rPr>
  </w:style>
  <w:style w:type="character" w:customStyle="1" w:styleId="Normal6Char">
    <w:name w:val="Normal6 Char"/>
    <w:basedOn w:val="DefaultParagraphFont"/>
    <w:link w:val="Normal6"/>
    <w:locked/>
    <w:rsid w:val="00120A92"/>
    <w:rPr>
      <w:sz w:val="24"/>
      <w:lang w:val="nl-NL"/>
    </w:rPr>
  </w:style>
  <w:style w:type="paragraph" w:customStyle="1" w:styleId="Normal6">
    <w:name w:val="Normal6"/>
    <w:basedOn w:val="Normal"/>
    <w:link w:val="Normal6Char"/>
    <w:rsid w:val="00120A92"/>
    <w:pPr>
      <w:spacing w:after="120"/>
    </w:pPr>
  </w:style>
  <w:style w:type="paragraph" w:customStyle="1" w:styleId="Normal12Italic">
    <w:name w:val="Normal12Italic"/>
    <w:basedOn w:val="Normal12"/>
    <w:rsid w:val="00120A92"/>
    <w:rPr>
      <w:i/>
    </w:rPr>
  </w:style>
  <w:style w:type="paragraph" w:customStyle="1" w:styleId="Footer2">
    <w:name w:val="Footer2"/>
    <w:basedOn w:val="Normal12"/>
    <w:rsid w:val="00120A92"/>
    <w:pPr>
      <w:tabs>
        <w:tab w:val="center" w:pos="4535"/>
        <w:tab w:val="right" w:pos="9923"/>
      </w:tabs>
      <w:spacing w:line="480" w:lineRule="auto"/>
      <w:ind w:left="-851"/>
    </w:pPr>
    <w:rPr>
      <w:rFonts w:ascii="Arial" w:cs="Arial"/>
      <w:b/>
      <w:sz w:val="48"/>
    </w:rPr>
  </w:style>
  <w:style w:type="paragraph" w:customStyle="1" w:styleId="EntPE">
    <w:name w:val="EntPE"/>
    <w:basedOn w:val="Normal12"/>
    <w:rsid w:val="00120A92"/>
    <w:pPr>
      <w:jc w:val="center"/>
    </w:pPr>
    <w:rPr>
      <w:noProof w:val="0"/>
      <w:sz w:val="56"/>
    </w:rPr>
  </w:style>
  <w:style w:type="paragraph" w:customStyle="1" w:styleId="AMNumberTabs0">
    <w:name w:val="AMNumberTabs"/>
    <w:basedOn w:val="Normal"/>
    <w:rsid w:val="00120A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20A92"/>
    <w:pPr>
      <w:spacing w:after="240"/>
      <w:jc w:val="center"/>
    </w:pPr>
    <w:rPr>
      <w:i/>
    </w:rPr>
  </w:style>
  <w:style w:type="paragraph" w:customStyle="1" w:styleId="Olang">
    <w:name w:val="Olang"/>
    <w:basedOn w:val="Normal"/>
    <w:rsid w:val="00120A92"/>
    <w:pPr>
      <w:spacing w:before="240" w:after="240"/>
      <w:jc w:val="right"/>
    </w:pPr>
    <w:rPr>
      <w:noProof/>
      <w:szCs w:val="24"/>
    </w:rPr>
  </w:style>
  <w:style w:type="paragraph" w:customStyle="1" w:styleId="JustificationTitle">
    <w:name w:val="JustificationTitle"/>
    <w:basedOn w:val="Normal"/>
    <w:next w:val="Normal12"/>
    <w:rsid w:val="00F3171A"/>
    <w:pPr>
      <w:keepNext/>
      <w:spacing w:before="240" w:after="240"/>
      <w:jc w:val="center"/>
    </w:pPr>
    <w:rPr>
      <w:i/>
      <w:noProof/>
    </w:rPr>
  </w:style>
  <w:style w:type="paragraph" w:styleId="CommentText">
    <w:name w:val="annotation text"/>
    <w:basedOn w:val="Normal"/>
    <w:link w:val="CommentTextChar"/>
    <w:unhideWhenUsed/>
    <w:rsid w:val="001D7B7C"/>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1D7B7C"/>
    <w:rPr>
      <w:rFonts w:eastAsiaTheme="minorHAnsi"/>
      <w:lang w:eastAsia="en-US"/>
    </w:rPr>
  </w:style>
  <w:style w:type="paragraph" w:styleId="ListParagraph">
    <w:name w:val="List Paragraph"/>
    <w:basedOn w:val="Normal"/>
    <w:uiPriority w:val="34"/>
    <w:qFormat/>
    <w:rsid w:val="00E92374"/>
    <w:pPr>
      <w:ind w:left="720"/>
      <w:contextualSpacing/>
    </w:pPr>
  </w:style>
  <w:style w:type="paragraph" w:styleId="BalloonText">
    <w:name w:val="Balloon Text"/>
    <w:basedOn w:val="Normal"/>
    <w:link w:val="BalloonTextChar"/>
    <w:semiHidden/>
    <w:unhideWhenUsed/>
    <w:rsid w:val="001C7050"/>
    <w:rPr>
      <w:rFonts w:ascii="Segoe UI" w:hAnsi="Segoe UI" w:cs="Segoe UI"/>
      <w:sz w:val="18"/>
      <w:szCs w:val="18"/>
    </w:rPr>
  </w:style>
  <w:style w:type="character" w:customStyle="1" w:styleId="BalloonTextChar">
    <w:name w:val="Balloon Text Char"/>
    <w:basedOn w:val="DefaultParagraphFont"/>
    <w:link w:val="BalloonText"/>
    <w:semiHidden/>
    <w:rsid w:val="001C7050"/>
    <w:rPr>
      <w:rFonts w:ascii="Segoe UI" w:hAnsi="Segoe UI" w:cs="Segoe UI"/>
      <w:sz w:val="18"/>
      <w:szCs w:val="18"/>
    </w:rPr>
  </w:style>
  <w:style w:type="character" w:styleId="CommentReference">
    <w:name w:val="annotation reference"/>
    <w:basedOn w:val="DefaultParagraphFont"/>
    <w:rsid w:val="00DE3D21"/>
    <w:rPr>
      <w:sz w:val="16"/>
      <w:szCs w:val="16"/>
    </w:rPr>
  </w:style>
  <w:style w:type="paragraph" w:styleId="CommentSubject">
    <w:name w:val="annotation subject"/>
    <w:basedOn w:val="CommentText"/>
    <w:next w:val="CommentText"/>
    <w:link w:val="CommentSubjectChar"/>
    <w:semiHidden/>
    <w:unhideWhenUsed/>
    <w:rsid w:val="00DE3D21"/>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semiHidden/>
    <w:rsid w:val="00DE3D21"/>
    <w:rPr>
      <w:rFonts w:eastAsiaTheme="minorHAnsi"/>
      <w:b/>
      <w:bCs/>
      <w:lang w:eastAsia="en-US"/>
    </w:rPr>
  </w:style>
  <w:style w:type="character" w:styleId="Hyperlink">
    <w:name w:val="Hyperlink"/>
    <w:basedOn w:val="DefaultParagraphFont"/>
    <w:rsid w:val="00DE3D21"/>
    <w:rPr>
      <w:color w:val="0563C1" w:themeColor="hyperlink"/>
      <w:u w:val="single"/>
    </w:rPr>
  </w:style>
  <w:style w:type="paragraph" w:styleId="Revision">
    <w:name w:val="Revision"/>
    <w:hidden/>
    <w:uiPriority w:val="99"/>
    <w:semiHidden/>
    <w:rsid w:val="00DE3D2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9AB73-A4A4-49E7-80F2-EA11BCD08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20753</Words>
  <Characters>124518</Characters>
  <Application>Microsoft Office Word</Application>
  <DocSecurity>0</DocSecurity>
  <Lines>4447</Lines>
  <Paragraphs>1370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ROVERS Rosette</cp:lastModifiedBy>
  <cp:revision>2</cp:revision>
  <cp:lastPrinted>2004-11-04T09:41:00Z</cp:lastPrinted>
  <dcterms:created xsi:type="dcterms:W3CDTF">2022-11-15T10:06:00Z</dcterms:created>
  <dcterms:modified xsi:type="dcterms:W3CDTF">2022-11-15T10:06:00Z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1265716</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PR\1265716NL.docx</vt:lpwstr>
  </property>
  <property fmtid="{D5CDD505-2E9C-101B-9397-08002B2CF9AE}" pid="10" name="LastEdited with">
    <vt:lpwstr>9.11.0 Build [20211103]</vt:lpwstr>
  </property>
  <property fmtid="{D5CDD505-2E9C-101B-9397-08002B2CF9AE}" pid="11" name="PE number">
    <vt:lpwstr>737.471</vt:lpwstr>
  </property>
  <property fmtid="{D5CDD505-2E9C-101B-9397-08002B2CF9AE}" pid="12" name="SDLStudio">
    <vt:lpwstr/>
  </property>
  <property fmtid="{D5CDD505-2E9C-101B-9397-08002B2CF9AE}" pid="13" name="SendToEpades">
    <vt:lpwstr>OK - 2022/11/08 14:24</vt:lpwstr>
  </property>
  <property fmtid="{D5CDD505-2E9C-101B-9397-08002B2CF9AE}" pid="14" name="Bookout">
    <vt:lpwstr>OK - 2022/11/15 11:06</vt:lpwstr>
  </property>
</Properties>
</file>