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70467" w:rsidRPr="002A1823" w:rsidTr="00C85D0F">
        <w:trPr>
          <w:trHeight w:hRule="exact" w:val="1418"/>
        </w:trPr>
        <w:tc>
          <w:tcPr>
            <w:tcW w:w="6804" w:type="dxa"/>
            <w:shd w:val="clear" w:color="auto" w:fill="auto"/>
            <w:vAlign w:val="center"/>
          </w:tcPr>
          <w:p w:rsidR="00B13D6F" w:rsidRPr="002A1823" w:rsidRDefault="00D44075" w:rsidP="00C85D0F">
            <w:pPr>
              <w:pStyle w:val="EPName"/>
            </w:pPr>
            <w:bookmarkStart w:id="0" w:name="_GoBack"/>
            <w:bookmarkEnd w:id="0"/>
            <w:r w:rsidRPr="002A1823">
              <w:t>Evropský parlament</w:t>
            </w:r>
          </w:p>
          <w:p w:rsidR="00B13D6F" w:rsidRPr="002A1823" w:rsidRDefault="00D44075" w:rsidP="001D3DC3">
            <w:pPr>
              <w:pStyle w:val="EPTerm"/>
            </w:pPr>
            <w:r w:rsidRPr="002A1823">
              <w:t>2019-2024</w:t>
            </w:r>
          </w:p>
        </w:tc>
        <w:tc>
          <w:tcPr>
            <w:tcW w:w="2268" w:type="dxa"/>
            <w:shd w:val="clear" w:color="auto" w:fill="auto"/>
          </w:tcPr>
          <w:p w:rsidR="00B13D6F" w:rsidRPr="002A1823" w:rsidRDefault="00D44075" w:rsidP="00C85D0F">
            <w:pPr>
              <w:pStyle w:val="EPLogo"/>
            </w:pPr>
            <w:r w:rsidRPr="002A182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653586"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A1823" w:rsidRDefault="00461601" w:rsidP="00461601">
      <w:pPr>
        <w:pStyle w:val="LineTop"/>
      </w:pPr>
    </w:p>
    <w:p w:rsidR="00461601" w:rsidRPr="002A1823" w:rsidRDefault="00D44075" w:rsidP="00461601">
      <w:pPr>
        <w:pStyle w:val="EPBody"/>
      </w:pPr>
      <w:r w:rsidRPr="002A1823">
        <w:rPr>
          <w:rStyle w:val="HideTWBExt"/>
          <w:i w:val="0"/>
          <w:szCs w:val="20"/>
        </w:rPr>
        <w:t>&lt;Commission&gt;</w:t>
      </w:r>
      <w:r w:rsidRPr="002A1823">
        <w:rPr>
          <w:rStyle w:val="HideTWBInt"/>
          <w:i w:val="0"/>
          <w:szCs w:val="20"/>
        </w:rPr>
        <w:t>{LIBE}</w:t>
      </w:r>
      <w:r w:rsidRPr="002A1823">
        <w:t>Výbor pro občanské svobody, spravedlnost a vnitřní věci</w:t>
      </w:r>
      <w:r w:rsidRPr="002A1823">
        <w:rPr>
          <w:rStyle w:val="HideTWBExt"/>
          <w:i w:val="0"/>
          <w:szCs w:val="20"/>
        </w:rPr>
        <w:t>&lt;/Commission&gt;</w:t>
      </w:r>
    </w:p>
    <w:p w:rsidR="00461601" w:rsidRPr="002A1823" w:rsidRDefault="00461601" w:rsidP="00461601">
      <w:pPr>
        <w:pStyle w:val="LineBottom"/>
      </w:pPr>
    </w:p>
    <w:p w:rsidR="00C16102" w:rsidRPr="002A1823" w:rsidRDefault="00D44075" w:rsidP="00C16102">
      <w:pPr>
        <w:pStyle w:val="CoverReference"/>
      </w:pPr>
      <w:r w:rsidRPr="002A1823">
        <w:rPr>
          <w:rStyle w:val="HideTWBExt"/>
          <w:b w:val="0"/>
        </w:rPr>
        <w:t>&lt;RefProc&gt;</w:t>
      </w:r>
      <w:r w:rsidRPr="002A1823">
        <w:t>2022/0167</w:t>
      </w:r>
      <w:r w:rsidRPr="002A1823">
        <w:rPr>
          <w:rStyle w:val="HideTWBExt"/>
          <w:b w:val="0"/>
        </w:rPr>
        <w:t>&lt;/RefProc&gt;&lt;RefTypeProc&gt;</w:t>
      </w:r>
      <w:r w:rsidRPr="002A1823">
        <w:t>(COD)</w:t>
      </w:r>
      <w:r w:rsidRPr="002A1823">
        <w:rPr>
          <w:rStyle w:val="HideTWBExt"/>
          <w:b w:val="0"/>
        </w:rPr>
        <w:t>&lt;/RefTypeProc&gt;</w:t>
      </w:r>
    </w:p>
    <w:p w:rsidR="00C16102" w:rsidRPr="002A1823" w:rsidRDefault="00D44075" w:rsidP="00C16102">
      <w:pPr>
        <w:pStyle w:val="CoverDate"/>
      </w:pPr>
      <w:r w:rsidRPr="002A1823">
        <w:rPr>
          <w:rStyle w:val="HideTWBExt"/>
        </w:rPr>
        <w:t>&lt;Date&gt;</w:t>
      </w:r>
      <w:r w:rsidRPr="002A1823">
        <w:rPr>
          <w:rStyle w:val="HideTWBInt"/>
        </w:rPr>
        <w:t>{14/02/2023}</w:t>
      </w:r>
      <w:r w:rsidRPr="002A1823">
        <w:t>14.2.2023</w:t>
      </w:r>
      <w:r w:rsidRPr="002A1823">
        <w:rPr>
          <w:rStyle w:val="HideTWBExt"/>
        </w:rPr>
        <w:t>&lt;/Date&gt;</w:t>
      </w:r>
    </w:p>
    <w:p w:rsidR="00793EA9" w:rsidRPr="002A1823" w:rsidRDefault="00D44075">
      <w:pPr>
        <w:pStyle w:val="CoverDocType"/>
      </w:pPr>
      <w:r w:rsidRPr="002A1823">
        <w:rPr>
          <w:rStyle w:val="HideTWBExt"/>
          <w:b w:val="0"/>
        </w:rPr>
        <w:t>&lt;RefProcLect&gt;</w:t>
      </w:r>
      <w:r w:rsidRPr="002A1823">
        <w:t>***I</w:t>
      </w:r>
      <w:r w:rsidRPr="002A1823">
        <w:rPr>
          <w:rStyle w:val="HideTWBExt"/>
          <w:b w:val="0"/>
        </w:rPr>
        <w:t>&lt;/RefProcLect&gt;</w:t>
      </w:r>
    </w:p>
    <w:p w:rsidR="00793EA9" w:rsidRPr="002A1823" w:rsidRDefault="00D44075">
      <w:pPr>
        <w:pStyle w:val="CoverDocType24a"/>
      </w:pPr>
      <w:r w:rsidRPr="002A1823">
        <w:rPr>
          <w:rStyle w:val="HideTWBExt"/>
          <w:b w:val="0"/>
        </w:rPr>
        <w:t>&lt;TitreType&gt;</w:t>
      </w:r>
      <w:r w:rsidRPr="002A1823">
        <w:t>NÁVRH ZPRÁVY</w:t>
      </w:r>
      <w:r w:rsidRPr="002A1823">
        <w:rPr>
          <w:rStyle w:val="HideTWBExt"/>
          <w:b w:val="0"/>
        </w:rPr>
        <w:t>&lt;/TitreType&gt;</w:t>
      </w:r>
    </w:p>
    <w:p w:rsidR="00793EA9" w:rsidRPr="002A1823" w:rsidRDefault="00D44075">
      <w:pPr>
        <w:pStyle w:val="CoverNormal"/>
      </w:pPr>
      <w:r w:rsidRPr="002A1823">
        <w:rPr>
          <w:rStyle w:val="HideTWBExt"/>
        </w:rPr>
        <w:t>&lt;Titre&gt;</w:t>
      </w:r>
      <w:r w:rsidRPr="002A1823">
        <w:t>k návrhu směrnice Evropského parlamentu a Rady o vymáhání a konfiskaci majetku</w:t>
      </w:r>
      <w:r w:rsidRPr="002A1823">
        <w:rPr>
          <w:rStyle w:val="HideTWBExt"/>
        </w:rPr>
        <w:t>&lt;/Titre&gt;</w:t>
      </w:r>
    </w:p>
    <w:p w:rsidR="00793EA9" w:rsidRPr="002A1823" w:rsidRDefault="00D44075">
      <w:pPr>
        <w:pStyle w:val="CoverNormal24a"/>
      </w:pPr>
      <w:r w:rsidRPr="002A1823">
        <w:rPr>
          <w:rStyle w:val="HideTWBExt"/>
        </w:rPr>
        <w:t>&lt;DocRef&gt;</w:t>
      </w:r>
      <w:r w:rsidRPr="002A1823">
        <w:t>(COM(2022)0245 – C9</w:t>
      </w:r>
      <w:r w:rsidRPr="002A1823">
        <w:noBreakHyphen/>
        <w:t>0186/2022 – 2022/0167(COD))</w:t>
      </w:r>
      <w:r w:rsidRPr="002A1823">
        <w:rPr>
          <w:rStyle w:val="HideTWBExt"/>
        </w:rPr>
        <w:t>&lt;/DocRef&gt;</w:t>
      </w:r>
    </w:p>
    <w:p w:rsidR="00793EA9" w:rsidRPr="002A1823" w:rsidRDefault="00D44075">
      <w:pPr>
        <w:pStyle w:val="CoverNormal24a"/>
      </w:pPr>
      <w:r w:rsidRPr="002A1823">
        <w:rPr>
          <w:rStyle w:val="HideTWBExt"/>
        </w:rPr>
        <w:t>&lt;Commission&gt;</w:t>
      </w:r>
      <w:r w:rsidRPr="002A1823">
        <w:rPr>
          <w:rStyle w:val="HideTWBInt"/>
        </w:rPr>
        <w:t>{LIBE}</w:t>
      </w:r>
      <w:r w:rsidRPr="002A1823">
        <w:t>Výbor pro občanské svobody, spravedlnost a vnitřní věci</w:t>
      </w:r>
      <w:r w:rsidRPr="002A1823">
        <w:rPr>
          <w:rStyle w:val="HideTWBExt"/>
        </w:rPr>
        <w:t>&lt;/Commission&gt;</w:t>
      </w:r>
    </w:p>
    <w:p w:rsidR="00C16102" w:rsidRPr="002A1823" w:rsidRDefault="00D44075" w:rsidP="00C16102">
      <w:pPr>
        <w:pStyle w:val="CoverNormal24a"/>
      </w:pPr>
      <w:r w:rsidRPr="002A1823">
        <w:t xml:space="preserve">Zpravodaj: </w:t>
      </w:r>
      <w:r w:rsidRPr="002A1823">
        <w:rPr>
          <w:rStyle w:val="HideTWBExt"/>
        </w:rPr>
        <w:t>&lt;Depute&gt;</w:t>
      </w:r>
      <w:r w:rsidRPr="002A1823">
        <w:t>Loránt Vincze</w:t>
      </w:r>
      <w:r w:rsidRPr="002A1823">
        <w:rPr>
          <w:rStyle w:val="HideTWBExt"/>
        </w:rPr>
        <w:t>&lt;/Depute&gt;</w:t>
      </w:r>
    </w:p>
    <w:p w:rsidR="00C16102" w:rsidRPr="002A1823" w:rsidRDefault="00C16102" w:rsidP="00C16102">
      <w:pPr>
        <w:pStyle w:val="CoverNormal"/>
      </w:pPr>
    </w:p>
    <w:p w:rsidR="00C16102" w:rsidRPr="002A1823" w:rsidRDefault="00D44075" w:rsidP="00C16102">
      <w:pPr>
        <w:pStyle w:val="CoverNormal"/>
        <w:rPr>
          <w:szCs w:val="24"/>
        </w:rPr>
      </w:pPr>
      <w:r w:rsidRPr="002A1823">
        <w:t>Zpravodaj pro stanovisko přidruženého výboru podle článku 57 jednacího řádu:</w:t>
      </w:r>
    </w:p>
    <w:p w:rsidR="00C16102" w:rsidRPr="002A1823" w:rsidRDefault="00D44075" w:rsidP="00C16102">
      <w:pPr>
        <w:ind w:left="698" w:firstLine="720"/>
      </w:pPr>
      <w:r w:rsidRPr="002A1823">
        <w:t>Sergey Lagodinsky, Výbor pro právní záležitosti</w:t>
      </w:r>
    </w:p>
    <w:p w:rsidR="001C5B44" w:rsidRPr="002A1823" w:rsidRDefault="001C5B44" w:rsidP="00C16102">
      <w:pPr>
        <w:pStyle w:val="CoverNormal24a"/>
        <w:ind w:left="0"/>
      </w:pPr>
    </w:p>
    <w:p w:rsidR="00C16102" w:rsidRPr="002A1823" w:rsidRDefault="00D44075" w:rsidP="00894923">
      <w:r w:rsidRPr="002A1823">
        <w:br w:type="page"/>
      </w:r>
      <w:fldSimple w:instr=" TITLE  \* MERGEFORMAT ">
        <w:r w:rsidR="00B63A1D">
          <w:t>PR_COD_1amCom</w:t>
        </w:r>
      </w:fldSimple>
    </w:p>
    <w:p w:rsidR="00C16102" w:rsidRPr="002A1823" w:rsidRDefault="00C16102" w:rsidP="00894923"/>
    <w:p w:rsidR="00C16102" w:rsidRPr="002A1823" w:rsidRDefault="00C16102"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B567E" w:rsidRPr="002A1823">
        <w:tc>
          <w:tcPr>
            <w:tcW w:w="5811" w:type="dxa"/>
          </w:tcPr>
          <w:p w:rsidR="00C16102" w:rsidRPr="002A1823" w:rsidRDefault="00D44075" w:rsidP="00894923">
            <w:pPr>
              <w:pStyle w:val="Lgendetitre"/>
            </w:pPr>
            <w:r w:rsidRPr="002A1823">
              <w:t>Vysvětlivky</w:t>
            </w:r>
          </w:p>
        </w:tc>
      </w:tr>
      <w:tr w:rsidR="00670467" w:rsidRPr="002A1823" w:rsidTr="00D60247">
        <w:trPr>
          <w:cantSplit/>
          <w:trHeight w:val="1807"/>
        </w:trPr>
        <w:tc>
          <w:tcPr>
            <w:tcW w:w="5811" w:type="dxa"/>
            <w:tcBorders>
              <w:bottom w:val="single" w:sz="4" w:space="0" w:color="auto"/>
            </w:tcBorders>
          </w:tcPr>
          <w:p w:rsidR="00C16102" w:rsidRPr="002A1823" w:rsidRDefault="00D44075" w:rsidP="00291397">
            <w:pPr>
              <w:pStyle w:val="Lgendesigne"/>
            </w:pPr>
            <w:r w:rsidRPr="002A1823">
              <w:tab/>
              <w:t>*</w:t>
            </w:r>
            <w:r w:rsidRPr="002A1823">
              <w:tab/>
              <w:t>Postup konzultace</w:t>
            </w:r>
          </w:p>
          <w:p w:rsidR="00C16102" w:rsidRPr="002A1823" w:rsidRDefault="00D44075" w:rsidP="00291397">
            <w:pPr>
              <w:pStyle w:val="Lgendesigne"/>
            </w:pPr>
            <w:r w:rsidRPr="002A1823">
              <w:tab/>
              <w:t>***</w:t>
            </w:r>
            <w:r w:rsidRPr="002A1823">
              <w:tab/>
              <w:t>Postup souhlasu</w:t>
            </w:r>
          </w:p>
          <w:p w:rsidR="00C16102" w:rsidRPr="002A1823" w:rsidRDefault="00D44075" w:rsidP="00291397">
            <w:pPr>
              <w:pStyle w:val="Lgendesigne"/>
            </w:pPr>
            <w:r w:rsidRPr="002A1823">
              <w:tab/>
              <w:t>***I</w:t>
            </w:r>
            <w:r w:rsidRPr="002A1823">
              <w:tab/>
              <w:t>Řádný legislativní postup (první čtení)</w:t>
            </w:r>
          </w:p>
          <w:p w:rsidR="00C16102" w:rsidRPr="002A1823" w:rsidRDefault="00D44075" w:rsidP="00291397">
            <w:pPr>
              <w:pStyle w:val="Lgendesigne"/>
            </w:pPr>
            <w:r w:rsidRPr="002A1823">
              <w:tab/>
              <w:t>***II</w:t>
            </w:r>
            <w:r w:rsidRPr="002A1823">
              <w:tab/>
              <w:t>Řádný legislativní postup (druhé čtení)</w:t>
            </w:r>
          </w:p>
          <w:p w:rsidR="00C16102" w:rsidRPr="002A1823" w:rsidRDefault="00D44075" w:rsidP="00291397">
            <w:pPr>
              <w:pStyle w:val="Lgendesigne"/>
            </w:pPr>
            <w:r w:rsidRPr="002A1823">
              <w:tab/>
              <w:t>***III</w:t>
            </w:r>
            <w:r w:rsidRPr="002A1823">
              <w:tab/>
              <w:t>Řádný legislativní postup (třetí čtení)</w:t>
            </w:r>
          </w:p>
          <w:p w:rsidR="00C16102" w:rsidRPr="002A1823" w:rsidRDefault="00C16102" w:rsidP="0069092A">
            <w:pPr>
              <w:pStyle w:val="Lgendestandard"/>
            </w:pPr>
          </w:p>
          <w:p w:rsidR="00C16102" w:rsidRPr="002A1823" w:rsidRDefault="00D44075" w:rsidP="0069092A">
            <w:pPr>
              <w:pStyle w:val="Lgendestandard"/>
            </w:pPr>
            <w:r w:rsidRPr="002A1823">
              <w:t>(Druh postupu závisí na právním základu navrženém v návrhu aktu.)</w:t>
            </w:r>
          </w:p>
          <w:p w:rsidR="00C16102" w:rsidRPr="002A1823" w:rsidRDefault="00C16102" w:rsidP="008F1BC6">
            <w:pPr>
              <w:pStyle w:val="Lgendestandard"/>
            </w:pPr>
          </w:p>
        </w:tc>
      </w:tr>
    </w:tbl>
    <w:p w:rsidR="00C16102" w:rsidRPr="002A1823" w:rsidRDefault="00C16102" w:rsidP="00894923"/>
    <w:p w:rsidR="00C16102" w:rsidRPr="002A1823" w:rsidRDefault="00C16102" w:rsidP="00894923"/>
    <w:p w:rsidR="00C16102" w:rsidRPr="002A1823" w:rsidRDefault="00C16102" w:rsidP="00894923"/>
    <w:p w:rsidR="00C16102" w:rsidRPr="002A1823" w:rsidRDefault="00C16102" w:rsidP="0029139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B567E" w:rsidRPr="002A1823" w:rsidTr="00740116">
        <w:tc>
          <w:tcPr>
            <w:tcW w:w="5811" w:type="dxa"/>
          </w:tcPr>
          <w:p w:rsidR="00C16102" w:rsidRPr="002A1823" w:rsidRDefault="00D44075" w:rsidP="00740116">
            <w:pPr>
              <w:pStyle w:val="Lgendetitre"/>
            </w:pPr>
            <w:r w:rsidRPr="002A1823">
              <w:t>Pozměňovací návrhy k návrhu aktu</w:t>
            </w:r>
          </w:p>
        </w:tc>
      </w:tr>
      <w:tr w:rsidR="00670467" w:rsidRPr="002A1823" w:rsidTr="00D60247">
        <w:trPr>
          <w:trHeight w:val="4213"/>
        </w:trPr>
        <w:tc>
          <w:tcPr>
            <w:tcW w:w="5811" w:type="dxa"/>
          </w:tcPr>
          <w:p w:rsidR="00C16102" w:rsidRPr="002A1823" w:rsidRDefault="00D44075" w:rsidP="00740116">
            <w:pPr>
              <w:pStyle w:val="Lgendestandard"/>
              <w:rPr>
                <w:szCs w:val="18"/>
              </w:rPr>
            </w:pPr>
            <w:r w:rsidRPr="002A1823">
              <w:rPr>
                <w:b/>
              </w:rPr>
              <w:t>Pozměňovacích návrhy Parlamentu předložené ve dvou sloupcích</w:t>
            </w:r>
          </w:p>
          <w:p w:rsidR="00C16102" w:rsidRPr="002A1823" w:rsidRDefault="00C16102" w:rsidP="00740116">
            <w:pPr>
              <w:pStyle w:val="Lgendestandard"/>
              <w:rPr>
                <w:szCs w:val="18"/>
              </w:rPr>
            </w:pPr>
          </w:p>
          <w:p w:rsidR="00C16102" w:rsidRPr="002A1823" w:rsidRDefault="00D44075" w:rsidP="00740116">
            <w:pPr>
              <w:pStyle w:val="Lgendestandard"/>
              <w:rPr>
                <w:szCs w:val="18"/>
              </w:rPr>
            </w:pPr>
            <w:r w:rsidRPr="002A1823">
              <w:t xml:space="preserve">Vypuštění textu je označeno </w:t>
            </w:r>
            <w:r w:rsidRPr="002A1823">
              <w:rPr>
                <w:b/>
                <w:i/>
              </w:rPr>
              <w:t xml:space="preserve">tučnou kurzivou </w:t>
            </w:r>
            <w:r w:rsidRPr="002A1823">
              <w:t xml:space="preserve">v levém sloupci. Nahrazení je označeno </w:t>
            </w:r>
            <w:r w:rsidRPr="002A1823">
              <w:rPr>
                <w:b/>
                <w:i/>
              </w:rPr>
              <w:t>tučnou kurzivou</w:t>
            </w:r>
            <w:r w:rsidRPr="002A1823">
              <w:t xml:space="preserve"> v obou sloupcích. Nový text je označen </w:t>
            </w:r>
            <w:r w:rsidRPr="002A1823">
              <w:rPr>
                <w:b/>
                <w:i/>
              </w:rPr>
              <w:t>tučnou kurzivou</w:t>
            </w:r>
            <w:r w:rsidRPr="002A1823">
              <w:t xml:space="preserve"> v pravém sloupci.</w:t>
            </w:r>
          </w:p>
          <w:p w:rsidR="00C16102" w:rsidRPr="002A1823" w:rsidRDefault="00C16102" w:rsidP="00740116">
            <w:pPr>
              <w:pStyle w:val="Lgendestandard"/>
            </w:pPr>
          </w:p>
          <w:p w:rsidR="00C16102" w:rsidRPr="002A1823" w:rsidRDefault="00D44075" w:rsidP="00740116">
            <w:pPr>
              <w:pStyle w:val="Lgendestandard"/>
            </w:pPr>
            <w:r w:rsidRPr="002A1823">
              <w:t xml:space="preserve">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 </w:t>
            </w:r>
          </w:p>
          <w:p w:rsidR="00C16102" w:rsidRPr="002A1823" w:rsidRDefault="00C16102" w:rsidP="00740116">
            <w:pPr>
              <w:pStyle w:val="Lgendestandard"/>
            </w:pPr>
          </w:p>
          <w:p w:rsidR="00C16102" w:rsidRPr="002A1823" w:rsidRDefault="00D44075" w:rsidP="00740116">
            <w:pPr>
              <w:pStyle w:val="Lgendestandard"/>
              <w:rPr>
                <w:b/>
                <w:szCs w:val="18"/>
              </w:rPr>
            </w:pPr>
            <w:r w:rsidRPr="002A1823">
              <w:rPr>
                <w:b/>
              </w:rPr>
              <w:t>Pozměňovací návrhy Parlamentu v podobě konsolidovaného textu</w:t>
            </w:r>
          </w:p>
          <w:p w:rsidR="00C16102" w:rsidRPr="002A1823" w:rsidRDefault="00C16102" w:rsidP="00740116">
            <w:pPr>
              <w:pStyle w:val="Lgendestandard"/>
              <w:rPr>
                <w:szCs w:val="18"/>
              </w:rPr>
            </w:pPr>
          </w:p>
          <w:p w:rsidR="00C16102" w:rsidRPr="002A1823" w:rsidRDefault="00D44075" w:rsidP="00740116">
            <w:pPr>
              <w:pStyle w:val="Lgendestandard"/>
            </w:pPr>
            <w:r w:rsidRPr="002A1823">
              <w:t xml:space="preserve">Nové části textu jsou označeny </w:t>
            </w:r>
            <w:r w:rsidRPr="002A1823">
              <w:rPr>
                <w:b/>
                <w:i/>
              </w:rPr>
              <w:t>tučnou kurzivou</w:t>
            </w:r>
            <w:r w:rsidRPr="002A1823">
              <w:t xml:space="preserve">. Vypuštěné části textu jsou označeny symbolem ▌nebo přeškrtnuty. Nahrazení se vyznačují tak, že nový text se označí </w:t>
            </w:r>
            <w:r w:rsidRPr="002A1823">
              <w:rPr>
                <w:b/>
                <w:i/>
              </w:rPr>
              <w:t>tučnou kurzivou</w:t>
            </w:r>
            <w:r w:rsidRPr="002A1823">
              <w:t xml:space="preserve"> a nahrazený text se vymaže nebo přeškrtne. Výjimečně se neoznačují změny výlučně technické povahy, které provedly příslušné útvary za účelem vypracování konečného znění.</w:t>
            </w:r>
          </w:p>
          <w:p w:rsidR="00C16102" w:rsidRPr="002A1823" w:rsidRDefault="00C16102" w:rsidP="00740116">
            <w:pPr>
              <w:pStyle w:val="Lgendestandard"/>
            </w:pPr>
          </w:p>
        </w:tc>
      </w:tr>
    </w:tbl>
    <w:p w:rsidR="00C16102" w:rsidRPr="002A1823" w:rsidRDefault="00C16102" w:rsidP="00291397"/>
    <w:p w:rsidR="00C16102" w:rsidRPr="002A1823" w:rsidRDefault="00C16102" w:rsidP="00291397"/>
    <w:p w:rsidR="00793EA9" w:rsidRPr="002A1823" w:rsidRDefault="00793EA9" w:rsidP="00012351">
      <w:pPr>
        <w:widowControl/>
        <w:tabs>
          <w:tab w:val="center" w:pos="4677"/>
        </w:tabs>
      </w:pPr>
    </w:p>
    <w:p w:rsidR="00793EA9" w:rsidRPr="002A1823" w:rsidRDefault="00D44075">
      <w:pPr>
        <w:pStyle w:val="TOCHeading"/>
      </w:pPr>
      <w:r w:rsidRPr="002A1823">
        <w:br w:type="page"/>
      </w:r>
      <w:r w:rsidRPr="002A1823">
        <w:lastRenderedPageBreak/>
        <w:t>OBSAH</w:t>
      </w:r>
    </w:p>
    <w:p w:rsidR="00793EA9" w:rsidRPr="002A1823" w:rsidRDefault="00D44075">
      <w:pPr>
        <w:pStyle w:val="TOCPage"/>
      </w:pPr>
      <w:r w:rsidRPr="002A1823">
        <w:t>Strana</w:t>
      </w:r>
    </w:p>
    <w:p w:rsidR="00B63A1D" w:rsidRDefault="00D44075">
      <w:pPr>
        <w:pStyle w:val="TOC1"/>
        <w:tabs>
          <w:tab w:val="right" w:leader="dot" w:pos="9060"/>
        </w:tabs>
        <w:rPr>
          <w:rFonts w:asciiTheme="minorHAnsi" w:eastAsiaTheme="minorEastAsia" w:hAnsiTheme="minorHAnsi" w:cstheme="minorBidi"/>
          <w:noProof/>
          <w:sz w:val="22"/>
          <w:szCs w:val="22"/>
          <w:lang w:val="en-GB"/>
        </w:rPr>
      </w:pPr>
      <w:r w:rsidRPr="002A1823">
        <w:rPr>
          <w:b/>
        </w:rPr>
        <w:fldChar w:fldCharType="begin"/>
      </w:r>
      <w:r w:rsidRPr="002A1823">
        <w:rPr>
          <w:b/>
        </w:rPr>
        <w:instrText xml:space="preserve"> TOC \t "PageHeading</w:instrText>
      </w:r>
      <w:r w:rsidR="00B63A1D">
        <w:rPr>
          <w:b/>
        </w:rPr>
        <w:instrText>;</w:instrText>
      </w:r>
      <w:r w:rsidRPr="002A1823">
        <w:rPr>
          <w:b/>
        </w:rPr>
        <w:instrText xml:space="preserve">1" </w:instrText>
      </w:r>
      <w:r w:rsidRPr="002A1823">
        <w:rPr>
          <w:b/>
        </w:rPr>
        <w:fldChar w:fldCharType="separate"/>
      </w:r>
      <w:r w:rsidR="00B63A1D">
        <w:rPr>
          <w:noProof/>
        </w:rPr>
        <w:t>NÁVRH LEGISLATIVNÍHO USNESENÍ EVROPSKÉHO PARLAMENTU</w:t>
      </w:r>
      <w:r w:rsidR="00B63A1D">
        <w:rPr>
          <w:noProof/>
        </w:rPr>
        <w:tab/>
      </w:r>
      <w:r w:rsidR="00B63A1D">
        <w:rPr>
          <w:noProof/>
        </w:rPr>
        <w:fldChar w:fldCharType="begin"/>
      </w:r>
      <w:r w:rsidR="00B63A1D">
        <w:rPr>
          <w:noProof/>
        </w:rPr>
        <w:instrText xml:space="preserve"> PAGEREF _Toc128477937 \h </w:instrText>
      </w:r>
      <w:r w:rsidR="00B63A1D">
        <w:rPr>
          <w:noProof/>
        </w:rPr>
      </w:r>
      <w:r w:rsidR="00B63A1D">
        <w:rPr>
          <w:noProof/>
        </w:rPr>
        <w:fldChar w:fldCharType="separate"/>
      </w:r>
      <w:r w:rsidR="00B63A1D">
        <w:rPr>
          <w:noProof/>
        </w:rPr>
        <w:t>5</w:t>
      </w:r>
      <w:r w:rsidR="00B63A1D">
        <w:rPr>
          <w:noProof/>
        </w:rPr>
        <w:fldChar w:fldCharType="end"/>
      </w:r>
    </w:p>
    <w:p w:rsidR="002346B0" w:rsidRPr="002A1823" w:rsidRDefault="00D44075" w:rsidP="00C23324">
      <w:r w:rsidRPr="002A1823">
        <w:rPr>
          <w:b/>
        </w:rPr>
        <w:fldChar w:fldCharType="end"/>
      </w:r>
    </w:p>
    <w:p w:rsidR="00793EA9" w:rsidRPr="002A1823" w:rsidRDefault="00D44075">
      <w:pPr>
        <w:pStyle w:val="PageHeading"/>
      </w:pPr>
      <w:r w:rsidRPr="002A1823">
        <w:br w:type="page"/>
      </w:r>
      <w:r w:rsidRPr="002A1823">
        <w:br w:type="page"/>
      </w:r>
      <w:bookmarkStart w:id="1" w:name="_Toc128477937"/>
      <w:r w:rsidRPr="002A1823">
        <w:t>NÁVRH LEGISLATIVNÍHO USNESENÍ EVROPSKÉHO PARLAMENTU</w:t>
      </w:r>
      <w:bookmarkEnd w:id="1"/>
    </w:p>
    <w:p w:rsidR="00793EA9" w:rsidRPr="002A1823" w:rsidRDefault="00D44075">
      <w:pPr>
        <w:pStyle w:val="NormalBold"/>
      </w:pPr>
      <w:r w:rsidRPr="002A1823">
        <w:t>k návrhu směrnice Evropského parlamentu a Rady o vymáhání a konfiskaci majetku</w:t>
      </w:r>
    </w:p>
    <w:p w:rsidR="00793EA9" w:rsidRPr="002A1823" w:rsidRDefault="00D44075">
      <w:pPr>
        <w:pStyle w:val="NormalBold12a"/>
      </w:pPr>
      <w:r w:rsidRPr="002A1823">
        <w:t>(COM(2022)0245 – C9</w:t>
      </w:r>
      <w:r w:rsidRPr="002A1823">
        <w:noBreakHyphen/>
        <w:t>0186/2022 – 2022/0167(COD))</w:t>
      </w:r>
    </w:p>
    <w:p w:rsidR="00793EA9" w:rsidRPr="002A1823" w:rsidRDefault="00D44075" w:rsidP="00A910C9">
      <w:pPr>
        <w:pStyle w:val="NormalBold"/>
      </w:pPr>
      <w:r w:rsidRPr="002A1823">
        <w:t>(Řádný legislativní postup: první čtení)</w:t>
      </w:r>
    </w:p>
    <w:p w:rsidR="00793EA9" w:rsidRPr="002A1823" w:rsidRDefault="00D44075" w:rsidP="00A910C9">
      <w:pPr>
        <w:pStyle w:val="EPComma"/>
      </w:pPr>
      <w:r w:rsidRPr="002A1823">
        <w:rPr>
          <w:i/>
        </w:rPr>
        <w:t>Evropský parlament</w:t>
      </w:r>
      <w:r w:rsidRPr="002A1823">
        <w:t>,</w:t>
      </w:r>
    </w:p>
    <w:p w:rsidR="00793EA9" w:rsidRPr="002A1823" w:rsidRDefault="00D44075">
      <w:pPr>
        <w:pStyle w:val="NormalHanging12a"/>
      </w:pPr>
      <w:r w:rsidRPr="002A1823">
        <w:t>–</w:t>
      </w:r>
      <w:r w:rsidRPr="002A1823">
        <w:tab/>
        <w:t>s ohledem na návrh Komise předložený Evropskému parlamentu a Radě (COM(2022)0245),</w:t>
      </w:r>
    </w:p>
    <w:p w:rsidR="00793EA9" w:rsidRPr="002A1823" w:rsidRDefault="00D44075">
      <w:pPr>
        <w:pStyle w:val="NormalHanging12a"/>
      </w:pPr>
      <w:r w:rsidRPr="002A1823">
        <w:t>–</w:t>
      </w:r>
      <w:r w:rsidRPr="002A1823">
        <w:tab/>
        <w:t>s ohledem na čl. 294 odst. 2 a čl. 82 odst. 2 a čl. 83 odstavce 1 a 2 a čl. 87 odst. 2 Smlouvy o fungování Evropské unie, v souladu s nimiž Komise předložila svůj návrh Parlamentu (C9</w:t>
      </w:r>
      <w:r w:rsidRPr="002A1823">
        <w:noBreakHyphen/>
        <w:t>C9</w:t>
      </w:r>
      <w:r w:rsidRPr="002A1823">
        <w:noBreakHyphen/>
        <w:t>0186/2022),</w:t>
      </w:r>
    </w:p>
    <w:p w:rsidR="00A26F46" w:rsidRPr="002A1823" w:rsidRDefault="00D44075" w:rsidP="00A26F46">
      <w:pPr>
        <w:pStyle w:val="NormalHanging12a"/>
      </w:pPr>
      <w:r w:rsidRPr="002A1823">
        <w:t>–</w:t>
      </w:r>
      <w:r w:rsidRPr="002A1823">
        <w:tab/>
        <w:t>s ohledem na čl. 294 odst. 3 Smlouvy o fungování Evropské unie,</w:t>
      </w:r>
    </w:p>
    <w:p w:rsidR="00A26F46" w:rsidRPr="002A1823" w:rsidRDefault="00D44075" w:rsidP="00A26F46">
      <w:pPr>
        <w:pStyle w:val="NormalHanging12a"/>
      </w:pPr>
      <w:r w:rsidRPr="002A1823">
        <w:t>–</w:t>
      </w:r>
      <w:r w:rsidRPr="002A1823">
        <w:tab/>
        <w:t>s ohledem na články 59 jednacího řádu,</w:t>
      </w:r>
    </w:p>
    <w:p w:rsidR="00C16102" w:rsidRPr="002A1823" w:rsidRDefault="00D44075" w:rsidP="00AD7FA6">
      <w:pPr>
        <w:pStyle w:val="NormalHanging12a"/>
      </w:pPr>
      <w:r w:rsidRPr="002A1823">
        <w:t>–</w:t>
      </w:r>
      <w:r w:rsidRPr="002A1823">
        <w:tab/>
        <w:t>s ohledem na stanovisko Evropského hospodářského a sociálního výboru ze dne 14. prosince 2022</w:t>
      </w:r>
      <w:r w:rsidRPr="002A1823">
        <w:rPr>
          <w:rStyle w:val="FootnoteReference"/>
        </w:rPr>
        <w:footnoteReference w:id="1"/>
      </w:r>
      <w:r w:rsidRPr="002A1823">
        <w:t>,</w:t>
      </w:r>
    </w:p>
    <w:p w:rsidR="006A2F5D" w:rsidRPr="002A1823" w:rsidRDefault="00D44075" w:rsidP="006A2F5D">
      <w:pPr>
        <w:pStyle w:val="NormalHanging12a"/>
      </w:pPr>
      <w:r w:rsidRPr="002A1823">
        <w:t>–</w:t>
      </w:r>
      <w:r w:rsidRPr="002A1823">
        <w:tab/>
        <w:t>s ohledem na stanoviska Výboru pro právní záležitosti a Rozpočtového výboru,</w:t>
      </w:r>
    </w:p>
    <w:p w:rsidR="006A2F5D" w:rsidRPr="002A1823" w:rsidRDefault="00D44075" w:rsidP="006A2F5D">
      <w:pPr>
        <w:pStyle w:val="NormalHanging12a"/>
      </w:pPr>
      <w:r w:rsidRPr="002A1823">
        <w:t>–</w:t>
      </w:r>
      <w:r w:rsidRPr="002A1823">
        <w:tab/>
        <w:t>s ohledem na zprávu Výboru pro občanské svobody, spravedlnost a vnitřní věci (A9</w:t>
      </w:r>
      <w:r w:rsidRPr="002A1823">
        <w:noBreakHyphen/>
        <w:t>0000/2023),</w:t>
      </w:r>
    </w:p>
    <w:p w:rsidR="009F6C2F" w:rsidRPr="002A1823" w:rsidRDefault="00D44075" w:rsidP="009F6C2F">
      <w:pPr>
        <w:pStyle w:val="NormalHanging12a"/>
      </w:pPr>
      <w:r w:rsidRPr="002A1823">
        <w:t>1.</w:t>
      </w:r>
      <w:r w:rsidRPr="002A1823">
        <w:tab/>
        <w:t>přijímá níže uvedený postoj v prvním čtení;</w:t>
      </w:r>
    </w:p>
    <w:p w:rsidR="009F6C2F" w:rsidRPr="002A1823" w:rsidRDefault="00D44075" w:rsidP="009F6C2F">
      <w:pPr>
        <w:pStyle w:val="NormalHanging12a"/>
      </w:pPr>
      <w:r w:rsidRPr="002A1823">
        <w:t>2.</w:t>
      </w:r>
      <w:r w:rsidRPr="002A1823">
        <w:tab/>
        <w:t>vyzývá Komisi, aby věc znovu postoupila Parlamentu, jestliže svůj návrh nahradí jiným textem, podstatně jej změní nebo má v úmyslu jej podstatně změnit</w:t>
      </w:r>
    </w:p>
    <w:p w:rsidR="009F6C2F" w:rsidRPr="002A1823" w:rsidRDefault="00D44075" w:rsidP="009F6C2F">
      <w:pPr>
        <w:pStyle w:val="NormalHanging12a"/>
      </w:pPr>
      <w:r w:rsidRPr="002A1823">
        <w:t>3</w:t>
      </w:r>
      <w:bookmarkStart w:id="2" w:name="DocEPLastPosition"/>
      <w:bookmarkEnd w:id="2"/>
      <w:r w:rsidRPr="002A1823">
        <w:t>.</w:t>
      </w:r>
      <w:r w:rsidRPr="002A1823">
        <w:tab/>
        <w:t>pověřuje svou předsedkyni, aby předala postoj Parlamentu Radě a Komisi, jakož i vnitrostátním parlamentům.</w:t>
      </w:r>
    </w:p>
    <w:p w:rsidR="0024223B" w:rsidRPr="002A1823" w:rsidRDefault="00D44075">
      <w:pPr>
        <w:widowControl/>
      </w:pPr>
      <w:r w:rsidRPr="002A1823">
        <w:br w:type="page"/>
      </w:r>
    </w:p>
    <w:p w:rsidR="00D30DE2" w:rsidRPr="002A1823" w:rsidRDefault="00D30DE2" w:rsidP="00D30DE2"/>
    <w:p w:rsidR="0024223B" w:rsidRPr="002A1823" w:rsidRDefault="00D44075" w:rsidP="0024223B">
      <w:pPr>
        <w:pStyle w:val="AMNumberTabs0"/>
        <w:keepNext/>
      </w:pPr>
      <w:r w:rsidRPr="002A1823">
        <w:rPr>
          <w:rStyle w:val="HideTWBExt"/>
          <w:b w:val="0"/>
        </w:rPr>
        <w:t>&lt;RepeatBlock-Amend&gt;</w:t>
      </w:r>
      <w:bookmarkStart w:id="3" w:name="restart"/>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1</w:t>
      </w:r>
      <w:r w:rsidRPr="002A1823">
        <w:rPr>
          <w:rStyle w:val="HideTWBExt"/>
          <w:b w:val="0"/>
        </w:rPr>
        <w:t>&lt;/NumAm&gt;</w:t>
      </w:r>
      <w:bookmarkEnd w:id="3"/>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3</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(3)</w:t>
            </w:r>
            <w:r w:rsidRPr="002A1823">
              <w:tab/>
              <w:t xml:space="preserve">Účinný systém vymáhání majetku vyžaduje rychlé vysledování a identifikaci nástrojů trestné činnosti a výnosů z ní a majetku, u kterého existuje podezření, že má původ v trestné činnosti. Tyto výnosy, nástroje a majetek by měly být zajištěny, aby se zabránilo jejich zmizení, a následně by měly být po ukončení </w:t>
            </w:r>
            <w:r w:rsidRPr="002A1823">
              <w:rPr>
                <w:b/>
                <w:i/>
              </w:rPr>
              <w:t xml:space="preserve">trestního </w:t>
            </w:r>
            <w:r w:rsidRPr="002A1823">
              <w:t>řízení zkonfiskovány. Účinný systém vymáhání majetku dále vyžaduje účinnou správu zajištěného a konfiskovaného majetku s cílem zachovat jeho hodnotu pro stát nebo za účelem navrácení obětem.</w:t>
            </w:r>
          </w:p>
        </w:tc>
        <w:tc>
          <w:tcPr>
            <w:tcW w:w="4876" w:type="dxa"/>
            <w:hideMark/>
          </w:tcPr>
          <w:p w:rsidR="0024223B" w:rsidRPr="002A1823" w:rsidRDefault="00D44075" w:rsidP="00475254">
            <w:pPr>
              <w:pStyle w:val="Normal6"/>
              <w:rPr>
                <w:szCs w:val="24"/>
              </w:rPr>
            </w:pPr>
            <w:r w:rsidRPr="002A1823">
              <w:t>(3)</w:t>
            </w:r>
            <w:r w:rsidRPr="002A1823">
              <w:tab/>
              <w:t>Účinný systém vymáhání majetku vyžaduje rychlé vysledování a identifikaci nástrojů trestné činnosti a výnosů z ní a majetku, u kterého existuje podezření, že má původ v trestné činnosti. Tyto výnosy, nástroje a majetek by měly být zajištěny, aby se zabránilo jejich zmizení, a následně by měly být po ukončení řízení</w:t>
            </w:r>
            <w:r w:rsidRPr="002A1823">
              <w:rPr>
                <w:b/>
                <w:i/>
              </w:rPr>
              <w:t xml:space="preserve"> v trestních záležitostech</w:t>
            </w:r>
            <w:r w:rsidRPr="002A1823">
              <w:t xml:space="preserve"> zkonfiskovány. Účinný systém vymáhání majetku dále vyžaduje účinnou správu zajištěného a konfiskovaného majetku s cílem zachovat jeho hodnotu pro stát nebo za účelem navrácení obětem.</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2</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9</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(9)</w:t>
            </w:r>
            <w:r w:rsidRPr="002A1823">
              <w:tab/>
              <w:t>Vzhledem k tomu, že zločinecké organizace zapojené do široké škály nezákonných činností na různých trzích páchají široký okruh trestné činnosti a jejich spolupráce je systémová a orientovaná na zisk, účinný boj proti organizované trestné činnosti vyžaduje, aby byla k dispozici opatření k zajištění a konfiskaci, která by se týkala zisků ze všech oblastí trestné činnosti, v nichž organizované zločinecké skupiny působí. Mezi tyto trestné činy patří oblasti trestné činnosti uvedené v čl. 83 odst. 1, včetně nedovoleného obchodu se zbraněmi, střelivem a výbušninami, jak jsou definovány v Protokolu proti nedovolené výrobě střelných zbraní a jejich součástí, dílů a střeliva a obchodování s nimi, který doplňuje Úmluvu Organizace spojených národů proti nadnárodnímu organizovanému zločinu, jíž je Unie smluvní stranou. Kromě trestných činů uvedených v čl. 83 odst. 1 by oblast působnosti směrnice měla rovněž zahrnovat všechny trestné činy, které jsou harmonizovány na úrovni EU, včetně podvodů poškozujících finanční zájmy Evropské unie s ohledem na rostoucí zapojení organizovaných zločineckých skupin do této oblasti trestné činnosti. Oblast působnosti směrnice by měla dále zahrnovat trestné činy proti životnímu prostředí, které jsou pro organizované zločinecké skupiny klíčovou činností a často souvisejí s praním peněz nebo se týkají odpadů a zbytků vzniklých v souvislosti s výrobou drog a obchodováním s nimi. Napomáhání k nepovolenému vstupu a pobytu představuje hlavní činnost organizovaných zločineckých skupin a je obvykle spojeno s obchodováním s lidmi.</w:t>
            </w:r>
          </w:p>
        </w:tc>
        <w:tc>
          <w:tcPr>
            <w:tcW w:w="4876" w:type="dxa"/>
            <w:hideMark/>
          </w:tcPr>
          <w:p w:rsidR="0024223B" w:rsidRPr="002A1823" w:rsidRDefault="00D44075" w:rsidP="00475254">
            <w:pPr>
              <w:pStyle w:val="Normal6"/>
              <w:rPr>
                <w:szCs w:val="24"/>
              </w:rPr>
            </w:pPr>
            <w:r w:rsidRPr="002A1823">
              <w:t>(9)</w:t>
            </w:r>
            <w:r w:rsidRPr="002A1823">
              <w:tab/>
              <w:t>Vzhledem k tomu, že zločinecké organizace zapojené do široké škály nezákonných činností na různých trzích páchají široký okruh trestné činnosti a jejich spolupráce je systémová a orientovaná na zisk, účinný boj proti organizované trestné činnosti vyžaduje, aby byla k dispozici opatření k zajištění a konfiskaci, která by se týkala zisků ze všech oblastí trestné činnosti, v nichž organizované zločinecké skupiny působí. Mezi tyto trestné činy patří oblasti trestné činnosti uvedené v čl. 83 odst. 1, včetně nedovoleného obchodu se zbraněmi, střelivem a výbušninami, jak jsou definovány v Protokolu proti nedovolené výrobě střelných zbraní a jejich součástí, dílů a střeliva a obchodování s nimi, který doplňuje Úmluvu Organizace spojených národů proti nadnárodnímu organizovanému zločinu, jíž je Unie smluvní stranou. Kromě trestných činů uvedených v čl. 83 odst. 1 by oblast působnosti směrnice měla rovněž zahrnovat všechny trestné činy, které jsou harmonizovány na úrovni EU, včetně podvodů poškozujících finanční zájmy Evropské unie s ohledem na rostoucí zapojení organizovaných zločineckých skupin do této oblasti trestné činnosti. Oblast působnosti směrnice by měla dále zahrnovat trestné činy proti životnímu prostředí, které jsou hlavní činností organizovaných zločineckých skupin a často souvisejí s praním peněz, podvody s doklady</w:t>
            </w:r>
            <w:r w:rsidRPr="002A1823">
              <w:rPr>
                <w:b/>
                <w:i/>
              </w:rPr>
              <w:t>, hospodářskými podvody, daňovými úniky a korupcí</w:t>
            </w:r>
            <w:r w:rsidRPr="002A1823">
              <w:t xml:space="preserve"> nebo se týkají </w:t>
            </w:r>
            <w:r w:rsidRPr="002A1823">
              <w:rPr>
                <w:b/>
                <w:i/>
              </w:rPr>
              <w:t>obchodování s odpady, což je v rozporu s vnitrostátními a mezinárodními právními předpisy a normami upravujícími sběr, zpracování a likvidaci odpadů, včetně</w:t>
            </w:r>
            <w:r w:rsidRPr="002A1823">
              <w:t xml:space="preserve"> zbytků vzniklých v souvislosti s výrobou drog a obchodem s nimi. Napomáhání k nepovolenému vstupu a pobytu představuje hlavní činnost organizovaných zločineckých skupin a je obvykle spojeno s obchodováním s lidmi.</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3</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10</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(10)</w:t>
            </w:r>
            <w:r w:rsidRPr="002A1823">
              <w:tab/>
              <w:t>Klíčovou úlohu při vytváření příjmů a umožnění dalších trestných činů hrají další trestné činy spáchané v rámci zločinného spolčení, včetně závažných trestných činů přeshraniční povahy. Tyto trestné činy by měly být zahrnuty do oblasti působnosti směrnice v rozsahu, v jakém jsou páchány v rámci zločinného spolčení. Padělání a pirátství výrobků souvisí s praním peněz a paděláním dokumentů a ohrožuje fungování jednotného trhu a spravedlivou hospodářskou soutěž. Nedovolený obchod s kulturními statky, včetně starožitností a uměleckých děl, je často spojen s praním peněz a představuje důležitý zdroj financování organizovaných zločineckých skupin. Padělání veřejných listin a obchodování s nimi, což se týká i bankovních dokladů nebo dokladů totožnosti, je klíčovým nástrojem umožňujícím praní peněz, obchodování s lidmi nebo převaděčství migrantů a jako takové by mělo spadat do oblasti působnosti této směrnice. Mezi další trestné činy, které jsou často páchány v rámci organizované zločinecké skupiny, patří vražda nebo těžké ublížení na zdraví, jakož i nedovolený obchod s lidskými orgány a tkáněmi, které jsou zdrojem příjmů pro organizované zločinecké skupiny v souvislosti s nájemnými vraždami, zastrašováním a obchodováním s lidmi. Podobně se únosy, nezákonné omezování osobní svobody nebo braní rukojmí, jakož i vydírání a vymáhání peněz za ochranu používají buď jako zdroj příjmů prostřednictvím výběru výkupného, nebo jako zastrašovací taktika vůči protivníkům. Trestná činnost v podobě organizované nebo ozbrojené loupeže je pro organizované zločinecké skupiny jednou z nejběžnějších forem vytváření zisku a je často páchána ve spojení s dalšími trestnými činy, zejména nedovoleným obchodováním s palnými zbraněmi. Stejně tak obchodování s odcizenými vozidly nemusí vytvářet pouze zisky, ale představuje rovněž trestný čin umožňující zajistit nezbytné nástroje k páchání dalších trestných činů. Kromě toho je klíčové zahrnout sem i daňové trestné činy v rozsahu, v jakém jsou páchány v rámci zločinného spolčení v oblasti působnosti směrnice, neboť tato konkrétní trestná činnost je podpůrným zdrojem zisku, zejména pokud působí v přeshraničním kontextu. Typickými technikami používanými k páchání daňových podvodů nebo úniků je využívání přeshraničních podnikových struktur nebo podobných systémů k podvodnému získávání daňových výhod a vrácení daně, skrývání majetku nebo zisků, sloučení legálních zisků s nezákonnými zisky a majetkem nebo jejich převedení na jiné subjekty v zahraničí s cílem skrýt jejich původ nebo (skutečné) vlastnictví.</w:t>
            </w:r>
          </w:p>
        </w:tc>
        <w:tc>
          <w:tcPr>
            <w:tcW w:w="4876" w:type="dxa"/>
            <w:hideMark/>
          </w:tcPr>
          <w:p w:rsidR="0024223B" w:rsidRPr="002A1823" w:rsidRDefault="00D44075" w:rsidP="00475254">
            <w:pPr>
              <w:pStyle w:val="Normal6"/>
              <w:rPr>
                <w:szCs w:val="24"/>
              </w:rPr>
            </w:pPr>
            <w:r w:rsidRPr="002A1823">
              <w:t>(10)</w:t>
            </w:r>
            <w:r w:rsidRPr="002A1823">
              <w:tab/>
              <w:t xml:space="preserve">Klíčovou úlohu při vytváření příjmů a umožnění dalších trestných činů hrají další trestné činy spáchané v rámci zločinného spolčení, včetně závažných trestných činů přeshraniční povahy. Tyto trestné činy by měly být zahrnuty do oblasti působnosti směrnice v rozsahu, v jakém jsou páchány v rámci zločinného spolčení. Padělání a pirátství výrobků souvisí s praním peněz a paděláním dokumentů a ohrožuje fungování jednotného trhu a spravedlivou hospodářskou soutěž. Nedovolený obchod s kulturními statky, včetně starožitností a uměleckých děl, je často spojen s praním peněz a představuje důležitý zdroj financování organizovaných zločineckých skupin. Padělání veřejných listin a obchodování s nimi, což se týká i bankovních dokladů nebo dokladů totožnosti, je klíčovým nástrojem umožňujícím praní peněz, obchodování s lidmi nebo převaděčství migrantů a jako takové by mělo spadat do oblasti působnosti této směrnice. Mezi další trestné činy, které jsou často páchány v rámci organizované zločinecké skupiny, patří vražda nebo těžké ublížení na zdraví, jakož i nedovolený obchod s lidskými orgány a tkáněmi, které jsou zdrojem příjmů pro organizované zločinecké skupiny v souvislosti s nájemnými vraždami, zastrašováním a obchodováním s lidmi. Podobně se únosy, nezákonné omezování osobní svobody nebo braní rukojmí, jakož i vydírání a vymáhání peněz za ochranu používají buď jako zdroj příjmů prostřednictvím výběru výkupného, nebo jako zastrašovací taktika vůči protivníkům. Trestná činnost v podobě organizované nebo ozbrojené loupeže je pro organizované zločinecké skupiny jednou z nejběžnějších forem vytváření zisku a je často páchána ve spojení s dalšími trestnými činy, zejména nedovoleným obchodováním s palnými zbraněmi. Stejně tak obchodování s odcizenými vozidly nemusí vytvářet pouze zisky, ale představuje rovněž trestný čin umožňující zajistit nezbytné nástroje k páchání dalších trestných činů. Kromě toho je klíčové zahrnout sem i daňové trestné činy v rozsahu, v jakém jsou páchány v rámci zločinného spolčení v oblasti působnosti směrnice, neboť tato konkrétní trestná činnost je podpůrným zdrojem zisku, zejména pokud působí v přeshraničním kontextu. Typickými technikami používanými k páchání daňových podvodů nebo úniků je využívání přeshraničních podnikových struktur nebo podobných systémů k podvodnému získávání daňových výhod a vrácení daně, skrývání majetku nebo zisků, sloučení legálních zisků s nezákonnými zisky a majetkem nebo jejich převedení na jiné subjekty v zahraničí s cílem skrýt jejich původ nebo (skutečné) vlastnictví. </w:t>
            </w:r>
            <w:r w:rsidRPr="002A1823">
              <w:rPr>
                <w:b/>
                <w:i/>
              </w:rPr>
              <w:t>Je rovněž důležité zahrnout do oblasti působnosti této směrnice všechny relevantní trestné činy, na něž se vztahuje nařízení Evropského parlamentu a Rady (EU) 2018/1805</w:t>
            </w:r>
            <w:r w:rsidRPr="002A1823">
              <w:rPr>
                <w:b/>
                <w:i/>
                <w:vertAlign w:val="superscript"/>
              </w:rPr>
              <w:t>1a</w:t>
            </w:r>
            <w:r w:rsidRPr="002A1823">
              <w:rPr>
                <w:b/>
                <w:i/>
              </w:rPr>
              <w:t>. Proto by měl být do oblasti působnosti této směrnice doplněn nedovolený obchod s jadernými nebo radioaktivními materiály, trestné činy spadající do pravomoci Mezinárodního trestního soudu, nezákonné zabavení letadel nebo lodí a sabotáž.</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t>__________________</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t>Nařízení Evropského parlamentu a Rady (EU) 2018/1805 ze dne 14. listopadu 2018 o vzájemném uznávání příkazů k zajištění a příkazů ke konfiskaci (Úř. věst. L 303, 28.11.2018, s. 1).</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4</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17</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(17)</w:t>
            </w:r>
            <w:r w:rsidRPr="002A1823">
              <w:tab/>
              <w:t>V zájmu účinného vyšetřování za účelem vysledování majetku a rychlé reakce na přeshraniční žádosti by úřady pro vyhledávání majetku z trestné činnosti měly mít přístup k informacím, které jim umožní zjistit existenci, vlastnictví nebo kontrolu majetku, který se může stát předmětem příkazu k zajištění nebo konfiskaci. Úřady pro vyhledávání majetku z trestné činnosti by proto měly mít přístup k příslušným údajům, jako jsou fiskální údaje, vnitrostátní rejstříky občanství a obyvatelstva, obchodní databáze a informace o sociálním zabezpečení. Měly by sem také patřit informace z oblasti vymáhání práva, pokud údaje, například údaje z trestních rejstříků, ze zastavování vozidel, prohlídek majetku a předchozích právní kroků, jako jsou příkazy k zajištění a konfiskaci nebo zajištění peněžní hotovosti, mohou mít význam pro identifikaci příslušného majetku. Přístup k informacím by měl být předmětem zvláštních záruk, které zabrání zneužití přístupových práv. Těmito zárukami by neměl být dotčen článek 25 směrnice Evropského parlamentu a Rady (EU) 2016/680</w:t>
            </w:r>
            <w:r w:rsidRPr="002A1823">
              <w:rPr>
                <w:vertAlign w:val="superscript"/>
              </w:rPr>
              <w:t>23</w:t>
            </w:r>
            <w:r w:rsidRPr="002A1823">
              <w:t>. Přímý a okamžitý přístup k těmto informacím nebrání členským státům v tom, aby přístup podmínily procesními zárukami stanovenými vnitrostátním právem, přičemž je třeba řádně zohlednit to, že úřady pro vyhledávání majetku z trestné činnosti musí být schopny rychle reagovat na přeshraniční žádosti. Prováděním procesních záruk pro přístup do databází by neměla být dotčena schopnost úřadů pro vyhledávání majetku z trestné činnosti reagovat na žádosti jiných členských států, zejména v případě naléhavých žádostí. Přístup k příslušným databázím a registrům podle této směrnice by měl doplňovat přístup k informacím o bankovních účtech podle směrnice Evropského parlamentu a Rady (EU) 2019/1153 a k informacím o skutečném vlastnictví podle směrnice Evropského parlamentu a Rady (EU) 2015/849</w:t>
            </w:r>
            <w:r w:rsidRPr="002A1823">
              <w:rPr>
                <w:vertAlign w:val="superscript"/>
              </w:rPr>
              <w:t>25</w:t>
            </w:r>
            <w:r w:rsidRPr="002A1823">
              <w:t>.</w:t>
            </w:r>
          </w:p>
        </w:tc>
        <w:tc>
          <w:tcPr>
            <w:tcW w:w="4876" w:type="dxa"/>
            <w:hideMark/>
          </w:tcPr>
          <w:p w:rsidR="0024223B" w:rsidRPr="002A1823" w:rsidRDefault="00D44075" w:rsidP="00475254">
            <w:pPr>
              <w:pStyle w:val="Normal6"/>
              <w:rPr>
                <w:szCs w:val="24"/>
              </w:rPr>
            </w:pPr>
            <w:r w:rsidRPr="002A1823">
              <w:t>(17)</w:t>
            </w:r>
            <w:r w:rsidRPr="002A1823">
              <w:tab/>
              <w:t>V zájmu účinného vyšetřování za účelem vysledování majetku a rychlé reakce na přeshraniční žádosti by úřady pro vyhledávání majetku z trestné činnosti měly mít přístup k informacím, které jim umožní zjistit existenci, vlastnictví nebo kontrolu majetku, který se může stát předmětem příkazu k zajištění nebo konfiskaci. Úřady pro vyhledávání majetku z trestné činnosti by proto měly mít přístup k příslušným údajům, jako jsou fiskální údaje, vnitrostátní rejstříky občanství a obyvatelstva, obchodní databáze a informace o sociálním zabezpečení. Měly by sem také patřit informace z oblasti vymáhání práva, pokud údaje, například údaje z trestních rejstříků, ze zastavování vozidel, prohlídek majetku a předchozích právní kroků, jako jsou příkazy k zajištění a konfiskaci nebo zajištění peněžní hotovosti, mohou mít význam pro identifikaci příslušného majetku.</w:t>
            </w:r>
            <w:r w:rsidRPr="002A1823">
              <w:rPr>
                <w:b/>
                <w:i/>
              </w:rPr>
              <w:t xml:space="preserve"> Pokud je to možné a pokud jsou tyto informace obsaženy v databázích a automatizovaných systémech, měl by být tento přístup přímý a okamžitý. </w:t>
            </w:r>
            <w:r w:rsidRPr="002A1823">
              <w:t>Je-li za účelem poskytnutí přístupu k těmto informacím nutný dodatečný zásah, měly by příslušné orgány tyto informace poskytnout rychle, aby úřady pro vyhledávání majetku z trestné činnosti mohly účinně plnit své úkoly podle této směrnice. Přístup k informacím by měl být předmětem zvláštních záruk, které zabrání zneužití přístupových práv. Těmito zárukami by neměl být dotčen článek 25 směrnice Evropského parlamentu a Rady (EU) 2016/680</w:t>
            </w:r>
            <w:r w:rsidRPr="002A1823">
              <w:rPr>
                <w:vertAlign w:val="superscript"/>
              </w:rPr>
              <w:t>23</w:t>
            </w:r>
            <w:r w:rsidRPr="002A1823">
              <w:t>. Přímý a okamžitý přístup k těmto informacím nebrání členským státům v tom, aby přístup podmínily procesními zárukami stanovenými vnitrostátním právem, přičemž je třeba řádně zohlednit to, že úřady pro vyhledávání majetku z trestné činnosti musí být schopny rychle reagovat na přeshraniční žádosti. Prováděním procesních záruk pro přístup do databází by neměla být dotčena schopnost úřadů pro vyhledávání majetku z trestné činnosti reagovat na žádosti jiných členských států, zejména v případě naléhavých žádostí. Přístup k příslušným databázím a registrům podle této směrnice by měl doplňovat přístup k informacím o bankovních účtech podle směrnice Evropského parlamentu a Rady (EU) 2019/1153 a k informacím o skutečném vlastnictví podle směrnice Evropského parlamentu a Rady (EU) 2015/849</w:t>
            </w:r>
            <w:r w:rsidRPr="002A1823">
              <w:rPr>
                <w:vertAlign w:val="superscript"/>
              </w:rPr>
              <w:t>25</w:t>
            </w:r>
            <w:r w:rsidRPr="002A1823">
              <w:t>.</w:t>
            </w:r>
          </w:p>
        </w:tc>
      </w:tr>
      <w:tr w:rsidR="007B567E" w:rsidRPr="002A1823" w:rsidTr="00475254">
        <w:trPr>
          <w:jc w:val="center"/>
        </w:trPr>
        <w:tc>
          <w:tcPr>
            <w:tcW w:w="4876" w:type="dxa"/>
            <w:hideMark/>
          </w:tcPr>
          <w:p w:rsidR="0024223B" w:rsidRPr="002A1823" w:rsidRDefault="00D44075" w:rsidP="00475254">
            <w:pPr>
              <w:pStyle w:val="Normal6"/>
            </w:pPr>
            <w:r w:rsidRPr="002A1823">
              <w:t>__________________</w:t>
            </w:r>
          </w:p>
        </w:tc>
        <w:tc>
          <w:tcPr>
            <w:tcW w:w="4876" w:type="dxa"/>
            <w:hideMark/>
          </w:tcPr>
          <w:p w:rsidR="0024223B" w:rsidRPr="002A1823" w:rsidRDefault="00D44075" w:rsidP="00475254">
            <w:pPr>
              <w:pStyle w:val="Normal6"/>
              <w:rPr>
                <w:szCs w:val="24"/>
              </w:rPr>
            </w:pPr>
            <w:r w:rsidRPr="002A1823">
              <w:t>__________________</w:t>
            </w:r>
          </w:p>
        </w:tc>
      </w:tr>
      <w:tr w:rsidR="007B567E" w:rsidRPr="002A1823" w:rsidTr="00475254">
        <w:trPr>
          <w:jc w:val="center"/>
        </w:trPr>
        <w:tc>
          <w:tcPr>
            <w:tcW w:w="4876" w:type="dxa"/>
            <w:hideMark/>
          </w:tcPr>
          <w:p w:rsidR="0024223B" w:rsidRPr="002A1823" w:rsidRDefault="00D44075" w:rsidP="00475254">
            <w:pPr>
              <w:pStyle w:val="Normal6"/>
            </w:pPr>
            <w:r w:rsidRPr="002A1823">
              <w:rPr>
                <w:vertAlign w:val="superscript"/>
              </w:rPr>
              <w:t xml:space="preserve">23 </w:t>
            </w:r>
            <w:r w:rsidRPr="002A1823">
              <w:t>Směrnice Evropského parlamentu a Rady (EU) 2016/680 ze dne 27. dubna 2016 o ochraně fyzických osob v souvislosti se zpracováním osobních údajů příslušnými orgány za účelem prevence, vyšetřování, odhalování či stíhání trestných činů nebo výkonu trestů, o volném pohybu těchto údajů a o zrušení rámcového rozhodnutí Rady 2008/977/SVV (Úř. věst. L 119, 4.5.2016, s. 89).</w:t>
            </w:r>
          </w:p>
        </w:tc>
        <w:tc>
          <w:tcPr>
            <w:tcW w:w="4876" w:type="dxa"/>
            <w:hideMark/>
          </w:tcPr>
          <w:p w:rsidR="0024223B" w:rsidRPr="002A1823" w:rsidRDefault="00D44075" w:rsidP="00475254">
            <w:pPr>
              <w:pStyle w:val="Normal6"/>
              <w:rPr>
                <w:szCs w:val="24"/>
              </w:rPr>
            </w:pPr>
            <w:r w:rsidRPr="002A1823">
              <w:rPr>
                <w:vertAlign w:val="superscript"/>
              </w:rPr>
              <w:t xml:space="preserve">23 </w:t>
            </w:r>
            <w:r w:rsidRPr="002A1823">
              <w:t>Směrnice Evropského parlamentu a Rady (EU) 2016/680 ze dne 27. dubna 2016 o ochraně fyzických osob v souvislosti se zpracováním osobních údajů příslušnými orgány za účelem prevence, vyšetřování, odhalování či stíhání trestných činů nebo výkonu trestů, o volném pohybu těchto údajů a o zrušení rámcového rozhodnutí Rady 2008/977/SVV (Úř. věst. L 119, 4.5.2016, s. 89).</w:t>
            </w:r>
          </w:p>
        </w:tc>
      </w:tr>
      <w:tr w:rsidR="007B567E" w:rsidRPr="002A1823" w:rsidTr="00475254">
        <w:trPr>
          <w:jc w:val="center"/>
        </w:trPr>
        <w:tc>
          <w:tcPr>
            <w:tcW w:w="4876" w:type="dxa"/>
            <w:hideMark/>
          </w:tcPr>
          <w:p w:rsidR="0024223B" w:rsidRPr="002A1823" w:rsidRDefault="00D44075" w:rsidP="00475254">
            <w:pPr>
              <w:pStyle w:val="Normal6"/>
            </w:pPr>
            <w:r w:rsidRPr="002A1823">
              <w:rPr>
                <w:vertAlign w:val="superscript"/>
              </w:rPr>
              <w:t xml:space="preserve">24 </w:t>
            </w:r>
            <w:r w:rsidRPr="002A1823">
              <w:t>Směrnice Evropského parlamentu a Rady (EU) 2019/1153 ze dne 20. června 2019 o stanovení pravidel usnadňujících používání finančních a dalších informací k prevenci, odhalování, vyšetřování či stíhání určitých trestných činů a o zrušení rozhodnutí Rady 2000/642/SVV (Úř. věst. L 186, 11.7.2019, s. 122).</w:t>
            </w:r>
          </w:p>
        </w:tc>
        <w:tc>
          <w:tcPr>
            <w:tcW w:w="4876" w:type="dxa"/>
            <w:hideMark/>
          </w:tcPr>
          <w:p w:rsidR="0024223B" w:rsidRPr="002A1823" w:rsidRDefault="00D44075" w:rsidP="00475254">
            <w:pPr>
              <w:pStyle w:val="Normal6"/>
              <w:rPr>
                <w:szCs w:val="24"/>
              </w:rPr>
            </w:pPr>
            <w:r w:rsidRPr="002A1823">
              <w:rPr>
                <w:vertAlign w:val="superscript"/>
              </w:rPr>
              <w:t xml:space="preserve">24 </w:t>
            </w:r>
            <w:r w:rsidRPr="002A1823">
              <w:t>Směrnice Evropského parlamentu a Rady (EU) 2019/1153 ze dne 20. června 2019 o stanovení pravidel usnadňujících používání finančních a dalších informací k prevenci, odhalování, vyšetřování či stíhání určitých trestných činů a o zrušení rozhodnutí Rady 2000/642/SVV (Úř. věst. L 186, 11.7.2019, s. 122).</w:t>
            </w:r>
          </w:p>
        </w:tc>
      </w:tr>
      <w:tr w:rsidR="007B567E" w:rsidRPr="002A1823" w:rsidTr="00475254">
        <w:trPr>
          <w:jc w:val="center"/>
        </w:trPr>
        <w:tc>
          <w:tcPr>
            <w:tcW w:w="4876" w:type="dxa"/>
            <w:hideMark/>
          </w:tcPr>
          <w:p w:rsidR="0024223B" w:rsidRPr="002A1823" w:rsidRDefault="00D44075" w:rsidP="00475254">
            <w:pPr>
              <w:pStyle w:val="Normal6"/>
            </w:pPr>
            <w:r w:rsidRPr="002A1823">
              <w:rPr>
                <w:vertAlign w:val="superscript"/>
              </w:rPr>
              <w:t xml:space="preserve">25 </w:t>
            </w:r>
            <w:r w:rsidRPr="002A1823">
              <w:t>Směrnice Evropského parlamentu a Rady (EU) 2015/849 ze dne 20. května 2015 o předcházení využívání finančního systému k praní peněz nebo financování terorismu ve znění směrnice (EU) 2018/843 (Úř. věst. L 141 5.6.2015, s. 73).</w:t>
            </w:r>
          </w:p>
        </w:tc>
        <w:tc>
          <w:tcPr>
            <w:tcW w:w="4876" w:type="dxa"/>
            <w:hideMark/>
          </w:tcPr>
          <w:p w:rsidR="0024223B" w:rsidRPr="002A1823" w:rsidRDefault="00D44075" w:rsidP="00475254">
            <w:pPr>
              <w:pStyle w:val="Normal6"/>
              <w:rPr>
                <w:szCs w:val="24"/>
              </w:rPr>
            </w:pPr>
            <w:r w:rsidRPr="002A1823">
              <w:rPr>
                <w:vertAlign w:val="superscript"/>
              </w:rPr>
              <w:t xml:space="preserve">25 </w:t>
            </w:r>
            <w:r w:rsidRPr="002A1823">
              <w:t>Směrnice Evropského parlamentu a Rady (EU) 2015/849 ze dne 20. května 2015 o předcházení využívání finančního systému k praní peněz nebo financování terorismu ve znění směrnice (EU) 2018/843 (Úř. věst. L 141 5.6.2015, s. 73).</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5</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18</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(18)</w:t>
            </w:r>
            <w:r w:rsidRPr="002A1823">
              <w:tab/>
              <w:t>Aby byla zajištěna bezpečnost informací sdílených mezi úřady pro vyhledávání majetku z trestné činnosti, mělo by být pro veškerou komunikaci mezi úřady pro vyhledávání majetku z trestné činnosti podle této směrnice povinné používání aplikace sítě pro bezpečnou výměnu informací (SIENA), kterou spravuje Europol v souladu s nařízením Evropského parlamentu a Rady (EU) 2016/794</w:t>
            </w:r>
            <w:r w:rsidRPr="002A1823">
              <w:rPr>
                <w:vertAlign w:val="superscript"/>
              </w:rPr>
              <w:t>26</w:t>
            </w:r>
            <w:r w:rsidRPr="002A1823">
              <w:t>. Aby mohly plnit všechny úkoly stanovené touto směrnicí, měly by mít všechny úřady pro vyhledávání majetku z trestné činnosti přímý přístup k aplikaci SIENA.</w:t>
            </w:r>
          </w:p>
        </w:tc>
        <w:tc>
          <w:tcPr>
            <w:tcW w:w="4876" w:type="dxa"/>
            <w:hideMark/>
          </w:tcPr>
          <w:p w:rsidR="0024223B" w:rsidRPr="002A1823" w:rsidRDefault="00D44075" w:rsidP="00475254">
            <w:pPr>
              <w:pStyle w:val="Normal6"/>
              <w:rPr>
                <w:szCs w:val="24"/>
              </w:rPr>
            </w:pPr>
            <w:r w:rsidRPr="002A1823">
              <w:t>(18)</w:t>
            </w:r>
            <w:r w:rsidRPr="002A1823">
              <w:tab/>
              <w:t>Aby byla zajištěna bezpečnost informací sdílených mezi úřady pro vyhledávání majetku z trestné činnosti, mělo by být pro veškerou komunikaci mezi úřady pro vyhledávání majetku z trestné činnosti podle této směrnice povinné používání aplikace sítě pro bezpečnou výměnu informací (SIENA), kterou spravuje Europol v souladu s nařízením Evropského parlamentu a Rady (EU) 2016/794</w:t>
            </w:r>
            <w:r w:rsidRPr="002A1823">
              <w:rPr>
                <w:vertAlign w:val="superscript"/>
              </w:rPr>
              <w:t>26</w:t>
            </w:r>
            <w:r w:rsidRPr="002A1823">
              <w:t xml:space="preserve">. Aby mohly plnit všechny úkoly stanovené touto směrnicí, měly by </w:t>
            </w:r>
            <w:r w:rsidRPr="002A1823">
              <w:rPr>
                <w:b/>
                <w:i/>
              </w:rPr>
              <w:t>mít všechny úřady pro vyhledávání majetku z trestné činnosti přímý</w:t>
            </w:r>
            <w:r w:rsidRPr="002A1823">
              <w:t xml:space="preserve"> přístup </w:t>
            </w:r>
            <w:r w:rsidRPr="002A1823">
              <w:rPr>
                <w:b/>
                <w:i/>
              </w:rPr>
              <w:t>do</w:t>
            </w:r>
            <w:r w:rsidRPr="002A1823">
              <w:t xml:space="preserve"> aplikace SIENA.</w:t>
            </w:r>
          </w:p>
        </w:tc>
      </w:tr>
      <w:tr w:rsidR="007B567E" w:rsidRPr="002A1823" w:rsidTr="00475254">
        <w:trPr>
          <w:jc w:val="center"/>
        </w:trPr>
        <w:tc>
          <w:tcPr>
            <w:tcW w:w="4876" w:type="dxa"/>
            <w:hideMark/>
          </w:tcPr>
          <w:p w:rsidR="0024223B" w:rsidRPr="002A1823" w:rsidRDefault="00D44075" w:rsidP="00475254">
            <w:pPr>
              <w:pStyle w:val="Normal6"/>
            </w:pPr>
            <w:r w:rsidRPr="002A1823">
              <w:t>__________________</w:t>
            </w:r>
          </w:p>
        </w:tc>
        <w:tc>
          <w:tcPr>
            <w:tcW w:w="4876" w:type="dxa"/>
            <w:hideMark/>
          </w:tcPr>
          <w:p w:rsidR="0024223B" w:rsidRPr="002A1823" w:rsidRDefault="00D44075" w:rsidP="00475254">
            <w:pPr>
              <w:pStyle w:val="Normal6"/>
              <w:rPr>
                <w:szCs w:val="24"/>
              </w:rPr>
            </w:pPr>
            <w:r w:rsidRPr="002A1823">
              <w:t>__________________</w:t>
            </w:r>
          </w:p>
        </w:tc>
      </w:tr>
      <w:tr w:rsidR="007B567E" w:rsidRPr="002A1823" w:rsidTr="00475254">
        <w:trPr>
          <w:jc w:val="center"/>
        </w:trPr>
        <w:tc>
          <w:tcPr>
            <w:tcW w:w="4876" w:type="dxa"/>
            <w:hideMark/>
          </w:tcPr>
          <w:p w:rsidR="0024223B" w:rsidRPr="002A1823" w:rsidRDefault="00D44075" w:rsidP="00475254">
            <w:pPr>
              <w:pStyle w:val="Normal6"/>
            </w:pPr>
            <w:r w:rsidRPr="002A1823">
              <w:rPr>
                <w:vertAlign w:val="superscript"/>
              </w:rPr>
              <w:t xml:space="preserve">26 </w:t>
            </w:r>
            <w:r w:rsidRPr="002A1823">
              <w:t>Nařízení Evropského parlamentu a Rady (EU) 2016/794 ze dne 11. května 2016 o Agentuře Evropské unie pro spolupráci v oblasti prosazování práva (Europol) a o zrušení a nahrazení rozhodnutí 2009/371/SVV, 2009/934/SVV, 2009/935/SVV, 2009/936/SVV a 2009/968/SVV (Úř. věst. L 135, 24.5.2016, s. 53).</w:t>
            </w:r>
          </w:p>
        </w:tc>
        <w:tc>
          <w:tcPr>
            <w:tcW w:w="4876" w:type="dxa"/>
            <w:hideMark/>
          </w:tcPr>
          <w:p w:rsidR="0024223B" w:rsidRPr="002A1823" w:rsidRDefault="00D44075" w:rsidP="00475254">
            <w:pPr>
              <w:pStyle w:val="Normal6"/>
              <w:rPr>
                <w:szCs w:val="24"/>
              </w:rPr>
            </w:pPr>
            <w:r w:rsidRPr="002A1823">
              <w:rPr>
                <w:vertAlign w:val="superscript"/>
              </w:rPr>
              <w:t xml:space="preserve">26 </w:t>
            </w:r>
            <w:r w:rsidRPr="002A1823">
              <w:t>Nařízení Evropského parlamentu a Rady (EU) 2016/794 ze dne 11. května 2016 o Agentuře Evropské unie pro spolupráci v oblasti prosazování práva (Europol) a o zrušení a nahrazení rozhodnutí 2009/371/SVV, 2009/934/SVV, 2009/935/SVV, 2009/936/SVV a 2009/968/SVV (Úř. věst. L 135, 24.5.2016, s. 53).</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6</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24</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(24)</w:t>
            </w:r>
            <w:r w:rsidRPr="002A1823">
              <w:tab/>
              <w:t>Převedení majetku nebo výnosů podezřelé či obviněné osoby informované třetí osobě s cílem vyhnout se konfiskaci je běžnou a častou praxí. Nabytím majetku třetí osobou se míní situace, kdy byl majetek získán, přímo či nepřímo, například prostřednictvím zprostředkovatele, třetí osobou odlišnou od podezřelé či obviněné osoby, včetně případů, kdy byl trestný čin spáchán jejím jménem nebo v její prospěch a kdy obviněná osoba nemá majetek, který může být konfiskován. Tato konfiskace by měla být možná v případech, kdy bylo zjištěno, že třetí osoby věděly nebo měly vědět, že účelem převodu nebo nabytí bylo vyhnout se konfiskaci, a to na základě konkrétních skutečností a okolností, včetně toho, že převod byl proveden bezúplatně nebo výměnou za částku výrazně nižší, než je tržní hodnota. Pravidla týkající se konfiskace majetku třetích stran by se měla vztahovat jak na fyzické, tak na právnické osoby, aniž by bylo dotčeno právo třetích stran být vyslechnuty, včetně práva požadovat vlastnictví dotčeného majetku. Práva třetích osob jednajících v dobré víře by v žádném případě neměla být dotčena.</w:t>
            </w:r>
          </w:p>
        </w:tc>
        <w:tc>
          <w:tcPr>
            <w:tcW w:w="4876" w:type="dxa"/>
            <w:hideMark/>
          </w:tcPr>
          <w:p w:rsidR="0024223B" w:rsidRPr="002A1823" w:rsidRDefault="00D44075" w:rsidP="00475254">
            <w:pPr>
              <w:pStyle w:val="Normal6"/>
              <w:rPr>
                <w:szCs w:val="24"/>
              </w:rPr>
            </w:pPr>
            <w:r w:rsidRPr="002A1823">
              <w:t>(24)</w:t>
            </w:r>
            <w:r w:rsidRPr="002A1823">
              <w:tab/>
              <w:t xml:space="preserve">Převedení majetku nebo výnosů podezřelé či obviněné osoby informované třetí osobě s cílem vyhnout se konfiskaci je běžnou a častou praxí. Nabytím majetku třetí osobou se míní situace, kdy byl majetek získán, přímo či nepřímo, například prostřednictvím zprostředkovatele, třetí osobou odlišnou od podezřelé či obviněné osoby, včetně případů, kdy byl trestný čin spáchán jejím jménem nebo v její prospěch a kdy obviněná osoba nemá majetek, který může být konfiskován. Tato konfiskace by měla být možná v případech, kdy </w:t>
            </w:r>
            <w:r w:rsidRPr="002A1823">
              <w:rPr>
                <w:b/>
                <w:i/>
              </w:rPr>
              <w:t>vnitrostátní soudna základě konkrétních skutečností a okolností zjistil,</w:t>
            </w:r>
            <w:r w:rsidRPr="002A1823">
              <w:t xml:space="preserve"> že třetí osoby věděly nebo </w:t>
            </w:r>
            <w:r w:rsidRPr="002A1823">
              <w:rPr>
                <w:b/>
                <w:i/>
              </w:rPr>
              <w:t>by mohly vědět</w:t>
            </w:r>
            <w:r w:rsidRPr="002A1823">
              <w:t xml:space="preserve">, že účelem převodu nebo nabytí bylo vyhnout se konfiskaci </w:t>
            </w:r>
            <w:r w:rsidRPr="002A1823">
              <w:rPr>
                <w:b/>
                <w:i/>
              </w:rPr>
              <w:t>nebo že převedený majetek přímo či nepřímo souvisí s trestnou činností, a to na</w:t>
            </w:r>
            <w:r w:rsidRPr="002A1823">
              <w:t xml:space="preserve"> základě konkrétních skutečností a okolností, včetně toho, že převod byl proveden bezplatně nebo výměnou za částku výrazně nižší, než je tržní hodnota. Pravidla týkající se konfiskace majetku třetích stran by se měla vztahovat jak na fyzické, tak na právnické osoby, aniž by bylo dotčeno právo třetích stran být vyslechnuty, včetně práva požadovat vlastnictví dotčeného majetku. Neměla by být dotčena práva třetích stran jednajících v dobré víře</w:t>
            </w:r>
            <w:r w:rsidRPr="002A1823">
              <w:rPr>
                <w:b/>
                <w:i/>
              </w:rPr>
              <w:t>, které poskytly spravedlivou tržní hodnotu za pořízení aktiva</w:t>
            </w:r>
            <w:r w:rsidRPr="002A1823">
              <w:t xml:space="preserve">. </w:t>
            </w:r>
            <w:r w:rsidRPr="002A1823">
              <w:rPr>
                <w:b/>
                <w:i/>
              </w:rPr>
              <w:t>Tyto třetí strany by měly mít možnost předložit své připomínky k zamýšlenému konfiskačnímu opatření nebo požádat o navrácení majetku u soudu.</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7</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26</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(26)</w:t>
            </w:r>
            <w:r w:rsidRPr="002A1823">
              <w:tab/>
              <w:t>Konfiskace by měla být možná i v případech, jestliže se soud přesvědčí, že dané nástroje, výnosy nebo majetek pocházejí z trestné činnosti, avšak pravomocné odsouzení není možné z důvodu nemoci, útěku nebo smrti podezřelé či obviněné osoby nebo proto, že podezřelou či obviněnou osobu nelze činit odpovědnou z důvodu imunity nebo amnestie, jak stanoví vnitrostátní právní předpisy. Totéž by mělo být možné v případě, že lhůty stanovené vnitrostátními právními předpisy uplynou, pokud tyto lhůty nejsou dostatečně dlouhé na to, aby umožnily účinné vyšetřování a stíhání příslušných trestných činů. Konfiskace by v takových případech měla být povolena pouze tehdy, jestliže se vnitrostátní soud přesvědčí, že jsou splněny všechny znaky trestného činu. Z důvodu proporcionality by se měla konfiskace majetku bez předchozího odsouzení omezovat na případy závažných trestných činů. Právo žalovaného být informován o řízení a být zastupován advokátem by nemělo být dotčeno.</w:t>
            </w:r>
          </w:p>
        </w:tc>
        <w:tc>
          <w:tcPr>
            <w:tcW w:w="4876" w:type="dxa"/>
            <w:hideMark/>
          </w:tcPr>
          <w:p w:rsidR="0024223B" w:rsidRPr="002A1823" w:rsidRDefault="00D44075" w:rsidP="00475254">
            <w:pPr>
              <w:pStyle w:val="Normal6"/>
              <w:rPr>
                <w:szCs w:val="24"/>
              </w:rPr>
            </w:pPr>
            <w:r w:rsidRPr="002A1823">
              <w:t>(26)</w:t>
            </w:r>
            <w:r w:rsidRPr="002A1823">
              <w:tab/>
              <w:t xml:space="preserve">Konfiskace by měla být možná i v případech, jestliže se soud přesvědčí, že dané nástroje, výnosy nebo majetek pocházejí z trestné činnosti, avšak pravomocné odsouzení není možné z důvodu nemoci, útěku nebo smrti podezřelé či obviněné osoby nebo proto, že podezřelou či obviněnou osobu nelze činit odpovědnou z důvodu imunity nebo amnestie, jak stanoví vnitrostátní právní předpisy. Totéž by mělo být možné v případě, že lhůty stanovené vnitrostátními právními předpisy uplynou, pokud tyto lhůty nejsou dostatečně dlouhé na to, aby umožnily účinné vyšetřování a stíhání příslušných trestných činů. </w:t>
            </w:r>
            <w:r w:rsidRPr="002A1823">
              <w:rPr>
                <w:b/>
                <w:i/>
              </w:rPr>
              <w:t>V takových případech je vhodné a přiměřené zavést lhůtu 15 let. Řada členských států již zavedla takové konfiskační nástroje, které nejsou založeny na odsuzujícím rozsudku a které se ukázaly jako vysoce účinné, zejména ve srovnání s tradičními mechanismy konfiskace. Mechanismy pro vymáhání majetku, které nejsou založeny na odsuzujícím rozsudku, jsou již dlouho rovněž uznávány v klíčových mezinárodních smlouvách, včetně Úmluvy OSN proti korupci, a v normalizačních orgánech, jako je Finanční akční výbor (FATF). Úmluva Rady Evropy o praní, vyhledávání, zadržování a konfiskaci výnosů ze zločinu a financování terorismu z roku 2005 vyzývá smluvní strany úmluvy, aby byly ostatním smluvním stranám nápomocny při výkonu příkazů k zajištění a konfiskaci, které nejsou založeny na odsouzení v trestním řízení. Camdenova síť pro vyhledávání majetku z trestné činnosti financovaná z prostředků Unie rovněž vydala několik doporučení týkajících se konfiskace nezaložené na odsuzujícím rozsudku.</w:t>
            </w:r>
            <w:r w:rsidRPr="002A1823">
              <w:t xml:space="preserve"> Konfiskace by v takových případech měla být povolena pouze tehdy, jestliže se vnitrostátní soud přesvědčí, že jsou splněny všechny znaky trestného činu. Z důvodu proporcionality by se měla konfiskace majetku bez předchozího odsouzení omezovat na případy závažných trestných činů. Právo žalovaného být informován o řízení a být zastupován advokátem by nemělo být dotčeno.</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8</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28</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(28)</w:t>
            </w:r>
            <w:r w:rsidRPr="002A1823">
              <w:tab/>
              <w:t>Vzhledem k tomu, že organizovaná trestná činnost je ze své podstaty neprůhledná, není vždy možné prokázat souvislost majetku pocházejícího z trestné činnosti s konkrétním trestným činem a tento majetek zkonfiskovat. V těchto situacích by konfiskace měla být možná za určitých podmínek, mezi něž patří zejména tyto: majetek je zajištěn na základě podezření ze spáchání trestných činů v rámci zločinného spolčení, tyto trestné činy mohou vést ke značným hospodářským přínosům a soud se přesvědčí, že zajištěný majetek pochází z trestné činnosti prováděné v rámci zločinného spolčení. Tyto podmínky by měly zajistit, aby konfiskace majetku nesouvisejícího s konkrétním trestným činem, za který byl vlastník odsouzen, byla omezena na trestnou činnost zločineckých organizací, která je svou povahou závažná a může přinést značné přínosy. Při určování toho, zda trestné činy mohou vést k významným přínosům, by členské státy měly vzít v úvahu všechny relevantní okolnosti trestného činu, včetně toho, zda byla trestná činnost spáchána s úmyslem vytvářet pravidelné podstatné zisky. I když by nemělo být nutným předpokladem, že se vnitrostátní soud přesvědčí o spáchání trestného činu, musí se soud přesvědčit, že dotyčný majetek pochází z trestných činů. Při určování toho, zda dotyčný majetek pochází z trestné činnosti, by vnitrostátní soudy měly vzít v úvahu všechny relevantní okolnosti daného případu, včetně skutečnosti, že majetek je výrazně neúměrný legálnímu příjmu vlastníka. Členské státy by poté měly požadovat a poskytnout vlastníkovi majetku účinnou možnost prokázat, že daný majetek pochází z legálních činností.</w:t>
            </w:r>
          </w:p>
        </w:tc>
        <w:tc>
          <w:tcPr>
            <w:tcW w:w="4876" w:type="dxa"/>
            <w:hideMark/>
          </w:tcPr>
          <w:p w:rsidR="0024223B" w:rsidRPr="002A1823" w:rsidRDefault="00D44075" w:rsidP="00475254">
            <w:pPr>
              <w:pStyle w:val="Normal6"/>
              <w:rPr>
                <w:szCs w:val="24"/>
              </w:rPr>
            </w:pPr>
            <w:r w:rsidRPr="002A1823">
              <w:t>(28)</w:t>
            </w:r>
            <w:r w:rsidRPr="002A1823">
              <w:tab/>
              <w:t>Vzhledem k tomu, že organizovaná trestná činnost je ze své podstaty neprůhledná, není vždy možné prokázat souvislost majetku pocházejícího z trestné činnosti s konkrétním trestným činem a tento majetek zkonfiskovat.</w:t>
            </w:r>
            <w:r w:rsidRPr="002A1823">
              <w:rPr>
                <w:b/>
                <w:i/>
              </w:rPr>
              <w:t xml:space="preserve"> </w:t>
            </w:r>
            <w:r w:rsidRPr="002A1823">
              <w:t xml:space="preserve">Mělo by však být stále možné konfiskovat majetek s cílem narušit trestnou činnost a zajistit, aby zisky z trestné činnosti nebyly znovu investovány do legálního hospodářství. V těchto situacích by konfiskace měla být možná za určitých podmínek, mezi něž patří zejména tyto: majetek je zajištěn na základě podezření ze spáchání trestných činů v rámci zločinného spolčení, tyto trestné činy mohou vést ke značným hospodářským přínosům a soud se přesvědčí, že zajištěný majetek pochází z trestné činnosti prováděné v rámci zločinného spolčení. Tyto podmínky by měly zajistit, aby konfiskace majetku nesouvisejícího s konkrétním trestným činem, za který byl vlastník odsouzen, byla omezena na trestnou činnost zločineckých organizací, která je svou povahou závažná a může přinést značné přínosy. Při určování toho, zda trestné činy mohou vést k významným přínosům, by členské státy měly vzít v úvahu všechny relevantní okolnosti trestného činu, včetně toho, zda byla trestná činnost spáchána s úmyslem vytvářet pravidelné podstatné zisky. I když by nemělo být nutným předpokladem, že se vnitrostátní soud přesvědčí o spáchání trestného činu, musí se soud přesvědčit, že dotyčný majetek pochází z trestných činů. Při určování toho, zda dotyčný majetek pochází z trestné činnosti, by vnitrostátní soudy měly vzít v úvahu všechny relevantní okolnosti daného případu, včetně skutečnosti, že majetek je výrazně neúměrný legálnímu příjmu vlastníka. Členské státy by poté měly požadovat a poskytnout vlastníkovi majetku účinnou možnost prokázat, že daný majetek pochází z legálních činností. </w:t>
            </w:r>
            <w:r w:rsidRPr="002A1823">
              <w:rPr>
                <w:b/>
                <w:i/>
              </w:rPr>
              <w:t>V této souvislosti doporučení FATF č. 4 rovněž uvádí, že země by měly zvážit přijetí opatření, která ukládají pachateli povinnost prokázat legální původ majetku, který údajně podléhá konfiskaci, pokud je takový požadavek v souladu se zásadami jejich vnitrostátního práva.</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9</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28 a (nový)</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(28a)</w:t>
            </w:r>
            <w:r w:rsidRPr="002A1823">
              <w:rPr>
                <w:b/>
                <w:i/>
              </w:rPr>
              <w:tab/>
              <w:t xml:space="preserve">Mělo by být možné vysledovat a identifikovat majetek, který má být zajištěn a konfiskován, a to i po pravomocném odsouzení za trestný čin nebo v návaznosti na konfiskační řízení, které není založeno na odsuzujícím rozsudku. Tato možnost by však neměla členským státům bránit ve stanovení přiměřených lhůt po pravomocných odsouzeních nebo pravomocných rozhodnutích v konfiskačních řízeních, která nejsou založena na odsuzujícím rozsudku, po jejichž uplynutí by již nebylo možné takový majetek vysledovat a identifikovat. </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10</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29</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(29)</w:t>
            </w:r>
            <w:r w:rsidRPr="002A1823">
              <w:tab/>
              <w:t>Aby se zajistilo, že majetek, na který se vztahuje nebo může vztahovat příkaz k zajištění nebo konfiskaci, si zachová svou hospodářskou hodnotu, měly by členské státy zavést účinná správní opatření. Mezi tato opatření by mělo patřit systematické posuzování toho, jak nejlépe zachovat a optimalizovat hodnotu majetku před přijetím opatření k zajištění majetku, rovněž známé jako plánování před zajištěním.</w:t>
            </w:r>
          </w:p>
        </w:tc>
        <w:tc>
          <w:tcPr>
            <w:tcW w:w="4876" w:type="dxa"/>
            <w:hideMark/>
          </w:tcPr>
          <w:p w:rsidR="0024223B" w:rsidRPr="002A1823" w:rsidRDefault="00D44075" w:rsidP="00475254">
            <w:pPr>
              <w:pStyle w:val="Normal6"/>
              <w:rPr>
                <w:szCs w:val="24"/>
              </w:rPr>
            </w:pPr>
            <w:r w:rsidRPr="002A1823">
              <w:t>(29)</w:t>
            </w:r>
            <w:r w:rsidRPr="002A1823">
              <w:tab/>
              <w:t xml:space="preserve">Aby se zajistilo, že majetek, na který se vztahuje nebo může vztahovat příkaz k zajištění nebo konfiskaci, si zachová svou hospodářskou hodnotu, měly by členské státy zavést účinná správní opatření. Mezi tato opatření by mělo patřit systematické posuzování toho, jak nejlépe zachovat a optimalizovat hodnotu majetku před přijetím opatření k zajištění majetku, rovněž známé jako plánování před zajištěním. </w:t>
            </w:r>
            <w:r w:rsidRPr="002A1823">
              <w:rPr>
                <w:b/>
                <w:i/>
              </w:rPr>
              <w:t xml:space="preserve">Plánování před zajištěním by se mělo používat ve všech případech, ledaže by naléhavost věci vyžadovala omezení nebo odstranění tohoto kroku. </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11</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29 a (nový)</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(29a)</w:t>
            </w:r>
            <w:r w:rsidRPr="002A1823">
              <w:rPr>
                <w:b/>
                <w:i/>
              </w:rPr>
              <w:tab/>
              <w:t>Členské státy by měly přijmout nezbytná opatření k zajištění toho, aby byly nároky obětí před konečným konfiskačním opatřením plně respektovány. Členské státy by měly věnovat zvláštní pozornost nárokům obětí ve všech řízeních, a zejména v přeshraničních případech. Kromě toho by členské státy měly, je-li to možné a přednostně, přijmout nezbytná opatření k navrácení dotčeného majetku, nebo není-li to možné, hodnoty odpovídající danému majetku oběti.</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12</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29 b (nový)</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(29b)</w:t>
            </w:r>
            <w:r w:rsidRPr="002A1823">
              <w:rPr>
                <w:b/>
                <w:i/>
              </w:rPr>
              <w:tab/>
              <w:t>Členské státy by měly přijmout nezbytná opatření, která umožní využití konfiskovaného majetku ve veřejném zájmu nebo pro sociální účely. Vzhledem ke značným nákladům spojeným s vysledováním a identifikací, zmrazením a konfiskací může být tento majetek ponechán jako státní majetek pro účely spravedlnosti, vymáhání práva, veřejné služby nebo pro hospodářské účely nebo může být převeden na místní nebo regionální orgány odpovědné za oblast, v níž se majetek nachází, pro institucionální, sociální nebo hospodářské účely, včetně jeho převedení na organizace, které vykonávají práci ve společenském zájmu.</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13</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29 c (nový)</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(29c)</w:t>
            </w:r>
            <w:r w:rsidRPr="002A1823">
              <w:rPr>
                <w:b/>
                <w:i/>
              </w:rPr>
              <w:tab/>
              <w:t>Pokud konfiskovaný majetek pocházel ze třetí země, měly by jej členské státy vrátit do třetí země na základě dohody o navrácení. Tyto dohody o navracení by měly být veřejně přístupné. Tyto dohody o navracení by mohly mimo jiné stanovit, jak budou finanční prostředky znovu investovány, například odškodnění obětí nebo přispění k projektům s vysokým sociálním dopadem, které byly vybrány na základě potřeb postiženého obyvatelstva a transparentním postupem.</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14</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31</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(31)</w:t>
            </w:r>
            <w:r w:rsidRPr="002A1823">
              <w:tab/>
              <w:t>Členské státy by měly založit úřady pro správu majetku za účelem zřízení specializovaných orgánů pověřených správou zajištěného a konfiskovaného majetku s cílem účinně spravovat majetek zajištěný před konfiskací a zachovat jeho hodnotu až do vydání konečného rozhodnutí o konfiskaci. Aniž jsou dotčeny vnitřní správní struktury členských států, úřady pro správu majetku by buď měly být jediným orgánem spravujícím zajištěný nebo konfiskovaný majetek, nebo by měly poskytovat podporu decentralizovaným subjektům v souladu s vnitrostátními strukturami řízení a podporovat příslušné orgány při plánování před zajištěním.</w:t>
            </w:r>
          </w:p>
        </w:tc>
        <w:tc>
          <w:tcPr>
            <w:tcW w:w="4876" w:type="dxa"/>
            <w:hideMark/>
          </w:tcPr>
          <w:p w:rsidR="0024223B" w:rsidRPr="002A1823" w:rsidRDefault="00D44075" w:rsidP="00475254">
            <w:pPr>
              <w:pStyle w:val="Normal6"/>
              <w:rPr>
                <w:szCs w:val="24"/>
              </w:rPr>
            </w:pPr>
            <w:r w:rsidRPr="002A1823">
              <w:t>(31)</w:t>
            </w:r>
            <w:r w:rsidRPr="002A1823">
              <w:tab/>
              <w:t xml:space="preserve">Členské státy by měly založit úřady pro správu majetku za účelem zřízení specializovaných orgánů pověřených správou zajištěného a konfiskovaného majetku s cílem účinně spravovat majetek zajištěný před konfiskací a zachovat jeho hodnotu až do vydání konečného rozhodnutí o konfiskaci. Aniž jsou dotčeny vnitřní správní struktury členských států, úřady pro správu majetku by buď měly být jediným orgánem spravujícím zajištěný nebo konfiskovaný majetek, nebo by měly poskytovat podporu decentralizovaným subjektům v souladu s vnitrostátními strukturami řízení a podporovat příslušné orgány při plánování před zajištěním. </w:t>
            </w:r>
            <w:r w:rsidRPr="002A1823">
              <w:rPr>
                <w:b/>
                <w:i/>
              </w:rPr>
              <w:t xml:space="preserve">V zájmu účinnosti by členské státy měly zvážit zřízení úřadů pro vyhledávání majetku z trestné činnosti a pro správu majetku v rámci jediné právní a organizační struktury. </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15</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34</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(34)</w:t>
            </w:r>
            <w:r w:rsidRPr="002A1823">
              <w:tab/>
              <w:t>Příkazy k zajištění, konfiskaci a předběžnému prodeji by se měly neprodleně sdělit dotčené straně. Účelem sdělení těchto příkazů je mimo jiné umožnit dotčené osobě, aby je napadla u soudu. V těchto sděleních by proto měl být zpravidla uveden důvod nebo důvody dotyčného příkazu. Dotčená strana by měla mít účinnou možnost napadnout příkazy k zajištění, konfiskaci a předběžnému prodeji. V případě příkazů ke konfiskaci, kde jsou přítomny všechny prvky trestného činu, ale odsouzení v trestním řízení není možné, by měl mít obžalovaný možnost být před přijetím příkazu vyslechnut. Stejná možnost by měla být poskytnuta vlastníkovi, jehož se týká příkaz k prodeji majetku před konfiskací.</w:t>
            </w:r>
          </w:p>
        </w:tc>
        <w:tc>
          <w:tcPr>
            <w:tcW w:w="4876" w:type="dxa"/>
            <w:hideMark/>
          </w:tcPr>
          <w:p w:rsidR="0024223B" w:rsidRPr="002A1823" w:rsidRDefault="00D44075" w:rsidP="00475254">
            <w:pPr>
              <w:pStyle w:val="Normal6"/>
              <w:rPr>
                <w:szCs w:val="24"/>
              </w:rPr>
            </w:pPr>
            <w:r w:rsidRPr="002A1823">
              <w:t>(34)</w:t>
            </w:r>
            <w:r w:rsidRPr="002A1823">
              <w:tab/>
              <w:t>Příkazy k zajištění, konfiskaci a předběžnému prodeji by se měly neprodleně sdělit dotčené straně. Účelem sdělení těchto příkazů je mimo jiné umožnit dotčené osobě, aby je napadla u soudu. V těchto sděleních by proto měl být zpravidla uveden důvod nebo důvody dotyčného příkazu. Dotčená strana by měla mít účinnou možnost napadnout příkazy k zajištění, konfiskaci a předběžnému prodeji. V případě příkazů ke konfiskaci, kde jsou přítomny všechny prvky trestného činu, ale odsouzení v trestním řízení není možné, by měl mít obžalovaný možnost být před přijetím příkazu vyslechnut. Stejná možnost by měla být poskytnuta vlastníkovi, jehož se týká příkaz k prodeji majetku před konfiskací.</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16</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39</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(39)</w:t>
            </w:r>
            <w:r w:rsidRPr="002A1823">
              <w:tab/>
              <w:t>Účinný systém vymáhání vyžaduje společné úsilí široké škály orgánů, od donucovacích orgánů (včetně celních orgánů), daňových orgánů a orgánů pro vymáhání daní, pokud jsou příslušné pro vymáhání majetku, po úřady pro vyhledávání majetku z trestné činnosti, soudní orgány a orgány pro správu majetku, včetně úřadů pro správu majetku. V zájmu zajištění koordinovaného postupu všech příslušných orgánů je nezbytné při vymáhání majetku z trestné činnosti zavést strategičtější přístup, podpořit větší spolupráci mezi příslušnými orgány a získat jasný přehled o výsledcích vymáhání majetku. Za tímto účelem by členské státy měly přijmout a pravidelně přezkoumávat vnitrostátní strategii pro vymáhání majetku, která bude vodítkem pro opatření v souvislosti s finančním vyšetřováním, zajištěním a konfiskací příslušných nástrojů, výnosů nebo majetku, jejich správou i konečným naložením s nimi. Kromě toho by členské státy měly příslušným orgánům poskytnout nezbytné zdroje, aby mohly účinně plnit své úkoly. Příslušnými orgány by se měly rozumět orgány pověřené plněním úkolů uvedených v této směrnici a v souladu s vnitrostátními strukturami.</w:t>
            </w:r>
          </w:p>
        </w:tc>
        <w:tc>
          <w:tcPr>
            <w:tcW w:w="4876" w:type="dxa"/>
            <w:hideMark/>
          </w:tcPr>
          <w:p w:rsidR="0024223B" w:rsidRPr="002A1823" w:rsidRDefault="00D44075" w:rsidP="00475254">
            <w:pPr>
              <w:pStyle w:val="Normal6"/>
              <w:rPr>
                <w:szCs w:val="24"/>
              </w:rPr>
            </w:pPr>
            <w:r w:rsidRPr="002A1823">
              <w:t>(39)</w:t>
            </w:r>
            <w:r w:rsidRPr="002A1823">
              <w:tab/>
              <w:t xml:space="preserve">Účinný systém vymáhání vyžaduje společné úsilí široké škály orgánů, od donucovacích orgánů (včetně celních orgánů), daňových orgánů a orgánů pro vymáhání daní, pokud jsou příslušné pro vymáhání majetku, po úřady pro vyhledávání majetku z trestné činnosti, soudní orgány a orgány pro správu majetku, včetně úřadů pro správu majetku. V zájmu zajištění koordinovaného postupu všech příslušných orgánů je nezbytné při vymáhání majetku z trestné činnosti zavést strategičtější přístup, podpořit větší spolupráci mezi příslušnými orgány a získat jasný přehled o výsledcích vymáhání majetku. Za tímto účelem by členské státy měly přijmout a pravidelně přezkoumávat vnitrostátní strategii pro vymáhání majetku, která bude vodítkem pro opatření v souvislosti s finančním vyšetřováním, zajištěním a konfiskací příslušných nástrojů, výnosů nebo majetku, jejich správou i konečným naložením s nimi. </w:t>
            </w:r>
            <w:r w:rsidRPr="002A1823">
              <w:rPr>
                <w:b/>
                <w:i/>
              </w:rPr>
              <w:t>Vnitrostátní strategie by měly zahrnovat popis úloh a povinností všech příslušných orgánů zapojených do vymáhání, konfiskace a správy majetku a konkrétní mechanismy jejich vzájemné spolupráce.</w:t>
            </w:r>
            <w:r w:rsidRPr="002A1823">
              <w:t xml:space="preserve"> Kromě toho by členské státy měly příslušným orgánům poskytnout nezbytné zdroje </w:t>
            </w:r>
            <w:r w:rsidRPr="002A1823">
              <w:rPr>
                <w:b/>
                <w:i/>
              </w:rPr>
              <w:t>a právní pravomoci</w:t>
            </w:r>
            <w:r w:rsidRPr="002A1823">
              <w:t>, aby mohly účinně plnit své úkoly. Příslušnými orgány by se měly rozumět orgány pověřené plněním úkolů uvedených v této směrnici a v souladu s vnitrostátními strukturami.</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17</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41</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(41)</w:t>
            </w:r>
            <w:r w:rsidRPr="002A1823">
              <w:tab/>
              <w:t>V zájmu zajištění jednotného přístupu členských států ke shromažďování statistických údajů by měla být na Komisi přenesena pravomoc přijímat akty v souladu s článkem 290 Smlouvy o fungování EU, pokud jde o doplnění této směrnice přijetím podrobnějších pravidel týkajících se informací, které mají být shromažďovány, a metodiky shromažďování statistických údajů.</w:t>
            </w:r>
          </w:p>
        </w:tc>
        <w:tc>
          <w:tcPr>
            <w:tcW w:w="4876" w:type="dxa"/>
            <w:hideMark/>
          </w:tcPr>
          <w:p w:rsidR="0024223B" w:rsidRPr="002A1823" w:rsidRDefault="00D44075" w:rsidP="00475254">
            <w:pPr>
              <w:pStyle w:val="Normal6"/>
              <w:rPr>
                <w:szCs w:val="24"/>
              </w:rPr>
            </w:pPr>
            <w:r w:rsidRPr="002A1823">
              <w:t>(41)</w:t>
            </w:r>
            <w:r w:rsidRPr="002A1823">
              <w:tab/>
              <w:t xml:space="preserve">Aby byl zajištěn jednotný přístup členských států při shromažďování statistických údajů, </w:t>
            </w:r>
            <w:r w:rsidRPr="002A1823">
              <w:rPr>
                <w:b/>
                <w:i/>
              </w:rPr>
              <w:t>měly by členské státy u všech trestných činů zahrnout alespoň počet vykonaných příkazů k zajištění, počet vykonaných příkazů ke konfiskaci, hodnotu zajištěného majetku, hodnotu vymoženého majetku, počet žádostí o výkon příkazů k zajištění v jiném členském státě, počet žádostí o výkon příkazů ke konfiskaci v jiném členském státě, hodnotu majetku získaného po výkonu v jiném členském státě, hodnotu majetku určeného k opětovnému použití pro účely vymáhání práva, předcházení trestné činnosti nebo pro sociální účely, počet případů, ve kterých byla konfiskace nařízena v poměru k počtu odsouzení za trestné činy, na něž se vztahuje tato směrnice, počet žádostí o soudní příkazy k zajištění a konfiskaci, které soudy zamítly, druh použití konfiskovaného majetku a délku řízení o přidělení konfiskovaného majetku.</w:t>
            </w:r>
            <w:r w:rsidRPr="002A1823">
              <w:t xml:space="preserve"> Na Komisi by měla být přenesena pravomoc přijímat akty v souladu s článkem 290 Smlouvy o fungování EU za účelem doplnění této směrnice </w:t>
            </w:r>
            <w:r w:rsidRPr="002A1823">
              <w:rPr>
                <w:b/>
                <w:i/>
              </w:rPr>
              <w:t>stanovením</w:t>
            </w:r>
            <w:r w:rsidRPr="002A1823">
              <w:t xml:space="preserve"> podrobnějších pravidel týkajících se informací,</w:t>
            </w:r>
            <w:r w:rsidRPr="002A1823">
              <w:rPr>
                <w:b/>
                <w:i/>
              </w:rPr>
              <w:t>které</w:t>
            </w:r>
            <w:r w:rsidRPr="002A1823">
              <w:t xml:space="preserve"> mají být shromažďovány, metodiky pro shromažďování </w:t>
            </w:r>
            <w:r w:rsidRPr="002A1823">
              <w:rPr>
                <w:b/>
                <w:i/>
              </w:rPr>
              <w:t>a předávání</w:t>
            </w:r>
            <w:r w:rsidRPr="002A1823">
              <w:t xml:space="preserve"> </w:t>
            </w:r>
            <w:r w:rsidRPr="002A1823">
              <w:rPr>
                <w:b/>
                <w:i/>
              </w:rPr>
              <w:t>údajů Komisi</w:t>
            </w:r>
            <w:r w:rsidRPr="002A1823">
              <w:t>.</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18</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43 a (nový)</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(43a)</w:t>
            </w:r>
            <w:r w:rsidRPr="002A1823">
              <w:rPr>
                <w:b/>
                <w:i/>
              </w:rPr>
              <w:tab/>
              <w:t>S cílem poskytovat Komisi poradenství při provádění opatření stanovených v této směrnici, vyměňovat si informace o účinnosti a účelnosti spolupráce se třetími zeměmi a analyzovat vnitrostátní strategie pro vyhledávání majetku z trestné činnosti přijaté členskými státy s cílem určit osvědčené postupy by měla být pod záštitou Komise zřízena platforma pro vymáhání a konfiskaci majetku z trestné činnosti (dále jen „platforma“). Platforma by se měla skládat ze zástupců úřadů pro vyhledávání majetku z trestné činnosti a úřadů pro správu majetku a měla by jí předsedat zástupce Komise. Mělo by být možné přizvat zástupce Europolu, Eurojustu a Úřadu evropského veřejného žalobce k účasti na zasedáních platformy.</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19</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45</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(45)</w:t>
            </w:r>
            <w:r w:rsidRPr="002A1823">
              <w:tab/>
              <w:t>Úřady pro vyhledávání majetku z trestné činnosti by rovněž měly úzce spolupracovat s institucemi a agenturami EU, včetně Europolu, Eurojustu a Úřadu evropského veřejného žalobce, v souladu s jejich příslušnými mandáty, pokud je to nezbytné k vysledování a identifikaci majetku v rámci přeshraničních vyšetřování podporovaných Europolem a Eurojustem nebo v rámci vyšetřování vedených Úřadem evropského veřejného žalobce. Úřady pro vyhledávání majetku z trestné činnosti by rovněž měly spolupracovat s Europolem a Eurojustem v souladu s jejich příslušnými mandáty, pokud je to nezbytné k vysledování a identifikaci majetku za účelem prevence, odhalování nebo vyšetřování trestných činů souvisejících s porušováním omezujících opatření Unie.</w:t>
            </w:r>
          </w:p>
        </w:tc>
        <w:tc>
          <w:tcPr>
            <w:tcW w:w="4876" w:type="dxa"/>
            <w:hideMark/>
          </w:tcPr>
          <w:p w:rsidR="0024223B" w:rsidRPr="002A1823" w:rsidRDefault="00D44075" w:rsidP="00475254">
            <w:pPr>
              <w:pStyle w:val="Normal6"/>
              <w:rPr>
                <w:szCs w:val="24"/>
              </w:rPr>
            </w:pPr>
            <w:r w:rsidRPr="002A1823">
              <w:t>(45)</w:t>
            </w:r>
            <w:r w:rsidRPr="002A1823">
              <w:tab/>
              <w:t xml:space="preserve">Úřady pro vyhledávání majetku z trestné činnosti by rovněž měly úzce spolupracovat s institucemi a agenturami EU, včetně Europolu, Eurojustu a Úřadu evropského veřejného žalobce, v souladu s jejich příslušnými mandáty, pokud je to nezbytné k vysledování a identifikaci majetku v rámci přeshraničních vyšetřování podporovaných Europolem a Eurojustem nebo v rámci vyšetřování vedených Úřadem evropského veřejného žalobce. Úřady pro vyhledávání majetku z trestné činnosti by měly rovněž spolupracovat s Europolem v souladu s </w:t>
            </w:r>
            <w:r w:rsidRPr="002A1823">
              <w:rPr>
                <w:b/>
                <w:i/>
              </w:rPr>
              <w:t>jeho mandátem</w:t>
            </w:r>
            <w:r w:rsidRPr="002A1823">
              <w:t>, pokud je to nezbytné pro vysledování a identifikaci majetku za účelem prevence, odhalování nebo vyšetřování trestných činů souvisejících s porušováním omezujících opatření Unie.</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20</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45 a (nový)</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(45a)</w:t>
            </w:r>
            <w:r w:rsidRPr="002A1823">
              <w:rPr>
                <w:b/>
                <w:i/>
              </w:rPr>
              <w:tab/>
              <w:t xml:space="preserve">V souladu se svým mandátem by měl Eurojust podporovat vnitrostátní orgány ve všech fázích procesu vymáhání majetku od vysledování a identifikace, zmrazení, konfiskace a správy majetku až po nakládání s majetkem. Úřady pro vyhledávání majetku z trestné činnosti a úřady pro správu majetku by měly úzce spolupracovat s Eurojustem za účelem usnadnění celého procesu vyhledávání majetku z trestné činnosti. Tato spolupráce zahrnuje vysledování a identifikaci nástrojů, výnosů nebo majetku, který se může stát nebo je předmětem příkazu k zajištění nebo konfiskaci vydaného příslušným orgánem v průběhu řízení v trestních věcech a následného odstranění, včetně vyšetřování a stíhání trestných činů souvisejících s porušením omezujících opatření Unie. </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21</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47</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(47)</w:t>
            </w:r>
            <w:r w:rsidRPr="002A1823">
              <w:tab/>
              <w:t>Jelikož cíle této směrnice, totiž usnadnění konfiskace majetku v trestních věcech, nemůže být dosaženo uspokojivě členskými státy, ale spíše jich může být lépe dosaženo na úrovni Unie, smí Unie přijmout opatření v souladu se zásadou subsidiarity stanovenou v článku 5 Smlouvy o Evropské unii (dále jen „Smlouva o EU“). V souladu se zásadou proporcionality stanovenou v uvedeném článku nepřekračuje tato směrnice rámec toho, co je nezbytné k dosažení tohoto cíle.</w:t>
            </w:r>
          </w:p>
        </w:tc>
        <w:tc>
          <w:tcPr>
            <w:tcW w:w="4876" w:type="dxa"/>
            <w:hideMark/>
          </w:tcPr>
          <w:p w:rsidR="0024223B" w:rsidRPr="002A1823" w:rsidRDefault="00D44075" w:rsidP="00475254">
            <w:pPr>
              <w:pStyle w:val="Normal6"/>
              <w:rPr>
                <w:szCs w:val="24"/>
              </w:rPr>
            </w:pPr>
            <w:r w:rsidRPr="002A1823">
              <w:t>(47)</w:t>
            </w:r>
            <w:r w:rsidRPr="002A1823">
              <w:tab/>
              <w:t>Jelikož cíle této směrnice, totiž usnadnění konfiskace majetku v trestních věcech, nemůže být dosaženo uspokojivě členskými státy, ale spíše jich může být lépe dosaženo na úrovni Unie, smí Unie přijmout opatření v souladu se zásadou subsidiarity stanovenou v článku 5 Smlouvy o Evropské unii (dále jen „Smlouva o EU“). V souladu se zásadou proporcionality stanovenou v uvedeném článku nepřekračuje tato směrnice rámec toho, co je nezbytné k dosažení tohoto cíle.</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22</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Bod odůvodnění 51</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(51)</w:t>
            </w:r>
            <w:r w:rsidRPr="002A1823">
              <w:tab/>
              <w:t>V souladu s článkem 42 nařízení (EU) 2018/1725 byl konzultován Evropský inspektor ochrany údajů, který vydal stanovisko dne XX/XX/20XX,</w:t>
            </w:r>
          </w:p>
        </w:tc>
        <w:tc>
          <w:tcPr>
            <w:tcW w:w="4876" w:type="dxa"/>
            <w:hideMark/>
          </w:tcPr>
          <w:p w:rsidR="0024223B" w:rsidRPr="002A1823" w:rsidRDefault="00D44075" w:rsidP="00475254">
            <w:pPr>
              <w:pStyle w:val="Normal6"/>
              <w:rPr>
                <w:szCs w:val="24"/>
              </w:rPr>
            </w:pPr>
            <w:r w:rsidRPr="002A1823">
              <w:t>(51)</w:t>
            </w:r>
            <w:r w:rsidRPr="002A1823">
              <w:tab/>
              <w:t>Evropský inspektor ochrany údajů byl konzultován v souladu s článkem 42 nařízení (EU) 2018/1725 a dne 19. července 2022 vydal své stanovisko.</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23</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 – odst. 2 – písm. j a (nové)</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ja)</w:t>
            </w:r>
            <w:r w:rsidRPr="002A1823">
              <w:rPr>
                <w:b/>
                <w:i/>
              </w:rPr>
              <w:tab/>
              <w:t>nedovolený obchod s jadernými a radioaktivními materiály,</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24</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 – odst. 2 – písm. j b (nové)</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jb)</w:t>
            </w:r>
            <w:r w:rsidRPr="002A1823">
              <w:rPr>
                <w:b/>
                <w:i/>
              </w:rPr>
              <w:tab/>
              <w:t>trestné činy, jejichž stíhání a trestání jev pravomoci Mezinárodního trestního soudu,</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25</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 – odst. 2 – písm. j c (nové)</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jc)</w:t>
            </w:r>
            <w:r w:rsidRPr="002A1823">
              <w:rPr>
                <w:b/>
                <w:i/>
              </w:rPr>
              <w:tab/>
              <w:t>únos letadla nebo plavidla;</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26</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 – odst. 2 – písm. j d (nové)</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jd)</w:t>
            </w:r>
            <w:r w:rsidRPr="002A1823">
              <w:rPr>
                <w:b/>
                <w:i/>
              </w:rPr>
              <w:tab/>
              <w:t>sabotáž</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27</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3 – odst. 1 – bod 2</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2)</w:t>
            </w:r>
            <w:r w:rsidRPr="002A1823">
              <w:tab/>
              <w:t>„majetkem“ jakýkoli majetek, hmotné nebo nehmotné povahy, movitý nebo nemovitý, jakož i právní listiny nebo nástroje dokládající právní nárok na takový majetek nebo podíl na něm;</w:t>
            </w:r>
          </w:p>
        </w:tc>
        <w:tc>
          <w:tcPr>
            <w:tcW w:w="4876" w:type="dxa"/>
            <w:hideMark/>
          </w:tcPr>
          <w:p w:rsidR="0024223B" w:rsidRPr="002A1823" w:rsidRDefault="00D44075" w:rsidP="00475254">
            <w:pPr>
              <w:pStyle w:val="Normal6"/>
              <w:rPr>
                <w:szCs w:val="24"/>
              </w:rPr>
            </w:pPr>
            <w:r w:rsidRPr="002A1823">
              <w:t>2)</w:t>
            </w:r>
            <w:r w:rsidRPr="002A1823">
              <w:tab/>
              <w:t>„majetkem“ jakýkoli majetek, hmotné nebo nehmotné povahy, movitý nebo nemovitý, jakož i právní listiny nebo nástroje dokládající právní nárok na takový majetek nebo podíl na něm;</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28</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3 – odst. 1 – bod 10 a (nový)</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b/>
                <w:i/>
              </w:rPr>
            </w:pPr>
            <w:r w:rsidRPr="002A1823">
              <w:rPr>
                <w:b/>
                <w:i/>
              </w:rPr>
              <w:t>10a)</w:t>
            </w:r>
            <w:r w:rsidRPr="002A1823">
              <w:rPr>
                <w:b/>
                <w:i/>
              </w:rPr>
              <w:tab/>
              <w:t>„dotčenou osobou“:</w:t>
            </w:r>
          </w:p>
        </w:tc>
      </w:tr>
      <w:tr w:rsidR="007B567E" w:rsidRPr="002A1823" w:rsidTr="00475254">
        <w:trPr>
          <w:jc w:val="center"/>
        </w:trPr>
        <w:tc>
          <w:tcPr>
            <w:tcW w:w="4876" w:type="dxa"/>
          </w:tcPr>
          <w:p w:rsidR="0024223B" w:rsidRPr="002A1823" w:rsidRDefault="0024223B" w:rsidP="00475254">
            <w:pPr>
              <w:pStyle w:val="Normal6"/>
            </w:pPr>
          </w:p>
        </w:tc>
        <w:tc>
          <w:tcPr>
            <w:tcW w:w="4876" w:type="dxa"/>
          </w:tcPr>
          <w:p w:rsidR="0024223B" w:rsidRPr="002A1823" w:rsidRDefault="00D44075" w:rsidP="00475254">
            <w:pPr>
              <w:pStyle w:val="Normal6"/>
              <w:rPr>
                <w:b/>
                <w:i/>
              </w:rPr>
            </w:pPr>
            <w:r w:rsidRPr="002A1823">
              <w:rPr>
                <w:b/>
                <w:i/>
              </w:rPr>
              <w:t>a)</w:t>
            </w:r>
            <w:r w:rsidRPr="002A1823">
              <w:rPr>
                <w:b/>
                <w:i/>
              </w:rPr>
              <w:tab/>
              <w:t>fyzická nebo právnická osoba, proti níž je příkaz k zajištění nebo příkaz ke konfiskaci vydán;</w:t>
            </w:r>
          </w:p>
        </w:tc>
      </w:tr>
      <w:tr w:rsidR="007B567E" w:rsidRPr="002A1823" w:rsidTr="00475254">
        <w:trPr>
          <w:jc w:val="center"/>
        </w:trPr>
        <w:tc>
          <w:tcPr>
            <w:tcW w:w="4876" w:type="dxa"/>
          </w:tcPr>
          <w:p w:rsidR="0024223B" w:rsidRPr="002A1823" w:rsidRDefault="0024223B" w:rsidP="00475254">
            <w:pPr>
              <w:pStyle w:val="Normal6"/>
            </w:pPr>
          </w:p>
        </w:tc>
        <w:tc>
          <w:tcPr>
            <w:tcW w:w="4876" w:type="dxa"/>
          </w:tcPr>
          <w:p w:rsidR="0024223B" w:rsidRPr="002A1823" w:rsidRDefault="00D44075" w:rsidP="00475254">
            <w:pPr>
              <w:pStyle w:val="Normal6"/>
              <w:rPr>
                <w:b/>
                <w:i/>
              </w:rPr>
            </w:pPr>
            <w:r w:rsidRPr="002A1823">
              <w:rPr>
                <w:b/>
                <w:i/>
              </w:rPr>
              <w:t>b)</w:t>
            </w:r>
            <w:r w:rsidRPr="002A1823">
              <w:rPr>
                <w:b/>
                <w:i/>
              </w:rPr>
              <w:tab/>
              <w:t xml:space="preserve">fyzická nebo právnická osoba vlastnící majetek, který je předmětem příkazu k zajištění nebo příkazu ke konfiskaci; nebo </w:t>
            </w:r>
          </w:p>
        </w:tc>
      </w:tr>
      <w:tr w:rsidR="007B567E" w:rsidRPr="002A1823" w:rsidTr="00475254">
        <w:trPr>
          <w:jc w:val="center"/>
        </w:trPr>
        <w:tc>
          <w:tcPr>
            <w:tcW w:w="4876" w:type="dxa"/>
          </w:tcPr>
          <w:p w:rsidR="0024223B" w:rsidRPr="002A1823" w:rsidRDefault="0024223B" w:rsidP="00475254">
            <w:pPr>
              <w:pStyle w:val="Normal6"/>
            </w:pPr>
          </w:p>
        </w:tc>
        <w:tc>
          <w:tcPr>
            <w:tcW w:w="4876" w:type="dxa"/>
          </w:tcPr>
          <w:p w:rsidR="0024223B" w:rsidRPr="002A1823" w:rsidRDefault="00D44075" w:rsidP="00475254">
            <w:pPr>
              <w:pStyle w:val="Normal6"/>
              <w:rPr>
                <w:b/>
                <w:i/>
              </w:rPr>
            </w:pPr>
            <w:r w:rsidRPr="002A1823">
              <w:rPr>
                <w:b/>
                <w:i/>
              </w:rPr>
              <w:t>c)</w:t>
            </w:r>
            <w:r w:rsidRPr="002A1823">
              <w:rPr>
                <w:b/>
                <w:i/>
              </w:rPr>
              <w:tab/>
              <w:t xml:space="preserve">třetí strana, jejíž práva ve vztahu k majetku, který je předmětem příkazu k zajištění nebo konfiskace, jsou tímto příkazem přímo dotčena; </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29</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4 – odst. 1</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1.</w:t>
            </w:r>
            <w:r w:rsidRPr="002A1823">
              <w:tab/>
              <w:t>Pro usnadnění přeshraniční spolupráce přijmou členské státy opatření, která umožní rychlé vysledování a identifikaci nástrojů a výnosů nebo majetku, které se mohou stát nebo jsou předmětem příkazu k zajištění nebo ke konfiskaci v průběhu trestního řízení.</w:t>
            </w:r>
          </w:p>
        </w:tc>
        <w:tc>
          <w:tcPr>
            <w:tcW w:w="4876" w:type="dxa"/>
            <w:hideMark/>
          </w:tcPr>
          <w:p w:rsidR="0024223B" w:rsidRPr="002A1823" w:rsidRDefault="00D44075" w:rsidP="00475254">
            <w:pPr>
              <w:pStyle w:val="Normal6"/>
              <w:rPr>
                <w:szCs w:val="24"/>
              </w:rPr>
            </w:pPr>
            <w:r w:rsidRPr="002A1823">
              <w:t>1.</w:t>
            </w:r>
            <w:r w:rsidRPr="002A1823">
              <w:tab/>
              <w:t>Pro usnadnění přeshraniční spolupráce přijmou členské státy opatření, která umožní rychlé vysledování a identifikaci nástrojů a výnosů nebo majetku, které se mohou stát nebo jsou předmětem příkazu k zajištění nebo ke konfiskaci v průběhu trestního řízení.</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30</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5 – odst. 2 a (nový)</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2a.</w:t>
            </w:r>
            <w:r w:rsidRPr="002A1823">
              <w:rPr>
                <w:b/>
                <w:i/>
              </w:rPr>
              <w:tab/>
              <w:t xml:space="preserve">Za účelem plnění úkolů podle odst. 2 písm. b) jsou úřady pro vyhledávání majetku z trestné činnosti oprávněny požádat dotčené příslušné orgány, aby přijaly nezbytná opatření pro vysledování a identifikaci nástrojů, výnosů nebo majetku. </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31</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5 – odst. 4 a (nový)</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4a.</w:t>
            </w:r>
            <w:r w:rsidRPr="002A1823">
              <w:rPr>
                <w:b/>
                <w:i/>
              </w:rPr>
              <w:tab/>
              <w:t xml:space="preserve">Členské státy náležitě zváží možnost pověřit úřady pro vyhledávání majetku z trestné činnosti úkoly stanovenými v čl. 21 odst. 2. </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32</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6 – odst. 1 – návětí</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1.</w:t>
            </w:r>
            <w:r w:rsidRPr="002A1823">
              <w:tab/>
              <w:t>Pro účely plnění úkolů uvedených v článku 5 členské státy zajistí, aby úřady pro vyhledávání majetku z trestné činnosti měly okamžitý a přímý přístup k následujícím informacím v rozsahu, v jakém jsou tyto informace nezbytné pro vysledování a identifikaci výnosů, nástrojů a majetku:</w:t>
            </w:r>
          </w:p>
        </w:tc>
        <w:tc>
          <w:tcPr>
            <w:tcW w:w="4876" w:type="dxa"/>
            <w:hideMark/>
          </w:tcPr>
          <w:p w:rsidR="0024223B" w:rsidRPr="002A1823" w:rsidRDefault="00D44075" w:rsidP="00475254">
            <w:pPr>
              <w:pStyle w:val="Normal6"/>
              <w:rPr>
                <w:szCs w:val="24"/>
              </w:rPr>
            </w:pPr>
            <w:r w:rsidRPr="002A1823">
              <w:t>1.</w:t>
            </w:r>
            <w:r w:rsidRPr="002A1823">
              <w:tab/>
              <w:t xml:space="preserve">Pro účely plnění úkolů uvedených v článku 5 členské státy zajistí, aby úřady pro vyhledávání majetku z trestné činnosti měly </w:t>
            </w:r>
            <w:r w:rsidRPr="002A1823">
              <w:rPr>
                <w:b/>
                <w:i/>
              </w:rPr>
              <w:t>náležitý</w:t>
            </w:r>
            <w:r w:rsidRPr="002A1823">
              <w:t xml:space="preserve"> přístup k </w:t>
            </w:r>
            <w:r w:rsidRPr="002A1823">
              <w:rPr>
                <w:b/>
                <w:i/>
              </w:rPr>
              <w:t>veškerým</w:t>
            </w:r>
            <w:r w:rsidRPr="002A1823">
              <w:t xml:space="preserve"> informacím v rozsahu nezbytném pro vysledování a identifikaci nástrojů</w:t>
            </w:r>
            <w:r w:rsidRPr="002A1823">
              <w:rPr>
                <w:b/>
                <w:i/>
              </w:rPr>
              <w:t>, výnosů</w:t>
            </w:r>
            <w:r w:rsidRPr="002A1823">
              <w:t xml:space="preserve"> a majetku.</w:t>
            </w:r>
            <w:r w:rsidRPr="002A1823">
              <w:rPr>
                <w:b/>
                <w:i/>
              </w:rPr>
              <w:t xml:space="preserve"> </w:t>
            </w:r>
            <w:r w:rsidRPr="002A1823">
              <w:t>Tento přístup zahrnuje zejména:</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33</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6 – odst. 1 – písm. a</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a)</w:t>
            </w:r>
            <w:r w:rsidRPr="002A1823">
              <w:tab/>
              <w:t>k fiskálním údajům, včetně údajů, které mají k dispozici daňové orgány;</w:t>
            </w:r>
          </w:p>
        </w:tc>
        <w:tc>
          <w:tcPr>
            <w:tcW w:w="4876" w:type="dxa"/>
            <w:hideMark/>
          </w:tcPr>
          <w:p w:rsidR="0024223B" w:rsidRPr="002A1823" w:rsidRDefault="00D44075" w:rsidP="00475254">
            <w:pPr>
              <w:pStyle w:val="Normal6"/>
              <w:rPr>
                <w:szCs w:val="24"/>
              </w:rPr>
            </w:pPr>
            <w:r w:rsidRPr="002A1823">
              <w:t>a)</w:t>
            </w:r>
            <w:r w:rsidRPr="002A1823">
              <w:tab/>
            </w:r>
            <w:r w:rsidRPr="002A1823">
              <w:rPr>
                <w:b/>
                <w:i/>
              </w:rPr>
              <w:t>okamžitý a přímý přístup k:</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 xml:space="preserve">i) </w:t>
            </w:r>
            <w:r w:rsidRPr="002A1823">
              <w:tab/>
              <w:t>k fiskálním údajům, včetně údajů, které mají k dispozici daňové orgány;</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 xml:space="preserve">ii) </w:t>
            </w:r>
            <w:r w:rsidRPr="002A1823">
              <w:tab/>
            </w:r>
            <w:r w:rsidRPr="002A1823">
              <w:rPr>
                <w:b/>
                <w:i/>
              </w:rPr>
              <w:t>k vnitrostátním registrům nemovitostí nebo elektronickým systémům vyhledávání dat a pozemkovým a katastrálním registrům;</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iii)</w:t>
            </w:r>
            <w:r w:rsidRPr="002A1823">
              <w:tab/>
            </w:r>
            <w:r w:rsidRPr="002A1823">
              <w:rPr>
                <w:b/>
                <w:i/>
              </w:rPr>
              <w:t xml:space="preserve"> k vnitrostátní evidenci občanů a registrům obyvatel, pokud jde o fyzické osoby;</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 xml:space="preserve">iv) </w:t>
            </w:r>
            <w:r w:rsidRPr="002A1823">
              <w:tab/>
            </w:r>
            <w:r w:rsidRPr="002A1823">
              <w:rPr>
                <w:b/>
                <w:i/>
              </w:rPr>
              <w:t>k vnitrostátním registrům motorových vozidel, letadel a plavidel;</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 xml:space="preserve">v) </w:t>
            </w:r>
            <w:r w:rsidRPr="002A1823">
              <w:tab/>
            </w:r>
            <w:r w:rsidRPr="002A1823">
              <w:rPr>
                <w:b/>
                <w:i/>
              </w:rPr>
              <w:t>ke komerčním databázím, včetně obchodních rejstříků;</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 xml:space="preserve">vi) </w:t>
            </w:r>
            <w:r w:rsidRPr="002A1823">
              <w:tab/>
            </w:r>
            <w:r w:rsidRPr="002A1823">
              <w:rPr>
                <w:b/>
                <w:i/>
              </w:rPr>
              <w:t>vnitrostátním registrům skutečných majitelů;</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vii)</w:t>
            </w:r>
            <w:r w:rsidRPr="002A1823">
              <w:tab/>
            </w:r>
            <w:r w:rsidRPr="002A1823">
              <w:rPr>
                <w:b/>
                <w:i/>
              </w:rPr>
              <w:t xml:space="preserve"> údaje dostupné prostřednictvím propojení registrů skutečných majitelů v souladu s [článkem 12 návrhu směrnice Evropského parlamentu a Rady o mechanismech, které mají členské státy zavést pro předcházení využívání finančního systému k praní peněz nebo financování terorismu, a o zrušení směrnice (EU) 2015/849 COM/2021/423];</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viii)</w:t>
            </w:r>
            <w:r w:rsidRPr="002A1823">
              <w:tab/>
            </w:r>
            <w:r w:rsidRPr="002A1823">
              <w:rPr>
                <w:b/>
                <w:i/>
              </w:rPr>
              <w:t xml:space="preserve"> k vnitrostátním registrům sociálního zabezpečení; a dále</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 xml:space="preserve">ix) </w:t>
            </w:r>
            <w:r w:rsidRPr="002A1823">
              <w:tab/>
            </w:r>
            <w:r w:rsidRPr="002A1823">
              <w:rPr>
                <w:b/>
                <w:i/>
              </w:rPr>
              <w:t>rejstříky bankovních účtů, včetně informací o přímých převodech.</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34</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6 – odst. 1 – písm. b</w:t>
      </w:r>
      <w:r w:rsidRPr="002A182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b)</w:t>
            </w:r>
            <w:r w:rsidRPr="002A1823">
              <w:tab/>
            </w:r>
            <w:r w:rsidRPr="002A1823">
              <w:rPr>
                <w:b/>
                <w:i/>
              </w:rPr>
              <w:t>k vnitrostátním registrům nemovitostí nebo elektronickým systémům vyhledávání dat a pozemkovým a katastrálním registrům;</w:t>
            </w:r>
          </w:p>
        </w:tc>
        <w:tc>
          <w:tcPr>
            <w:tcW w:w="4876" w:type="dxa"/>
            <w:hideMark/>
          </w:tcPr>
          <w:p w:rsidR="0024223B" w:rsidRPr="002A1823" w:rsidRDefault="00D44075" w:rsidP="00475254">
            <w:pPr>
              <w:pStyle w:val="Normal6"/>
              <w:rPr>
                <w:szCs w:val="24"/>
              </w:rPr>
            </w:pPr>
            <w:r w:rsidRPr="002A1823">
              <w:t>b)</w:t>
            </w:r>
            <w:r w:rsidRPr="002A1823">
              <w:tab/>
            </w:r>
            <w:r w:rsidRPr="002A1823">
              <w:rPr>
                <w:b/>
                <w:i/>
              </w:rPr>
              <w:t>přímý nebo nepřímý přístup k:</w:t>
            </w:r>
          </w:p>
        </w:tc>
      </w:tr>
      <w:tr w:rsidR="007B567E" w:rsidRPr="002A1823" w:rsidTr="00475254">
        <w:trPr>
          <w:jc w:val="center"/>
        </w:trPr>
        <w:tc>
          <w:tcPr>
            <w:tcW w:w="4876" w:type="dxa"/>
          </w:tcPr>
          <w:p w:rsidR="0024223B" w:rsidRPr="002A1823" w:rsidRDefault="0024223B" w:rsidP="00475254">
            <w:pPr>
              <w:pStyle w:val="Normal6"/>
            </w:pPr>
          </w:p>
        </w:tc>
        <w:tc>
          <w:tcPr>
            <w:tcW w:w="4876" w:type="dxa"/>
          </w:tcPr>
          <w:p w:rsidR="0024223B" w:rsidRPr="002A1823" w:rsidRDefault="00D44075" w:rsidP="00475254">
            <w:pPr>
              <w:pStyle w:val="Normal6"/>
              <w:rPr>
                <w:b/>
                <w:i/>
              </w:rPr>
            </w:pPr>
            <w:r w:rsidRPr="002A1823">
              <w:rPr>
                <w:b/>
                <w:i/>
              </w:rPr>
              <w:t>i)</w:t>
            </w:r>
            <w:r w:rsidRPr="002A1823">
              <w:rPr>
                <w:b/>
                <w:i/>
              </w:rPr>
              <w:tab/>
              <w:t>informacím o hypotékách a půjčkách;</w:t>
            </w:r>
          </w:p>
        </w:tc>
      </w:tr>
      <w:tr w:rsidR="007B567E" w:rsidRPr="002A1823" w:rsidTr="00475254">
        <w:trPr>
          <w:jc w:val="center"/>
        </w:trPr>
        <w:tc>
          <w:tcPr>
            <w:tcW w:w="4876" w:type="dxa"/>
          </w:tcPr>
          <w:p w:rsidR="0024223B" w:rsidRPr="002A1823" w:rsidRDefault="0024223B" w:rsidP="00475254">
            <w:pPr>
              <w:pStyle w:val="Normal6"/>
            </w:pPr>
          </w:p>
        </w:tc>
        <w:tc>
          <w:tcPr>
            <w:tcW w:w="4876" w:type="dxa"/>
          </w:tcPr>
          <w:p w:rsidR="0024223B" w:rsidRPr="002A1823" w:rsidRDefault="00D44075" w:rsidP="00475254">
            <w:pPr>
              <w:pStyle w:val="Normal6"/>
              <w:rPr>
                <w:b/>
                <w:i/>
              </w:rPr>
            </w:pPr>
            <w:r w:rsidRPr="002A1823">
              <w:rPr>
                <w:b/>
                <w:i/>
              </w:rPr>
              <w:t>ii)</w:t>
            </w:r>
            <w:r w:rsidRPr="002A1823">
              <w:rPr>
                <w:b/>
                <w:i/>
              </w:rPr>
              <w:tab/>
              <w:t>informacím obsaženým ve vnitrostátních databázích měn a směnáren;</w:t>
            </w:r>
          </w:p>
        </w:tc>
      </w:tr>
      <w:tr w:rsidR="007B567E" w:rsidRPr="002A1823" w:rsidTr="00475254">
        <w:trPr>
          <w:jc w:val="center"/>
        </w:trPr>
        <w:tc>
          <w:tcPr>
            <w:tcW w:w="4876" w:type="dxa"/>
          </w:tcPr>
          <w:p w:rsidR="0024223B" w:rsidRPr="002A1823" w:rsidRDefault="0024223B" w:rsidP="00475254">
            <w:pPr>
              <w:pStyle w:val="Normal6"/>
            </w:pPr>
          </w:p>
        </w:tc>
        <w:tc>
          <w:tcPr>
            <w:tcW w:w="4876" w:type="dxa"/>
          </w:tcPr>
          <w:p w:rsidR="0024223B" w:rsidRPr="002A1823" w:rsidRDefault="00D44075" w:rsidP="00475254">
            <w:pPr>
              <w:pStyle w:val="Normal6"/>
              <w:rPr>
                <w:b/>
                <w:i/>
              </w:rPr>
            </w:pPr>
            <w:r w:rsidRPr="002A1823">
              <w:rPr>
                <w:b/>
                <w:i/>
              </w:rPr>
              <w:t>iii)</w:t>
            </w:r>
            <w:r w:rsidRPr="002A1823">
              <w:rPr>
                <w:b/>
                <w:i/>
              </w:rPr>
              <w:tab/>
              <w:t>informacím o cenných papírech;</w:t>
            </w:r>
          </w:p>
        </w:tc>
      </w:tr>
      <w:tr w:rsidR="007B567E" w:rsidRPr="002A1823" w:rsidTr="00475254">
        <w:trPr>
          <w:jc w:val="center"/>
        </w:trPr>
        <w:tc>
          <w:tcPr>
            <w:tcW w:w="4876" w:type="dxa"/>
          </w:tcPr>
          <w:p w:rsidR="0024223B" w:rsidRPr="002A1823" w:rsidRDefault="0024223B" w:rsidP="00475254">
            <w:pPr>
              <w:pStyle w:val="Normal6"/>
            </w:pPr>
          </w:p>
        </w:tc>
        <w:tc>
          <w:tcPr>
            <w:tcW w:w="4876" w:type="dxa"/>
          </w:tcPr>
          <w:p w:rsidR="0024223B" w:rsidRPr="002A1823" w:rsidRDefault="00D44075" w:rsidP="00475254">
            <w:pPr>
              <w:pStyle w:val="Normal6"/>
              <w:rPr>
                <w:b/>
                <w:i/>
              </w:rPr>
            </w:pPr>
            <w:r w:rsidRPr="002A1823">
              <w:rPr>
                <w:b/>
                <w:i/>
              </w:rPr>
              <w:t>iv)</w:t>
            </w:r>
            <w:r w:rsidRPr="002A1823">
              <w:rPr>
                <w:b/>
                <w:i/>
              </w:rPr>
              <w:tab/>
              <w:t>celním údajům, včetně přeshraničních fyzických převodů peněžní hotovosti;</w:t>
            </w:r>
          </w:p>
        </w:tc>
      </w:tr>
      <w:tr w:rsidR="007B567E" w:rsidRPr="002A1823" w:rsidTr="00475254">
        <w:trPr>
          <w:jc w:val="center"/>
        </w:trPr>
        <w:tc>
          <w:tcPr>
            <w:tcW w:w="4876" w:type="dxa"/>
          </w:tcPr>
          <w:p w:rsidR="0024223B" w:rsidRPr="002A1823" w:rsidRDefault="0024223B" w:rsidP="00475254">
            <w:pPr>
              <w:pStyle w:val="Normal6"/>
            </w:pPr>
          </w:p>
        </w:tc>
        <w:tc>
          <w:tcPr>
            <w:tcW w:w="4876" w:type="dxa"/>
          </w:tcPr>
          <w:p w:rsidR="0024223B" w:rsidRPr="002A1823" w:rsidRDefault="00D44075" w:rsidP="00475254">
            <w:pPr>
              <w:pStyle w:val="Normal6"/>
              <w:rPr>
                <w:b/>
                <w:i/>
              </w:rPr>
            </w:pPr>
            <w:r w:rsidRPr="002A1823">
              <w:rPr>
                <w:b/>
                <w:i/>
              </w:rPr>
              <w:t>(v)</w:t>
            </w:r>
            <w:r w:rsidRPr="002A1823">
              <w:rPr>
                <w:b/>
                <w:i/>
              </w:rPr>
              <w:tab/>
              <w:t>informacím, které mají k dispozici obchodní soudy;</w:t>
            </w:r>
          </w:p>
        </w:tc>
      </w:tr>
      <w:tr w:rsidR="007B567E" w:rsidRPr="002A1823" w:rsidTr="00475254">
        <w:trPr>
          <w:jc w:val="center"/>
        </w:trPr>
        <w:tc>
          <w:tcPr>
            <w:tcW w:w="4876" w:type="dxa"/>
          </w:tcPr>
          <w:p w:rsidR="0024223B" w:rsidRPr="002A1823" w:rsidRDefault="0024223B" w:rsidP="00475254">
            <w:pPr>
              <w:pStyle w:val="Normal6"/>
            </w:pPr>
          </w:p>
        </w:tc>
        <w:tc>
          <w:tcPr>
            <w:tcW w:w="4876" w:type="dxa"/>
          </w:tcPr>
          <w:p w:rsidR="0024223B" w:rsidRPr="002A1823" w:rsidRDefault="00D44075" w:rsidP="00475254">
            <w:pPr>
              <w:pStyle w:val="Normal6"/>
              <w:rPr>
                <w:b/>
                <w:i/>
              </w:rPr>
            </w:pPr>
            <w:r w:rsidRPr="002A1823">
              <w:rPr>
                <w:b/>
                <w:i/>
              </w:rPr>
              <w:t>vi)</w:t>
            </w:r>
            <w:r w:rsidRPr="002A1823">
              <w:rPr>
                <w:b/>
                <w:i/>
              </w:rPr>
              <w:tab/>
              <w:t>informacím o ročních účetních závěrkách společností;</w:t>
            </w:r>
          </w:p>
        </w:tc>
      </w:tr>
      <w:tr w:rsidR="007B567E" w:rsidRPr="002A1823" w:rsidTr="00475254">
        <w:trPr>
          <w:jc w:val="center"/>
        </w:trPr>
        <w:tc>
          <w:tcPr>
            <w:tcW w:w="4876" w:type="dxa"/>
          </w:tcPr>
          <w:p w:rsidR="0024223B" w:rsidRPr="002A1823" w:rsidRDefault="0024223B" w:rsidP="00475254">
            <w:pPr>
              <w:pStyle w:val="Normal6"/>
            </w:pPr>
          </w:p>
        </w:tc>
        <w:tc>
          <w:tcPr>
            <w:tcW w:w="4876" w:type="dxa"/>
          </w:tcPr>
          <w:p w:rsidR="0024223B" w:rsidRPr="002A1823" w:rsidRDefault="00D44075" w:rsidP="00475254">
            <w:pPr>
              <w:pStyle w:val="Normal6"/>
              <w:rPr>
                <w:b/>
                <w:i/>
              </w:rPr>
            </w:pPr>
            <w:r w:rsidRPr="002A1823">
              <w:rPr>
                <w:b/>
                <w:i/>
              </w:rPr>
              <w:t>vii)</w:t>
            </w:r>
            <w:r w:rsidRPr="002A1823">
              <w:rPr>
                <w:b/>
                <w:i/>
              </w:rPr>
              <w:tab/>
              <w:t>k relevantním informacím, které mají v držení orgány příslušné pro prevenci, odhalování, vyšetřování nebo stíhání trestných činů.</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35</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6 – odst. 1 – písm. c</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rPr>
                <w:b/>
                <w:i/>
              </w:rPr>
              <w:t>c)</w:t>
            </w:r>
            <w:r w:rsidRPr="002A1823">
              <w:rPr>
                <w:b/>
                <w:i/>
              </w:rPr>
              <w:tab/>
              <w:t>k vnitrostátní evidenci občanů a registrům obyvatel, pokud jde o fyzické osoby;</w:t>
            </w:r>
          </w:p>
        </w:tc>
        <w:tc>
          <w:tcPr>
            <w:tcW w:w="4876" w:type="dxa"/>
            <w:hideMark/>
          </w:tcPr>
          <w:p w:rsidR="0024223B" w:rsidRPr="002A1823" w:rsidRDefault="00D44075" w:rsidP="00475254">
            <w:pPr>
              <w:pStyle w:val="Normal6"/>
              <w:rPr>
                <w:szCs w:val="24"/>
              </w:rPr>
            </w:pPr>
            <w:r w:rsidRPr="002A1823">
              <w:rPr>
                <w:b/>
                <w:i/>
              </w:rPr>
              <w:t>vypouští se</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36</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6 – odst. 1 – písm. d</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rPr>
                <w:b/>
                <w:i/>
              </w:rPr>
              <w:t>d)</w:t>
            </w:r>
            <w:r w:rsidRPr="002A1823">
              <w:rPr>
                <w:b/>
                <w:i/>
              </w:rPr>
              <w:tab/>
              <w:t>k vnitrostátním registrům motorových vozidel, letadel a plavidel;</w:t>
            </w:r>
          </w:p>
        </w:tc>
        <w:tc>
          <w:tcPr>
            <w:tcW w:w="4876" w:type="dxa"/>
            <w:hideMark/>
          </w:tcPr>
          <w:p w:rsidR="0024223B" w:rsidRPr="002A1823" w:rsidRDefault="00D44075" w:rsidP="00475254">
            <w:pPr>
              <w:pStyle w:val="Normal6"/>
              <w:rPr>
                <w:szCs w:val="24"/>
              </w:rPr>
            </w:pPr>
            <w:r w:rsidRPr="002A1823">
              <w:rPr>
                <w:b/>
                <w:i/>
              </w:rPr>
              <w:t>vypouští se</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37</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6 – odst. 1 – písm. e</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rPr>
                <w:b/>
                <w:i/>
              </w:rPr>
              <w:t>e)</w:t>
            </w:r>
            <w:r w:rsidRPr="002A1823">
              <w:rPr>
                <w:b/>
                <w:i/>
              </w:rPr>
              <w:tab/>
              <w:t>ke komerčním databázím, včetně obchodních rejstříků;</w:t>
            </w:r>
          </w:p>
        </w:tc>
        <w:tc>
          <w:tcPr>
            <w:tcW w:w="4876" w:type="dxa"/>
            <w:hideMark/>
          </w:tcPr>
          <w:p w:rsidR="0024223B" w:rsidRPr="002A1823" w:rsidRDefault="00D44075" w:rsidP="00475254">
            <w:pPr>
              <w:pStyle w:val="Normal6"/>
              <w:rPr>
                <w:szCs w:val="24"/>
              </w:rPr>
            </w:pPr>
            <w:r w:rsidRPr="002A1823">
              <w:rPr>
                <w:b/>
                <w:i/>
              </w:rPr>
              <w:t>vypouští se</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38</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6 – odst. 1 – písm. f</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rPr>
                <w:b/>
                <w:i/>
              </w:rPr>
              <w:t>f)</w:t>
            </w:r>
            <w:r w:rsidRPr="002A1823">
              <w:rPr>
                <w:b/>
                <w:i/>
              </w:rPr>
              <w:tab/>
              <w:t>k vnitrostátním registrům sociálního zabezpečení;</w:t>
            </w:r>
          </w:p>
        </w:tc>
        <w:tc>
          <w:tcPr>
            <w:tcW w:w="4876" w:type="dxa"/>
            <w:hideMark/>
          </w:tcPr>
          <w:p w:rsidR="0024223B" w:rsidRPr="002A1823" w:rsidRDefault="00D44075" w:rsidP="00475254">
            <w:pPr>
              <w:pStyle w:val="Normal6"/>
              <w:rPr>
                <w:szCs w:val="24"/>
              </w:rPr>
            </w:pPr>
            <w:r w:rsidRPr="002A1823">
              <w:rPr>
                <w:b/>
                <w:i/>
              </w:rPr>
              <w:t>vypouští se</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39</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6 – odst. 1 – písm. g</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rPr>
                <w:b/>
                <w:i/>
              </w:rPr>
              <w:t>g)</w:t>
            </w:r>
            <w:r w:rsidRPr="002A1823">
              <w:rPr>
                <w:b/>
                <w:i/>
              </w:rPr>
              <w:tab/>
              <w:t>k relevantním informacím, které mají v držení orgány příslušné pro prevenci, odhalování, vyšetřování nebo stíhání trestných činů.</w:t>
            </w:r>
          </w:p>
        </w:tc>
        <w:tc>
          <w:tcPr>
            <w:tcW w:w="4876" w:type="dxa"/>
            <w:hideMark/>
          </w:tcPr>
          <w:p w:rsidR="0024223B" w:rsidRPr="002A1823" w:rsidRDefault="00D44075" w:rsidP="00475254">
            <w:pPr>
              <w:pStyle w:val="Normal6"/>
              <w:rPr>
                <w:szCs w:val="24"/>
              </w:rPr>
            </w:pPr>
            <w:r w:rsidRPr="002A1823">
              <w:rPr>
                <w:b/>
                <w:i/>
              </w:rPr>
              <w:t>vypouští se</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40</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6 – odst. 2</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2.</w:t>
            </w:r>
            <w:r w:rsidRPr="002A1823">
              <w:tab/>
              <w:t>Nejsou-li informace uvedené v odstavci 1 uchovávány v databázích nebo registrech, přijmou členské státy nezbytná opatření, aby zajistily, že úřady pro vyhledávání majetku z trestné činnosti mohou tyto informace rychle získat jinými prostředky.</w:t>
            </w:r>
          </w:p>
        </w:tc>
        <w:tc>
          <w:tcPr>
            <w:tcW w:w="4876" w:type="dxa"/>
            <w:hideMark/>
          </w:tcPr>
          <w:p w:rsidR="0024223B" w:rsidRPr="002A1823" w:rsidRDefault="00D44075" w:rsidP="00475254">
            <w:pPr>
              <w:pStyle w:val="Normal6"/>
              <w:rPr>
                <w:szCs w:val="24"/>
              </w:rPr>
            </w:pPr>
            <w:r w:rsidRPr="002A1823">
              <w:t>2.</w:t>
            </w:r>
            <w:r w:rsidRPr="002A1823">
              <w:tab/>
              <w:t xml:space="preserve">Nejsou-li informace uvedené v odstavci 1 uchovávány v databázích nebo registrech, přijmou členské státy nezbytná opatření, aby zajistily, že úřady pro vyhledávání majetku z trestné činnosti mohou tyto informace rychle získat jinými prostředky. </w:t>
            </w:r>
            <w:r w:rsidRPr="002A1823">
              <w:rPr>
                <w:b/>
                <w:i/>
              </w:rPr>
              <w:t>Pokud úřad pro vyhledávání majetku z trestné činnosti požádá o přístup k informacím, které mu nejsou přímo dostupné, odpoví dožádaný orgán na žádost včas.</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41</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6 – odst. 2 a (nový)</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2a.</w:t>
            </w:r>
            <w:r w:rsidRPr="002A1823">
              <w:rPr>
                <w:b/>
                <w:i/>
              </w:rPr>
              <w:tab/>
              <w:t>Komise může přijmout akty v přenesené pravomoci v souladu s článkem 30, kterými stanoví specifikace standardizované šablony pro žádosti o informace uvedené v odst. 1 písm. b) tohoto článku.</w:t>
            </w:r>
          </w:p>
        </w:tc>
      </w:tr>
    </w:tbl>
    <w:p w:rsidR="0024223B" w:rsidRPr="002A1823" w:rsidRDefault="00D44075" w:rsidP="0024223B">
      <w:pPr>
        <w:pStyle w:val="Olang"/>
      </w:pPr>
      <w:r w:rsidRPr="002A1823">
        <w:t xml:space="preserve">Or. </w:t>
      </w:r>
      <w:r w:rsidRPr="002A1823">
        <w:rPr>
          <w:rStyle w:val="HideTWBExt"/>
        </w:rPr>
        <w:t>&lt;Original&gt;</w:t>
      </w:r>
      <w:r w:rsidRPr="002A1823">
        <w:rPr>
          <w:rStyle w:val="HideTWBInt"/>
        </w:rPr>
        <w:t>{EN}</w:t>
      </w:r>
      <w:r w:rsidRPr="002A1823">
        <w:t>en</w:t>
      </w:r>
      <w:r w:rsidRPr="002A1823">
        <w:rPr>
          <w:rStyle w:val="HideTWBExt"/>
        </w:rPr>
        <w:t>&lt;/Original&gt;</w:t>
      </w:r>
    </w:p>
    <w:p w:rsidR="0024223B" w:rsidRPr="002A1823" w:rsidRDefault="00D44075" w:rsidP="0024223B">
      <w:pPr>
        <w:rPr>
          <w:szCs w:val="24"/>
        </w:rPr>
      </w:pPr>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42</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9 – odst. 5</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5.</w:t>
            </w:r>
            <w:r w:rsidRPr="002A1823">
              <w:tab/>
              <w:t>Členské státy zajistí, aby úřady pro vyhledávání majetku z trestné činnosti měly přímý přístup k aplikaci SIENA a používaly ji pro výměnu informací podle tohoto článku.</w:t>
            </w:r>
          </w:p>
        </w:tc>
        <w:tc>
          <w:tcPr>
            <w:tcW w:w="4876" w:type="dxa"/>
            <w:hideMark/>
          </w:tcPr>
          <w:p w:rsidR="0024223B" w:rsidRPr="002A1823" w:rsidRDefault="00D44075" w:rsidP="00475254">
            <w:pPr>
              <w:pStyle w:val="Normal6"/>
              <w:rPr>
                <w:szCs w:val="24"/>
              </w:rPr>
            </w:pPr>
            <w:r w:rsidRPr="002A1823">
              <w:t>5.</w:t>
            </w:r>
            <w:r w:rsidRPr="002A1823">
              <w:tab/>
            </w:r>
            <w:r w:rsidRPr="002A1823">
              <w:rPr>
                <w:b/>
                <w:i/>
              </w:rPr>
              <w:t>Informace podle tohoto článku se vyměňují prostřednictvím aplikace SIENA.</w:t>
            </w:r>
            <w:r w:rsidRPr="002A1823">
              <w:t xml:space="preserve"> Členské státy zajistí, aby </w:t>
            </w:r>
            <w:r w:rsidRPr="002A1823">
              <w:rPr>
                <w:b/>
                <w:i/>
              </w:rPr>
              <w:t>jejich</w:t>
            </w:r>
            <w:r w:rsidRPr="002A1823">
              <w:t xml:space="preserve"> úřady pro vyhledávání majetku z trestné činnosti měly přímý přístup k aplikaci SIENA.</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43</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11 – odst. 1</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1.</w:t>
            </w:r>
            <w:r w:rsidRPr="002A1823">
              <w:tab/>
              <w:t>Členské státy přijmou nezbytná opatření umožňující zajištění majetku nezbytné pro možnou konfiskaci tohoto majetku podle článku 12.</w:t>
            </w:r>
          </w:p>
        </w:tc>
        <w:tc>
          <w:tcPr>
            <w:tcW w:w="4876" w:type="dxa"/>
            <w:hideMark/>
          </w:tcPr>
          <w:p w:rsidR="0024223B" w:rsidRPr="002A1823" w:rsidRDefault="00D44075" w:rsidP="00475254">
            <w:pPr>
              <w:pStyle w:val="Normal6"/>
              <w:rPr>
                <w:szCs w:val="24"/>
              </w:rPr>
            </w:pPr>
            <w:r w:rsidRPr="002A1823">
              <w:t>1.</w:t>
            </w:r>
            <w:r w:rsidRPr="002A1823">
              <w:tab/>
              <w:t xml:space="preserve">Členské státy přijmou nezbytná opatření umožňující zajištění majetku nezbytné pro možnou konfiskaci tohoto majetku podle článku 12. </w:t>
            </w:r>
            <w:r w:rsidRPr="002A1823">
              <w:rPr>
                <w:b/>
                <w:i/>
              </w:rPr>
              <w:t>Opatření k zajištění se skládají z příkazů k zajištění a okamžitých kroků v podobě dočasných naléhavých opatření k zajištění.</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44</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11 – odst. 2</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2.</w:t>
            </w:r>
            <w:r w:rsidRPr="002A1823">
              <w:tab/>
              <w:t>Opatření k zajištění majetku zahrnují okamžité kroky, které je třeba přijmout, je-li to nezbytné pro obstavení majetku.</w:t>
            </w:r>
          </w:p>
        </w:tc>
        <w:tc>
          <w:tcPr>
            <w:tcW w:w="4876" w:type="dxa"/>
            <w:hideMark/>
          </w:tcPr>
          <w:p w:rsidR="0024223B" w:rsidRPr="002A1823" w:rsidRDefault="00D44075" w:rsidP="00475254">
            <w:pPr>
              <w:pStyle w:val="Normal6"/>
              <w:rPr>
                <w:szCs w:val="24"/>
              </w:rPr>
            </w:pPr>
            <w:r w:rsidRPr="002A1823">
              <w:t>2.</w:t>
            </w:r>
            <w:r w:rsidRPr="002A1823">
              <w:tab/>
              <w:t xml:space="preserve">Je </w:t>
            </w:r>
            <w:r w:rsidRPr="002A1823">
              <w:rPr>
                <w:b/>
                <w:i/>
              </w:rPr>
              <w:t>-li to nezbytné pro ochranu majetku, přijmou se okamžitá opatření v podobě dočasných naléhavých opatření ke zmrazení</w:t>
            </w:r>
            <w:r w:rsidRPr="002A1823">
              <w:t>.</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45</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13 – odst. 1 – pododstavec 1</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Členské státy přijmou nezbytná opatření umožňující konfiskaci výnosů nebo jiného majetku, jehož hodnota odpovídá výnosům z trestné činnosti, který byl přímo či nepřímo převeden podezřelou nebo obviněnou osobou na třetí osoby, nebo který třetí osoby nabyly od podezřelé či obviněné osoby.</w:t>
            </w:r>
          </w:p>
        </w:tc>
        <w:tc>
          <w:tcPr>
            <w:tcW w:w="4876" w:type="dxa"/>
            <w:hideMark/>
          </w:tcPr>
          <w:p w:rsidR="0024223B" w:rsidRPr="002A1823" w:rsidRDefault="00D44075" w:rsidP="00475254">
            <w:pPr>
              <w:pStyle w:val="Normal6"/>
              <w:rPr>
                <w:szCs w:val="24"/>
              </w:rPr>
            </w:pPr>
            <w:r w:rsidRPr="002A1823">
              <w:t xml:space="preserve">Členské státy přijmou nezbytná opatření umožňující konfiskaci výnosů nebo jiného majetku, jehož hodnota odpovídá výnosům z trestné činnosti, který byl přímo či nepřímo převeden podezřelou nebo obviněnou osobou na třetí osoby, nebo který třetí osoby nabyly od podezřelé či obviněné osoby. </w:t>
            </w:r>
            <w:r w:rsidRPr="002A1823">
              <w:rPr>
                <w:b/>
                <w:i/>
              </w:rPr>
              <w:t>Konfiskace těchto výnosů nebo jiného majetku je možná, pokud vnitrostátní soud na základě konkrétních skutečností a okolností zjistil, že tyto třetí strany věděly nebo mohly vědět, že účelem převodu nebo nabytí bylo vyhnout se konfiskaci nebo že převedený majetek byl přímo či nepřímo spojen s trestnou činností. Tyto skutečnosti a okolnosti mohou spočívat v tom, že k převodu nebo nabytí došlo bezplatně nebo výměnou za částku neúměrnou tržní hodnotě.</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46</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13 – odst. 2</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rPr>
                <w:b/>
                <w:i/>
              </w:rPr>
              <w:t>2.</w:t>
            </w:r>
            <w:r w:rsidRPr="002A1823">
              <w:rPr>
                <w:b/>
                <w:i/>
              </w:rPr>
              <w:tab/>
              <w:t>Odstavcem 1 nejsou dotčena práva třetích osob jednajících v dobré víře.</w:t>
            </w:r>
          </w:p>
        </w:tc>
        <w:tc>
          <w:tcPr>
            <w:tcW w:w="4876" w:type="dxa"/>
            <w:hideMark/>
          </w:tcPr>
          <w:p w:rsidR="0024223B" w:rsidRPr="002A1823" w:rsidRDefault="00D44075" w:rsidP="00475254">
            <w:pPr>
              <w:pStyle w:val="Normal6"/>
              <w:rPr>
                <w:szCs w:val="24"/>
              </w:rPr>
            </w:pPr>
            <w:r w:rsidRPr="002A1823">
              <w:rPr>
                <w:b/>
                <w:i/>
              </w:rPr>
              <w:t>vypouští se</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47</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15 – odst. 1 – písm. f</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f)</w:t>
            </w:r>
            <w:r w:rsidRPr="002A1823">
              <w:tab/>
              <w:t>uplynutí lhůt stanovených vnitrostátním právem, pokud tyto lhůty nejsou dostatečně dlouhé na to, aby umožnily účinné vyšetřování a stíhání příslušných trestných činů.</w:t>
            </w:r>
          </w:p>
        </w:tc>
        <w:tc>
          <w:tcPr>
            <w:tcW w:w="4876" w:type="dxa"/>
            <w:hideMark/>
          </w:tcPr>
          <w:p w:rsidR="0024223B" w:rsidRPr="002A1823" w:rsidRDefault="00D44075" w:rsidP="00475254">
            <w:pPr>
              <w:pStyle w:val="Normal6"/>
              <w:rPr>
                <w:szCs w:val="24"/>
              </w:rPr>
            </w:pPr>
            <w:r w:rsidRPr="002A1823">
              <w:t>f)</w:t>
            </w:r>
            <w:r w:rsidRPr="002A1823">
              <w:tab/>
              <w:t xml:space="preserve">lhůty stanovené vnitrostátními právními předpisy již uplynuly </w:t>
            </w:r>
            <w:r w:rsidRPr="002A1823">
              <w:rPr>
                <w:b/>
                <w:i/>
              </w:rPr>
              <w:t>za předpokladu, že</w:t>
            </w:r>
            <w:r w:rsidRPr="002A1823">
              <w:t xml:space="preserve"> tyto lhůty nejsou </w:t>
            </w:r>
            <w:r w:rsidRPr="002A1823">
              <w:rPr>
                <w:b/>
                <w:i/>
              </w:rPr>
              <w:t>delší než 15 let</w:t>
            </w:r>
            <w:r w:rsidRPr="002A1823">
              <w:t>.</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48</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15 – odst. 2</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2.</w:t>
            </w:r>
            <w:r w:rsidRPr="002A1823">
              <w:tab/>
              <w:t>Konfiskace bez předchozího odsouzení se omezí na trestné činy, které mohou přímo nebo nepřímo vést k podstatnému hospodářskému prospěchu, a pouze pokud má vnitrostátní soud za to, že jsou splněny všechny znaky trestného činu.</w:t>
            </w:r>
          </w:p>
        </w:tc>
        <w:tc>
          <w:tcPr>
            <w:tcW w:w="4876" w:type="dxa"/>
            <w:hideMark/>
          </w:tcPr>
          <w:p w:rsidR="0024223B" w:rsidRPr="002A1823" w:rsidRDefault="00D44075" w:rsidP="00475254">
            <w:pPr>
              <w:pStyle w:val="Normal6"/>
              <w:rPr>
                <w:szCs w:val="24"/>
              </w:rPr>
            </w:pPr>
            <w:r w:rsidRPr="002A1823">
              <w:t>2.</w:t>
            </w:r>
            <w:r w:rsidRPr="002A1823">
              <w:tab/>
              <w:t>Konfiskace bez předchozího odsouzení se omezuje na trestné činy, které mohou přímo nebo nepřímo vést k podstatnému hospodářskému prospěchu, a pouze pokud se vnitrostátní soud</w:t>
            </w:r>
            <w:r w:rsidRPr="002A1823">
              <w:rPr>
                <w:b/>
                <w:i/>
              </w:rPr>
              <w:t>na základě dostupných informací přesvědčí,</w:t>
            </w:r>
            <w:r w:rsidRPr="002A1823">
              <w:t xml:space="preserve"> že jsou přítomny všechny prvky trestného činu </w:t>
            </w:r>
            <w:r w:rsidRPr="002A1823">
              <w:rPr>
                <w:b/>
                <w:i/>
              </w:rPr>
              <w:t>a že nástroje, výnosy nebo majetek, který má být konfiskován, pocházejí z daného trestného činu nebo s ním přímo či nepřímo souvisejí</w:t>
            </w:r>
            <w:r w:rsidRPr="002A1823">
              <w:t>.</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49</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16 – odst. 1 – návětí</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1.</w:t>
            </w:r>
            <w:r w:rsidRPr="002A1823">
              <w:tab/>
              <w:t>Členské státy přijmou nezbytná opatření umožňující konfiskaci majetku, není-li konfiskace možná podle článků 12 až 15 a jsou-li splněny tyto podmínky:</w:t>
            </w:r>
          </w:p>
        </w:tc>
        <w:tc>
          <w:tcPr>
            <w:tcW w:w="4876" w:type="dxa"/>
            <w:hideMark/>
          </w:tcPr>
          <w:p w:rsidR="0024223B" w:rsidRPr="002A1823" w:rsidRDefault="00D44075" w:rsidP="00475254">
            <w:pPr>
              <w:pStyle w:val="Normal6"/>
              <w:rPr>
                <w:szCs w:val="24"/>
              </w:rPr>
            </w:pPr>
            <w:r w:rsidRPr="002A1823">
              <w:t>1.</w:t>
            </w:r>
            <w:r w:rsidRPr="002A1823">
              <w:tab/>
              <w:t>Členské státy přijmou nezbytná opatření, která umožní konfiskaci majetku, není-li konfiskace možná podle článků 12 až 15 a je -li vnitrostátní soud přesvědčen, že zajištěný majetek pochází z trestného činu, který může přímo nebo nepřímo vést k podstatnému hospodářskému prospěchu a který byl spáchán v rámci zločinného spolčení.</w:t>
            </w:r>
            <w:r w:rsidRPr="002A1823">
              <w:rPr>
                <w:b/>
                <w:i/>
              </w:rPr>
              <w:t xml:space="preserve"> Za účelem určení, zda zajištěný majetek pochází z trestného činu, členské státy zajistí, aby byly vzaty v úvahu všechny okolnosti případu, včetně konkrétních skutečností a dostupných důkazů, jako je skutečnost, že hodnota majetku je podstatně nepřiměřená zákonnému příjmu vlastníka majetku.</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50</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17 – odst. 2</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rPr>
                <w:b/>
                <w:i/>
              </w:rPr>
              <w:t>2.</w:t>
            </w:r>
            <w:r w:rsidRPr="002A1823">
              <w:rPr>
                <w:b/>
                <w:i/>
              </w:rPr>
              <w:tab/>
              <w:t>Členské státy zváží přijetí opatření umožňujících, aby byl konfiskovaný majetek využit ve veřejném zájmu nebo pro sociální účely.</w:t>
            </w:r>
          </w:p>
        </w:tc>
        <w:tc>
          <w:tcPr>
            <w:tcW w:w="4876" w:type="dxa"/>
            <w:hideMark/>
          </w:tcPr>
          <w:p w:rsidR="0024223B" w:rsidRPr="002A1823" w:rsidRDefault="00D44075" w:rsidP="00475254">
            <w:pPr>
              <w:pStyle w:val="Normal6"/>
              <w:rPr>
                <w:szCs w:val="24"/>
              </w:rPr>
            </w:pPr>
            <w:r w:rsidRPr="002A1823">
              <w:rPr>
                <w:b/>
                <w:i/>
              </w:rPr>
              <w:t>vypouští se</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51</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Článek 17 a (nový)</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jc w:val="center"/>
              <w:rPr>
                <w:szCs w:val="24"/>
              </w:rPr>
            </w:pPr>
            <w:r w:rsidRPr="002A1823">
              <w:rPr>
                <w:b/>
                <w:i/>
              </w:rPr>
              <w:t>Článek 17a</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jc w:val="center"/>
              <w:rPr>
                <w:szCs w:val="24"/>
              </w:rPr>
            </w:pPr>
            <w:r w:rsidRPr="002A1823">
              <w:rPr>
                <w:b/>
                <w:i/>
              </w:rPr>
              <w:t>Další využití konfiskovaného majetku</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1.</w:t>
            </w:r>
            <w:r w:rsidRPr="002A1823">
              <w:rPr>
                <w:b/>
                <w:i/>
              </w:rPr>
              <w:tab/>
              <w:t>Členské státy přijmou nezbytná opatření, aby umožnily využití konfiskovaného majetku ve veřejném zájmu nebo pro sociální účely. Tento majetek může být ponechán jako státní majetek pro účely spravedlnosti, vymáhání práva, veřejné služby nebo pro hospodářské účely nebo může být převeden na místní nebo regionální orgány odpovědné za oblast, v níž se tento majetek nachází, a to pro institucionální, sociální nebo hospodářské účely, včetně za účelem jeho postoupení organizacím vykonávajícím práce ve společenském zájmu.</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2.</w:t>
            </w:r>
            <w:r w:rsidRPr="002A1823">
              <w:rPr>
                <w:b/>
                <w:i/>
              </w:rPr>
              <w:tab/>
              <w:t>Pokud konfiskovaný majetek pochází ze třetí země, přijmou členské státy veškerá vhodná opatření k jeho navrácení do třetí země. Touto povinností není dotčena možnost ponechat si část aktiv na pokrytí nákladů spojených s vysledováním a identifikací nebo správou, které s těmito aktivy přímo souvisejí.</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52</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18 – název</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Odškodnění obětí</w:t>
            </w:r>
          </w:p>
        </w:tc>
        <w:tc>
          <w:tcPr>
            <w:tcW w:w="4876" w:type="dxa"/>
            <w:hideMark/>
          </w:tcPr>
          <w:p w:rsidR="0024223B" w:rsidRPr="002A1823" w:rsidRDefault="00D44075" w:rsidP="00475254">
            <w:pPr>
              <w:pStyle w:val="Normal6"/>
              <w:rPr>
                <w:szCs w:val="24"/>
              </w:rPr>
            </w:pPr>
            <w:r w:rsidRPr="002A1823">
              <w:rPr>
                <w:b/>
                <w:i/>
              </w:rPr>
              <w:t>Odškodnění obětí</w:t>
            </w:r>
            <w:r w:rsidRPr="002A1823">
              <w:t xml:space="preserve"> </w:t>
            </w:r>
            <w:r w:rsidRPr="002A1823">
              <w:rPr>
                <w:b/>
                <w:i/>
              </w:rPr>
              <w:t>a restituce</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53</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18 – odst. 1</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Pokud mají oběti vůči osobě, na níž je vydáno konfiskační opatření podle této směrnice, nároky na náhradu škody vyplývající ze spáchání trestného činu touto osobou, přijmou členské státy nezbytná opatření k zajištění toho, aby se dané konfiskační opatření nedotýkalo práv obětí na náhradu škody.</w:t>
            </w:r>
          </w:p>
        </w:tc>
        <w:tc>
          <w:tcPr>
            <w:tcW w:w="4876" w:type="dxa"/>
            <w:hideMark/>
          </w:tcPr>
          <w:p w:rsidR="0024223B" w:rsidRPr="002A1823" w:rsidRDefault="00D44075" w:rsidP="00475254">
            <w:pPr>
              <w:pStyle w:val="Normal6"/>
              <w:rPr>
                <w:szCs w:val="24"/>
              </w:rPr>
            </w:pPr>
            <w:r w:rsidRPr="002A1823">
              <w:t>Mají-li oběti v důsledku trestného činu nároky vůči osobě, na kterou se vztahuje konfiskační opatření podle této směrnice,</w:t>
            </w:r>
            <w:r w:rsidRPr="002A1823">
              <w:rPr>
                <w:b/>
                <w:i/>
              </w:rPr>
              <w:t>přijmou členské státy přednostně</w:t>
            </w:r>
            <w:r w:rsidRPr="002A1823">
              <w:t xml:space="preserve"> opatření nezbytná k zajištění toho, aby byly </w:t>
            </w:r>
            <w:r w:rsidRPr="002A1823">
              <w:rPr>
                <w:b/>
                <w:i/>
              </w:rPr>
              <w:t>žádosti obětí o odškodnění zohledněny před konečným konfiskačním</w:t>
            </w:r>
            <w:r w:rsidRPr="002A1823">
              <w:t xml:space="preserve"> opatřením.</w:t>
            </w:r>
            <w:r w:rsidRPr="002A1823">
              <w:rPr>
                <w:b/>
                <w:i/>
              </w:rPr>
              <w:t xml:space="preserve"> </w:t>
            </w:r>
            <w:r w:rsidRPr="002A1823">
              <w:t xml:space="preserve">Členský stát věnuje zvláštní pozornost nárokům oběti </w:t>
            </w:r>
            <w:r w:rsidRPr="002A1823">
              <w:rPr>
                <w:b/>
                <w:i/>
              </w:rPr>
              <w:t>v přeshraničních případech</w:t>
            </w:r>
            <w:r w:rsidRPr="002A1823">
              <w:t>.</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54</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18 – odst. 1 a (nový)</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Pokud má oběť v důsledku trestného činu nárok na vrácení majetku podléhajícího konfiskaci, přijmou členské státy, je-li to možné a přednostně, nezbytná opatření k navrácení dotyčného majetku oběti.</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55</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18 – odst. 1 b (nový)</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Není-li možné vrátit majetek oběti v souladu s odstavcem 2 a finanční majetek byl získán v důsledku výkonu konfiskace nebo předběžného prodeje ve vztahu k tomuto majetku, převede se tento majetek na oběť za účelem restituce.</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56</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19 – odst. 2</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2.</w:t>
            </w:r>
            <w:r w:rsidRPr="002A1823">
              <w:tab/>
              <w:t>Členské státy zajistí, aby před vydáním příkazu k zajištění ve smyslu čl. 11 odst. 1 příslušné orgány odpovědné za správu zajištěného a konfiskovaného majetku posoudily náklady, které mohou vzniknout při správě majetku, jež může být zajištěn, za účelem zachování a optimalizace hodnoty tohoto majetku až do doby, než s ním bude naloženo.</w:t>
            </w:r>
          </w:p>
        </w:tc>
        <w:tc>
          <w:tcPr>
            <w:tcW w:w="4876" w:type="dxa"/>
            <w:hideMark/>
          </w:tcPr>
          <w:p w:rsidR="0024223B" w:rsidRPr="002A1823" w:rsidRDefault="00D44075" w:rsidP="00475254">
            <w:pPr>
              <w:pStyle w:val="Normal6"/>
              <w:rPr>
                <w:szCs w:val="24"/>
              </w:rPr>
            </w:pPr>
            <w:r w:rsidRPr="002A1823">
              <w:t>2.</w:t>
            </w:r>
            <w:r w:rsidRPr="002A1823">
              <w:tab/>
              <w:t>Členské státy zajistí, aby před vydáním příkazu k zajištění ve smyslu čl. 11 odst. 1 provedly příslušné orgány odpovědné za správu zajištěného a konfiskovaného majetku posouzení nákladů, které mohou vzniknout při správě majetku, který může být zajištěn, za účelem zachování a optimalizace hodnoty tohoto majetku až do nakládání s ním</w:t>
            </w:r>
            <w:r w:rsidRPr="002A1823">
              <w:rPr>
                <w:b/>
                <w:i/>
              </w:rPr>
              <w:t>, ledaže by naléhavost případu vyžadovala takové posouzení</w:t>
            </w:r>
            <w:r w:rsidRPr="002A1823">
              <w:t xml:space="preserve">. </w:t>
            </w:r>
            <w:r w:rsidRPr="002A1823">
              <w:rPr>
                <w:b/>
                <w:i/>
              </w:rPr>
              <w:t>Každé rozhodnutí příslušných orgánů vzdát se takového posouzení musí být řádně odůvodněno.</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57</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20 – odst. 1 – písm. a</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a)</w:t>
            </w:r>
            <w:r w:rsidRPr="002A1823">
              <w:tab/>
              <w:t>majetek, který je předmětem zajištění, podléhá rychlé zkáze nebo rychle klesá jeho hodnota;</w:t>
            </w:r>
          </w:p>
        </w:tc>
        <w:tc>
          <w:tcPr>
            <w:tcW w:w="4876" w:type="dxa"/>
            <w:hideMark/>
          </w:tcPr>
          <w:p w:rsidR="0024223B" w:rsidRPr="002A1823" w:rsidRDefault="00D44075" w:rsidP="00475254">
            <w:pPr>
              <w:pStyle w:val="Normal6"/>
              <w:rPr>
                <w:szCs w:val="24"/>
              </w:rPr>
            </w:pPr>
            <w:r w:rsidRPr="002A1823">
              <w:t>a)</w:t>
            </w:r>
            <w:r w:rsidRPr="002A1823">
              <w:tab/>
              <w:t>majetek, který je předmětem zmrazení, podléhá rychlé zkáze nebo odepisuje;</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58</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20 – odst. 2</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2.</w:t>
            </w:r>
            <w:r w:rsidRPr="002A1823">
              <w:tab/>
              <w:t>Členské státy přijmou nezbytná opatření k zajištění toho, aby při vydání předběžného příkazu k prodeji byly zohledněny zájmy vlastníka majetku, včetně toho, zda je majetek, který má být prodán, snadno nahraditelný. S výjimkou případů útěku členské státy zajistí, aby vlastník majetku, který může být předmětem předběžného prodeje, byl před prodejem informován a vyslechnut. Vlastník dostane možnost požádat o prodej majetku.</w:t>
            </w:r>
          </w:p>
        </w:tc>
        <w:tc>
          <w:tcPr>
            <w:tcW w:w="4876" w:type="dxa"/>
            <w:hideMark/>
          </w:tcPr>
          <w:p w:rsidR="0024223B" w:rsidRPr="002A1823" w:rsidRDefault="00D44075" w:rsidP="00475254">
            <w:pPr>
              <w:pStyle w:val="Normal6"/>
              <w:rPr>
                <w:szCs w:val="24"/>
              </w:rPr>
            </w:pPr>
            <w:r w:rsidRPr="002A1823">
              <w:t>2.</w:t>
            </w:r>
            <w:r w:rsidRPr="002A1823">
              <w:tab/>
              <w:t>Členské státy přijmou nezbytná opatření k zajištění toho, aby při vydání předběžného příkazu k prodeji byly zohledněny zájmy vlastníka majetku, včetně toho, zda je majetek, který má být prodán, snadno nahraditelný. S výjimkou případů útěku členské státy zajistí, aby vlastník majetku, který může být předmětem předběžného prodeje, byl před prodejem informován, a v případě potřeby vyslechnut. Vlastník dostane možnost požádat o prodej majetku.</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59</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21 – odst. 2 a (nový)</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2a.</w:t>
            </w:r>
            <w:r w:rsidRPr="002A1823">
              <w:rPr>
                <w:b/>
                <w:i/>
              </w:rPr>
              <w:tab/>
              <w:t>Členské státy náležitě zváží možnost pověřit úřady pro správu majetku úkoly stanovenými v čl. 5 odst. 2.</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60</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23 – odst. 4 – pododstavec 2</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V případě příkazů ke konfiskaci podle článku 13 tato okolnost zahrnuje skutečnosti a okolnosti, na nichž bylo založeno zjištění, že třetí osoba věděla nebo měla vědět, že účelem převodu nebo nabytí bylo vyhnout se konfiskaci.</w:t>
            </w:r>
          </w:p>
        </w:tc>
        <w:tc>
          <w:tcPr>
            <w:tcW w:w="4876" w:type="dxa"/>
            <w:hideMark/>
          </w:tcPr>
          <w:p w:rsidR="0024223B" w:rsidRPr="002A1823" w:rsidRDefault="00D44075" w:rsidP="00475254">
            <w:pPr>
              <w:pStyle w:val="Normal6"/>
              <w:rPr>
                <w:szCs w:val="24"/>
              </w:rPr>
            </w:pPr>
            <w:r w:rsidRPr="002A1823">
              <w:t xml:space="preserve">V případě příkazů ke konfiskaci podle článku 13 zahrnují tyto okolnosti skutečnosti a okolnosti, na jejichž základě bylo zjištěno, že třetí strana věděla nebo </w:t>
            </w:r>
            <w:r w:rsidRPr="002A1823">
              <w:rPr>
                <w:b/>
                <w:i/>
              </w:rPr>
              <w:t>mohla vědět</w:t>
            </w:r>
            <w:r w:rsidRPr="002A1823">
              <w:t xml:space="preserve">, že účelem převodu nebo nabytí bylo vyhnout se konfiskaci </w:t>
            </w:r>
            <w:r w:rsidRPr="002A1823">
              <w:rPr>
                <w:b/>
                <w:i/>
              </w:rPr>
              <w:t>nebo že převedený majetek byl přímo či nepřímo spojen s trestnou činností na základě konkrétních skutečností a okolností</w:t>
            </w:r>
            <w:r w:rsidRPr="002A1823">
              <w:t xml:space="preserve">. </w:t>
            </w:r>
            <w:r w:rsidRPr="002A1823">
              <w:rPr>
                <w:b/>
                <w:i/>
              </w:rPr>
              <w:t>Tyto skutečnosti a okolnosti mohou zahrnovat skutečnost, že převod nebo akvizice byly provedeny bezplatně nebo výměnou za částku neúměrnou tržní hodnotě.</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61</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23 – odst. 4 – pododstavec 3</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V případě příkazů ke konfiskaci podle článků 14 a 16 tyto okolnosti zahrnují konkrétní skutečnosti a dostupné důkazy, na jejichž základě je dotyčný majetek považován za majetek pocházející z trestné činnosti.</w:t>
            </w:r>
          </w:p>
        </w:tc>
        <w:tc>
          <w:tcPr>
            <w:tcW w:w="4876" w:type="dxa"/>
            <w:hideMark/>
          </w:tcPr>
          <w:p w:rsidR="0024223B" w:rsidRPr="002A1823" w:rsidRDefault="00D44075" w:rsidP="00475254">
            <w:pPr>
              <w:pStyle w:val="Normal6"/>
              <w:rPr>
                <w:szCs w:val="24"/>
              </w:rPr>
            </w:pPr>
            <w:r w:rsidRPr="002A1823">
              <w:t>V případě příkazů ke konfiskaci podle článků 14 a 16 tyto okolnosti zahrnují konkrétní skutečnosti a dostupné důkazy, na jejichž základě je dotyčný majetek považován za majetek pocházející z trestné činnosti.</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62</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24 – odst. 1</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1.</w:t>
            </w:r>
            <w:r w:rsidRPr="002A1823">
              <w:tab/>
              <w:t>Členské státy přijmou do data [jeden rok po vstupu této směrnice v platnost] vnitrostátní strategii pro vymáhání majetku z trestné činnosti a v pravidelných intervalech nepřesahujících pět let ji aktualizují.</w:t>
            </w:r>
          </w:p>
        </w:tc>
        <w:tc>
          <w:tcPr>
            <w:tcW w:w="4876" w:type="dxa"/>
            <w:hideMark/>
          </w:tcPr>
          <w:p w:rsidR="0024223B" w:rsidRPr="002A1823" w:rsidRDefault="00D44075" w:rsidP="00475254">
            <w:pPr>
              <w:pStyle w:val="Normal6"/>
              <w:rPr>
                <w:szCs w:val="24"/>
              </w:rPr>
            </w:pPr>
            <w:r w:rsidRPr="002A1823">
              <w:t>1.</w:t>
            </w:r>
            <w:r w:rsidRPr="002A1823">
              <w:tab/>
              <w:t>Členské státy přijmou do data [jeden rok po vstupu této směrnice v platnost] vnitrostátní strategii pro vymáhání majetku z trestné činnosti a v pravidelných intervalech nepřesahujících pět let ji aktualizují.</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63</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24 – odst. 2 – pododstavec 1 – písm. a</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a)</w:t>
            </w:r>
            <w:r w:rsidRPr="002A1823">
              <w:tab/>
              <w:t>strategické cíle, priority a opatření za účelem zvýšení úsilí všech příslušných vnitrostátních orgánů zapojených do vymáhání majetku, jak je stanoveno v této směrnici;</w:t>
            </w:r>
          </w:p>
        </w:tc>
        <w:tc>
          <w:tcPr>
            <w:tcW w:w="4876" w:type="dxa"/>
            <w:hideMark/>
          </w:tcPr>
          <w:p w:rsidR="0024223B" w:rsidRPr="002A1823" w:rsidRDefault="00D44075" w:rsidP="00475254">
            <w:pPr>
              <w:pStyle w:val="Normal6"/>
              <w:rPr>
                <w:szCs w:val="24"/>
              </w:rPr>
            </w:pPr>
            <w:r w:rsidRPr="002A1823">
              <w:t>a)</w:t>
            </w:r>
            <w:r w:rsidRPr="002A1823">
              <w:tab/>
              <w:t>strategické cíle, priority a opatření za účelem zvýšení úsilí všech příslušných vnitrostátních orgánů zapojených do vymáhání majetku, jak je stanoveno v této směrnici;</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64</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24 – odst. 2 – pododstavec 1 – písm. b</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b)</w:t>
            </w:r>
            <w:r w:rsidRPr="002A1823">
              <w:tab/>
              <w:t>správní rámec pro dosažení strategických cílů a priorit, včetně popisu úloh a povinností všech příslušných orgánů a mechanismů spolupráce;</w:t>
            </w:r>
          </w:p>
        </w:tc>
        <w:tc>
          <w:tcPr>
            <w:tcW w:w="4876" w:type="dxa"/>
            <w:hideMark/>
          </w:tcPr>
          <w:p w:rsidR="0024223B" w:rsidRPr="002A1823" w:rsidRDefault="00D44075" w:rsidP="00475254">
            <w:pPr>
              <w:pStyle w:val="Normal6"/>
              <w:rPr>
                <w:szCs w:val="24"/>
              </w:rPr>
            </w:pPr>
            <w:r w:rsidRPr="002A1823">
              <w:t>b)</w:t>
            </w:r>
            <w:r w:rsidRPr="002A1823">
              <w:tab/>
              <w:t xml:space="preserve">správní rámec pro dosažení strategických cílů a priorit, včetně </w:t>
            </w:r>
            <w:r w:rsidRPr="002A1823">
              <w:rPr>
                <w:b/>
                <w:i/>
              </w:rPr>
              <w:t>účinné</w:t>
            </w:r>
            <w:r w:rsidRPr="002A1823">
              <w:t xml:space="preserve"> spolupráce mezi úřady pro vyhledávání majetku z trestné činnosti a finančními zpravodajskými jednotkami;</w:t>
            </w:r>
            <w:r w:rsidRPr="002A1823">
              <w:rPr>
                <w:b/>
                <w:i/>
              </w:rPr>
              <w:t xml:space="preserve"> </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65</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24 – odst. 2 – pododstavec 1 – písm. d</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d)</w:t>
            </w:r>
            <w:r w:rsidRPr="002A1823">
              <w:tab/>
              <w:t>zdroje poskytnuté příslušným orgánům, včetně odborné přípravy;</w:t>
            </w:r>
          </w:p>
        </w:tc>
        <w:tc>
          <w:tcPr>
            <w:tcW w:w="4876" w:type="dxa"/>
            <w:hideMark/>
          </w:tcPr>
          <w:p w:rsidR="0024223B" w:rsidRPr="002A1823" w:rsidRDefault="00D44075" w:rsidP="00475254">
            <w:pPr>
              <w:pStyle w:val="Normal6"/>
              <w:rPr>
                <w:szCs w:val="24"/>
              </w:rPr>
            </w:pPr>
            <w:r w:rsidRPr="002A1823">
              <w:t>d)</w:t>
            </w:r>
            <w:r w:rsidRPr="002A1823">
              <w:tab/>
              <w:t>odpovídající finanční zdroje,</w:t>
            </w:r>
            <w:r w:rsidRPr="002A1823">
              <w:rPr>
                <w:b/>
                <w:i/>
              </w:rPr>
              <w:t xml:space="preserve"> odpovídající odbornou přípravu a odpovídající právní způsobilost</w:t>
            </w:r>
            <w:r w:rsidRPr="002A1823">
              <w:t xml:space="preserve"> poskytnutou příslušným orgánům;</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66</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24 – odst. 2 – pododstavec 1 – písm. e a (nové)</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ea)</w:t>
            </w:r>
            <w:r w:rsidRPr="002A1823">
              <w:rPr>
                <w:b/>
                <w:i/>
              </w:rPr>
              <w:tab/>
              <w:t>využití možnosti použít zmrazený a konfiskovaný majetek pro veřejný zájem nebo pro sociální účely.</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67</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24 – odst. 2 – pododstavec 2 (nový)</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b/>
                <w:i/>
                <w:szCs w:val="24"/>
              </w:rPr>
            </w:pPr>
            <w:r w:rsidRPr="002A1823">
              <w:rPr>
                <w:b/>
                <w:i/>
              </w:rPr>
              <w:t xml:space="preserve">Pro účely prvního pododstavce písm. b) členské státy rovněž řádně posoudí možnost a potenciální přínosy začlenění svých úřadů pro vyhledávání majetku z trestné činnosti a správy majetku do jediné právní a organizační struktury. </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68</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26 – odst. 3 – písm. b</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b)</w:t>
            </w:r>
            <w:r w:rsidRPr="002A1823">
              <w:tab/>
              <w:t>odhadovaná nebo skutečná hodnota majetku v okamžiku zajištění, konfiskace a nakládání s ním;</w:t>
            </w:r>
          </w:p>
        </w:tc>
        <w:tc>
          <w:tcPr>
            <w:tcW w:w="4876" w:type="dxa"/>
            <w:hideMark/>
          </w:tcPr>
          <w:p w:rsidR="0024223B" w:rsidRPr="002A1823" w:rsidRDefault="00D44075" w:rsidP="00475254">
            <w:pPr>
              <w:pStyle w:val="Normal6"/>
              <w:rPr>
                <w:szCs w:val="24"/>
              </w:rPr>
            </w:pPr>
            <w:r w:rsidRPr="002A1823">
              <w:t>b)</w:t>
            </w:r>
            <w:r w:rsidRPr="002A1823">
              <w:tab/>
              <w:t>odhadovaná nebo skutečná hodnota majetku v okamžiku zmrazení;</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69</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26 – odst. 5 a (nový)</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5a.</w:t>
            </w:r>
            <w:r w:rsidRPr="002A1823">
              <w:rPr>
                <w:b/>
                <w:i/>
              </w:rPr>
              <w:tab/>
              <w:t>Členské státy určí příslušný orgán nebo orgány odpovědné za správu centralizovaných registrů. Tyto orgány se považují za správce ve smyslu čl. 3 bodu 8 směrnice (EU) 2016/680.</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70</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27 – odst. 1</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1.</w:t>
            </w:r>
            <w:r w:rsidRPr="002A1823">
              <w:tab/>
              <w:t>Členské státy shromažďují na ústřední úrovni statistické údaje a vedou souhrnné statistiky o opatřeních přijatých podle této směrnice.</w:t>
            </w:r>
          </w:p>
        </w:tc>
        <w:tc>
          <w:tcPr>
            <w:tcW w:w="4876" w:type="dxa"/>
            <w:hideMark/>
          </w:tcPr>
          <w:p w:rsidR="0024223B" w:rsidRPr="002A1823" w:rsidRDefault="00D44075" w:rsidP="00475254">
            <w:pPr>
              <w:pStyle w:val="Normal6"/>
              <w:rPr>
                <w:szCs w:val="24"/>
              </w:rPr>
            </w:pPr>
            <w:r w:rsidRPr="002A1823">
              <w:t>1.</w:t>
            </w:r>
            <w:r w:rsidRPr="002A1823">
              <w:tab/>
              <w:t xml:space="preserve">Členské státy </w:t>
            </w:r>
            <w:r w:rsidRPr="002A1823">
              <w:rPr>
                <w:b/>
                <w:i/>
              </w:rPr>
              <w:t>pravidelně</w:t>
            </w:r>
            <w:r w:rsidRPr="002A1823">
              <w:t xml:space="preserve"> shromažďují </w:t>
            </w:r>
            <w:r w:rsidRPr="002A1823">
              <w:rPr>
                <w:b/>
                <w:i/>
              </w:rPr>
              <w:t>od příslušných orgánů</w:t>
            </w:r>
            <w:r w:rsidRPr="002A1823">
              <w:t xml:space="preserve"> a vedou na centrální úrovni </w:t>
            </w:r>
            <w:r w:rsidRPr="002A1823">
              <w:rPr>
                <w:b/>
                <w:i/>
              </w:rPr>
              <w:t>komplexní statistiky</w:t>
            </w:r>
            <w:r w:rsidRPr="002A1823">
              <w:t xml:space="preserve"> o opatřeních přijatých podle této směrnice </w:t>
            </w:r>
            <w:r w:rsidRPr="002A1823">
              <w:rPr>
                <w:b/>
                <w:i/>
              </w:rPr>
              <w:t>za účelem přezkumu účinnosti svých systémů konfiskace</w:t>
            </w:r>
            <w:r w:rsidRPr="002A1823">
              <w:t>.</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71</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27 – odst. 2</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2.</w:t>
            </w:r>
            <w:r w:rsidRPr="002A1823">
              <w:tab/>
              <w:t>Členské státy zajistí, aby byly statistiky uvedené v odstavci 1 shromažďovány na kalendářním základě a každoročně předávány Komisi do [1. září] následujícího roku.</w:t>
            </w:r>
          </w:p>
        </w:tc>
        <w:tc>
          <w:tcPr>
            <w:tcW w:w="4876" w:type="dxa"/>
            <w:hideMark/>
          </w:tcPr>
          <w:p w:rsidR="0024223B" w:rsidRPr="002A1823" w:rsidRDefault="00D44075" w:rsidP="00475254">
            <w:pPr>
              <w:pStyle w:val="Normal6"/>
              <w:rPr>
                <w:szCs w:val="24"/>
              </w:rPr>
            </w:pPr>
            <w:r w:rsidRPr="002A1823">
              <w:t>2.</w:t>
            </w:r>
            <w:r w:rsidRPr="002A1823">
              <w:tab/>
              <w:t xml:space="preserve">Členské státy zajistí, aby byly statistiky uvedené v odstavci 1 shromažďovány na kalendářním základě a každoročně předávány Komisi do [1. září] následujícího roku. </w:t>
            </w:r>
            <w:r w:rsidRPr="002A1823">
              <w:rPr>
                <w:b/>
                <w:i/>
              </w:rPr>
              <w:t>Shromážděné statistiky se každoročně předkládají Komisi a obsahují u každého trestného činu tyto údaje:</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 xml:space="preserve">a) </w:t>
            </w:r>
            <w:r w:rsidRPr="002A1823">
              <w:tab/>
            </w:r>
            <w:r w:rsidRPr="002A1823">
              <w:rPr>
                <w:b/>
                <w:i/>
              </w:rPr>
              <w:t>počet vykonaných příkazů k zajištění,</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b)</w:t>
            </w:r>
            <w:r w:rsidRPr="002A1823">
              <w:tab/>
            </w:r>
            <w:r w:rsidRPr="002A1823">
              <w:rPr>
                <w:b/>
                <w:i/>
              </w:rPr>
              <w:t xml:space="preserve"> počet vykonaných příkazů ke konfiskaci,</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 xml:space="preserve">c) </w:t>
            </w:r>
            <w:r w:rsidRPr="002A1823">
              <w:tab/>
            </w:r>
            <w:r w:rsidRPr="002A1823">
              <w:rPr>
                <w:b/>
                <w:i/>
              </w:rPr>
              <w:t>hodnota zmrazeného majetku;</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 xml:space="preserve">d) </w:t>
            </w:r>
            <w:r w:rsidRPr="002A1823">
              <w:tab/>
            </w:r>
            <w:r w:rsidRPr="002A1823">
              <w:rPr>
                <w:b/>
                <w:i/>
              </w:rPr>
              <w:t>hodnota vyhledaného majetku;</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e)</w:t>
            </w:r>
            <w:r w:rsidRPr="002A1823">
              <w:tab/>
            </w:r>
            <w:r w:rsidRPr="002A1823">
              <w:rPr>
                <w:b/>
                <w:i/>
              </w:rPr>
              <w:t xml:space="preserve"> počet žádostí o výkon příkazů k zajištění v jiném členském státě,</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 xml:space="preserve">f) </w:t>
            </w:r>
            <w:r w:rsidRPr="002A1823">
              <w:tab/>
            </w:r>
            <w:r w:rsidRPr="002A1823">
              <w:rPr>
                <w:b/>
                <w:i/>
              </w:rPr>
              <w:t>počet žádostí o výkon příkazů ke konfiskaci v jiném členském státě,</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 xml:space="preserve">g) </w:t>
            </w:r>
            <w:r w:rsidRPr="002A1823">
              <w:tab/>
            </w:r>
            <w:r w:rsidRPr="002A1823">
              <w:rPr>
                <w:b/>
                <w:i/>
              </w:rPr>
              <w:t>hodnota majetku vyhledaného na základě výkonu příkazu v jiném členském státě;</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 xml:space="preserve">h) </w:t>
            </w:r>
            <w:r w:rsidRPr="002A1823">
              <w:tab/>
            </w:r>
            <w:r w:rsidRPr="002A1823">
              <w:rPr>
                <w:b/>
                <w:i/>
              </w:rPr>
              <w:t>hodnota majetku určeného k opětovnému použití pro účely prosazování práva; prevence nebo pro sociální účely;</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 xml:space="preserve">i) </w:t>
            </w:r>
            <w:r w:rsidRPr="002A1823">
              <w:tab/>
            </w:r>
            <w:r w:rsidRPr="002A1823">
              <w:rPr>
                <w:b/>
                <w:i/>
              </w:rPr>
              <w:t>počet případů, kdy byla konfiskace nařízena v poměru k počtu odsouzení za trestné činy, na něž se vztahuje tato směrnice;</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 xml:space="preserve">j) </w:t>
            </w:r>
            <w:r w:rsidRPr="002A1823">
              <w:tab/>
            </w:r>
            <w:r w:rsidRPr="002A1823">
              <w:rPr>
                <w:b/>
                <w:i/>
              </w:rPr>
              <w:t>počet žádostí o vydání příkazů ke zmrazení a příkazů ke konfiskaci, které byly zamítnuty soudy;</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k)</w:t>
            </w:r>
            <w:r w:rsidRPr="002A1823">
              <w:tab/>
            </w:r>
            <w:r w:rsidRPr="002A1823">
              <w:rPr>
                <w:b/>
                <w:i/>
              </w:rPr>
              <w:t xml:space="preserve"> druh využití konfiskovaného majetku; a</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 xml:space="preserve">l) </w:t>
            </w:r>
            <w:r w:rsidRPr="002A1823">
              <w:tab/>
            </w:r>
            <w:r w:rsidRPr="002A1823">
              <w:rPr>
                <w:b/>
                <w:i/>
              </w:rPr>
              <w:t>délka řízení o přidělení konfiskovaného majetku.</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72</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Článek 27 a (nový)</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jc w:val="center"/>
              <w:rPr>
                <w:szCs w:val="24"/>
              </w:rPr>
            </w:pPr>
            <w:r w:rsidRPr="002A1823">
              <w:rPr>
                <w:b/>
                <w:i/>
              </w:rPr>
              <w:t>Článek 27a (nový)</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jc w:val="center"/>
              <w:rPr>
                <w:szCs w:val="24"/>
              </w:rPr>
            </w:pPr>
            <w:r w:rsidRPr="002A1823">
              <w:rPr>
                <w:b/>
                <w:i/>
              </w:rPr>
              <w:t>Platforma pro vymáhání a konfiskaci majetku</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Pod záštitou Komise se zřizuje platforma pro vymáhání a konfiskaci majetku (dále jen „platforma“). Platforma se skládá ze zástupců úřadů pro vyhledávání majetku z trestné činnosti a úřadů pro správu majetku a předsedá jí zástupce Komise. Platforma se svolává v pravidelných intervalech.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Platforma musí:</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a)</w:t>
            </w:r>
            <w:r w:rsidRPr="002A1823">
              <w:tab/>
            </w:r>
            <w:r w:rsidRPr="002A1823">
              <w:rPr>
                <w:b/>
                <w:i/>
              </w:rPr>
              <w:t xml:space="preserve"> poskytuje Komisi poradenství při provádění opatření stanovených v této směrnici;</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 xml:space="preserve">b) </w:t>
            </w:r>
            <w:r w:rsidRPr="002A1823">
              <w:tab/>
            </w:r>
            <w:r w:rsidRPr="002A1823">
              <w:rPr>
                <w:b/>
                <w:i/>
              </w:rPr>
              <w:t>vyměňovat si informace o účinnosti a účelnosti spolupráce se třetími zeměmi;</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 xml:space="preserve">c) </w:t>
            </w:r>
            <w:r w:rsidRPr="002A1823">
              <w:tab/>
            </w:r>
            <w:r w:rsidRPr="002A1823">
              <w:rPr>
                <w:b/>
                <w:i/>
              </w:rPr>
              <w:t>analyzovat vnitrostátní strategie pro vymáhání majetku přijaté členskými státy podle článku 24 s cílem určit osvědčené postupy.</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K účasti na zasedáních platformy mohou být přizváni zástupci Europolu, Eurojustu a Úřadu evropského veřejného žalobce.</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pPr>
        <w:pStyle w:val="AmCrossRef"/>
      </w:pPr>
      <w:r w:rsidRPr="002A1823">
        <w:t>(Článek 27a (nový) se vkládá do kapitoly VII před článek 28.)</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73</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28 – odst. 2</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2.</w:t>
            </w:r>
            <w:r w:rsidRPr="002A1823">
              <w:tab/>
              <w:t>Úřady pro vyhledávání majetku z trestné činnosti spolupracují v souladu s oblastmi své působnosti s Europolem a Eurojustem za účelem usnadnění identifikace nástrojů a výnosů nebo majetku, který se může stát nebo je předmětem příkazu k zajištění nebo ke konfiskaci vydaného příslušným orgánem v průběhu trestního řízení, a je-li to nezbytné pro prevenci, odhalování nebo vyšetřování trestných činů souvisejících s porušováním omezujících opatření Unie.</w:t>
            </w:r>
          </w:p>
        </w:tc>
        <w:tc>
          <w:tcPr>
            <w:tcW w:w="4876" w:type="dxa"/>
            <w:hideMark/>
          </w:tcPr>
          <w:p w:rsidR="0024223B" w:rsidRPr="002A1823" w:rsidRDefault="00D44075" w:rsidP="00475254">
            <w:pPr>
              <w:pStyle w:val="Normal6"/>
              <w:rPr>
                <w:szCs w:val="24"/>
              </w:rPr>
            </w:pPr>
            <w:r w:rsidRPr="002A1823">
              <w:t>2.</w:t>
            </w:r>
            <w:r w:rsidRPr="002A1823">
              <w:tab/>
              <w:t xml:space="preserve">Úřady pro vyhledávání majetku z trestné činnosti spolupracují s Europolem za účelem usnadnění identifikace nástrojů a výnosů nebo majetku, který se může stát nebo je předmětem příkazu k zajištění nebo konfiskaci vydaného příslušným orgánem v průběhu řízení </w:t>
            </w:r>
            <w:r w:rsidRPr="002A1823">
              <w:rPr>
                <w:b/>
                <w:i/>
              </w:rPr>
              <w:t>v trestních věcech</w:t>
            </w:r>
            <w:r w:rsidRPr="002A1823">
              <w:t>, a je-li to nezbytné k prevenci, odhalování nebo vyšetřování trestných činů souvisejících s porušováním omezujících opatření Unie.</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74</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28 – odst. 2 a (nový)</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tcPr>
          <w:p w:rsidR="0024223B" w:rsidRPr="002A1823" w:rsidRDefault="0024223B" w:rsidP="00475254">
            <w:pPr>
              <w:pStyle w:val="Normal6"/>
            </w:pPr>
          </w:p>
        </w:tc>
        <w:tc>
          <w:tcPr>
            <w:tcW w:w="4876" w:type="dxa"/>
            <w:hideMark/>
          </w:tcPr>
          <w:p w:rsidR="0024223B" w:rsidRPr="002A1823" w:rsidRDefault="00D44075" w:rsidP="00475254">
            <w:pPr>
              <w:pStyle w:val="Normal6"/>
              <w:rPr>
                <w:szCs w:val="24"/>
              </w:rPr>
            </w:pPr>
            <w:r w:rsidRPr="002A1823">
              <w:rPr>
                <w:b/>
                <w:i/>
              </w:rPr>
              <w:t>2a.</w:t>
            </w:r>
            <w:r w:rsidRPr="002A1823">
              <w:rPr>
                <w:b/>
                <w:i/>
              </w:rPr>
              <w:tab/>
              <w:t>Úřady pro vyhledávání majetku z trestné činnosti a úřady pro správu majetku úzce spolupracují s Eurojustem za účelem usnadnění procesu vyhledávání majetku z trestné činnosti v souladu s mandátem Eurojustu, mimo jiné včetně vysledování a identifikace nástrojů a výnosů nebo majetku, který se může stát nebo je předmětem příkazu k zajištění nebo konfiskaci vydaného příslušným orgánem v průběhu řízení v trestních věcech a následného nakládání, a to i v průběhu vyšetřování a stíhání trestných činů souvisejících s porušováním omezujících opatření Unie.</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w:t>
      </w:r>
    </w:p>
    <w:p w:rsidR="0024223B" w:rsidRPr="002A1823" w:rsidRDefault="00D44075" w:rsidP="0024223B">
      <w:pPr>
        <w:pStyle w:val="AMNumberTabs0"/>
        <w:keepNext/>
      </w:pPr>
      <w:r w:rsidRPr="002A1823">
        <w:rPr>
          <w:rStyle w:val="HideTWBExt"/>
          <w:b w:val="0"/>
        </w:rPr>
        <w:t>&lt;Amend&gt;</w:t>
      </w:r>
      <w:r w:rsidRPr="002A1823">
        <w:t>Pozměňovací návrh</w:t>
      </w:r>
      <w:r w:rsidRPr="002A1823">
        <w:tab/>
      </w:r>
      <w:r w:rsidRPr="002A1823">
        <w:tab/>
      </w:r>
      <w:r w:rsidRPr="002A1823">
        <w:rPr>
          <w:rStyle w:val="HideTWBExt"/>
          <w:b w:val="0"/>
        </w:rPr>
        <w:t>&lt;NumAm&gt;</w:t>
      </w:r>
      <w:r w:rsidRPr="002A1823">
        <w:t>75</w:t>
      </w:r>
      <w:r w:rsidRPr="002A1823">
        <w:rPr>
          <w:rStyle w:val="HideTWBExt"/>
          <w:b w:val="0"/>
        </w:rPr>
        <w:t>&lt;/NumAm&gt;</w:t>
      </w:r>
    </w:p>
    <w:p w:rsidR="0024223B" w:rsidRPr="002A1823" w:rsidRDefault="00D44075" w:rsidP="0024223B">
      <w:pPr>
        <w:pStyle w:val="NormalBold12b"/>
        <w:keepNext/>
      </w:pPr>
      <w:r w:rsidRPr="002A1823">
        <w:rPr>
          <w:rStyle w:val="HideTWBExt"/>
          <w:b w:val="0"/>
        </w:rPr>
        <w:t>&lt;DocAmend&gt;</w:t>
      </w:r>
      <w:r w:rsidRPr="002A1823">
        <w:t>Návrh směrnice</w:t>
      </w:r>
      <w:r w:rsidRPr="002A1823">
        <w:rPr>
          <w:rStyle w:val="HideTWBExt"/>
          <w:b w:val="0"/>
        </w:rPr>
        <w:t>&lt;/DocAmend&gt;</w:t>
      </w:r>
    </w:p>
    <w:p w:rsidR="0024223B" w:rsidRPr="002A1823" w:rsidRDefault="00D44075" w:rsidP="0024223B">
      <w:pPr>
        <w:pStyle w:val="NormalBold"/>
      </w:pPr>
      <w:r w:rsidRPr="002A1823">
        <w:rPr>
          <w:rStyle w:val="HideTWBExt"/>
          <w:b w:val="0"/>
        </w:rPr>
        <w:t>&lt;Article&gt;</w:t>
      </w:r>
      <w:r w:rsidRPr="002A1823">
        <w:t>Čl. 33 – odst. 1</w:t>
      </w:r>
      <w:r w:rsidRPr="002A18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567E" w:rsidRPr="002A1823" w:rsidTr="00475254">
        <w:trPr>
          <w:jc w:val="center"/>
        </w:trPr>
        <w:tc>
          <w:tcPr>
            <w:tcW w:w="9752" w:type="dxa"/>
            <w:gridSpan w:val="2"/>
          </w:tcPr>
          <w:p w:rsidR="0024223B" w:rsidRPr="002A1823" w:rsidRDefault="0024223B" w:rsidP="00475254">
            <w:pPr>
              <w:keepNext/>
            </w:pPr>
          </w:p>
        </w:tc>
      </w:tr>
      <w:tr w:rsidR="007B567E" w:rsidRPr="002A1823" w:rsidTr="00475254">
        <w:trPr>
          <w:jc w:val="center"/>
        </w:trPr>
        <w:tc>
          <w:tcPr>
            <w:tcW w:w="4876" w:type="dxa"/>
            <w:hideMark/>
          </w:tcPr>
          <w:p w:rsidR="0024223B" w:rsidRPr="002A1823" w:rsidRDefault="00D44075" w:rsidP="00475254">
            <w:pPr>
              <w:pStyle w:val="ColumnHeading"/>
              <w:keepNext/>
            </w:pPr>
            <w:r w:rsidRPr="002A1823">
              <w:t>Znění navržené Komisí</w:t>
            </w:r>
          </w:p>
        </w:tc>
        <w:tc>
          <w:tcPr>
            <w:tcW w:w="4876" w:type="dxa"/>
            <w:hideMark/>
          </w:tcPr>
          <w:p w:rsidR="0024223B" w:rsidRPr="002A1823" w:rsidRDefault="00D44075" w:rsidP="00475254">
            <w:pPr>
              <w:pStyle w:val="ColumnHeading"/>
              <w:keepNext/>
            </w:pPr>
            <w:r w:rsidRPr="002A1823">
              <w:t>Pozměňovací návrh</w:t>
            </w:r>
          </w:p>
        </w:tc>
      </w:tr>
      <w:tr w:rsidR="007B567E" w:rsidRPr="002A1823" w:rsidTr="00475254">
        <w:trPr>
          <w:jc w:val="center"/>
        </w:trPr>
        <w:tc>
          <w:tcPr>
            <w:tcW w:w="4876" w:type="dxa"/>
            <w:hideMark/>
          </w:tcPr>
          <w:p w:rsidR="0024223B" w:rsidRPr="002A1823" w:rsidRDefault="00D44075" w:rsidP="00475254">
            <w:pPr>
              <w:pStyle w:val="Normal6"/>
            </w:pPr>
            <w:r w:rsidRPr="002A1823">
              <w:t>1.</w:t>
            </w:r>
            <w:r w:rsidRPr="002A1823">
              <w:tab/>
              <w:t>Do [datum vstupu v platnost + 3 roky] předloží Komise Evropskému parlamentu a Radě zprávu o provádění této směrnice.</w:t>
            </w:r>
          </w:p>
        </w:tc>
        <w:tc>
          <w:tcPr>
            <w:tcW w:w="4876" w:type="dxa"/>
            <w:hideMark/>
          </w:tcPr>
          <w:p w:rsidR="0024223B" w:rsidRPr="002A1823" w:rsidRDefault="00D44075" w:rsidP="00475254">
            <w:pPr>
              <w:pStyle w:val="Normal6"/>
              <w:rPr>
                <w:szCs w:val="24"/>
              </w:rPr>
            </w:pPr>
            <w:r w:rsidRPr="002A1823">
              <w:t>1.</w:t>
            </w:r>
            <w:r w:rsidRPr="002A1823">
              <w:tab/>
              <w:t>Do [datum vstupu v platnost + 3 roky] předloží Komise Evropskému parlamentu a Radě zprávu o provádění této směrnice.</w:t>
            </w:r>
            <w:r w:rsidRPr="002A1823">
              <w:rPr>
                <w:b/>
                <w:i/>
              </w:rPr>
              <w:t xml:space="preserve"> Zpráva obsahuje podrobné posouzení možnosti a přínosů propojení centralizovaných registrů uvedených v článku 26 prostřednictvím jediného přístupového místa, aby úřady pro vyhledávání majetku z trestné činnosti mohly přímo a okamžitě vyhledávat v údajích v nich obsažených, s výhradou příslušných záruk.</w:t>
            </w:r>
          </w:p>
        </w:tc>
      </w:tr>
    </w:tbl>
    <w:p w:rsidR="0024223B" w:rsidRPr="002A1823" w:rsidRDefault="00D44075" w:rsidP="0024223B">
      <w:pPr>
        <w:pStyle w:val="Olang"/>
      </w:pPr>
      <w:r w:rsidRPr="002A1823">
        <w:rPr>
          <w:noProof w:val="0"/>
        </w:rPr>
        <w:t xml:space="preserve">Or. </w:t>
      </w:r>
      <w:r w:rsidRPr="002A1823">
        <w:rPr>
          <w:rStyle w:val="HideTWBExt"/>
        </w:rPr>
        <w:t>&lt;Original&gt;</w:t>
      </w:r>
      <w:r w:rsidRPr="002A1823">
        <w:rPr>
          <w:rStyle w:val="HideTWBInt"/>
        </w:rPr>
        <w:t>{EN}</w:t>
      </w:r>
      <w:r w:rsidRPr="002A1823">
        <w:rPr>
          <w:noProof w:val="0"/>
        </w:rPr>
        <w:t>en</w:t>
      </w:r>
      <w:r w:rsidRPr="002A1823">
        <w:rPr>
          <w:rStyle w:val="HideTWBExt"/>
        </w:rPr>
        <w:t>&lt;/Original&gt;</w:t>
      </w:r>
    </w:p>
    <w:p w:rsidR="0024223B" w:rsidRPr="002A1823" w:rsidRDefault="00D44075" w:rsidP="0024223B">
      <w:r w:rsidRPr="002A1823">
        <w:rPr>
          <w:rStyle w:val="HideTWBExt"/>
        </w:rPr>
        <w:t>&lt;/Amend&gt;&lt;/RepeatBlock-Amend&gt;</w:t>
      </w:r>
    </w:p>
    <w:p w:rsidR="002669B6" w:rsidRPr="002A1823" w:rsidRDefault="002669B6" w:rsidP="0024223B">
      <w:pPr>
        <w:pStyle w:val="AmNumberTabs"/>
        <w:keepNext/>
      </w:pPr>
    </w:p>
    <w:sectPr w:rsidR="002669B6" w:rsidRPr="002A1823" w:rsidSect="007B56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42A" w:rsidRPr="002A1823" w:rsidRDefault="00D44075">
      <w:r w:rsidRPr="002A1823">
        <w:separator/>
      </w:r>
    </w:p>
  </w:endnote>
  <w:endnote w:type="continuationSeparator" w:id="0">
    <w:p w:rsidR="007C042A" w:rsidRPr="002A1823" w:rsidRDefault="00D44075">
      <w:r w:rsidRPr="002A18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67E" w:rsidRPr="002A1823" w:rsidRDefault="007B567E" w:rsidP="007B567E">
    <w:pPr>
      <w:pStyle w:val="EPFooter"/>
    </w:pPr>
    <w:r w:rsidRPr="002A1823">
      <w:t>PE</w:t>
    </w:r>
    <w:r w:rsidRPr="002A1823">
      <w:rPr>
        <w:rStyle w:val="HideTWBExt"/>
      </w:rPr>
      <w:t>&lt;NoPE&gt;</w:t>
    </w:r>
    <w:r w:rsidRPr="002A1823">
      <w:t>742.501</w:t>
    </w:r>
    <w:r w:rsidRPr="002A1823">
      <w:rPr>
        <w:rStyle w:val="HideTWBExt"/>
      </w:rPr>
      <w:t>&lt;/NoPE&gt;&lt;Version&gt;</w:t>
    </w:r>
    <w:r w:rsidRPr="002A1823">
      <w:t>v01-00</w:t>
    </w:r>
    <w:r w:rsidRPr="002A1823">
      <w:rPr>
        <w:rStyle w:val="HideTWBExt"/>
      </w:rPr>
      <w:t>&lt;/Version&gt;</w:t>
    </w:r>
    <w:r w:rsidRPr="002A1823">
      <w:tab/>
    </w:r>
    <w:r w:rsidRPr="002A1823">
      <w:fldChar w:fldCharType="begin"/>
    </w:r>
    <w:r w:rsidRPr="002A1823">
      <w:instrText xml:space="preserve"> PAGE  \* MERGEFORMAT </w:instrText>
    </w:r>
    <w:r w:rsidRPr="002A1823">
      <w:fldChar w:fldCharType="separate"/>
    </w:r>
    <w:r w:rsidR="00B63A1D">
      <w:rPr>
        <w:noProof/>
      </w:rPr>
      <w:t>2</w:t>
    </w:r>
    <w:r w:rsidRPr="002A1823">
      <w:fldChar w:fldCharType="end"/>
    </w:r>
    <w:r w:rsidRPr="002A1823">
      <w:t>/</w:t>
    </w:r>
    <w:r w:rsidR="00B63A1D">
      <w:fldChar w:fldCharType="begin"/>
    </w:r>
    <w:r w:rsidR="00B63A1D">
      <w:instrText xml:space="preserve"> NUMPAGES  \* MERGEFORMAT </w:instrText>
    </w:r>
    <w:r w:rsidR="00B63A1D">
      <w:fldChar w:fldCharType="separate"/>
    </w:r>
    <w:r w:rsidR="00B63A1D">
      <w:rPr>
        <w:noProof/>
      </w:rPr>
      <w:t>47</w:t>
    </w:r>
    <w:r w:rsidR="00B63A1D">
      <w:rPr>
        <w:noProof/>
      </w:rPr>
      <w:fldChar w:fldCharType="end"/>
    </w:r>
    <w:r w:rsidRPr="002A1823">
      <w:tab/>
    </w:r>
    <w:r w:rsidRPr="002A1823">
      <w:rPr>
        <w:rStyle w:val="HideTWBExt"/>
      </w:rPr>
      <w:t>&lt;PathFdR&gt;</w:t>
    </w:r>
    <w:r w:rsidR="002A1823" w:rsidRPr="002A1823">
      <w:t>PR\1272739CS.docx</w:t>
    </w:r>
    <w:r w:rsidRPr="002A1823">
      <w:rPr>
        <w:rStyle w:val="HideTWBExt"/>
      </w:rPr>
      <w:t>&lt;/PathFdR&gt;</w:t>
    </w:r>
  </w:p>
  <w:p w:rsidR="00FB52FE" w:rsidRPr="002A1823" w:rsidRDefault="007B567E" w:rsidP="007B567E">
    <w:pPr>
      <w:pStyle w:val="EPFooter2"/>
    </w:pPr>
    <w:r w:rsidRPr="002A1823">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67E" w:rsidRPr="002A1823" w:rsidRDefault="007B567E" w:rsidP="007B567E">
    <w:pPr>
      <w:pStyle w:val="EPFooter"/>
    </w:pPr>
    <w:r w:rsidRPr="002A1823">
      <w:rPr>
        <w:rStyle w:val="HideTWBExt"/>
      </w:rPr>
      <w:t>&lt;PathFdR&gt;</w:t>
    </w:r>
    <w:r w:rsidR="002A1823" w:rsidRPr="002A1823">
      <w:t>PR\1272739CS.docx</w:t>
    </w:r>
    <w:r w:rsidRPr="002A1823">
      <w:rPr>
        <w:rStyle w:val="HideTWBExt"/>
      </w:rPr>
      <w:t>&lt;/PathFdR&gt;</w:t>
    </w:r>
    <w:r w:rsidRPr="002A1823">
      <w:tab/>
    </w:r>
    <w:r w:rsidRPr="002A1823">
      <w:fldChar w:fldCharType="begin"/>
    </w:r>
    <w:r w:rsidRPr="002A1823">
      <w:instrText xml:space="preserve"> PAGE  \* MERGEFORMAT </w:instrText>
    </w:r>
    <w:r w:rsidRPr="002A1823">
      <w:fldChar w:fldCharType="separate"/>
    </w:r>
    <w:r w:rsidR="00B63A1D">
      <w:rPr>
        <w:noProof/>
      </w:rPr>
      <w:t>47</w:t>
    </w:r>
    <w:r w:rsidRPr="002A1823">
      <w:fldChar w:fldCharType="end"/>
    </w:r>
    <w:r w:rsidRPr="002A1823">
      <w:t>/</w:t>
    </w:r>
    <w:r w:rsidR="00B63A1D">
      <w:fldChar w:fldCharType="begin"/>
    </w:r>
    <w:r w:rsidR="00B63A1D">
      <w:instrText xml:space="preserve"> NUMPAGES  \* MERGEFORMAT </w:instrText>
    </w:r>
    <w:r w:rsidR="00B63A1D">
      <w:fldChar w:fldCharType="separate"/>
    </w:r>
    <w:r w:rsidR="00B63A1D">
      <w:rPr>
        <w:noProof/>
      </w:rPr>
      <w:t>47</w:t>
    </w:r>
    <w:r w:rsidR="00B63A1D">
      <w:rPr>
        <w:noProof/>
      </w:rPr>
      <w:fldChar w:fldCharType="end"/>
    </w:r>
    <w:r w:rsidRPr="002A1823">
      <w:tab/>
      <w:t>PE</w:t>
    </w:r>
    <w:r w:rsidRPr="002A1823">
      <w:rPr>
        <w:rStyle w:val="HideTWBExt"/>
      </w:rPr>
      <w:t>&lt;NoPE&gt;</w:t>
    </w:r>
    <w:r w:rsidRPr="002A1823">
      <w:t>742.501</w:t>
    </w:r>
    <w:r w:rsidRPr="002A1823">
      <w:rPr>
        <w:rStyle w:val="HideTWBExt"/>
      </w:rPr>
      <w:t>&lt;/NoPE&gt;&lt;Version&gt;</w:t>
    </w:r>
    <w:r w:rsidRPr="002A1823">
      <w:t>v01-00</w:t>
    </w:r>
    <w:r w:rsidRPr="002A1823">
      <w:rPr>
        <w:rStyle w:val="HideTWBExt"/>
      </w:rPr>
      <w:t>&lt;/Version&gt;</w:t>
    </w:r>
  </w:p>
  <w:p w:rsidR="00FB52FE" w:rsidRPr="002A1823" w:rsidRDefault="007B567E" w:rsidP="007B567E">
    <w:pPr>
      <w:pStyle w:val="EPFooter2"/>
    </w:pPr>
    <w:r w:rsidRPr="002A1823">
      <w:tab/>
    </w:r>
    <w:r w:rsidRPr="002A1823">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67E" w:rsidRPr="002A1823" w:rsidRDefault="007B567E" w:rsidP="007B567E">
    <w:pPr>
      <w:pStyle w:val="EPFooter"/>
    </w:pPr>
    <w:r w:rsidRPr="002A1823">
      <w:rPr>
        <w:rStyle w:val="HideTWBExt"/>
      </w:rPr>
      <w:t>&lt;PathFdR&gt;</w:t>
    </w:r>
    <w:r w:rsidR="002A1823" w:rsidRPr="002A1823">
      <w:t>PR\1272739CS.docx</w:t>
    </w:r>
    <w:r w:rsidRPr="002A1823">
      <w:rPr>
        <w:rStyle w:val="HideTWBExt"/>
      </w:rPr>
      <w:t>&lt;/PathFdR&gt;</w:t>
    </w:r>
    <w:r w:rsidRPr="002A1823">
      <w:tab/>
    </w:r>
    <w:r w:rsidRPr="002A1823">
      <w:tab/>
      <w:t>PE</w:t>
    </w:r>
    <w:r w:rsidRPr="002A1823">
      <w:rPr>
        <w:rStyle w:val="HideTWBExt"/>
      </w:rPr>
      <w:t>&lt;NoPE&gt;</w:t>
    </w:r>
    <w:r w:rsidRPr="002A1823">
      <w:t>742.501</w:t>
    </w:r>
    <w:r w:rsidRPr="002A1823">
      <w:rPr>
        <w:rStyle w:val="HideTWBExt"/>
      </w:rPr>
      <w:t>&lt;/NoPE&gt;&lt;Version&gt;</w:t>
    </w:r>
    <w:r w:rsidRPr="002A1823">
      <w:t>v01-00</w:t>
    </w:r>
    <w:r w:rsidRPr="002A1823">
      <w:rPr>
        <w:rStyle w:val="HideTWBExt"/>
      </w:rPr>
      <w:t>&lt;/Version&gt;</w:t>
    </w:r>
  </w:p>
  <w:p w:rsidR="00FB52FE" w:rsidRPr="002A1823" w:rsidRDefault="007B567E" w:rsidP="007B567E">
    <w:pPr>
      <w:pStyle w:val="EPFooter2"/>
    </w:pPr>
    <w:r w:rsidRPr="002A1823">
      <w:t>CS</w:t>
    </w:r>
    <w:r w:rsidRPr="002A1823">
      <w:tab/>
    </w:r>
    <w:r w:rsidRPr="002A1823">
      <w:rPr>
        <w:b w:val="0"/>
        <w:i/>
        <w:color w:val="C0C0C0"/>
        <w:sz w:val="22"/>
      </w:rPr>
      <w:t>Jednotná v rozmanitosti</w:t>
    </w:r>
    <w:r w:rsidRPr="002A1823">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BAE" w:rsidRPr="002A1823" w:rsidRDefault="00D44075">
      <w:r w:rsidRPr="002A1823">
        <w:separator/>
      </w:r>
    </w:p>
  </w:footnote>
  <w:footnote w:type="continuationSeparator" w:id="0">
    <w:p w:rsidR="004B7BAE" w:rsidRPr="002A1823" w:rsidRDefault="00D44075">
      <w:r w:rsidRPr="002A1823">
        <w:continuationSeparator/>
      </w:r>
    </w:p>
  </w:footnote>
  <w:footnote w:id="1">
    <w:p w:rsidR="00C16102" w:rsidRPr="002A1823" w:rsidRDefault="00D44075">
      <w:pPr>
        <w:pStyle w:val="FootnoteText"/>
      </w:pPr>
      <w:r w:rsidRPr="002A1823">
        <w:rPr>
          <w:rStyle w:val="FootnoteReference"/>
        </w:rPr>
        <w:footnoteRef/>
      </w:r>
      <w:r w:rsidRPr="002A1823">
        <w:t xml:space="preserve"> Dosud nezveřejněné v Úředním věstníku.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075" w:rsidRDefault="00D440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075" w:rsidRDefault="00D440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075" w:rsidRDefault="00D440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CVar" w:val="2"/>
    <w:docVar w:name="DOCMNU" w:val=" 1"/>
    <w:docVar w:name="EPSTATMNU" w:val=" 5"/>
    <w:docVar w:name="iNoAmend" w:val="2"/>
    <w:docVar w:name="INSTITUTIONSMNU" w:val=" 1"/>
    <w:docVar w:name="JURI1MNU" w:val=" 1"/>
    <w:docVar w:name="JURI2MNU" w:val=" 2"/>
    <w:docVar w:name="LastEditedSection" w:val=" 1"/>
    <w:docVar w:name="OTHERSTATMNU" w:val=" 4"/>
    <w:docVar w:name="PARLIAMENTSMNU" w:val=" 2"/>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13999 HideTWBExt;}{\*\cs18 \additive \v\f1\fs20\cf15 _x000d__x000a_\spriority0 \styrsid14513999 HideTWBInt;}{\s19\ql \li0\ri0\sa120\nowidctlpar\wrapdefault\aspalpha\aspnum\faauto\adjustright\rin0\lin0\itap0 \rtlch\fcs1 \af0\afs20\alang1025 \ltrch\fcs0 \fs24\lang1029\langfe2057\cgrid\langnp1029\langfenp2057 _x000d__x000a_\sbasedon0 \snext19 \spriority0 \styrsid14513999 Normal6a;}{\s20\ql \li0\ri0\nowidctlpar\wrapdefault\aspalpha\aspnum\faauto\adjustright\rin0\lin0\itap0 \rtlch\fcs1 \af0\afs20\alang1025 \ltrch\fcs0 \b\fs24\lang1029\langfe2057\cgrid\langnp1029\langfenp2057 _x000d__x000a_\sbasedon0 \snext20 \spriority0 \styrsid14513999 NormalBold;}{\s21\ql \li0\ri0\sa240\nowidctlpar\wrapdefault\aspalpha\aspnum\faauto\adjustright\rin0\lin0\itap0 \rtlch\fcs1 \af0\afs20\alang1025 \ltrch\fcs0 _x000d__x000a_\i\fs24\lang1029\langfe2057\cgrid\langnp1029\langfenp2057 \sbasedon0 \snext21 \spriority0 \styrsid14513999 AmJustText;}{\s22\qc \li0\ri0\sb240\sa240\nowidctlpar\wrapdefault\aspalpha\aspnum\faauto\adjustright\rin0\lin0\itap0 \rtlch\fcs1 _x000d__x000a_\af0\afs20\alang1025 \ltrch\fcs0 \i\fs24\lang1029\langfe2057\cgrid\langnp1029\langfenp2057 \sbasedon0 \snext22 \spriority0 \styrsid14513999 AmCrossRef;}{_x000d__x000a_\s23\qc \li0\ri0\sb240\sa240\keepn\nowidctlpar\wrapdefault\aspalpha\aspnum\faauto\adjustright\rin0\lin0\itap0 \rtlch\fcs1 \af0\afs20\alang1025 \ltrch\fcs0 \i\fs24\lang1029\langfe2057\cgrid\langnp1029\langfenp2057 _x000d__x000a_\sbasedon0 \snext21 \spriority0 \styrsid14513999 AmJustTitle;}{\s24\qr \li0\ri0\sb240\sa240\nowidctlpar\wrapdefault\aspalpha\aspnum\faauto\adjustright\rin0\lin0\itap0 \rtlch\fcs1 \af0\afs20\alang1025 \ltrch\fcs0 _x000d__x000a_\fs24\lang1029\langfe2057\cgrid\langnp1029\langfenp2057 \sbasedon0 \snext24 \spriority0 \styrsid14513999 AmOrLang;}{\s25\qc \li0\ri0\sa240\nowidctlpar\wrapdefault\aspalpha\aspnum\faauto\adjustright\rin0\lin0\itap0 \rtlch\fcs1 \af0\afs20\alang1025 _x000d__x000a_\ltrch\fcs0 \i\fs24\lang1029\langfe2057\cgrid\langnp1029\langfenp2057 \sbasedon0 \snext25 \spriority0 \styrsid145139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14513999 AmNumberTabs;}{\s27\ql \li0\ri0\sb240\nowidctlpar\wrapdefault\aspalpha\aspnum\faauto\adjustright\rin0\lin0\itap0 \rtlch\fcs1 _x000d__x000a_\af0\afs20\alang1025 \ltrch\fcs0 \b\fs24\lang1029\langfe2057\cgrid\langnp1029\langfenp2057 \sbasedon0 \snext27 \spriority0 \styrsid14513999 NormalBold12b;}}{\*\rsidtbl \rsid24658\rsid223860\rsid735077\rsid1718133\rsid2892074\rsid3565327\rsid4666813_x000d__x000a_\rsid6641733\rsid7823322\rsid9636012\rsid10377208\rsid11215221\rsid11549030\rsid12154954\rsid14382809\rsid14424199\rsid14513999\rsid15204470\rsid15285974\rsid15363736\rsid15950462\rsid16324206\rsid16662270}{\mmathPr\mmathFont34\mbrkBin0\mbrkBinSub0_x000d__x000a_\msmallFrac0\mdispDef1\mlMargin0\mrMargin0\mdefJc1\mwrapIndent1440\mintLim0\mnaryLim1}{\info{\author EINHORNOVA Marta}{\operator EINHORNOVA Marta}{\creatim\yr2023\mo2\dy23\hr9\min29}{\revtim\yr2023\mo2\dy23\hr9\min29}{\version1}{\edmins0}{\nofpages1}_x000d__x000a_{\nofwords105}{\nofchars599}{\nofcharsws70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7\pgbrdrhead\pgbrdrfoot\splytwnine\ftnlytwnine\htmautsp\nolnhtadjtbl\useltbaln\alntblind\lytcalctblwd\lyttblrtgr\lnbrkrule\nobrkwrptbl\snaptogridincell\allowfieldendsel\wrppunct_x000d__x000a_\asianbrkrule\nojkernpunct\rsidroot14513999\newtblstyruls\nogrowautofit\usenormstyforlist\noindnmbrts\felnbrelev\nocxsptable\indrlsweleven\noafcnsttbl\afelev\utinl\hwelev\spltpgpar\notcvasp\notbrkcnstfrctbl\notvatxbx\krnprsnet\cachedcolbal _x000d__x000a_\nouicompat \fet0{\*\wgrffmtfilter 013f}\nofeaturethrottle1\ilfomacatclnup0{\*\template C:\\Users\\MEINHO~1\\AppData\\Local\\Temp\\Blank1.dotx}{\*\ftnsep \ltrpar \pard\plain \ltrpar_x000d__x000a_\ql \li0\ri0\widctlpar\wrapdefault\aspalpha\aspnum\faauto\adjustright\rin0\lin0\itap0 \rtlch\fcs1 \af0\afs20\alang1025 \ltrch\fcs0 \fs24\lang2057\langfe2057\cgrid\langnp2057\langfenp2057 {\rtlch\fcs1 \af0 \ltrch\fcs0 \insrsid15363736 \chftnsep _x000d__x000a_\par }}{\*\ftnsepc \ltrpar \pard\plain \ltrpar\ql \li0\ri0\widctlpar\wrapdefault\aspalpha\aspnum\faauto\adjustright\rin0\lin0\itap0 \rtlch\fcs1 \af0\afs20\alang1025 \ltrch\fcs0 \fs24\lang2057\langfe2057\cgrid\langnp2057\langfenp2057 {\rtlch\fcs1 \af0 _x000d__x000a_\ltrch\fcs0 \insrsid15363736 \chftnsepc _x000d__x000a_\par }}{\*\aftnsep \ltrpar \pard\plain \ltrpar\ql \li0\ri0\widctlpar\wrapdefault\aspalpha\aspnum\faauto\adjustright\rin0\lin0\itap0 \rtlch\fcs1 \af0\afs20\alang1025 \ltrch\fcs0 \fs24\lang2057\langfe2057\cgrid\langnp2057\langfenp2057 {\rtlch\fcs1 \af0 _x000d__x000a_\ltrch\fcs0 \insrsid15363736 \chftnsep _x000d__x000a_\par }}{\*\aftnsepc \ltrpar \pard\plain \ltrpar\ql \li0\ri0\widctlpar\wrapdefault\aspalpha\aspnum\faauto\adjustright\rin0\lin0\itap0 \rtlch\fcs1 \af0\afs20\alang1025 \ltrch\fcs0 \fs24\lang2057\langfe2057\cgrid\langnp2057\langfenp2057 {\rtlch\fcs1 \af0 _x000d__x000a_\ltrch\fcs0 \insrsid153637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13999 \rtlch\fcs1 _x000d__x000a_\af0\afs20\alang1025 \ltrch\fcs0 \b\fs24\lang1029\langfe2057\cgrid\langnp1029\langfenp2057 {\rtlch\fcs1 \af0 \ltrch\fcs0 \cs17\b0\v\fs20\cf9\lang1024\langfe1024\loch\af1\hich\af1\dbch\af31501\noproof\insrsid14513999\charrsid4946862 {\*\bkmkstart restart}_x000d__x000a_\hich\af1\dbch\af31501\loch\f1 &lt;Amend&gt;}{\rtlch\fcs1 \af302 \ltrch\fcs0 \f302\insrsid14513999\charrsid4946862 Pozm\'ec\'f2ovac\'ed n\'e1vrh}{\rtlch\fcs1 \af0 \ltrch\fcs0 \insrsid14513999\charrsid4946862 \tab \tab }{\rtlch\fcs1 \af0 \ltrch\fcs0 _x000d__x000a_\cs17\b0\v\fs20\cf9\lang1024\langfe1024\loch\af1\hich\af1\dbch\af31501\noproof\insrsid14513999\charrsid4946862 \hich\af1\dbch\af31501\loch\f1 &lt;NumAm&gt;}{\rtlch\fcs1 \af0 \ltrch\fcs0 \insrsid14513999\charrsid4946862 #}{\rtlch\fcs1 \af1 \ltrch\fcs0 _x000d__x000a_\cs18\v\f1\fs20\cf15\insrsid14513999\charrsid4946862 ENMIENDA@NRAM@}{\rtlch\fcs1 \af0 \ltrch\fcs0 \insrsid14513999\charrsid4946862 #}{\rtlch\fcs1 \af0 \ltrch\fcs0 _x000d__x000a_\cs17\b0\v\fs20\cf9\lang1024\langfe1024\loch\af1\hich\af1\dbch\af31501\noproof\insrsid14513999\charrsid4946862 \hich\af1\dbch\af31501\loch\f1 &lt;/NumAm&gt;}{\rtlch\fcs1 \af0 \ltrch\fcs0 \insrsid14513999\charrsid4946862 _x000d__x000a_\par }\pard\plain \ltrpar\s27\ql \li0\ri0\sb240\keepn\nowidctlpar\wrapdefault\aspalpha\aspnum\faauto\adjustright\rin0\lin0\itap0\pararsid14513999 \rtlch\fcs1 \af0\afs20\alang1025 \ltrch\fcs0 \b\fs24\lang1029\langfe2057\cgrid\langnp1029\langfenp2057 {_x000d__x000a_\rtlch\fcs1 \af0 \ltrch\fcs0 \cs17\b0\v\fs20\cf9\lang1024\langfe1024\loch\af1\hich\af1\dbch\af31501\noproof\insrsid14513999\charrsid4946862 \hich\af1\dbch\af31501\loch\f1 &lt;DocAmend&gt;}{\rtlch\fcs1 \af0 \ltrch\fcs0 \insrsid14513999\charrsid4946862 N\'e1vrh #_x000d__x000a_}{\rtlch\fcs1 \af1 \ltrch\fcs0 \cs18\v\f1\fs20\cf15\insrsid14513999\charrsid4946862 MNU[DOC1][DOC2][DOC3]@DOCMSG@DOCMNU}{\rtlch\fcs1 \af0 \ltrch\fcs0 \insrsid14513999\charrsid4946862 ##}{\rtlch\fcs1 \af1 \ltrch\fcs0 _x000d__x000a_\cs18\v\f1\fs20\cf15\insrsid14513999\charrsid4946862 MNU[AMACTYES][NOTAPP]@CHOICE@AMACTMNU}{\rtlch\fcs1 \af0 \ltrch\fcs0 \insrsid14513999\charrsid4946862 #}{\rtlch\fcs1 \af0 \ltrch\fcs0 _x000d__x000a_\cs17\b0\v\fs20\cf9\lang1024\langfe1024\loch\af1\hich\af1\dbch\af31501\noproof\insrsid14513999\charrsid4946862 \hich\af1\dbch\af31501\loch\f1 &lt;/DocAmend&gt;}{\rtlch\fcs1 \af0 \ltrch\fcs0 \insrsid14513999\charrsid4946862 _x000d__x000a_\par }\pard\plain \ltrpar\s20\ql \li0\ri0\keepn\nowidctlpar\wrapdefault\aspalpha\aspnum\faauto\adjustright\rin0\lin0\itap0\pararsid14513999 \rtlch\fcs1 \af0\afs20\alang1025 \ltrch\fcs0 \b\fs24\lang1029\langfe2057\cgrid\langnp1029\langfenp2057 {\rtlch\fcs1 _x000d__x000a_\af0 \ltrch\fcs0 \cs17\b0\v\fs20\cf9\lang1024\langfe1024\loch\af1\hich\af1\dbch\af31501\noproof\insrsid14513999\charrsid4946862 \hich\af1\dbch\af31501\loch\f1 &lt;Article&gt;}{\rtlch\fcs1 \af0 \ltrch\fcs0 \insrsid14513999\charrsid4946862 #}{\rtlch\fcs1 \af1 _x000d__x000a_\ltrch\fcs0 \cs18\v\f1\fs20\cf15\insrsid14513999\charrsid4946862 MNU[AMACTPARTYES][AMACTPARTNO]@CHOICE@AMACTMNU}{\rtlch\fcs1 \af0 \ltrch\fcs0 \insrsid14513999\charrsid4946862 #}{\rtlch\fcs1 \af0 \ltrch\fcs0 _x000d__x000a_\cs17\b0\v\fs20\cf9\lang1024\langfe1024\loch\af1\hich\af1\dbch\af31501\noproof\insrsid14513999\charrsid4946862 \hich\af1\dbch\af31501\loch\f1 &lt;/Article&gt;}{\rtlch\fcs1 \af0 \ltrch\fcs0 \insrsid14513999\charrsid4946862 _x000d__x000a_\par }\pard\plain \ltrpar\ql \li0\ri0\keepn\widctlpar\wrapdefault\aspalpha\aspnum\faauto\adjustright\rin0\lin0\itap0\pararsid14513999 \rtlch\fcs1 \af0\afs20\alang1025 \ltrch\fcs0 \fs24\lang2057\langfe2057\cgrid\langnp2057\langfenp2057 {\rtlch\fcs1 \af0 _x000d__x000a_\ltrch\fcs0 \cs17\v\fs20\cf9\lang1024\langfe1024\loch\af1\hich\af1\dbch\af31501\noproof\langnp1029\insrsid14513999\charrsid4946862 \hich\af1\dbch\af31501\loch\f1 &lt;DocAmend2&gt;&lt;OptDel&gt;}{\rtlch\fcs1 \af0 \ltrch\fcs0 _x000d__x000a_\lang1029\langfe2057\langnp1029\insrsid14513999\charrsid4946862 #}{\rtlch\fcs1 \af1 \ltrch\fcs0 \cs18\v\f1\fs20\cf15\lang1029\langfe2057\langnp1029\insrsid14513999\charrsid4946862 MNU[OPTNRACTYES][NOTAPP]@CHOICE@AMACTMNU}{\rtlch\fcs1 \af0 \ltrch\fcs0 _x000d__x000a_\lang1029\langfe2057\langnp1029\insrsid14513999\charrsid4946862 #}{\rtlch\fcs1 \af0 \ltrch\fcs0 \cs17\v\fs20\cf9\lang1024\langfe1024\loch\af1\hich\af1\dbch\af31501\noproof\langnp1029\insrsid14513999\charrsid4946862 \hich\af1\dbch\af31501\loch\f1 _x000d__x000a_&lt;/OptDel&gt;&lt;/DocAmend2&gt;}{\rtlch\fcs1 \af0 \ltrch\fcs0 \lang1029\langfe2057\langnp1029\insrsid14513999\charrsid4946862 _x000d__x000a_\par }\pard \ltrpar\ql \li0\ri0\widctlpar\wrapdefault\aspalpha\aspnum\faauto\adjustright\rin0\lin0\itap0\pararsid14513999 {\rtlch\fcs1 \af0 \ltrch\fcs0 _x000d__x000a_\cs17\v\fs20\cf9\lang1024\langfe1024\loch\af1\hich\af1\dbch\af31501\noproof\langnp1029\insrsid14513999\charrsid4946862 \hich\af1\dbch\af31501\loch\f1 &lt;Article2&gt;&lt;OptDel&gt;}{\rtlch\fcs1 \af0 \ltrch\fcs0 _x000d__x000a_\lang1029\langfe2057\langnp1029\insrsid14513999\charrsid4946862 #}{\rtlch\fcs1 \af1 \ltrch\fcs0 \cs18\v\f1\fs20\cf15\lang1029\langfe2057\langnp1029\insrsid14513999\charrsid4946862 MNU[OPTACTPARTYES][NOTAPP]@CHOICE@AMACTMNU}{\rtlch\fcs1 \af0 \ltrch\fcs0 _x000d__x000a_\lang1029\langfe2057\langnp1029\insrsid14513999\charrsid4946862 #}{\rtlch\fcs1 \af0 \ltrch\fcs0 \cs17\v\fs20\cf9\lang1024\langfe1024\loch\af1\hich\af1\dbch\af31501\noproof\langnp1029\insrsid14513999\charrsid4946862 \hich\af1\dbch\af31501\loch\f1 _x000d__x000a_&lt;/OptDel&gt;&lt;/Article2&gt;}{\rtlch\fcs1 \af0 \ltrch\fcs0 \lang1029\langfe2057\langnp1029\insrsid14513999\charrsid4946862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29\langfe2057\langnp1029\insrsid14513999\charrsid4946862 \cell }\pard\plain \ltrpar_x000d__x000a_\ql \li0\ri0\widctlpar\intbl\wrapdefault\aspalpha\aspnum\faauto\adjustright\rin0\lin0 \rtlch\fcs1 \af0\afs20\alang1025 \ltrch\fcs0 \fs24\lang2057\langfe2057\cgrid\langnp2057\langfenp2057 {\rtlch\fcs1 \af0 \ltrch\fcs0 _x000d__x000a_\lang1029\langfe2057\langnp1029\insrsid14513999\charrsid4946862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29\langfe2057\cgrid\langnp1029\langfenp2057 {\rtlch\fcs1 \af0 \ltrch\fcs0 _x000d__x000a_\insrsid14513999\charrsid4946862 #}{\rtlch\fcs1 \af1 \ltrch\fcs0 \cs18\v\f1\fs20\cf15\insrsid14513999\charrsid4946862 MNU[OPTLEFTAMACT][LEFTPROP]@CHOICE@AMACTMNU}{\rtlch\fcs1 \af0 \ltrch\fcs0 \insrsid14513999\charrsid4946862 #\cell }{\rtlch\fcs1 \af302 _x000d__x000a_\ltrch\fcs0 \f302\insrsid14513999\charrsid4946862 Pozm\'ec\'f2ovac\'ed n\'e1vrh}{\rtlch\fcs1 \af0 \ltrch\fcs0 \insrsid14513999\charrsid4946862 \cell }\pard\plain \ltrpar\ql \li0\ri0\widctlpar\intbl\wrapdefault\aspalpha\aspnum\faauto\adjustright\rin0\lin0 _x000d__x000a_\rtlch\fcs1 \af0\afs20\alang1025 \ltrch\fcs0 \fs24\lang2057\langfe2057\cgrid\langnp2057\langfenp2057 {\rtlch\fcs1 \af0 \ltrch\fcs0 \lang1029\langfe2057\langnp1029\insrsid14513999\charrsid4946862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29\langfe2057\cgrid\langnp1029\langfenp2057 {\rtlch\fcs1 \af0 \ltrch\fcs0 _x000d__x000a_\insrsid14513999\charrsid4946862 ##\cell ##}{\rtlch\fcs1 \af0\afs24 \ltrch\fcs0 \insrsid14513999\charrsid4946862 \cell }\pard\plain \ltrpar\ql \li0\ri0\widctlpar\intbl\wrapdefault\aspalpha\aspnum\faauto\adjustright\rin0\lin0 \rtlch\fcs1 _x000d__x000a_\af0\afs20\alang1025 \ltrch\fcs0 \fs24\lang2057\langfe2057\cgrid\langnp2057\langfenp2057 {\rtlch\fcs1 \af0 \ltrch\fcs0 \lang1029\langfe2057\langnp1029\insrsid14513999\charrsid4946862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13999 \rtlch\fcs1 \af0\afs20\alang1025 \ltrch\fcs0 \fs24\lang1029\langfe2057\cgrid\langnp1029\langfenp2057 {\rtlch\fcs1 \af0 \ltrch\fcs0 _x000d__x000a_\insrsid14513999\charrsid4946862 Or. }{\rtlch\fcs1 \af0 \ltrch\fcs0 \cs17\v\fs20\cf9\lang1024\langfe1024\loch\af1\hich\af1\dbch\af31501\noproof\insrsid14513999\charrsid4946862 \hich\af1\dbch\af31501\loch\f1 &lt;Original&gt;}{\rtlch\fcs1 \af0 \ltrch\fcs0 _x000d__x000a_\insrsid14513999\charrsid4946862 #}{\rtlch\fcs1 \af1 \ltrch\fcs0 \cs18\v\f1\fs20\cf15\insrsid14513999\charrsid4946862 MNU[ORLANGONE][ORLANGMORE]@CHOICE@ORLANGMNU}{\rtlch\fcs1 \af0 \ltrch\fcs0 \insrsid14513999\charrsid4946862 #}{\rtlch\fcs1 \af0 _x000d__x000a_\ltrch\fcs0 \cs17\v\fs20\cf9\lang1024\langfe1024\loch\af1\hich\af1\dbch\af31501\noproof\insrsid14513999\charrsid4946862 \hich\af1\dbch\af31501\loch\f1 &lt;/Original&gt;}{\rtlch\fcs1 \af0 \ltrch\fcs0 \insrsid14513999\charrsid4946862 _x000d__x000a_\par }\pard\plain \ltrpar\s22\qc \li0\ri0\sb240\sa240\nowidctlpar\wrapdefault\aspalpha\aspnum\faauto\adjustright\rin0\lin0\itap0\pararsid14513999 \rtlch\fcs1 \af0\afs20\alang1025 \ltrch\fcs0 \i\fs24\lang1029\langfe2057\cgrid\langnp1029\langfenp2057 {_x000d__x000a_\rtlch\fcs1 \af0 \ltrch\fcs0 \cs17\i0\v\fs20\cf9\lang1024\langfe1024\loch\af1\hich\af1\dbch\af31501\noproof\insrsid14513999\charrsid4946862 \hich\af1\dbch\af31501\loch\f1 &lt;OptDel&gt;}{\rtlch\fcs1 \af0 \ltrch\fcs0 \insrsid14513999\charrsid4946862 #}{_x000d__x000a_\rtlch\fcs1 \af1 \ltrch\fcs0 \cs18\v\f1\fs20\cf15\insrsid14513999\charrsid4946862 MNU[CROSSREFNO][CROSSREFYES]@CHOICE@}{\rtlch\fcs1 \af0 \ltrch\fcs0 \insrsid14513999\charrsid4946862 #}{\rtlch\fcs1 \af0 \ltrch\fcs0 _x000d__x000a_\cs17\i0\v\fs20\cf9\lang1024\langfe1024\loch\af1\hich\af1\dbch\af31501\noproof\insrsid14513999\charrsid4946862 \hich\af1\dbch\af31501\loch\f1 &lt;/OptDel&gt;}{\rtlch\fcs1 \af0 \ltrch\fcs0 \insrsid14513999\charrsid4946862 _x000d__x000a_\par }\pard\plain \ltrpar\s23\qc \li0\ri0\sb240\sa240\keepn\nowidctlpar\wrapdefault\aspalpha\aspnum\faauto\adjustright\rin0\lin0\itap0\pararsid14513999 \rtlch\fcs1 \af0\afs20\alang1025 \ltrch\fcs0 \i\fs24\lang1029\langfe2057\cgrid\langnp1029\langfenp2057 {_x000d__x000a_\rtlch\fcs1 \af0 \ltrch\fcs0 \cs17\i0\v\fs20\cf9\lang1024\langfe1024\loch\af1\hich\af1\dbch\af31501\noproof\insrsid14513999\charrsid4946862 \hich\af1\dbch\af31501\loch\f1 &lt;TitreJust&gt;}{\rtlch\fcs1 \af302 \ltrch\fcs0 \f302\insrsid14513999\charrsid4946862 Od_x000d__x000a_\'f9vodn\'ecn\'ed}{\rtlch\fcs1 \af0 \ltrch\fcs0 \cs17\i0\v\fs20\cf9\lang1024\langfe1024\loch\af1\hich\af1\dbch\af31501\noproof\insrsid14513999\charrsid4946862 \hich\af1\dbch\af31501\loch\f1 &lt;/TitreJust&gt;}{\rtlch\fcs1 \af0 \ltrch\fcs0 _x000d__x000a_\insrsid14513999\charrsid4946862 _x000d__x000a_\par }\pard\plain \ltrpar\s21\ql \li0\ri0\sa240\nowidctlpar\wrapdefault\aspalpha\aspnum\faauto\adjustright\rin0\lin0\itap0\pararsid14513999 \rtlch\fcs1 \af0\afs20\alang1025 \ltrch\fcs0 \i\fs24\lang1029\langfe2057\cgrid\langnp1029\langfenp2057 {\rtlch\fcs1 _x000d__x000a_\af0 \ltrch\fcs0 \cs17\i0\v\fs20\cf9\lang1024\langfe1024\loch\af1\hich\af1\dbch\af31501\noproof\insrsid14513999\charrsid4946862 \hich\af1\dbch\af31501\loch\f1 &lt;OptDelPrev&gt;}{\rtlch\fcs1 \af0 \ltrch\fcs0 \insrsid14513999\charrsid4946862 #}{\rtlch\fcs1 \af1 _x000d__x000a_\ltrch\fcs0 \cs18\v\f1\fs20\cf15\insrsid14513999\charrsid4946862 MNU[TEXTJUSTYES][TEXTJUSTNO]@CHOICE@}{\rtlch\fcs1 \af0 \ltrch\fcs0 \insrsid14513999\charrsid4946862 #}{\rtlch\fcs1 \af0 \ltrch\fcs0 _x000d__x000a_\cs17\i0\v\fs20\cf9\lang1024\langfe1024\loch\af1\hich\af1\dbch\af31501\noproof\insrsid14513999\charrsid4946862 \hich\af1\dbch\af31501\loch\f1 &lt;/OptDelPrev&gt;}{\rtlch\fcs1 \af0 \ltrch\fcs0 \insrsid14513999\charrsid4946862 _x000d__x000a_\par }\pard\plain \ltrpar\ql \li0\ri0\widctlpar\wrapdefault\aspalpha\aspnum\faauto\adjustright\rin0\lin0\itap0\pararsid14513999 \rtlch\fcs1 \af0\afs20\alang1025 \ltrch\fcs0 \fs24\lang2057\langfe2057\cgrid\langnp2057\langfenp2057 {\rtlch\fcs1 \af0 \ltrch\fcs0 _x000d__x000a_\cs17\v\fs20\cf9\lang1024\langfe1024\loch\af1\hich\af1\dbch\af31501\noproof\langnp1029\insrsid14513999\charrsid494686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b_x000d__x000a_f0e560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72"/>
    <w:docVar w:name="TXTAUTHOR" w:val="Loránt Vincze"/>
    <w:docVar w:name="TXTLANGUE" w:val="CS"/>
    <w:docVar w:name="TXTLANGUEMIN" w:val="cs"/>
    <w:docVar w:name="TXTNRFIRSTAM" w:val="1"/>
    <w:docVar w:name="TXTNRLASTAM" w:val="2"/>
    <w:docVar w:name="TXTNRPE" w:val="742.501"/>
    <w:docVar w:name="TXTPEorAP" w:val="PE"/>
    <w:docVar w:name="TXTROUTE" w:val="PR\1272739CS.docx"/>
    <w:docVar w:name="TXTVERSION" w:val="01-00"/>
  </w:docVars>
  <w:rsids>
    <w:rsidRoot w:val="004B7BAE"/>
    <w:rsid w:val="00011AAB"/>
    <w:rsid w:val="00012351"/>
    <w:rsid w:val="000139E5"/>
    <w:rsid w:val="000445B8"/>
    <w:rsid w:val="00084DD2"/>
    <w:rsid w:val="00084E89"/>
    <w:rsid w:val="000B7489"/>
    <w:rsid w:val="000C31E2"/>
    <w:rsid w:val="000F1096"/>
    <w:rsid w:val="00120948"/>
    <w:rsid w:val="00123DD5"/>
    <w:rsid w:val="001277AE"/>
    <w:rsid w:val="00142215"/>
    <w:rsid w:val="001767E2"/>
    <w:rsid w:val="00187008"/>
    <w:rsid w:val="001B3829"/>
    <w:rsid w:val="001C5592"/>
    <w:rsid w:val="001C5B44"/>
    <w:rsid w:val="001C6FFC"/>
    <w:rsid w:val="001D3DC3"/>
    <w:rsid w:val="001F7C7C"/>
    <w:rsid w:val="00212B84"/>
    <w:rsid w:val="002346B0"/>
    <w:rsid w:val="0024223B"/>
    <w:rsid w:val="002667C3"/>
    <w:rsid w:val="002669B6"/>
    <w:rsid w:val="00290BED"/>
    <w:rsid w:val="00291397"/>
    <w:rsid w:val="002A1823"/>
    <w:rsid w:val="002D13EE"/>
    <w:rsid w:val="002E33EE"/>
    <w:rsid w:val="002F40BB"/>
    <w:rsid w:val="002F4B02"/>
    <w:rsid w:val="003112AB"/>
    <w:rsid w:val="00323EF8"/>
    <w:rsid w:val="003316DD"/>
    <w:rsid w:val="003611F1"/>
    <w:rsid w:val="00366A46"/>
    <w:rsid w:val="00370AC3"/>
    <w:rsid w:val="003824EE"/>
    <w:rsid w:val="003B4689"/>
    <w:rsid w:val="003C2068"/>
    <w:rsid w:val="003C37CF"/>
    <w:rsid w:val="004100B1"/>
    <w:rsid w:val="00426E47"/>
    <w:rsid w:val="00432B3D"/>
    <w:rsid w:val="00455743"/>
    <w:rsid w:val="00461601"/>
    <w:rsid w:val="00475254"/>
    <w:rsid w:val="004B7BAE"/>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32E30"/>
    <w:rsid w:val="00642325"/>
    <w:rsid w:val="00670467"/>
    <w:rsid w:val="0069092A"/>
    <w:rsid w:val="006A2F5D"/>
    <w:rsid w:val="006A64AD"/>
    <w:rsid w:val="006F7907"/>
    <w:rsid w:val="00740116"/>
    <w:rsid w:val="00743189"/>
    <w:rsid w:val="00743D33"/>
    <w:rsid w:val="007932B3"/>
    <w:rsid w:val="00793EA9"/>
    <w:rsid w:val="007B567E"/>
    <w:rsid w:val="007C042A"/>
    <w:rsid w:val="007D6F68"/>
    <w:rsid w:val="007F04E7"/>
    <w:rsid w:val="00817843"/>
    <w:rsid w:val="00823E6B"/>
    <w:rsid w:val="00826780"/>
    <w:rsid w:val="00837CCD"/>
    <w:rsid w:val="008633CC"/>
    <w:rsid w:val="00865190"/>
    <w:rsid w:val="008719B9"/>
    <w:rsid w:val="00894923"/>
    <w:rsid w:val="00894ECE"/>
    <w:rsid w:val="00896BB4"/>
    <w:rsid w:val="008A7FB8"/>
    <w:rsid w:val="008F1BC6"/>
    <w:rsid w:val="009022B8"/>
    <w:rsid w:val="00914537"/>
    <w:rsid w:val="00917CC4"/>
    <w:rsid w:val="009763DA"/>
    <w:rsid w:val="009975B3"/>
    <w:rsid w:val="009A216D"/>
    <w:rsid w:val="009A2DF6"/>
    <w:rsid w:val="009B4B93"/>
    <w:rsid w:val="009F24BE"/>
    <w:rsid w:val="009F6C2F"/>
    <w:rsid w:val="009F767A"/>
    <w:rsid w:val="00A22533"/>
    <w:rsid w:val="00A26F46"/>
    <w:rsid w:val="00A34FD3"/>
    <w:rsid w:val="00A36929"/>
    <w:rsid w:val="00A50548"/>
    <w:rsid w:val="00A60EE7"/>
    <w:rsid w:val="00A80126"/>
    <w:rsid w:val="00A910C9"/>
    <w:rsid w:val="00AA35B0"/>
    <w:rsid w:val="00AA7DD9"/>
    <w:rsid w:val="00AD18C8"/>
    <w:rsid w:val="00AD7FA6"/>
    <w:rsid w:val="00AE4643"/>
    <w:rsid w:val="00AF0416"/>
    <w:rsid w:val="00B10CB4"/>
    <w:rsid w:val="00B13D6F"/>
    <w:rsid w:val="00B23B72"/>
    <w:rsid w:val="00B42702"/>
    <w:rsid w:val="00B57B8B"/>
    <w:rsid w:val="00B63A1D"/>
    <w:rsid w:val="00B85407"/>
    <w:rsid w:val="00B95702"/>
    <w:rsid w:val="00BC6489"/>
    <w:rsid w:val="00BD480C"/>
    <w:rsid w:val="00C16102"/>
    <w:rsid w:val="00C20954"/>
    <w:rsid w:val="00C23324"/>
    <w:rsid w:val="00C42A41"/>
    <w:rsid w:val="00C47E74"/>
    <w:rsid w:val="00C57A72"/>
    <w:rsid w:val="00C73602"/>
    <w:rsid w:val="00C85D0F"/>
    <w:rsid w:val="00CE449B"/>
    <w:rsid w:val="00CF60C8"/>
    <w:rsid w:val="00D30DE2"/>
    <w:rsid w:val="00D32924"/>
    <w:rsid w:val="00D44075"/>
    <w:rsid w:val="00D503A3"/>
    <w:rsid w:val="00DA6ED0"/>
    <w:rsid w:val="00DC5011"/>
    <w:rsid w:val="00E171B6"/>
    <w:rsid w:val="00E72695"/>
    <w:rsid w:val="00EB1753"/>
    <w:rsid w:val="00EB6CFF"/>
    <w:rsid w:val="00EE3996"/>
    <w:rsid w:val="00F07062"/>
    <w:rsid w:val="00F23CFC"/>
    <w:rsid w:val="00F433E2"/>
    <w:rsid w:val="00F46C37"/>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C1B8263-22BD-465A-ACEA-EC968DCA0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C16102"/>
    <w:pPr>
      <w:tabs>
        <w:tab w:val="right" w:pos="454"/>
        <w:tab w:val="left" w:pos="737"/>
      </w:tabs>
      <w:ind w:left="737" w:hanging="737"/>
    </w:pPr>
    <w:rPr>
      <w:snapToGrid w:val="0"/>
      <w:sz w:val="18"/>
      <w:lang w:eastAsia="en-US"/>
    </w:rPr>
  </w:style>
  <w:style w:type="paragraph" w:customStyle="1" w:styleId="Lgendetitre">
    <w:name w:val="Légende titre"/>
    <w:basedOn w:val="Normal"/>
    <w:rsid w:val="00C16102"/>
    <w:pPr>
      <w:spacing w:before="240" w:after="240"/>
    </w:pPr>
    <w:rPr>
      <w:b/>
      <w:i/>
      <w:snapToGrid w:val="0"/>
      <w:lang w:eastAsia="en-US"/>
    </w:rPr>
  </w:style>
  <w:style w:type="paragraph" w:customStyle="1" w:styleId="Lgendestandard">
    <w:name w:val="Légende standard"/>
    <w:basedOn w:val="Normal"/>
    <w:rsid w:val="00C16102"/>
    <w:rPr>
      <w:sz w:val="18"/>
    </w:rPr>
  </w:style>
  <w:style w:type="paragraph" w:styleId="FootnoteText">
    <w:name w:val="footnote text"/>
    <w:basedOn w:val="Normal"/>
    <w:link w:val="FootnoteTextChar"/>
    <w:rsid w:val="00C16102"/>
    <w:rPr>
      <w:sz w:val="20"/>
    </w:rPr>
  </w:style>
  <w:style w:type="character" w:customStyle="1" w:styleId="FootnoteTextChar">
    <w:name w:val="Footnote Text Char"/>
    <w:basedOn w:val="DefaultParagraphFont"/>
    <w:link w:val="FootnoteText"/>
    <w:rsid w:val="00C16102"/>
    <w:rPr>
      <w:lang w:val="cs-CZ"/>
    </w:rPr>
  </w:style>
  <w:style w:type="character" w:styleId="FootnoteReference">
    <w:name w:val="footnote reference"/>
    <w:basedOn w:val="DefaultParagraphFont"/>
    <w:rsid w:val="00C16102"/>
    <w:rPr>
      <w:vertAlign w:val="superscript"/>
    </w:rPr>
  </w:style>
  <w:style w:type="character" w:customStyle="1" w:styleId="NormalBoldChar">
    <w:name w:val="NormalBold Char"/>
    <w:basedOn w:val="DefaultParagraphFont"/>
    <w:link w:val="NormalBold"/>
    <w:locked/>
    <w:rsid w:val="0024223B"/>
    <w:rPr>
      <w:b/>
      <w:sz w:val="24"/>
      <w:lang w:val="cs-CZ"/>
    </w:rPr>
  </w:style>
  <w:style w:type="character" w:customStyle="1" w:styleId="FooterChar">
    <w:name w:val="Footer Char"/>
    <w:basedOn w:val="DefaultParagraphFont"/>
    <w:link w:val="Footer"/>
    <w:semiHidden/>
    <w:rsid w:val="0024223B"/>
    <w:rPr>
      <w:sz w:val="22"/>
    </w:rPr>
  </w:style>
  <w:style w:type="paragraph" w:styleId="Footer">
    <w:name w:val="footer"/>
    <w:link w:val="FooterChar"/>
    <w:semiHidden/>
    <w:unhideWhenUsed/>
    <w:rsid w:val="0024223B"/>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24223B"/>
    <w:rPr>
      <w:sz w:val="24"/>
      <w:lang w:val="cs-CZ"/>
    </w:rPr>
  </w:style>
  <w:style w:type="character" w:customStyle="1" w:styleId="Normal12Char">
    <w:name w:val="Normal12 Char"/>
    <w:basedOn w:val="DefaultParagraphFont"/>
    <w:link w:val="Normal12"/>
    <w:locked/>
    <w:rsid w:val="0024223B"/>
    <w:rPr>
      <w:noProof/>
      <w:sz w:val="24"/>
    </w:rPr>
  </w:style>
  <w:style w:type="paragraph" w:customStyle="1" w:styleId="Normal12">
    <w:name w:val="Normal12"/>
    <w:basedOn w:val="Normal"/>
    <w:link w:val="Normal12Char"/>
    <w:rsid w:val="0024223B"/>
    <w:pPr>
      <w:spacing w:after="240"/>
    </w:pPr>
    <w:rPr>
      <w:noProof/>
    </w:rPr>
  </w:style>
  <w:style w:type="character" w:customStyle="1" w:styleId="Normal6Char">
    <w:name w:val="Normal6 Char"/>
    <w:basedOn w:val="DefaultParagraphFont"/>
    <w:link w:val="Normal6"/>
    <w:locked/>
    <w:rsid w:val="0024223B"/>
    <w:rPr>
      <w:sz w:val="24"/>
      <w:lang w:val="cs-CZ"/>
    </w:rPr>
  </w:style>
  <w:style w:type="paragraph" w:customStyle="1" w:styleId="Normal6">
    <w:name w:val="Normal6"/>
    <w:basedOn w:val="Normal"/>
    <w:link w:val="Normal6Char"/>
    <w:rsid w:val="0024223B"/>
    <w:pPr>
      <w:spacing w:after="120"/>
    </w:pPr>
  </w:style>
  <w:style w:type="paragraph" w:customStyle="1" w:styleId="Normal12Italic">
    <w:name w:val="Normal12Italic"/>
    <w:basedOn w:val="Normal12"/>
    <w:rsid w:val="0024223B"/>
    <w:rPr>
      <w:i/>
    </w:rPr>
  </w:style>
  <w:style w:type="paragraph" w:customStyle="1" w:styleId="Footer2">
    <w:name w:val="Footer2"/>
    <w:basedOn w:val="Normal12"/>
    <w:rsid w:val="0024223B"/>
    <w:pPr>
      <w:tabs>
        <w:tab w:val="center" w:pos="4535"/>
        <w:tab w:val="right" w:pos="9923"/>
      </w:tabs>
      <w:spacing w:line="480" w:lineRule="auto"/>
      <w:ind w:left="-851"/>
    </w:pPr>
    <w:rPr>
      <w:rFonts w:ascii="Arial" w:cs="Arial"/>
      <w:b/>
      <w:sz w:val="48"/>
    </w:rPr>
  </w:style>
  <w:style w:type="paragraph" w:customStyle="1" w:styleId="EntPE">
    <w:name w:val="EntPE"/>
    <w:basedOn w:val="Normal12"/>
    <w:rsid w:val="0024223B"/>
    <w:pPr>
      <w:jc w:val="center"/>
    </w:pPr>
    <w:rPr>
      <w:noProof w:val="0"/>
      <w:sz w:val="56"/>
    </w:rPr>
  </w:style>
  <w:style w:type="paragraph" w:customStyle="1" w:styleId="AMNumberTabs0">
    <w:name w:val="AMNumberTabs"/>
    <w:basedOn w:val="Normal"/>
    <w:rsid w:val="002422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4223B"/>
    <w:pPr>
      <w:spacing w:after="240"/>
      <w:jc w:val="center"/>
    </w:pPr>
    <w:rPr>
      <w:i/>
    </w:rPr>
  </w:style>
  <w:style w:type="paragraph" w:customStyle="1" w:styleId="Olang">
    <w:name w:val="Olang"/>
    <w:basedOn w:val="Normal"/>
    <w:rsid w:val="0024223B"/>
    <w:pPr>
      <w:spacing w:before="240" w:after="240"/>
      <w:jc w:val="right"/>
    </w:pPr>
    <w:rPr>
      <w:noProof/>
      <w:szCs w:val="24"/>
    </w:rPr>
  </w:style>
  <w:style w:type="character" w:styleId="CommentReference">
    <w:name w:val="annotation reference"/>
    <w:basedOn w:val="DefaultParagraphFont"/>
    <w:rsid w:val="0024223B"/>
    <w:rPr>
      <w:sz w:val="16"/>
      <w:szCs w:val="16"/>
    </w:rPr>
  </w:style>
  <w:style w:type="paragraph" w:styleId="CommentText">
    <w:name w:val="annotation text"/>
    <w:basedOn w:val="Normal"/>
    <w:link w:val="CommentTextChar"/>
    <w:rsid w:val="0024223B"/>
    <w:rPr>
      <w:sz w:val="20"/>
    </w:rPr>
  </w:style>
  <w:style w:type="character" w:customStyle="1" w:styleId="CommentTextChar">
    <w:name w:val="Comment Text Char"/>
    <w:basedOn w:val="DefaultParagraphFont"/>
    <w:link w:val="CommentText"/>
    <w:rsid w:val="0024223B"/>
  </w:style>
  <w:style w:type="paragraph" w:styleId="CommentSubject">
    <w:name w:val="annotation subject"/>
    <w:basedOn w:val="CommentText"/>
    <w:next w:val="CommentText"/>
    <w:link w:val="CommentSubjectChar"/>
    <w:semiHidden/>
    <w:unhideWhenUsed/>
    <w:rsid w:val="0024223B"/>
    <w:rPr>
      <w:b/>
      <w:bCs/>
    </w:rPr>
  </w:style>
  <w:style w:type="character" w:customStyle="1" w:styleId="CommentSubjectChar">
    <w:name w:val="Comment Subject Char"/>
    <w:basedOn w:val="CommentTextChar"/>
    <w:link w:val="CommentSubject"/>
    <w:semiHidden/>
    <w:rsid w:val="0024223B"/>
    <w:rPr>
      <w:b/>
      <w:bCs/>
    </w:rPr>
  </w:style>
  <w:style w:type="paragraph" w:styleId="BalloonText">
    <w:name w:val="Balloon Text"/>
    <w:basedOn w:val="Normal"/>
    <w:link w:val="BalloonTextChar"/>
    <w:semiHidden/>
    <w:unhideWhenUsed/>
    <w:rsid w:val="0024223B"/>
    <w:rPr>
      <w:rFonts w:ascii="Segoe UI" w:hAnsi="Segoe UI" w:cs="Segoe UI"/>
      <w:sz w:val="18"/>
      <w:szCs w:val="18"/>
    </w:rPr>
  </w:style>
  <w:style w:type="character" w:customStyle="1" w:styleId="BalloonTextChar">
    <w:name w:val="Balloon Text Char"/>
    <w:basedOn w:val="DefaultParagraphFont"/>
    <w:link w:val="BalloonText"/>
    <w:semiHidden/>
    <w:rsid w:val="0024223B"/>
    <w:rPr>
      <w:rFonts w:ascii="Segoe UI" w:hAnsi="Segoe UI" w:cs="Segoe UI"/>
      <w:sz w:val="18"/>
      <w:szCs w:val="18"/>
    </w:rPr>
  </w:style>
  <w:style w:type="paragraph" w:customStyle="1" w:styleId="msonormal0">
    <w:name w:val="msonormal"/>
    <w:basedOn w:val="Normal"/>
    <w:rsid w:val="0024223B"/>
    <w:pPr>
      <w:widowControl/>
      <w:spacing w:before="100" w:beforeAutospacing="1" w:after="100" w:afterAutospacing="1"/>
    </w:pPr>
    <w:rPr>
      <w:szCs w:val="24"/>
    </w:rPr>
  </w:style>
  <w:style w:type="paragraph" w:customStyle="1" w:styleId="CommitteeAM">
    <w:name w:val="CommitteeAM"/>
    <w:basedOn w:val="Normal"/>
    <w:rsid w:val="0024223B"/>
    <w:pPr>
      <w:spacing w:before="240" w:after="600"/>
      <w:jc w:val="center"/>
    </w:pPr>
    <w:rPr>
      <w:i/>
    </w:rPr>
  </w:style>
  <w:style w:type="paragraph" w:customStyle="1" w:styleId="ZDateAM">
    <w:name w:val="ZDateAM"/>
    <w:basedOn w:val="Normal"/>
    <w:rsid w:val="0024223B"/>
    <w:pPr>
      <w:tabs>
        <w:tab w:val="right" w:pos="9356"/>
      </w:tabs>
      <w:spacing w:after="480"/>
    </w:pPr>
    <w:rPr>
      <w:noProof/>
    </w:rPr>
  </w:style>
  <w:style w:type="paragraph" w:customStyle="1" w:styleId="ProjRap">
    <w:name w:val="ProjRap"/>
    <w:basedOn w:val="Normal"/>
    <w:rsid w:val="0024223B"/>
    <w:pPr>
      <w:tabs>
        <w:tab w:val="right" w:pos="9356"/>
      </w:tabs>
    </w:pPr>
    <w:rPr>
      <w:b/>
      <w:noProof/>
    </w:rPr>
  </w:style>
  <w:style w:type="paragraph" w:customStyle="1" w:styleId="PELeft">
    <w:name w:val="PELeft"/>
    <w:basedOn w:val="Normal"/>
    <w:rsid w:val="0024223B"/>
    <w:pPr>
      <w:spacing w:before="40" w:after="40"/>
    </w:pPr>
    <w:rPr>
      <w:rFonts w:ascii="Arial" w:hAnsi="Arial" w:cs="Arial"/>
      <w:sz w:val="22"/>
      <w:szCs w:val="22"/>
    </w:rPr>
  </w:style>
  <w:style w:type="paragraph" w:customStyle="1" w:styleId="PERight">
    <w:name w:val="PERight"/>
    <w:basedOn w:val="Normal"/>
    <w:next w:val="Normal"/>
    <w:rsid w:val="0024223B"/>
    <w:pPr>
      <w:jc w:val="right"/>
    </w:pPr>
    <w:rPr>
      <w:rFonts w:ascii="Arial" w:hAnsi="Arial" w:cs="Arial"/>
      <w:sz w:val="22"/>
      <w:szCs w:val="22"/>
    </w:rPr>
  </w:style>
  <w:style w:type="paragraph" w:customStyle="1" w:styleId="JustificationTitle">
    <w:name w:val="JustificationTitle"/>
    <w:basedOn w:val="Normal"/>
    <w:next w:val="Normal12"/>
    <w:rsid w:val="0024223B"/>
    <w:pPr>
      <w:keepNext/>
      <w:spacing w:before="240" w:after="240"/>
      <w:jc w:val="center"/>
    </w:pPr>
    <w:rPr>
      <w:i/>
      <w:noProof/>
    </w:rPr>
  </w:style>
  <w:style w:type="paragraph" w:customStyle="1" w:styleId="CrossRef">
    <w:name w:val="CrossRef"/>
    <w:basedOn w:val="Normal"/>
    <w:rsid w:val="0024223B"/>
    <w:pPr>
      <w:spacing w:before="240"/>
      <w:jc w:val="center"/>
    </w:pPr>
    <w:rPr>
      <w:i/>
    </w:rPr>
  </w:style>
  <w:style w:type="character" w:customStyle="1" w:styleId="Footer2Middle">
    <w:name w:val="Footer2Middle"/>
    <w:rsid w:val="0024223B"/>
    <w:rPr>
      <w:rFonts w:ascii="Arial" w:hAnsi="Arial" w:cs="Arial" w:hint="default"/>
      <w:b w:val="0"/>
      <w:bCs w:val="0"/>
      <w:i/>
      <w:iCs w:val="0"/>
      <w:color w:val="C0C0C0"/>
      <w:sz w:val="22"/>
    </w:rPr>
  </w:style>
  <w:style w:type="character" w:styleId="Emphasis">
    <w:name w:val="Emphasis"/>
    <w:basedOn w:val="DefaultParagraphFont"/>
    <w:uiPriority w:val="20"/>
    <w:qFormat/>
    <w:rsid w:val="0024223B"/>
    <w:rPr>
      <w:i/>
      <w:iCs/>
    </w:rPr>
  </w:style>
  <w:style w:type="character" w:styleId="Hyperlink">
    <w:name w:val="Hyperlink"/>
    <w:basedOn w:val="DefaultParagraphFont"/>
    <w:rsid w:val="002422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INHO~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FE98B-6C6A-48D8-85D8-266EBDB36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47</Pages>
  <Words>11801</Words>
  <Characters>69155</Characters>
  <Application>Microsoft Office Word</Application>
  <DocSecurity>0</DocSecurity>
  <Lines>2766</Lines>
  <Paragraphs>879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EINHORNOVA Marta</dc:creator>
  <cp:lastModifiedBy>SODOMKOVA Renata</cp:lastModifiedBy>
  <cp:revision>2</cp:revision>
  <cp:lastPrinted>2004-11-04T09:41:00Z</cp:lastPrinted>
  <dcterms:created xsi:type="dcterms:W3CDTF">2023-02-28T10:58:00Z</dcterms:created>
  <dcterms:modified xsi:type="dcterms:W3CDTF">2023-02-28T10:58:00Z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1272739</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\\eiciBRUpr1\pdocep$\DocEP\TRANSFIL\CS\PR_COD_1amCom.CS(29/06/2022 09:20:42)</vt:lpwstr>
  </property>
  <property fmtid="{D5CDD505-2E9C-101B-9397-08002B2CF9AE}" pid="7" name="&lt;Type&gt;">
    <vt:lpwstr>PR</vt:lpwstr>
  </property>
  <property fmtid="{D5CDD505-2E9C-101B-9397-08002B2CF9AE}" pid="8" name="Bookout">
    <vt:lpwstr>OK - 2023/02/28 11:58</vt:lpwstr>
  </property>
  <property fmtid="{D5CDD505-2E9C-101B-9397-08002B2CF9AE}" pid="9" name="Created with">
    <vt:lpwstr>9.14.0 Build [20221101]</vt:lpwstr>
  </property>
  <property fmtid="{D5CDD505-2E9C-101B-9397-08002B2CF9AE}" pid="10" name="FooterPath">
    <vt:lpwstr>PR\1272739CS.docx</vt:lpwstr>
  </property>
  <property fmtid="{D5CDD505-2E9C-101B-9397-08002B2CF9AE}" pid="11" name="LastEdited with">
    <vt:lpwstr>9.14.0 Build [20221101]</vt:lpwstr>
  </property>
  <property fmtid="{D5CDD505-2E9C-101B-9397-08002B2CF9AE}" pid="12" name="PE number">
    <vt:lpwstr>742.501</vt:lpwstr>
  </property>
</Properties>
</file>