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45955" w:rsidRPr="003B2FFA" w:rsidTr="006B5A26">
        <w:trPr>
          <w:trHeight w:hRule="exact" w:val="1418"/>
        </w:trPr>
        <w:tc>
          <w:tcPr>
            <w:tcW w:w="6804" w:type="dxa"/>
            <w:shd w:val="clear" w:color="auto" w:fill="auto"/>
            <w:vAlign w:val="center"/>
          </w:tcPr>
          <w:p w:rsidR="00B13D6F" w:rsidRPr="003B2FFA" w:rsidRDefault="003B2FFA" w:rsidP="006B5A26">
            <w:pPr>
              <w:pStyle w:val="EPName"/>
            </w:pPr>
            <w:r w:rsidRPr="003B2FFA">
              <w:t>Europees Parlement</w:t>
            </w:r>
          </w:p>
          <w:p w:rsidR="00B13D6F" w:rsidRPr="003B2FFA" w:rsidRDefault="003B2FFA" w:rsidP="006B5A26">
            <w:pPr>
              <w:pStyle w:val="EPTerm"/>
            </w:pPr>
            <w:r w:rsidRPr="003B2FFA">
              <w:t>2019-2024</w:t>
            </w:r>
          </w:p>
        </w:tc>
        <w:tc>
          <w:tcPr>
            <w:tcW w:w="2268" w:type="dxa"/>
            <w:shd w:val="clear" w:color="auto" w:fill="auto"/>
          </w:tcPr>
          <w:p w:rsidR="00B13D6F" w:rsidRPr="003B2FFA" w:rsidRDefault="003B2FFA" w:rsidP="006B5A26">
            <w:pPr>
              <w:pStyle w:val="EPLogo"/>
            </w:pPr>
            <w:r w:rsidRPr="003B2FFA">
              <w:rPr>
                <w:noProof/>
                <w:lang w:eastAsia="nl-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729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B2FFA" w:rsidRDefault="00461601" w:rsidP="00461601">
      <w:pPr>
        <w:pStyle w:val="LineTop"/>
      </w:pPr>
    </w:p>
    <w:p w:rsidR="00461601" w:rsidRPr="003B2FFA" w:rsidRDefault="003B2FFA" w:rsidP="00461601">
      <w:pPr>
        <w:pStyle w:val="EPBody"/>
      </w:pPr>
      <w:r w:rsidRPr="003B2FFA">
        <w:rPr>
          <w:rStyle w:val="HideTWBExt"/>
          <w:i w:val="0"/>
          <w:szCs w:val="20"/>
        </w:rPr>
        <w:t>&lt;</w:t>
      </w:r>
      <w:r w:rsidRPr="003B2FFA">
        <w:rPr>
          <w:rStyle w:val="HideTWBExt"/>
          <w:i w:val="0"/>
          <w:szCs w:val="20"/>
        </w:rPr>
        <w:t>Commission</w:t>
      </w:r>
      <w:r w:rsidRPr="003B2FFA">
        <w:rPr>
          <w:rStyle w:val="HideTWBExt"/>
          <w:i w:val="0"/>
          <w:szCs w:val="20"/>
        </w:rPr>
        <w:t>&gt;</w:t>
      </w:r>
      <w:r w:rsidRPr="003B2FFA">
        <w:rPr>
          <w:rStyle w:val="HideTWBInt"/>
          <w:i w:val="0"/>
          <w:szCs w:val="20"/>
        </w:rPr>
        <w:t>{LIBE}</w:t>
      </w:r>
      <w:r w:rsidRPr="003B2FFA">
        <w:t>Com</w:t>
      </w:r>
      <w:bookmarkStart w:id="0" w:name="_GoBack"/>
      <w:bookmarkEnd w:id="0"/>
      <w:r w:rsidRPr="003B2FFA">
        <w:t>missie burgerlijke vrijheden, justitie en binnenlandse zaken</w:t>
      </w:r>
      <w:r w:rsidRPr="003B2FFA">
        <w:rPr>
          <w:rStyle w:val="HideTWBExt"/>
          <w:i w:val="0"/>
          <w:szCs w:val="20"/>
        </w:rPr>
        <w:t>&lt;/</w:t>
      </w:r>
      <w:r w:rsidRPr="003B2FFA">
        <w:rPr>
          <w:rStyle w:val="HideTWBExt"/>
          <w:i w:val="0"/>
          <w:szCs w:val="20"/>
        </w:rPr>
        <w:t>Commission</w:t>
      </w:r>
      <w:r w:rsidRPr="003B2FFA">
        <w:rPr>
          <w:rStyle w:val="HideTWBExt"/>
          <w:i w:val="0"/>
          <w:szCs w:val="20"/>
        </w:rPr>
        <w:t>&gt;</w:t>
      </w:r>
    </w:p>
    <w:p w:rsidR="00461601" w:rsidRPr="003B2FFA" w:rsidRDefault="00461601" w:rsidP="00461601">
      <w:pPr>
        <w:pStyle w:val="LineBottom"/>
      </w:pPr>
    </w:p>
    <w:p w:rsidR="00793EA9" w:rsidRPr="003B2FFA" w:rsidRDefault="003B2FFA">
      <w:pPr>
        <w:pStyle w:val="CoverReference"/>
      </w:pPr>
      <w:r w:rsidRPr="003B2FFA">
        <w:rPr>
          <w:rStyle w:val="HideTWBExt"/>
          <w:b w:val="0"/>
        </w:rPr>
        <w:t>&lt;RefProc&gt;</w:t>
      </w:r>
      <w:r w:rsidRPr="003B2FFA">
        <w:t>2022/0167</w:t>
      </w:r>
      <w:r w:rsidRPr="003B2FFA">
        <w:rPr>
          <w:rStyle w:val="HideTWBExt"/>
          <w:b w:val="0"/>
        </w:rPr>
        <w:t>&lt;/RefProc&gt;&lt;RefTypeProc&gt;</w:t>
      </w:r>
      <w:r w:rsidRPr="003B2FFA">
        <w:t>(COD)</w:t>
      </w:r>
      <w:r w:rsidRPr="003B2FFA">
        <w:rPr>
          <w:rStyle w:val="HideTWBExt"/>
          <w:b w:val="0"/>
        </w:rPr>
        <w:t>&lt;/RefTypeProc&gt;</w:t>
      </w:r>
    </w:p>
    <w:p w:rsidR="00793EA9" w:rsidRPr="003B2FFA" w:rsidRDefault="003B2FFA">
      <w:pPr>
        <w:pStyle w:val="CoverDate"/>
      </w:pPr>
      <w:r w:rsidRPr="003B2FFA">
        <w:rPr>
          <w:rStyle w:val="HideTWBExt"/>
        </w:rPr>
        <w:t>&lt;Date&gt;</w:t>
      </w:r>
      <w:r w:rsidRPr="003B2FFA">
        <w:rPr>
          <w:rStyle w:val="HideTWBInt"/>
        </w:rPr>
        <w:t>{14/02/2023}</w:t>
      </w:r>
      <w:r w:rsidRPr="003B2FFA">
        <w:t>14.2.2023</w:t>
      </w:r>
      <w:r w:rsidRPr="003B2FFA">
        <w:rPr>
          <w:rStyle w:val="HideTWBExt"/>
        </w:rPr>
        <w:t>&lt;/Date&gt;</w:t>
      </w:r>
    </w:p>
    <w:p w:rsidR="00793EA9" w:rsidRPr="003B2FFA" w:rsidRDefault="003B2FFA">
      <w:pPr>
        <w:pStyle w:val="CoverDocType"/>
      </w:pPr>
      <w:r w:rsidRPr="003B2FFA">
        <w:rPr>
          <w:rStyle w:val="HideTWBExt"/>
          <w:b w:val="0"/>
        </w:rPr>
        <w:t>&lt;RefProcLect&gt;</w:t>
      </w:r>
      <w:r w:rsidRPr="003B2FFA">
        <w:t>***I</w:t>
      </w:r>
      <w:r w:rsidRPr="003B2FFA">
        <w:rPr>
          <w:rStyle w:val="HideTWBExt"/>
          <w:b w:val="0"/>
        </w:rPr>
        <w:t>&lt;/RefProcLect&gt;</w:t>
      </w:r>
    </w:p>
    <w:p w:rsidR="00793EA9" w:rsidRPr="003B2FFA" w:rsidRDefault="003B2FFA">
      <w:pPr>
        <w:pStyle w:val="CoverDocType24a"/>
      </w:pPr>
      <w:r w:rsidRPr="003B2FFA">
        <w:rPr>
          <w:rStyle w:val="HideTWBExt"/>
          <w:b w:val="0"/>
        </w:rPr>
        <w:t>&lt;TitreType&gt;</w:t>
      </w:r>
      <w:r w:rsidRPr="003B2FFA">
        <w:t>ONTWERPVERSLAG</w:t>
      </w:r>
      <w:r w:rsidRPr="003B2FFA">
        <w:rPr>
          <w:rStyle w:val="HideTWBExt"/>
          <w:b w:val="0"/>
        </w:rPr>
        <w:t>&lt;/TitreType&gt;</w:t>
      </w:r>
    </w:p>
    <w:p w:rsidR="00793EA9" w:rsidRPr="003B2FFA" w:rsidRDefault="003B2FFA">
      <w:pPr>
        <w:pStyle w:val="CoverNormal"/>
      </w:pPr>
      <w:r w:rsidRPr="003B2FFA">
        <w:rPr>
          <w:rStyle w:val="HideTWBExt"/>
        </w:rPr>
        <w:t>&lt;Titre&gt;</w:t>
      </w:r>
      <w:r w:rsidRPr="003B2FFA">
        <w:t>over het voorstel voor een richtlijn van het Europees Parlement en de Raad betreffende ontneming en confiscatie van vermogensbestanddelen</w:t>
      </w:r>
      <w:r w:rsidRPr="003B2FFA">
        <w:rPr>
          <w:rStyle w:val="HideTWBExt"/>
        </w:rPr>
        <w:t>&lt;/Titre&gt;</w:t>
      </w:r>
    </w:p>
    <w:p w:rsidR="00793EA9" w:rsidRPr="003B2FFA" w:rsidRDefault="003B2FFA">
      <w:pPr>
        <w:pStyle w:val="CoverNormal24a"/>
      </w:pPr>
      <w:r w:rsidRPr="003B2FFA">
        <w:rPr>
          <w:rStyle w:val="HideTWBExt"/>
        </w:rPr>
        <w:t>&lt;DocRef&gt;</w:t>
      </w:r>
      <w:r w:rsidRPr="003B2FFA">
        <w:t>(COM(2022)0245 – C9</w:t>
      </w:r>
      <w:r w:rsidRPr="003B2FFA">
        <w:noBreakHyphen/>
        <w:t>0186/2022 – 2022/0167(</w:t>
      </w:r>
      <w:r w:rsidRPr="003B2FFA">
        <w:t>COD))</w:t>
      </w:r>
      <w:r w:rsidRPr="003B2FFA">
        <w:rPr>
          <w:rStyle w:val="HideTWBExt"/>
        </w:rPr>
        <w:t>&lt;/DocRef&gt;</w:t>
      </w:r>
    </w:p>
    <w:p w:rsidR="00793EA9" w:rsidRPr="003B2FFA" w:rsidRDefault="003B2FFA">
      <w:pPr>
        <w:pStyle w:val="CoverNormal24a"/>
      </w:pPr>
      <w:r w:rsidRPr="003B2FFA">
        <w:rPr>
          <w:rStyle w:val="HideTWBExt"/>
        </w:rPr>
        <w:t>&lt;Commission&gt;</w:t>
      </w:r>
      <w:r w:rsidRPr="003B2FFA">
        <w:rPr>
          <w:rStyle w:val="HideTWBInt"/>
        </w:rPr>
        <w:t>{LIBE}</w:t>
      </w:r>
      <w:r w:rsidRPr="003B2FFA">
        <w:t>Commissie burgerlijke vrijheden, justitie en binnenlandse zaken</w:t>
      </w:r>
      <w:r w:rsidRPr="003B2FFA">
        <w:rPr>
          <w:rStyle w:val="HideTWBExt"/>
        </w:rPr>
        <w:t>&lt;/Commission&gt;</w:t>
      </w:r>
    </w:p>
    <w:p w:rsidR="00793EA9" w:rsidRPr="003B2FFA" w:rsidRDefault="003B2FFA">
      <w:pPr>
        <w:pStyle w:val="CoverNormal24a"/>
      </w:pPr>
      <w:r w:rsidRPr="003B2FFA">
        <w:t xml:space="preserve">Rapporteur: </w:t>
      </w:r>
      <w:r w:rsidRPr="003B2FFA">
        <w:rPr>
          <w:rStyle w:val="HideTWBExt"/>
        </w:rPr>
        <w:t>&lt;Depute&gt;</w:t>
      </w:r>
      <w:r w:rsidRPr="003B2FFA">
        <w:t>Loránt Vincze</w:t>
      </w:r>
      <w:r w:rsidRPr="003B2FFA">
        <w:rPr>
          <w:rStyle w:val="HideTWBExt"/>
        </w:rPr>
        <w:t>&lt;/Depute&gt;</w:t>
      </w:r>
    </w:p>
    <w:p w:rsidR="001C5B44" w:rsidRPr="003B2FFA" w:rsidRDefault="001C5B44" w:rsidP="001C5B44">
      <w:pPr>
        <w:pStyle w:val="CoverNormal"/>
      </w:pPr>
    </w:p>
    <w:p w:rsidR="00F81398" w:rsidRPr="003B2FFA" w:rsidRDefault="003B2FFA" w:rsidP="00F81398">
      <w:pPr>
        <w:pStyle w:val="CoverNormal"/>
        <w:rPr>
          <w:szCs w:val="24"/>
        </w:rPr>
      </w:pPr>
      <w:r w:rsidRPr="003B2FFA">
        <w:t>Rapporteur voor advies van medeverantwoordelijke commissie overeenkomstig artikel 57 van het Reglement</w:t>
      </w:r>
    </w:p>
    <w:p w:rsidR="00F81398" w:rsidRPr="003B2FFA" w:rsidRDefault="003B2FFA" w:rsidP="00F81398">
      <w:pPr>
        <w:ind w:left="698" w:firstLine="720"/>
      </w:pPr>
      <w:r w:rsidRPr="003B2FFA">
        <w:t xml:space="preserve">Sergey Lagodinsky, Commissie </w:t>
      </w:r>
      <w:r w:rsidRPr="003B2FFA">
        <w:t>juridische zaken</w:t>
      </w:r>
    </w:p>
    <w:p w:rsidR="006B5A26" w:rsidRPr="003B2FFA" w:rsidRDefault="003B2FFA" w:rsidP="006B5A26">
      <w:r w:rsidRPr="003B2FFA">
        <w:br w:type="page"/>
      </w:r>
      <w:r w:rsidRPr="003B2FFA">
        <w:lastRenderedPageBreak/>
        <w:fldChar w:fldCharType="begin"/>
      </w:r>
      <w:r w:rsidRPr="003B2FFA">
        <w:instrText xml:space="preserve"> TITLE  \* MERGEFORMAT </w:instrText>
      </w:r>
      <w:r w:rsidRPr="003B2FFA">
        <w:fldChar w:fldCharType="separate"/>
      </w:r>
      <w:r>
        <w:t>PR_COD_1amCom</w:t>
      </w:r>
      <w:r w:rsidRPr="003B2FFA">
        <w:fldChar w:fldCharType="end"/>
      </w:r>
    </w:p>
    <w:p w:rsidR="006B5A26" w:rsidRPr="003B2FFA" w:rsidRDefault="006B5A26" w:rsidP="006B5A26"/>
    <w:p w:rsidR="006B5A26" w:rsidRPr="003B2FFA" w:rsidRDefault="006B5A26" w:rsidP="006B5A2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B2FFA" w:rsidRPr="003B2FFA">
        <w:tc>
          <w:tcPr>
            <w:tcW w:w="5811" w:type="dxa"/>
          </w:tcPr>
          <w:p w:rsidR="006B5A26" w:rsidRPr="003B2FFA" w:rsidRDefault="003B2FFA" w:rsidP="006B5A26">
            <w:pPr>
              <w:pStyle w:val="Lgendetitre"/>
            </w:pPr>
            <w:r w:rsidRPr="003B2FFA">
              <w:t>Verklaring van de gebruikte tekens</w:t>
            </w:r>
          </w:p>
        </w:tc>
      </w:tr>
      <w:tr w:rsidR="00C45955" w:rsidRPr="003B2FFA" w:rsidTr="006B5A26">
        <w:trPr>
          <w:cantSplit/>
          <w:trHeight w:val="1807"/>
        </w:trPr>
        <w:tc>
          <w:tcPr>
            <w:tcW w:w="5811" w:type="dxa"/>
            <w:tcBorders>
              <w:bottom w:val="single" w:sz="4" w:space="0" w:color="auto"/>
            </w:tcBorders>
          </w:tcPr>
          <w:p w:rsidR="006B5A26" w:rsidRPr="003B2FFA" w:rsidRDefault="003B2FFA" w:rsidP="006B5A26">
            <w:pPr>
              <w:pStyle w:val="Lgendesigne"/>
            </w:pPr>
            <w:r w:rsidRPr="003B2FFA">
              <w:tab/>
              <w:t>*</w:t>
            </w:r>
            <w:r w:rsidRPr="003B2FFA">
              <w:tab/>
              <w:t>Raadplegingsprocedure</w:t>
            </w:r>
          </w:p>
          <w:p w:rsidR="006B5A26" w:rsidRPr="003B2FFA" w:rsidRDefault="003B2FFA" w:rsidP="006B5A26">
            <w:pPr>
              <w:pStyle w:val="Lgendesigne"/>
            </w:pPr>
            <w:r w:rsidRPr="003B2FFA">
              <w:tab/>
              <w:t>***</w:t>
            </w:r>
            <w:r w:rsidRPr="003B2FFA">
              <w:tab/>
              <w:t>Goedkeuringsprocedure</w:t>
            </w:r>
          </w:p>
          <w:p w:rsidR="006B5A26" w:rsidRPr="003B2FFA" w:rsidRDefault="003B2FFA" w:rsidP="006B5A26">
            <w:pPr>
              <w:pStyle w:val="Lgendesigne"/>
            </w:pPr>
            <w:r w:rsidRPr="003B2FFA">
              <w:tab/>
              <w:t>***I</w:t>
            </w:r>
            <w:r w:rsidRPr="003B2FFA">
              <w:tab/>
              <w:t>Gewone wetgevingsprocedure (eerste lezing)</w:t>
            </w:r>
          </w:p>
          <w:p w:rsidR="006B5A26" w:rsidRPr="003B2FFA" w:rsidRDefault="003B2FFA" w:rsidP="006B5A26">
            <w:pPr>
              <w:pStyle w:val="Lgendesigne"/>
            </w:pPr>
            <w:r w:rsidRPr="003B2FFA">
              <w:tab/>
              <w:t>***II</w:t>
            </w:r>
            <w:r w:rsidRPr="003B2FFA">
              <w:tab/>
            </w:r>
            <w:r w:rsidRPr="003B2FFA">
              <w:t>Gewone wetgevingsprocedure (tweede lezing)</w:t>
            </w:r>
          </w:p>
          <w:p w:rsidR="006B5A26" w:rsidRPr="003B2FFA" w:rsidRDefault="003B2FFA" w:rsidP="006B5A26">
            <w:pPr>
              <w:pStyle w:val="Lgendesigne"/>
            </w:pPr>
            <w:r w:rsidRPr="003B2FFA">
              <w:tab/>
              <w:t>***III</w:t>
            </w:r>
            <w:r w:rsidRPr="003B2FFA">
              <w:tab/>
              <w:t>Gewone wetgevingsprocedure (derde lezing)</w:t>
            </w:r>
          </w:p>
          <w:p w:rsidR="006B5A26" w:rsidRPr="003B2FFA" w:rsidRDefault="006B5A26" w:rsidP="006B5A26">
            <w:pPr>
              <w:pStyle w:val="Lgendestandard"/>
            </w:pPr>
          </w:p>
          <w:p w:rsidR="006B5A26" w:rsidRPr="003B2FFA" w:rsidRDefault="003B2FFA" w:rsidP="006B5A26">
            <w:pPr>
              <w:pStyle w:val="Lgendestandard"/>
            </w:pPr>
            <w:r w:rsidRPr="003B2FFA">
              <w:t>(De aangeduide procedure is gebaseerd op de in de ontwerptekst voorgestelde rechtsgrond.)</w:t>
            </w:r>
          </w:p>
          <w:p w:rsidR="006B5A26" w:rsidRPr="003B2FFA" w:rsidRDefault="006B5A26" w:rsidP="006B5A26">
            <w:pPr>
              <w:pStyle w:val="Lgendestandard"/>
            </w:pPr>
          </w:p>
        </w:tc>
      </w:tr>
    </w:tbl>
    <w:p w:rsidR="006B5A26" w:rsidRPr="003B2FFA" w:rsidRDefault="006B5A26" w:rsidP="006B5A26"/>
    <w:p w:rsidR="006B5A26" w:rsidRPr="003B2FFA" w:rsidRDefault="006B5A26" w:rsidP="006B5A26"/>
    <w:p w:rsidR="006B5A26" w:rsidRPr="003B2FFA" w:rsidRDefault="006B5A26" w:rsidP="006B5A26"/>
    <w:p w:rsidR="006B5A26" w:rsidRPr="003B2FFA" w:rsidRDefault="006B5A26" w:rsidP="006B5A2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B2FFA" w:rsidRPr="003B2FFA">
        <w:tc>
          <w:tcPr>
            <w:tcW w:w="5811" w:type="dxa"/>
          </w:tcPr>
          <w:p w:rsidR="006B5A26" w:rsidRPr="003B2FFA" w:rsidRDefault="003B2FFA" w:rsidP="006B5A26">
            <w:pPr>
              <w:pStyle w:val="Lgendetitre"/>
            </w:pPr>
            <w:r w:rsidRPr="003B2FFA">
              <w:t>Amendementen op een ontwerphandeling</w:t>
            </w:r>
          </w:p>
        </w:tc>
      </w:tr>
      <w:tr w:rsidR="00C45955" w:rsidRPr="003B2FFA" w:rsidTr="006B5A26">
        <w:trPr>
          <w:trHeight w:val="4496"/>
        </w:trPr>
        <w:tc>
          <w:tcPr>
            <w:tcW w:w="5811" w:type="dxa"/>
          </w:tcPr>
          <w:p w:rsidR="006B5A26" w:rsidRPr="003B2FFA" w:rsidRDefault="003B2FFA" w:rsidP="006B5A26">
            <w:pPr>
              <w:pStyle w:val="Lgendestandard"/>
              <w:rPr>
                <w:szCs w:val="24"/>
              </w:rPr>
            </w:pPr>
            <w:r w:rsidRPr="003B2FFA">
              <w:rPr>
                <w:b/>
              </w:rPr>
              <w:t>Amendementen van het Parlement in twee kolommen</w:t>
            </w:r>
          </w:p>
          <w:p w:rsidR="006B5A26" w:rsidRPr="003B2FFA" w:rsidRDefault="006B5A26" w:rsidP="006B5A26">
            <w:pPr>
              <w:pStyle w:val="Lgendestandard"/>
              <w:rPr>
                <w:szCs w:val="24"/>
              </w:rPr>
            </w:pPr>
          </w:p>
          <w:p w:rsidR="006B5A26" w:rsidRPr="003B2FFA" w:rsidRDefault="003B2FFA" w:rsidP="006B5A26">
            <w:pPr>
              <w:pStyle w:val="Lgendestandard"/>
              <w:rPr>
                <w:szCs w:val="24"/>
              </w:rPr>
            </w:pPr>
            <w:r w:rsidRPr="003B2FFA">
              <w:t xml:space="preserve">Geschrapte tekstdelen worden in de linkerkolom in </w:t>
            </w:r>
            <w:r w:rsidRPr="003B2FFA">
              <w:rPr>
                <w:b/>
                <w:bCs/>
                <w:i/>
                <w:iCs/>
              </w:rPr>
              <w:t>vet cursief</w:t>
            </w:r>
            <w:r w:rsidRPr="003B2FFA">
              <w:t xml:space="preserve"> aangegeven. Vervangen tekstdelen worden in beide kolommen in </w:t>
            </w:r>
            <w:r w:rsidRPr="003B2FFA">
              <w:rPr>
                <w:b/>
                <w:bCs/>
                <w:i/>
                <w:iCs/>
              </w:rPr>
              <w:t>vet cursief</w:t>
            </w:r>
            <w:r w:rsidRPr="003B2FFA">
              <w:t xml:space="preserve"> aangegeven. Nieuwe tekst wordt in de rechterkolom in </w:t>
            </w:r>
            <w:r w:rsidRPr="003B2FFA">
              <w:rPr>
                <w:b/>
                <w:bCs/>
                <w:i/>
                <w:iCs/>
              </w:rPr>
              <w:t>vet cursief</w:t>
            </w:r>
            <w:r w:rsidRPr="003B2FFA">
              <w:t xml:space="preserve"> aangege</w:t>
            </w:r>
            <w:r w:rsidRPr="003B2FFA">
              <w:t>ven.</w:t>
            </w:r>
          </w:p>
          <w:p w:rsidR="006B5A26" w:rsidRPr="003B2FFA" w:rsidRDefault="006B5A26" w:rsidP="006B5A26">
            <w:pPr>
              <w:pStyle w:val="Lgendestandard"/>
              <w:rPr>
                <w:szCs w:val="24"/>
              </w:rPr>
            </w:pPr>
          </w:p>
          <w:p w:rsidR="006B5A26" w:rsidRPr="003B2FFA" w:rsidRDefault="003B2FFA" w:rsidP="006B5A26">
            <w:pPr>
              <w:pStyle w:val="Lgendestandard"/>
              <w:rPr>
                <w:szCs w:val="24"/>
              </w:rPr>
            </w:pPr>
            <w:r w:rsidRPr="003B2FFA">
              <w:t>In de eerste en tweede regel van de koptekst boven elk amendement wordt verwezen naar het tekstdeel in kwestie van de ontwerphandeling. Indien een amendement betrekking heeft op een bestaande handeling, waarop in de ontwerphandeling wijzigingen worde</w:t>
            </w:r>
            <w:r w:rsidRPr="003B2FFA">
              <w:t>n voorgesteld, bevat de koptekst bovendien een derde en vierde regel, die verwijzen naar de bestaande handeling respectievelijk naar de bepaling in kwestie.</w:t>
            </w:r>
          </w:p>
          <w:p w:rsidR="006B5A26" w:rsidRPr="003B2FFA" w:rsidRDefault="006B5A26" w:rsidP="006B5A26">
            <w:pPr>
              <w:pStyle w:val="Lgendestandard"/>
              <w:rPr>
                <w:szCs w:val="24"/>
              </w:rPr>
            </w:pPr>
          </w:p>
          <w:p w:rsidR="006B5A26" w:rsidRPr="003B2FFA" w:rsidRDefault="003B2FFA" w:rsidP="006B5A26">
            <w:pPr>
              <w:pStyle w:val="Lgendestandard"/>
              <w:rPr>
                <w:b/>
                <w:szCs w:val="24"/>
              </w:rPr>
            </w:pPr>
            <w:r w:rsidRPr="003B2FFA">
              <w:rPr>
                <w:b/>
              </w:rPr>
              <w:t>Amendementen van het Parlement in de vorm van een geconsolideerde tekst</w:t>
            </w:r>
          </w:p>
          <w:p w:rsidR="006B5A26" w:rsidRPr="003B2FFA" w:rsidRDefault="006B5A26" w:rsidP="006B5A26">
            <w:pPr>
              <w:pStyle w:val="Lgendestandard"/>
              <w:rPr>
                <w:szCs w:val="24"/>
              </w:rPr>
            </w:pPr>
          </w:p>
          <w:p w:rsidR="006B5A26" w:rsidRPr="003B2FFA" w:rsidRDefault="003B2FFA" w:rsidP="006B5A26">
            <w:pPr>
              <w:pStyle w:val="Lgendestandard"/>
              <w:rPr>
                <w:szCs w:val="24"/>
              </w:rPr>
            </w:pPr>
            <w:r w:rsidRPr="003B2FFA">
              <w:t xml:space="preserve">Nieuwe tekstdelen worden </w:t>
            </w:r>
            <w:r w:rsidRPr="003B2FFA">
              <w:t xml:space="preserve">in </w:t>
            </w:r>
            <w:r w:rsidRPr="003B2FFA">
              <w:rPr>
                <w:b/>
                <w:bCs/>
                <w:i/>
                <w:iCs/>
              </w:rPr>
              <w:t>vet cursief</w:t>
            </w:r>
            <w:r w:rsidRPr="003B2FFA">
              <w:t xml:space="preserve"> aangegeven. Geschrapte tekstdelen worden aangegeven met het symbool ▌ of worden doorgestreept. Waar tekstdelen vervangen worden, wordt de nieuwe tekst in </w:t>
            </w:r>
            <w:r w:rsidRPr="003B2FFA">
              <w:rPr>
                <w:b/>
                <w:bCs/>
                <w:i/>
                <w:iCs/>
              </w:rPr>
              <w:t>vet cursief</w:t>
            </w:r>
            <w:r w:rsidRPr="003B2FFA">
              <w:t xml:space="preserve"> aangegeven, terwijl de vervangen tekst wordt geschrapt of doorgestreept. </w:t>
            </w:r>
          </w:p>
          <w:p w:rsidR="006B5A26" w:rsidRPr="003B2FFA" w:rsidRDefault="003B2FFA" w:rsidP="006B5A26">
            <w:pPr>
              <w:pStyle w:val="Lgendestandard"/>
            </w:pPr>
            <w:r w:rsidRPr="003B2FFA">
              <w:t>B</w:t>
            </w:r>
            <w:r w:rsidRPr="003B2FFA">
              <w:t>ij wijze van uitzondering worden zuiver technische wijzigingen die de diensten aanbrengen met het oog op de opstelling van de definitieve tekst, niet gemarkeerd.</w:t>
            </w:r>
          </w:p>
          <w:p w:rsidR="006B5A26" w:rsidRPr="003B2FFA" w:rsidRDefault="006B5A26" w:rsidP="006B5A26">
            <w:pPr>
              <w:pStyle w:val="Lgendestandard"/>
            </w:pPr>
          </w:p>
        </w:tc>
      </w:tr>
    </w:tbl>
    <w:p w:rsidR="006B5A26" w:rsidRPr="003B2FFA" w:rsidRDefault="006B5A26" w:rsidP="006B5A26"/>
    <w:p w:rsidR="00793EA9" w:rsidRPr="003B2FFA" w:rsidRDefault="00793EA9" w:rsidP="00012351">
      <w:pPr>
        <w:widowControl/>
        <w:tabs>
          <w:tab w:val="center" w:pos="4677"/>
        </w:tabs>
      </w:pPr>
    </w:p>
    <w:p w:rsidR="00793EA9" w:rsidRPr="003B2FFA" w:rsidRDefault="003B2FFA">
      <w:pPr>
        <w:pStyle w:val="TOCHeading"/>
      </w:pPr>
      <w:r w:rsidRPr="003B2FFA">
        <w:br w:type="page"/>
      </w:r>
      <w:r w:rsidRPr="003B2FFA">
        <w:lastRenderedPageBreak/>
        <w:t>INHOUD</w:t>
      </w:r>
    </w:p>
    <w:p w:rsidR="00793EA9" w:rsidRPr="003B2FFA" w:rsidRDefault="003B2FFA">
      <w:pPr>
        <w:pStyle w:val="TOCPage"/>
      </w:pPr>
      <w:r w:rsidRPr="003B2FFA">
        <w:t>Blz.</w:t>
      </w:r>
    </w:p>
    <w:p w:rsidR="003B2FFA" w:rsidRDefault="003B2FFA">
      <w:pPr>
        <w:pStyle w:val="TOC1"/>
        <w:tabs>
          <w:tab w:val="right" w:leader="dot" w:pos="9060"/>
        </w:tabs>
        <w:rPr>
          <w:rFonts w:asciiTheme="minorHAnsi" w:eastAsiaTheme="minorEastAsia" w:hAnsiTheme="minorHAnsi" w:cstheme="minorBidi"/>
          <w:noProof/>
          <w:sz w:val="22"/>
          <w:szCs w:val="22"/>
          <w:lang w:eastAsia="nl-NL"/>
        </w:rPr>
      </w:pPr>
      <w:r w:rsidRPr="003B2FFA">
        <w:rPr>
          <w:b/>
        </w:rPr>
        <w:fldChar w:fldCharType="begin"/>
      </w:r>
      <w:r w:rsidRPr="003B2FFA">
        <w:rPr>
          <w:b/>
        </w:rPr>
        <w:instrText xml:space="preserve"> TOC \t "PageHeading</w:instrText>
      </w:r>
      <w:r w:rsidR="006B5A26" w:rsidRPr="003B2FFA">
        <w:rPr>
          <w:b/>
        </w:rPr>
        <w:instrText>;</w:instrText>
      </w:r>
      <w:r w:rsidRPr="003B2FFA">
        <w:rPr>
          <w:b/>
        </w:rPr>
        <w:instrText xml:space="preserve">1" </w:instrText>
      </w:r>
      <w:r w:rsidRPr="003B2FFA">
        <w:rPr>
          <w:b/>
        </w:rPr>
        <w:fldChar w:fldCharType="separate"/>
      </w:r>
      <w:r>
        <w:rPr>
          <w:noProof/>
        </w:rPr>
        <w:t>ONTWERPWETGEVINGSRESOLUTIE VAN HET EUROPEES PARLEMENT</w:t>
      </w:r>
      <w:r>
        <w:rPr>
          <w:noProof/>
        </w:rPr>
        <w:tab/>
      </w:r>
      <w:r>
        <w:rPr>
          <w:noProof/>
        </w:rPr>
        <w:fldChar w:fldCharType="begin"/>
      </w:r>
      <w:r>
        <w:rPr>
          <w:noProof/>
        </w:rPr>
        <w:instrText xml:space="preserve"> PAGEREF _Toc128398679 \h </w:instrText>
      </w:r>
      <w:r>
        <w:rPr>
          <w:noProof/>
        </w:rPr>
      </w:r>
      <w:r>
        <w:rPr>
          <w:noProof/>
        </w:rPr>
        <w:fldChar w:fldCharType="separate"/>
      </w:r>
      <w:r>
        <w:rPr>
          <w:noProof/>
        </w:rPr>
        <w:t>5</w:t>
      </w:r>
      <w:r>
        <w:rPr>
          <w:noProof/>
        </w:rPr>
        <w:fldChar w:fldCharType="end"/>
      </w:r>
    </w:p>
    <w:p w:rsidR="002346B0" w:rsidRPr="003B2FFA" w:rsidRDefault="003B2FFA" w:rsidP="00C23324">
      <w:r w:rsidRPr="003B2FFA">
        <w:rPr>
          <w:b/>
        </w:rPr>
        <w:fldChar w:fldCharType="end"/>
      </w:r>
    </w:p>
    <w:p w:rsidR="00793EA9" w:rsidRPr="003B2FFA" w:rsidRDefault="003B2FFA">
      <w:pPr>
        <w:pStyle w:val="PageHeading"/>
      </w:pPr>
      <w:r w:rsidRPr="003B2FFA">
        <w:br w:type="page"/>
      </w:r>
      <w:r w:rsidRPr="003B2FFA">
        <w:lastRenderedPageBreak/>
        <w:br w:type="page"/>
      </w:r>
      <w:bookmarkStart w:id="1" w:name="_Toc128398679"/>
      <w:r w:rsidRPr="003B2FFA">
        <w:lastRenderedPageBreak/>
        <w:t>ONTWERPWETGEVINGSRESOLUTIE VAN HET EUROPEES PARLEMENT</w:t>
      </w:r>
      <w:bookmarkEnd w:id="1"/>
    </w:p>
    <w:p w:rsidR="00793EA9" w:rsidRPr="003B2FFA" w:rsidRDefault="003B2FFA">
      <w:pPr>
        <w:pStyle w:val="NormalBold"/>
      </w:pPr>
      <w:r w:rsidRPr="003B2FFA">
        <w:t>over het voorstel voor een richtlijn van het Europees Parlement en de Raad betreffende ontneming en confiscatie van vermogensbestanddelen</w:t>
      </w:r>
    </w:p>
    <w:p w:rsidR="00793EA9" w:rsidRPr="003B2FFA" w:rsidRDefault="003B2FFA">
      <w:pPr>
        <w:pStyle w:val="NormalBold12a"/>
      </w:pPr>
      <w:r w:rsidRPr="003B2FFA">
        <w:t>(COM(2022)0245 – C9</w:t>
      </w:r>
      <w:r w:rsidRPr="003B2FFA">
        <w:noBreakHyphen/>
        <w:t>0186/2022 – 2022/0167(COD))</w:t>
      </w:r>
    </w:p>
    <w:p w:rsidR="00793EA9" w:rsidRPr="003B2FFA" w:rsidRDefault="003B2FFA" w:rsidP="00A910C9">
      <w:pPr>
        <w:pStyle w:val="NormalBold"/>
      </w:pPr>
      <w:r w:rsidRPr="003B2FFA">
        <w:t>(Gewone wetgevingsprocedure: eerste lezing)</w:t>
      </w:r>
    </w:p>
    <w:p w:rsidR="00793EA9" w:rsidRPr="003B2FFA" w:rsidRDefault="003B2FFA" w:rsidP="00A910C9">
      <w:pPr>
        <w:pStyle w:val="EPComma"/>
      </w:pPr>
      <w:r w:rsidRPr="003B2FFA">
        <w:rPr>
          <w:i/>
          <w:iCs/>
        </w:rPr>
        <w:t>Het Europees Parlement</w:t>
      </w:r>
      <w:r w:rsidRPr="003B2FFA">
        <w:t>,</w:t>
      </w:r>
    </w:p>
    <w:p w:rsidR="00793EA9" w:rsidRPr="003B2FFA" w:rsidRDefault="003B2FFA">
      <w:pPr>
        <w:pStyle w:val="NormalHanging12a"/>
      </w:pPr>
      <w:r w:rsidRPr="003B2FFA">
        <w:t>–</w:t>
      </w:r>
      <w:r w:rsidRPr="003B2FFA">
        <w:tab/>
      </w:r>
      <w:r w:rsidRPr="003B2FFA">
        <w:t>gezien het voorstel van de Commissie aan het Europees Parlement en de Raad (COM(2022)0245),</w:t>
      </w:r>
    </w:p>
    <w:p w:rsidR="00793EA9" w:rsidRPr="003B2FFA" w:rsidRDefault="003B2FFA">
      <w:pPr>
        <w:pStyle w:val="NormalHanging12a"/>
      </w:pPr>
      <w:r w:rsidRPr="003B2FFA">
        <w:t>–</w:t>
      </w:r>
      <w:r w:rsidRPr="003B2FFA">
        <w:tab/>
        <w:t>gezien artikel 294, lid 2, artikel 82, lid 2, artikel 83, de leden 1 en 2, en artikel 87, lid 2, van het Verdrag betreffende de werking van de Europese Unie, op g</w:t>
      </w:r>
      <w:r w:rsidRPr="003B2FFA">
        <w:t>rond waarvan het voorstel door de Commissie bij het Parlement is ingediend (C9</w:t>
      </w:r>
      <w:r w:rsidRPr="003B2FFA">
        <w:noBreakHyphen/>
        <w:t>0186/2022),</w:t>
      </w:r>
    </w:p>
    <w:p w:rsidR="00A26F46" w:rsidRPr="003B2FFA" w:rsidRDefault="003B2FFA" w:rsidP="00A26F46">
      <w:pPr>
        <w:pStyle w:val="NormalHanging12a"/>
      </w:pPr>
      <w:r w:rsidRPr="003B2FFA">
        <w:t>–</w:t>
      </w:r>
      <w:r w:rsidRPr="003B2FFA">
        <w:tab/>
        <w:t>gezien artikel 294, lid 3, van het Verdrag betreffende de werking van de Europese Unie,</w:t>
      </w:r>
    </w:p>
    <w:p w:rsidR="00793EA9" w:rsidRPr="003B2FFA" w:rsidRDefault="003B2FFA">
      <w:pPr>
        <w:pStyle w:val="NormalHanging12a"/>
      </w:pPr>
      <w:r w:rsidRPr="003B2FFA">
        <w:t>–</w:t>
      </w:r>
      <w:r w:rsidRPr="003B2FFA">
        <w:tab/>
        <w:t>gezien artikel 59 van zijn Reglement,</w:t>
      </w:r>
    </w:p>
    <w:p w:rsidR="00137BF6" w:rsidRPr="003B2FFA" w:rsidRDefault="003B2FFA" w:rsidP="006A2F5D">
      <w:pPr>
        <w:pStyle w:val="NormalHanging12a"/>
      </w:pPr>
      <w:r w:rsidRPr="003B2FFA">
        <w:t>–</w:t>
      </w:r>
      <w:r w:rsidRPr="003B2FFA">
        <w:tab/>
        <w:t>gezien het advies van het Europee</w:t>
      </w:r>
      <w:r w:rsidRPr="003B2FFA">
        <w:t>s Economisch en Sociaal Comité van 14 december 2022</w:t>
      </w:r>
      <w:r w:rsidRPr="003B2FFA">
        <w:rPr>
          <w:rStyle w:val="FootnoteReference"/>
        </w:rPr>
        <w:footnoteReference w:id="1"/>
      </w:r>
      <w:r w:rsidRPr="003B2FFA">
        <w:t>,</w:t>
      </w:r>
    </w:p>
    <w:p w:rsidR="00F81398" w:rsidRPr="003B2FFA" w:rsidRDefault="003B2FFA" w:rsidP="00F81398">
      <w:pPr>
        <w:pStyle w:val="NormalHanging12a"/>
      </w:pPr>
      <w:r w:rsidRPr="003B2FFA">
        <w:t>–</w:t>
      </w:r>
      <w:r w:rsidRPr="003B2FFA">
        <w:tab/>
        <w:t>gezien de adviezen van de Commissie juridische zaken en de Begrotingscommissie,</w:t>
      </w:r>
    </w:p>
    <w:p w:rsidR="006A2F5D" w:rsidRPr="003B2FFA" w:rsidRDefault="003B2FFA" w:rsidP="006A2F5D">
      <w:pPr>
        <w:pStyle w:val="NormalHanging12a"/>
      </w:pPr>
      <w:r w:rsidRPr="003B2FFA">
        <w:t>–</w:t>
      </w:r>
      <w:r w:rsidRPr="003B2FFA">
        <w:tab/>
        <w:t>gezien het verslag van de Commissie burgerlijke vrijheden, justitie en binnenlandse zaken (A9</w:t>
      </w:r>
      <w:r w:rsidRPr="003B2FFA">
        <w:noBreakHyphen/>
        <w:t>0000/2023),</w:t>
      </w:r>
    </w:p>
    <w:p w:rsidR="009F6C2F" w:rsidRPr="003B2FFA" w:rsidRDefault="003B2FFA" w:rsidP="009F6C2F">
      <w:pPr>
        <w:pStyle w:val="NormalHanging12a"/>
      </w:pPr>
      <w:r w:rsidRPr="003B2FFA">
        <w:t>1.</w:t>
      </w:r>
      <w:r w:rsidRPr="003B2FFA">
        <w:tab/>
        <w:t>stelt ond</w:t>
      </w:r>
      <w:r w:rsidRPr="003B2FFA">
        <w:t>erstaand standpunt in eerste lezing vast;</w:t>
      </w:r>
    </w:p>
    <w:p w:rsidR="009F6C2F" w:rsidRPr="003B2FFA" w:rsidRDefault="003B2FFA" w:rsidP="009F6C2F">
      <w:pPr>
        <w:pStyle w:val="NormalHanging12a"/>
      </w:pPr>
      <w:r w:rsidRPr="003B2FFA">
        <w:t>2.</w:t>
      </w:r>
      <w:r w:rsidRPr="003B2FFA">
        <w:tab/>
        <w:t>verzoekt de Commissie om hernieuwde voorlegging aan het Parlement indien zij haar voorstel vervangt, ingrijpend wijzigt of voornemens is het ingrijpend te wijzigen;</w:t>
      </w:r>
    </w:p>
    <w:p w:rsidR="009F6C2F" w:rsidRPr="003B2FFA" w:rsidRDefault="003B2FFA" w:rsidP="009F6C2F">
      <w:pPr>
        <w:pStyle w:val="NormalHanging12a"/>
      </w:pPr>
      <w:r w:rsidRPr="003B2FFA">
        <w:t>3.</w:t>
      </w:r>
      <w:r w:rsidRPr="003B2FFA">
        <w:tab/>
        <w:t xml:space="preserve">verzoekt zijn Voorzitter het standpunt van </w:t>
      </w:r>
      <w:r w:rsidRPr="003B2FFA">
        <w:t>het Parlement te doen toekomen aan de Raad en aan de Commissie alsmede aan de nationale parlementen.</w:t>
      </w:r>
    </w:p>
    <w:p w:rsidR="00D30DE2" w:rsidRPr="003B2FFA" w:rsidRDefault="00D30DE2" w:rsidP="00D30DE2"/>
    <w:p w:rsidR="003B2FFA" w:rsidRDefault="003B2FFA">
      <w:pPr>
        <w:widowControl/>
      </w:pPr>
      <w:r>
        <w:br w:type="page"/>
      </w:r>
    </w:p>
    <w:p w:rsidR="00E93DAA" w:rsidRPr="003B2FFA" w:rsidRDefault="003B2FFA" w:rsidP="00E93DAA">
      <w:pPr>
        <w:pStyle w:val="AMNumberTabs0"/>
        <w:keepNext/>
      </w:pPr>
      <w:r w:rsidRPr="003B2FFA">
        <w:rPr>
          <w:rStyle w:val="HideTWBExt"/>
          <w:b w:val="0"/>
        </w:rPr>
        <w:t>&lt;RepeatBlock-Amend&gt;&lt;Amend&gt;</w:t>
      </w:r>
      <w:r w:rsidRPr="003B2FFA">
        <w:t>Amendement</w:t>
      </w:r>
      <w:r w:rsidRPr="003B2FFA">
        <w:tab/>
      </w:r>
      <w:r w:rsidRPr="003B2FFA">
        <w:tab/>
      </w:r>
      <w:r w:rsidRPr="003B2FFA">
        <w:rPr>
          <w:rStyle w:val="HideTWBExt"/>
          <w:b w:val="0"/>
        </w:rPr>
        <w:t>&lt;NumAm&gt;</w:t>
      </w:r>
      <w:r w:rsidRPr="003B2FFA">
        <w:t>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3</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(3)</w:t>
            </w:r>
            <w:r w:rsidRPr="003B2FFA">
              <w:tab/>
              <w:t>Een doeltreffend systeem voor de ontneming van vermogensbestanddelen vereist de snelle opsporing en identificatie van hulpmiddelen en opbrengsten van misdrijven en van voorwerpen waarvan wordt vermoed da</w:t>
            </w:r>
            <w:r w:rsidRPr="003B2FFA">
              <w:t xml:space="preserve">t zij van criminele oorsprong zijn. Deze opbrengsten, hulpmiddelen en voorwerpen moeten worden bevroren om te voorkomen dat zij verdwijnen, en vervolgens moeten zij worden geconfisqueerd na afloop van de </w:t>
            </w:r>
            <w:r w:rsidRPr="003B2FFA">
              <w:rPr>
                <w:b/>
                <w:bCs/>
                <w:i/>
                <w:iCs/>
              </w:rPr>
              <w:t>strafprocedure</w:t>
            </w:r>
            <w:r w:rsidRPr="003B2FFA">
              <w:t>. Een doeltreffend systeem voor de ont</w:t>
            </w:r>
            <w:r w:rsidRPr="003B2FFA">
              <w:t>neming van vermogensbestanddelen vereist voorts dat bevroren en geconfisqueerde voorwerpen doeltreffend worden beheerd, zodat zij hun waarde voor de staat of voor de teruggave aan de slachtoffers behouden.</w:t>
            </w:r>
          </w:p>
        </w:tc>
        <w:tc>
          <w:tcPr>
            <w:tcW w:w="4876" w:type="dxa"/>
            <w:hideMark/>
          </w:tcPr>
          <w:p w:rsidR="00E93DAA" w:rsidRPr="003B2FFA" w:rsidRDefault="003B2FFA">
            <w:pPr>
              <w:pStyle w:val="Normal6"/>
              <w:rPr>
                <w:szCs w:val="24"/>
              </w:rPr>
            </w:pPr>
            <w:r w:rsidRPr="003B2FFA">
              <w:t>(3)</w:t>
            </w:r>
            <w:r w:rsidRPr="003B2FFA">
              <w:tab/>
              <w:t>Een doeltreffend systeem voor de ontneming van</w:t>
            </w:r>
            <w:r w:rsidRPr="003B2FFA">
              <w:t xml:space="preserve"> vermogensbestanddelen vereist de snelle opsporing en identificatie van hulpmiddelen en opbrengsten van misdrijven en van voorwerpen waarvan wordt vermoed dat zij van criminele oorsprong zijn. Deze opbrengsten, hulpmiddelen en voorwerpen moeten worden bevr</w:t>
            </w:r>
            <w:r w:rsidRPr="003B2FFA">
              <w:t xml:space="preserve">oren om te voorkomen dat zij verdwijnen, en vervolgens moeten zij worden geconfisqueerd na afloop van de </w:t>
            </w:r>
            <w:r w:rsidRPr="003B2FFA">
              <w:rPr>
                <w:b/>
                <w:bCs/>
                <w:i/>
                <w:iCs/>
              </w:rPr>
              <w:t>strafrechtelijke procedure</w:t>
            </w:r>
            <w:r w:rsidRPr="003B2FFA">
              <w:t>. Een doeltreffend systeem voor de ontneming van vermogensbestanddelen vereist voorts dat bevroren en geconfisqueerde voorwer</w:t>
            </w:r>
            <w:r w:rsidRPr="003B2FFA">
              <w:t>pen doeltreffend worden beheerd, zodat zij hun waarde voor de staat of voor de teruggave aan de slachtoffers behouden.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9</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(9)</w:t>
            </w:r>
            <w:r w:rsidRPr="003B2FFA">
              <w:tab/>
            </w:r>
            <w:r w:rsidRPr="003B2FFA">
              <w:t>Wegens het polycriminele karakter van en de systematische en op winst gerichte samenwerking tussen criminele organisaties die betrokken zijn bij een breed scala van illegale activiteiten op verschillende markten, vereist een doeltreffende bestrijding van d</w:t>
            </w:r>
            <w:r w:rsidRPr="003B2FFA">
              <w:t>e georganiseerde criminaliteit dat bevriezings- en confiscatiemaatregelen beschikbaar zijn voor de winsten uit alle strafbare feiten waarbij criminele organisaties betrokken zijn. Deze misdrijven omvatten de in artikel 83, lid 1, genoemde vormen van crimin</w:t>
            </w:r>
            <w:r w:rsidRPr="003B2FFA">
              <w:t xml:space="preserve">aliteit, met inbegrip van de illegale handel in wapens, munitie en explosieven als omschreven in het Protocol tegen de illegale vervaardiging </w:t>
            </w:r>
            <w:r w:rsidRPr="003B2FFA">
              <w:lastRenderedPageBreak/>
              <w:t>van en handel in vuurwapens, hun onderdelen, componenten en munitie, tot aanvulling van het Verdrag van de Verenig</w:t>
            </w:r>
            <w:r w:rsidRPr="003B2FFA">
              <w:t>de Naties ter bestrijding van grensoverschrijdende georganiseerde misdaad, waarbij de Unie partij is. Naast de in artikel 83, lid 1, opgesomde misdrijven moet de werkingssfeer van de richtlijn ook alle misdrijven omvatten die op Unieniveau geharmoniseerd z</w:t>
            </w:r>
            <w:r w:rsidRPr="003B2FFA">
              <w:t>ijn, met inbegrip van fraude ten nadele van de financiële belangen van de Europese Unie, gezien de toenemende betrokkenheid van criminele organisaties op dit gebied van criminaliteit. De werkingssfeer van de richtlijn moet verder milieumisdrijven omvatten,</w:t>
            </w:r>
            <w:r w:rsidRPr="003B2FFA">
              <w:t xml:space="preserve"> die een kernactiviteit zijn voor criminele organisaties en vaak verband houden met witwaspraktijken of betrekking hebben op afval </w:t>
            </w:r>
            <w:r w:rsidRPr="003B2FFA">
              <w:rPr>
                <w:b/>
                <w:bCs/>
                <w:i/>
                <w:iCs/>
              </w:rPr>
              <w:t>en</w:t>
            </w:r>
            <w:r w:rsidRPr="003B2FFA">
              <w:t xml:space="preserve"> residuen die worden geproduceerd in het kader van de productie van en de handel in drugs. Het vergemakkelijken van ongeoor</w:t>
            </w:r>
            <w:r w:rsidRPr="003B2FFA">
              <w:t>loofde binnenkomst en illegaal verblijf is een kernactiviteit voor criminele organisaties en houdt meestal verband met mensenhandel.</w:t>
            </w:r>
          </w:p>
        </w:tc>
        <w:tc>
          <w:tcPr>
            <w:tcW w:w="4876" w:type="dxa"/>
            <w:hideMark/>
          </w:tcPr>
          <w:p w:rsidR="00E93DAA" w:rsidRPr="003B2FFA" w:rsidRDefault="003B2FFA" w:rsidP="00ED3E81">
            <w:pPr>
              <w:pStyle w:val="Normal6"/>
              <w:rPr>
                <w:szCs w:val="24"/>
              </w:rPr>
            </w:pPr>
            <w:r w:rsidRPr="003B2FFA">
              <w:lastRenderedPageBreak/>
              <w:t>(9)</w:t>
            </w:r>
            <w:r w:rsidRPr="003B2FFA">
              <w:tab/>
              <w:t>Wegens het polycriminele karakter van en de systematische en op winst gerichte samenwerking tussen criminele organisati</w:t>
            </w:r>
            <w:r w:rsidRPr="003B2FFA">
              <w:t>es die betrokken zijn bij een breed scala van illegale activiteiten op verschillende markten, vereist een doeltreffende bestrijding van de georganiseerde criminaliteit dat bevriezings- en confiscatiemaatregelen beschikbaar zijn voor de winsten uit alle str</w:t>
            </w:r>
            <w:r w:rsidRPr="003B2FFA">
              <w:t xml:space="preserve">afbare feiten waarbij criminele organisaties betrokken zijn. Deze misdrijven omvatten de in artikel 83, lid 1, genoemde vormen van criminaliteit, met inbegrip van de illegale handel in wapens, munitie en explosieven als omschreven in het Protocol tegen de </w:t>
            </w:r>
            <w:r w:rsidRPr="003B2FFA">
              <w:t xml:space="preserve">illegale vervaardiging </w:t>
            </w:r>
            <w:r w:rsidRPr="003B2FFA">
              <w:lastRenderedPageBreak/>
              <w:t>van en handel in vuurwapens, hun onderdelen, componenten en munitie, tot aanvulling van het Verdrag van de Verenigde Naties ter bestrijding van grensoverschrijdende georganiseerde misdaad, waarbij de Unie partij is. Naast de in artik</w:t>
            </w:r>
            <w:r w:rsidRPr="003B2FFA">
              <w:t>el 83, lid 1, opgesomde misdrijven moet de werkingssfeer van de richtlijn ook alle misdrijven omvatten die op Unieniveau geharmoniseerd zijn, met inbegrip van fraude ten nadele van de financiële belangen van de Europese Unie, gezien de toenemende betrokken</w:t>
            </w:r>
            <w:r w:rsidRPr="003B2FFA">
              <w:t>heid van criminele organisaties op dit gebied van criminaliteit. De werkingssfeer van de richtlijn moet verder milieumisdrijven omvatten, die een kernactiviteit zijn voor criminele organisaties en vaak verband houden met witwaspraktijken</w:t>
            </w:r>
            <w:r w:rsidRPr="003B2FFA">
              <w:rPr>
                <w:b/>
                <w:bCs/>
                <w:i/>
                <w:iCs/>
              </w:rPr>
              <w:t>, documentfraude, e</w:t>
            </w:r>
            <w:r w:rsidRPr="003B2FFA">
              <w:rPr>
                <w:b/>
                <w:bCs/>
                <w:i/>
                <w:iCs/>
              </w:rPr>
              <w:t>conomische fraude, belastingontduiking en corruptie</w:t>
            </w:r>
            <w:r w:rsidRPr="003B2FFA">
              <w:t xml:space="preserve"> of betrekking hebben op </w:t>
            </w:r>
            <w:r w:rsidRPr="003B2FFA">
              <w:rPr>
                <w:b/>
                <w:bCs/>
                <w:i/>
                <w:iCs/>
              </w:rPr>
              <w:t xml:space="preserve">de handel in </w:t>
            </w:r>
            <w:r w:rsidRPr="003B2FFA">
              <w:t xml:space="preserve">afval </w:t>
            </w:r>
            <w:r w:rsidRPr="003B2FFA">
              <w:rPr>
                <w:b/>
                <w:bCs/>
                <w:i/>
                <w:iCs/>
              </w:rPr>
              <w:t>in overtreding van nationaal en internationaal recht en normen betreffende de inzameling, behandeling en verwijdering van afval, met inbegrip van</w:t>
            </w:r>
            <w:r w:rsidRPr="003B2FFA">
              <w:t xml:space="preserve"> residuen die wo</w:t>
            </w:r>
            <w:r w:rsidRPr="003B2FFA">
              <w:t>rden geproduceerd in het kader van de productie van en de handel in drugs. Het vergemakkelijken van ongeoorloofde binnenkomst en illegaal verblijf is een kernactiviteit voor criminele organisaties en houdt meestal verband met mensenhandel.</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10</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(10)</w:t>
            </w:r>
            <w:r w:rsidRPr="003B2FFA">
              <w:tab/>
              <w:t>Andere misdrijven die in het kader van een criminele or</w:t>
            </w:r>
            <w:r w:rsidRPr="003B2FFA">
              <w:t xml:space="preserve">ganisatie worden gepleegd, spelen een centrale rol bij het genereren van inkomsten en bij het mogelijk maken van verdere misdrijven, </w:t>
            </w:r>
            <w:r w:rsidRPr="003B2FFA">
              <w:lastRenderedPageBreak/>
              <w:t>waaronder ernstige misdrijven met een grensoverschrijdend karakter. Dergelijke misdrijven moeten in de werkingssfeer van de</w:t>
            </w:r>
            <w:r w:rsidRPr="003B2FFA">
              <w:t xml:space="preserve"> richtlijn worden opgenomen voor zover zij in het kader van een criminele organisatie worden gepleegd. De namaak en de productpiraterij houden verband met witwaspraktijken en de vervalsing van documenten, en vormen een bedreiging voor de werking van de int</w:t>
            </w:r>
            <w:r w:rsidRPr="003B2FFA">
              <w:t>erne markt en de eerlijke concurrentie. De illegale handel in cultuurgoederen, waaronder antiquiteiten en kunstvoorwerpen, is vaak verweven met witwaspraktijken en vormt tevens een belangrijke financieringsbron voor criminele organisaties. Vervalsing van a</w:t>
            </w:r>
            <w:r w:rsidRPr="003B2FFA">
              <w:t>dministratieve documenten en de handel daarin, met inbegrip van bankdocumenten of identificatiedocumenten, is een belangrijk instrument voor witwaspraktijken, mensenhandel of migrantensmokkel, en moet als zodanig onder de werkingssfeer van deze richtlijn v</w:t>
            </w:r>
            <w:r w:rsidRPr="003B2FFA">
              <w:t>allen. Andere misdrijven die vaak in het kader van een criminele organisatie worden gepleegd zijn moord of zware mishandeling, en de illegale handel in menselijke organen en weefsels, die een bron van inkomsten zijn voor criminele organisaties in het kader</w:t>
            </w:r>
            <w:r w:rsidRPr="003B2FFA">
              <w:t xml:space="preserve"> van huurmoorden, intimidatie en mensenhandel. Evenzo worden ontvoering, wederrechtelijke vrijheidsberoving of gijzeling, alsmede racketeering en afpersing gebruikt als bron van inkomsten door het innen van losgeld of als intimidatietactiek tegen tegenstan</w:t>
            </w:r>
            <w:r w:rsidRPr="003B2FFA">
              <w:t>ders. Het misdrijf van georganiseerde of gewapende overvallen is een van de meest voorkomende vormen om winst te maken voor criminele organisaties, en het wordt vaak gepleegd in combinatie met andere misdrijven, in het bijzonder de handel in vuurwapens. De</w:t>
            </w:r>
            <w:r w:rsidRPr="003B2FFA">
              <w:t xml:space="preserve"> handel in gestolen voertuigen kan niet alleen winst opleveren, maar is ook een faciliterend misdrijf om te voorzien in de nodige hulpmiddelen om verdere strafbare feiten te plegen. Bovendien is het van essentieel belang dat fiscale misdrijven, voor zover </w:t>
            </w:r>
            <w:r w:rsidRPr="003B2FFA">
              <w:t xml:space="preserve">zij als onderdeel van een criminele </w:t>
            </w:r>
            <w:r w:rsidRPr="003B2FFA">
              <w:lastRenderedPageBreak/>
              <w:t>organisatie worden gepleegd, in de werkingssfeer van de richtlijn worden opgenomen, aangezien dit specifieke misdrijf een bron van winst mogelijk maakt, vooral wanneer wordt geopereerd in een grensoverschrijdende context</w:t>
            </w:r>
            <w:r w:rsidRPr="003B2FFA">
              <w:t xml:space="preserve">. Gebruikelijke technieken om belastingfraude te plegen of belasting te ontduiken bestaan erin gebruik te maken van grensoverschrijdende bedrijfsstructuren of soortgelijke regelingen om op frauduleuze wijze belastingvoordelen en -teruggaven te verkrijgen, </w:t>
            </w:r>
            <w:r w:rsidRPr="003B2FFA">
              <w:t>vermogensbestanddelen of winsten te verbergen, legale winsten en vermogensbestanddelen samen te voegen met illegale winsten en vermogensbestanddelen of deze over te dragen naar andere entiteiten in het buitenland om de oorsprong of de (economische) eigendo</w:t>
            </w:r>
            <w:r w:rsidRPr="003B2FFA">
              <w:t>m ervan te verhullen.</w:t>
            </w:r>
          </w:p>
        </w:tc>
        <w:tc>
          <w:tcPr>
            <w:tcW w:w="4876" w:type="dxa"/>
            <w:hideMark/>
          </w:tcPr>
          <w:p w:rsidR="00E93DAA" w:rsidRPr="003B2FFA" w:rsidRDefault="003B2FFA" w:rsidP="00ED3E81">
            <w:pPr>
              <w:pStyle w:val="Normal6"/>
              <w:rPr>
                <w:szCs w:val="24"/>
              </w:rPr>
            </w:pPr>
            <w:r w:rsidRPr="003B2FFA">
              <w:lastRenderedPageBreak/>
              <w:t>(10)</w:t>
            </w:r>
            <w:r w:rsidRPr="003B2FFA">
              <w:tab/>
            </w:r>
            <w:r w:rsidRPr="003B2FFA">
              <w:t xml:space="preserve">Andere misdrijven die in het kader van een criminele organisatie worden gepleegd, spelen een centrale rol bij het genereren van inkomsten en bij het mogelijk maken van verdere misdrijven, </w:t>
            </w:r>
            <w:r w:rsidRPr="003B2FFA">
              <w:lastRenderedPageBreak/>
              <w:t xml:space="preserve">waaronder ernstige misdrijven met een grensoverschrijdend karakter. </w:t>
            </w:r>
            <w:r w:rsidRPr="003B2FFA">
              <w:t>Dergelijke misdrijven moeten in de werkingssfeer van de richtlijn worden opgenomen voor zover zij in het kader van een criminele organisatie worden gepleegd. De namaak en de productpiraterij houden verband met witwaspraktijken en de vervalsing van document</w:t>
            </w:r>
            <w:r w:rsidRPr="003B2FFA">
              <w:t>en, en vormen een bedreiging voor de werking van de interne markt en de eerlijke concurrentie. De illegale handel in cultuurgoederen, waaronder antiquiteiten en kunstvoorwerpen, is vaak verweven met witwaspraktijken en vormt tevens een belangrijke financie</w:t>
            </w:r>
            <w:r w:rsidRPr="003B2FFA">
              <w:t xml:space="preserve">ringsbron voor criminele organisaties. Vervalsing van administratieve documenten en de handel daarin, met inbegrip van bankdocumenten of identificatiedocumenten, is een belangrijk instrument voor witwaspraktijken, mensenhandel of migrantensmokkel, en moet </w:t>
            </w:r>
            <w:r w:rsidRPr="003B2FFA">
              <w:t xml:space="preserve">als zodanig onder de werkingssfeer van deze richtlijn vallen. Andere misdrijven die vaak in het kader van een criminele organisatie worden gepleegd zijn moord of zware mishandeling, en de illegale handel in menselijke organen en weefsels, die een bron van </w:t>
            </w:r>
            <w:r w:rsidRPr="003B2FFA">
              <w:t>inkomsten zijn voor criminele organisaties in het kader van huurmoorden, intimidatie en mensenhandel. Evenzo worden ontvoering, wederrechtelijke vrijheidsberoving of gijzeling, alsmede racketeering en afpersing gebruikt als bron van inkomsten door het inne</w:t>
            </w:r>
            <w:r w:rsidRPr="003B2FFA">
              <w:t>n van losgeld of als intimidatietactiek tegen tegenstanders. Het misdrijf van georganiseerde of gewapende overvallen is een van de meest voorkomende vormen om winst te maken voor criminele organisaties, en het wordt vaak gepleegd in combinatie met andere m</w:t>
            </w:r>
            <w:r w:rsidRPr="003B2FFA">
              <w:t>isdrijven, in het bijzonder de handel in vuurwapens. De handel in gestolen voertuigen kan niet alleen winst opleveren, maar is ook een faciliterend misdrijf om te voorzien in de nodige hulpmiddelen om verdere strafbare feiten te plegen. Bovendien is het va</w:t>
            </w:r>
            <w:r w:rsidRPr="003B2FFA">
              <w:t xml:space="preserve">n essentieel belang dat fiscale misdrijven, voor zover zij als onderdeel van een criminele </w:t>
            </w:r>
            <w:r w:rsidRPr="003B2FFA">
              <w:lastRenderedPageBreak/>
              <w:t>organisatie worden gepleegd, in de werkingssfeer van de richtlijn worden opgenomen, aangezien dit specifieke misdrijf een bron van winst mogelijk maakt, vooral wanne</w:t>
            </w:r>
            <w:r w:rsidRPr="003B2FFA">
              <w:t xml:space="preserve">er wordt geopereerd in een grensoverschrijdende context. Gebruikelijke technieken om belastingfraude te plegen of belasting te ontduiken bestaan erin gebruik te maken van grensoverschrijdende bedrijfsstructuren of soortgelijke regelingen om op frauduleuze </w:t>
            </w:r>
            <w:r w:rsidRPr="003B2FFA">
              <w:t>wijze belastingvoordelen en -teruggaven te verkrijgen, vermogensbestanddelen of winsten te verbergen, legale winsten en vermogensbestanddelen samen te voegen met illegale winsten en vermogensbestanddelen of deze over te dragen naar andere entiteiten in het</w:t>
            </w:r>
            <w:r w:rsidRPr="003B2FFA">
              <w:t xml:space="preserve"> buitenland om de oorsprong of de (economische) eigendom ervan te verhullen. </w:t>
            </w:r>
            <w:r w:rsidRPr="003B2FFA">
              <w:rPr>
                <w:b/>
                <w:i/>
              </w:rPr>
              <w:t xml:space="preserve">Het is ook belangrijk in de werkingssfeer van deze richtlijn alle relevante strafbare feiten op te nemen die vallen onder Verordening (EU) 2018/1805 van het Europees Parlement en </w:t>
            </w:r>
            <w:r w:rsidRPr="003B2FFA">
              <w:rPr>
                <w:b/>
                <w:i/>
              </w:rPr>
              <w:t>de Raad</w:t>
            </w:r>
            <w:r w:rsidRPr="003B2FFA">
              <w:rPr>
                <w:b/>
                <w:i/>
                <w:vertAlign w:val="superscript"/>
              </w:rPr>
              <w:t>1 bis</w:t>
            </w:r>
            <w:r w:rsidRPr="003B2FFA">
              <w:rPr>
                <w:b/>
                <w:i/>
              </w:rPr>
              <w:t xml:space="preserve">. </w:t>
            </w:r>
            <w:r w:rsidRPr="003B2FFA">
              <w:rPr>
                <w:b/>
                <w:i/>
              </w:rPr>
              <w:t>Daarom moeten de illegale handel in nucleaire en radioactieve stoffen, misdrijven die onder de rechtsmacht van het Internationaal Strafhof vallen, kaping van vliegtuigen of schepen en sabotage aan de werkingssfeer van deze richtlijn worden toegevoegd.</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t>__</w:t>
            </w:r>
            <w:r w:rsidRPr="003B2FFA">
              <w:t>________________</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vertAlign w:val="superscript"/>
              </w:rPr>
              <w:t>1 bis</w:t>
            </w:r>
            <w:r w:rsidRPr="003B2FFA">
              <w:rPr>
                <w:b/>
                <w:i/>
              </w:rPr>
              <w:t xml:space="preserve"> Verordening (EU) 2018/1805 van het Europees Parlement en de </w:t>
            </w:r>
            <w:r w:rsidRPr="003B2FFA">
              <w:rPr>
                <w:b/>
                <w:i/>
                <w:iCs/>
              </w:rPr>
              <w:t>Raad van 14 november 2018 inzake de</w:t>
            </w:r>
            <w:r w:rsidRPr="003B2FFA">
              <w:rPr>
                <w:b/>
                <w:i/>
                <w:iCs/>
              </w:rPr>
              <w:t xml:space="preserve"> wederzijdse erkenning van bevriezingsbevelen en confiscatiebevelen</w:t>
            </w:r>
            <w:r w:rsidRPr="003B2FFA">
              <w:rPr>
                <w:b/>
              </w:rPr>
              <w:t xml:space="preserve"> (</w:t>
            </w:r>
            <w:r w:rsidRPr="003B2FFA">
              <w:rPr>
                <w:b/>
                <w:i/>
                <w:iCs/>
              </w:rPr>
              <w:t>PB L 303 van 28.11.2018, blz. 1</w:t>
            </w:r>
            <w:r w:rsidRPr="003B2FFA">
              <w:rPr>
                <w:b/>
                <w:i/>
              </w:rPr>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17</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(17)</w:t>
            </w:r>
            <w:r w:rsidRPr="003B2FFA">
              <w:tab/>
            </w:r>
            <w:r w:rsidRPr="003B2FFA">
              <w:t>Met het oog op een doeltreffende opsporing van vermogensbestanddelen en om snel te kunnen reageren op grensoverschrijdende verzoeken, moeten de bureaus voor de ontneming van vermogensbestanddelen toegang hebben tot de informatie aan de hand waarvan zij het</w:t>
            </w:r>
            <w:r w:rsidRPr="003B2FFA">
              <w:t xml:space="preserve"> bestaan, de eigendom of zeggenschap kunnen vaststellen ten aanzien van voorwerpen die in aanmerking kunnen komen voor een bevriezings- of confiscatiebevel. Daarom moeten de bureaus voor de ontneming van vermogensbestanddelen toegang hebben tot de relevant</w:t>
            </w:r>
            <w:r w:rsidRPr="003B2FFA">
              <w:t>e gegevens, zoals fiscale gegevens, nationale burgerschaps- en bevolkingsregisters, commerciële gegevensbanken en gegevens betreffende sociale zekerheid. Dit moet rechtshandhavingsinformatie omvatten voor zover gegevens zoals strafregisters, voertuigcontro</w:t>
            </w:r>
            <w:r w:rsidRPr="003B2FFA">
              <w:t>les, huiszoekingen en eerdere gerechtelijke acties zoals bevriezings- en confiscatiebevelen of inbeslagneming van contant geld van nut kunnen zijn om relevante voorwerpen te identificeren. De toegang tot informatie moet onderworpen zijn aan specifieke waar</w:t>
            </w:r>
            <w:r w:rsidRPr="003B2FFA">
              <w:t>borgen die misbruik van de toegangsrechten voorkomen. Deze waarborgen mogen geen afbreuk doen aan artikel 25 van Richtlijn (EU) 2016/680 van het Europees Parlement en de Raad</w:t>
            </w:r>
            <w:r w:rsidRPr="003B2FFA">
              <w:rPr>
                <w:vertAlign w:val="superscript"/>
              </w:rPr>
              <w:t>23</w:t>
            </w:r>
            <w:r w:rsidRPr="003B2FFA">
              <w:t>. De directe en onmiddellijke toegang tot deze informatie belet de lidstaten nie</w:t>
            </w:r>
            <w:r w:rsidRPr="003B2FFA">
              <w:t>t om de toegang afhankelijk te stellen van procedurele waarborgen die in het nationale recht zijn vastgesteld, en tegelijkertijd naar behoren rekening te houden met het feit dat de bureaus voor de ontneming van vermogensbestanddelen snel moeten kunnen reag</w:t>
            </w:r>
            <w:r w:rsidRPr="003B2FFA">
              <w:t xml:space="preserve">eren op grensoverschrijdende verzoeken. De toepassing van de procedurele waarborgen voor toegang tot gegevensbanken mag geen afbreuk doen aan het vermogen van de bureaus voor de ontneming van </w:t>
            </w:r>
            <w:r w:rsidRPr="003B2FFA">
              <w:lastRenderedPageBreak/>
              <w:t>vermogensbestanddelen om te reageren op verzoeken van andere lid</w:t>
            </w:r>
            <w:r w:rsidRPr="003B2FFA">
              <w:t>staten, met name in geval van dringende verzoeken. De toegang tot relevante gegevensbanken en registers uit hoofde van deze richtlijn moet een aanvulling vormen op de toegang tot bankrekeninginformatie uit hoofde van Richtlijn (EU) 2019/1153 van het Europe</w:t>
            </w:r>
            <w:r w:rsidRPr="003B2FFA">
              <w:t>es Parlement en de Raad en tot informatie over uiteindelijk begunstigden uit hoofde van Richtlijn (EU) 2015/849 van het Europees Parlement en de Raad</w:t>
            </w:r>
            <w:r w:rsidRPr="003B2FFA">
              <w:rPr>
                <w:vertAlign w:val="superscript"/>
              </w:rPr>
              <w:t>25</w:t>
            </w:r>
            <w:r w:rsidRPr="003B2FFA">
              <w:t>.</w:t>
            </w:r>
          </w:p>
        </w:tc>
        <w:tc>
          <w:tcPr>
            <w:tcW w:w="4876" w:type="dxa"/>
            <w:hideMark/>
          </w:tcPr>
          <w:p w:rsidR="00E93DAA" w:rsidRPr="003B2FFA" w:rsidRDefault="003B2FFA" w:rsidP="00ED3E81">
            <w:pPr>
              <w:pStyle w:val="Normal6"/>
              <w:rPr>
                <w:szCs w:val="24"/>
              </w:rPr>
            </w:pPr>
            <w:r w:rsidRPr="003B2FFA">
              <w:lastRenderedPageBreak/>
              <w:t>(17)</w:t>
            </w:r>
            <w:r w:rsidRPr="003B2FFA">
              <w:tab/>
              <w:t>Met het oog op een doeltreffende opsporing van vermogensbestanddelen en om snel te kunnen reageren</w:t>
            </w:r>
            <w:r w:rsidRPr="003B2FFA">
              <w:t xml:space="preserve"> op grensoverschrijdende verzoeken, moeten de bureaus voor de ontneming van vermogensbestanddelen </w:t>
            </w:r>
            <w:r w:rsidRPr="003B2FFA">
              <w:rPr>
                <w:b/>
                <w:bCs/>
                <w:i/>
                <w:iCs/>
              </w:rPr>
              <w:t>rechtstreeks</w:t>
            </w:r>
            <w:r w:rsidRPr="003B2FFA">
              <w:t xml:space="preserve"> toegang hebben tot de informatie aan de hand waarvan zij het bestaan, de eigendom of zeggenschap kunnen vaststellen ten aanzien van voorwerpen di</w:t>
            </w:r>
            <w:r w:rsidRPr="003B2FFA">
              <w:t>e in aanmerking kunnen komen voor een bevriezings- of confiscatiebevel. Daarom moeten de bureaus voor de ontneming van vermogensbestanddelen toegang hebben tot de relevante gegevens, zoals fiscale gegevens, nationale burgerschaps- en bevolkingsregisters, c</w:t>
            </w:r>
            <w:r w:rsidRPr="003B2FFA">
              <w:t>ommerciële gegevensbanken en gegevens betreffende sociale zekerheid. Dit moet rechtshandhavingsinformatie omvatten voor zover gegevens zoals strafregisters, voertuigcontroles, huiszoekingen en eerdere gerechtelijke acties zoals bevriezings- en confiscatieb</w:t>
            </w:r>
            <w:r w:rsidRPr="003B2FFA">
              <w:t>evelen of inbeslagneming van contant geld van nut kunnen zijn om relevante voorwerpen te identificeren</w:t>
            </w:r>
            <w:r w:rsidRPr="003B2FFA">
              <w:rPr>
                <w:b/>
                <w:bCs/>
                <w:i/>
                <w:iCs/>
              </w:rPr>
              <w:t>.</w:t>
            </w:r>
            <w:r w:rsidRPr="003B2FFA">
              <w:rPr>
                <w:b/>
                <w:i/>
              </w:rPr>
              <w:t xml:space="preserve"> In de mate van het mogelijke en waar deze informatie te vinden is in databanken en geautomatiseerde systemen, moet die toegang rechtstreeks en onmiddell</w:t>
            </w:r>
            <w:r w:rsidRPr="003B2FFA">
              <w:rPr>
                <w:b/>
                <w:i/>
              </w:rPr>
              <w:t>ijk zijn. Wanneer een aanvullende interventie nodig is om dergelijke informatie beschikbaar te maken om toegang te verlenen, moeten de bevoegde autoriteiten dergelijke informatie snel leveren om de bureaus voor de ontneming van vermogensbestanddelen in sta</w:t>
            </w:r>
            <w:r w:rsidRPr="003B2FFA">
              <w:rPr>
                <w:b/>
                <w:i/>
              </w:rPr>
              <w:t>at te stellen hun taken in het kader van deze richtlijn doeltreffend uit te oefenen</w:t>
            </w:r>
            <w:r w:rsidRPr="003B2FFA">
              <w:t>. De toegang tot informatie moet onderworpen zijn aan specifieke waarborgen die misbruik van de toegangsrechten voorkomen. Deze waarborgen mogen geen afbreuk doen aan artike</w:t>
            </w:r>
            <w:r w:rsidRPr="003B2FFA">
              <w:t>l 25 van Richtlijn (EU) 2016/680 van het Europees Parlement en de Raad</w:t>
            </w:r>
            <w:r w:rsidRPr="003B2FFA">
              <w:rPr>
                <w:vertAlign w:val="superscript"/>
              </w:rPr>
              <w:t>23</w:t>
            </w:r>
            <w:r w:rsidRPr="003B2FFA">
              <w:t xml:space="preserve">. De directe en onmiddellijke toegang tot deze </w:t>
            </w:r>
            <w:r w:rsidRPr="003B2FFA">
              <w:lastRenderedPageBreak/>
              <w:t>informatie belet de lidstaten niet om de toegang afhankelijk te stellen van procedurele waarborgen die in het nationale recht zijn vastge</w:t>
            </w:r>
            <w:r w:rsidRPr="003B2FFA">
              <w:t>steld, en tegelijkertijd naar behoren rekening te houden met het feit dat de bureaus voor de ontneming van vermogensbestanddelen snel moeten kunnen reageren op grensoverschrijdende verzoeken. De toepassing van de procedurele waarborgen voor toegang tot geg</w:t>
            </w:r>
            <w:r w:rsidRPr="003B2FFA">
              <w:t xml:space="preserve">evensbanken mag geen afbreuk doen aan het vermogen van de bureaus voor de ontneming van vermogensbestanddelen om te reageren op verzoeken van andere lidstaten, met name in geval van dringende verzoeken. De toegang tot relevante gegevensbanken en registers </w:t>
            </w:r>
            <w:r w:rsidRPr="003B2FFA">
              <w:t>uit hoofde van deze richtlijn moet een aanvulling vormen op de toegang tot bankrekeninginformatie uit hoofde van Richtlijn (EU) 2019/1153 van het Europees Parlement en de Raad en tot informatie over uiteindelijk begunstigden uit hoofde van Richtlijn (EU) 2</w:t>
            </w:r>
            <w:r w:rsidRPr="003B2FFA">
              <w:t>015/849 van het Europees Parlement en de Raad</w:t>
            </w:r>
            <w:r w:rsidRPr="003B2FFA">
              <w:rPr>
                <w:vertAlign w:val="superscript"/>
              </w:rPr>
              <w:t>25</w:t>
            </w:r>
            <w:r w:rsidRPr="003B2FFA">
              <w:t>.</w:t>
            </w:r>
          </w:p>
        </w:tc>
      </w:tr>
      <w:tr w:rsidR="003B2FFA" w:rsidRPr="003B2FFA" w:rsidTr="00E93DAA">
        <w:trPr>
          <w:jc w:val="center"/>
        </w:trPr>
        <w:tc>
          <w:tcPr>
            <w:tcW w:w="4876" w:type="dxa"/>
            <w:hideMark/>
          </w:tcPr>
          <w:p w:rsidR="00E93DAA" w:rsidRPr="003B2FFA" w:rsidRDefault="003B2FFA">
            <w:pPr>
              <w:pStyle w:val="Normal6"/>
            </w:pPr>
            <w:r w:rsidRPr="003B2FFA">
              <w:t>__________________</w:t>
            </w:r>
          </w:p>
        </w:tc>
        <w:tc>
          <w:tcPr>
            <w:tcW w:w="4876" w:type="dxa"/>
            <w:hideMark/>
          </w:tcPr>
          <w:p w:rsidR="00E93DAA" w:rsidRPr="003B2FFA" w:rsidRDefault="003B2FFA">
            <w:pPr>
              <w:pStyle w:val="Normal6"/>
              <w:rPr>
                <w:szCs w:val="24"/>
              </w:rPr>
            </w:pPr>
            <w:r w:rsidRPr="003B2FFA">
              <w:t>__________________</w:t>
            </w:r>
          </w:p>
        </w:tc>
      </w:tr>
      <w:tr w:rsidR="003B2FFA" w:rsidRPr="003B2FFA" w:rsidTr="00E93DAA">
        <w:trPr>
          <w:jc w:val="center"/>
        </w:trPr>
        <w:tc>
          <w:tcPr>
            <w:tcW w:w="4876" w:type="dxa"/>
            <w:hideMark/>
          </w:tcPr>
          <w:p w:rsidR="00E93DAA" w:rsidRPr="003B2FFA" w:rsidRDefault="003B2FFA">
            <w:pPr>
              <w:pStyle w:val="Normal6"/>
            </w:pPr>
            <w:r w:rsidRPr="003B2FFA">
              <w:rPr>
                <w:vertAlign w:val="superscript"/>
              </w:rPr>
              <w:t>23</w:t>
            </w:r>
            <w:r w:rsidRPr="003B2FFA">
              <w:t xml:space="preserve"> Richtlijn (EU) 2016/680 van het Europees Parlement en de Raad van 27 april 2016 betreffende de bescherming van natuurlijke personen in verband met de verwerking van</w:t>
            </w:r>
            <w:r w:rsidRPr="003B2FFA">
              <w:t xml:space="preserve"> persoonsgegevens door bevoegde autoriteiten met het oog op de voorkoming, het onderzoek, de opsporing en de vervolging van strafbare feiten of de tenuitvoerlegging van straffen, en betreffende het vrije verkeer van die gegevens en tot intrekking van Kader</w:t>
            </w:r>
            <w:r w:rsidRPr="003B2FFA">
              <w:t>besluit 2008/977/JBZ van de Raad (PB L 119 van 4.5.2016, blz. 89).</w:t>
            </w:r>
          </w:p>
        </w:tc>
        <w:tc>
          <w:tcPr>
            <w:tcW w:w="4876" w:type="dxa"/>
            <w:hideMark/>
          </w:tcPr>
          <w:p w:rsidR="00E93DAA" w:rsidRPr="003B2FFA" w:rsidRDefault="003B2FFA">
            <w:pPr>
              <w:pStyle w:val="Normal6"/>
              <w:rPr>
                <w:szCs w:val="24"/>
              </w:rPr>
            </w:pPr>
            <w:r w:rsidRPr="003B2FFA">
              <w:rPr>
                <w:vertAlign w:val="superscript"/>
              </w:rPr>
              <w:t>23</w:t>
            </w:r>
            <w:r w:rsidRPr="003B2FFA">
              <w:t xml:space="preserve"> Richtlijn (EU) 2016/680 van het Europees Parlement en de Raad van 27 april 2016 betreffende de bescherming van natuurlijke personen in verband met de verwerking van persoonsgegevens door</w:t>
            </w:r>
            <w:r w:rsidRPr="003B2FFA">
              <w:t xml:space="preserve"> bevoegde autoriteiten met het oog op de voorkoming, het onderzoek, de opsporing en de vervolging van strafbare feiten of de tenuitvoerlegging van straffen, en betreffende het vrije verkeer van die gegevens en tot intrekking van Kaderbesluit 2008/977/JBZ v</w:t>
            </w:r>
            <w:r w:rsidRPr="003B2FFA">
              <w:t>an de Raad (PB L 119 van 4.5.2016, blz. 89).</w:t>
            </w:r>
          </w:p>
        </w:tc>
      </w:tr>
      <w:tr w:rsidR="003B2FFA" w:rsidRPr="003B2FFA" w:rsidTr="00E93DAA">
        <w:trPr>
          <w:jc w:val="center"/>
        </w:trPr>
        <w:tc>
          <w:tcPr>
            <w:tcW w:w="4876" w:type="dxa"/>
            <w:hideMark/>
          </w:tcPr>
          <w:p w:rsidR="00E93DAA" w:rsidRPr="003B2FFA" w:rsidRDefault="003B2FFA">
            <w:pPr>
              <w:pStyle w:val="Normal6"/>
            </w:pPr>
            <w:r w:rsidRPr="003B2FFA">
              <w:rPr>
                <w:vertAlign w:val="superscript"/>
              </w:rPr>
              <w:t>24</w:t>
            </w:r>
            <w:r w:rsidRPr="003B2FFA">
              <w:t xml:space="preserve"> Richtlijn (EU) 2019/1153 van het Europees Parlement en de Raad van 20 juni 2019 tot vaststelling van regels ter vergemakkelijking van het gebruik van financiële en andere informatie voor het voorkomen, opsporen, onderzoeken of vervolgen van bepaalde straf</w:t>
            </w:r>
            <w:r w:rsidRPr="003B2FFA">
              <w:t xml:space="preserve">bare feiten, en tot intrekking van Besluit 2000/642/JBZ van de Raad (PB L 186 van 11.7.2019, </w:t>
            </w:r>
            <w:r w:rsidRPr="003B2FFA">
              <w:lastRenderedPageBreak/>
              <w:t>blz. 122).</w:t>
            </w:r>
          </w:p>
        </w:tc>
        <w:tc>
          <w:tcPr>
            <w:tcW w:w="4876" w:type="dxa"/>
            <w:hideMark/>
          </w:tcPr>
          <w:p w:rsidR="00E93DAA" w:rsidRPr="003B2FFA" w:rsidRDefault="003B2FFA">
            <w:pPr>
              <w:pStyle w:val="Normal6"/>
              <w:rPr>
                <w:szCs w:val="24"/>
              </w:rPr>
            </w:pPr>
            <w:r w:rsidRPr="003B2FFA">
              <w:rPr>
                <w:vertAlign w:val="superscript"/>
              </w:rPr>
              <w:lastRenderedPageBreak/>
              <w:t>24</w:t>
            </w:r>
            <w:r w:rsidRPr="003B2FFA">
              <w:t xml:space="preserve"> Richtlijn (EU) 2019/1153 van het Europees Parlement en de Raad van 20 juni 2019 tot vaststelling van regels ter vergemakkelijking van het gebruik van</w:t>
            </w:r>
            <w:r w:rsidRPr="003B2FFA">
              <w:t xml:space="preserve"> financiële en andere informatie voor het voorkomen, opsporen, onderzoeken of vervolgen van bepaalde strafbare feiten, en tot intrekking van Besluit 2000/642/JBZ van de Raad (PB L 186 van 11.7.2019, </w:t>
            </w:r>
            <w:r w:rsidRPr="003B2FFA">
              <w:lastRenderedPageBreak/>
              <w:t>blz. 122).</w:t>
            </w:r>
          </w:p>
        </w:tc>
      </w:tr>
      <w:tr w:rsidR="003B2FFA" w:rsidRPr="003B2FFA" w:rsidTr="00E93DAA">
        <w:trPr>
          <w:jc w:val="center"/>
        </w:trPr>
        <w:tc>
          <w:tcPr>
            <w:tcW w:w="4876" w:type="dxa"/>
            <w:hideMark/>
          </w:tcPr>
          <w:p w:rsidR="00E93DAA" w:rsidRPr="003B2FFA" w:rsidRDefault="003B2FFA">
            <w:pPr>
              <w:pStyle w:val="Normal6"/>
            </w:pPr>
            <w:r w:rsidRPr="003B2FFA">
              <w:rPr>
                <w:vertAlign w:val="superscript"/>
              </w:rPr>
              <w:t>25</w:t>
            </w:r>
            <w:r w:rsidRPr="003B2FFA">
              <w:t xml:space="preserve"> Richtlijn (EU) 2015/849 van het Europees P</w:t>
            </w:r>
            <w:r w:rsidRPr="003B2FFA">
              <w:t>arlement en de Raad van 20 mei 2015 inzake de voorkoming van het gebruik van het financiële stelsel voor het witwassen van geld of terrorismefinanciering, als gewijzigd door Richtlijn (EU) 2018/843 (PB L 141 van 5.6.2015, blz. 73).</w:t>
            </w:r>
          </w:p>
        </w:tc>
        <w:tc>
          <w:tcPr>
            <w:tcW w:w="4876" w:type="dxa"/>
            <w:hideMark/>
          </w:tcPr>
          <w:p w:rsidR="00E93DAA" w:rsidRPr="003B2FFA" w:rsidRDefault="003B2FFA">
            <w:pPr>
              <w:pStyle w:val="Normal6"/>
              <w:rPr>
                <w:szCs w:val="24"/>
              </w:rPr>
            </w:pPr>
            <w:r w:rsidRPr="003B2FFA">
              <w:rPr>
                <w:vertAlign w:val="superscript"/>
              </w:rPr>
              <w:t>25</w:t>
            </w:r>
            <w:r w:rsidRPr="003B2FFA">
              <w:t xml:space="preserve"> Richtlijn (EU) 2015/8</w:t>
            </w:r>
            <w:r w:rsidRPr="003B2FFA">
              <w:t>49 van het Europees Parlement en de Raad van 20 mei 2015 inzake de voorkoming van het gebruik van het financiële stelsel voor het witwassen van geld of terrorismefinanciering, als gewijzigd door Richtlijn (EU) 2018/843 (PB L 141 van 5.6.2015, blz. 73).</w:t>
            </w:r>
          </w:p>
        </w:tc>
      </w:tr>
    </w:tbl>
    <w:p w:rsidR="00E93DAA" w:rsidRPr="003B2FFA" w:rsidRDefault="003B2FFA" w:rsidP="00E93DAA">
      <w:pPr>
        <w:pStyle w:val="Olang"/>
      </w:pPr>
      <w:r w:rsidRPr="003B2FFA">
        <w:rPr>
          <w:noProof w:val="0"/>
        </w:rPr>
        <w:t>Or</w:t>
      </w:r>
      <w:r w:rsidRPr="003B2FFA">
        <w:rPr>
          <w:noProof w:val="0"/>
        </w:rPr>
        <w:t xml:space="preserve">.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18</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(18)</w:t>
            </w:r>
            <w:r w:rsidRPr="003B2FFA">
              <w:tab/>
            </w:r>
            <w:r w:rsidRPr="003B2FFA">
              <w:t>Om de veiligheid te garanderen van de informatie die tussen de bureaus voor de ontneming van vermogensbestanddelen wordt uitgewisseld, moet het gebruik van de applicatie voor veilige informatie-uitwisseling (Siena), die door Europol wordt beheerd overeenko</w:t>
            </w:r>
            <w:r w:rsidRPr="003B2FFA">
              <w:t>mstig Verordening (EU) 2016/794 van het Europees Parlement en de Raad</w:t>
            </w:r>
            <w:r w:rsidRPr="003B2FFA">
              <w:rPr>
                <w:vertAlign w:val="superscript"/>
              </w:rPr>
              <w:t>26</w:t>
            </w:r>
            <w:r w:rsidRPr="003B2FFA">
              <w:t>, worden verplicht gesteld voor alle communicatie tussen de bureaus voor de ontneming van vermogensbestanddelen in het kader van deze richtlijn. Om alle bij deze richtlijn toegewezen ta</w:t>
            </w:r>
            <w:r w:rsidRPr="003B2FFA">
              <w:t xml:space="preserve">ken te kunnen vervullen, moeten alle bureaus voor de ontneming van vermogensbestanddelen derhalve rechtstreeks toegang </w:t>
            </w:r>
            <w:r w:rsidRPr="003B2FFA">
              <w:rPr>
                <w:b/>
                <w:bCs/>
                <w:i/>
                <w:iCs/>
              </w:rPr>
              <w:t>kunnen</w:t>
            </w:r>
            <w:r w:rsidRPr="003B2FFA">
              <w:rPr>
                <w:b/>
                <w:bCs/>
                <w:i/>
                <w:iCs/>
              </w:rPr>
              <w:t xml:space="preserve"> krijgen</w:t>
            </w:r>
            <w:r w:rsidRPr="003B2FFA">
              <w:t xml:space="preserve"> tot Siena.</w:t>
            </w:r>
          </w:p>
        </w:tc>
        <w:tc>
          <w:tcPr>
            <w:tcW w:w="4876" w:type="dxa"/>
            <w:hideMark/>
          </w:tcPr>
          <w:p w:rsidR="00E93DAA" w:rsidRPr="003B2FFA" w:rsidRDefault="003B2FFA">
            <w:pPr>
              <w:pStyle w:val="Normal6"/>
              <w:rPr>
                <w:szCs w:val="24"/>
              </w:rPr>
            </w:pPr>
            <w:r w:rsidRPr="003B2FFA">
              <w:t>(18)</w:t>
            </w:r>
            <w:r w:rsidRPr="003B2FFA">
              <w:tab/>
              <w:t>Om de veiligheid te garanderen van de informatie die tussen de bureaus voor de ontneming van vermogensbest</w:t>
            </w:r>
            <w:r w:rsidRPr="003B2FFA">
              <w:t>anddelen wordt uitgewisseld, moet het gebruik van de applicatie voor veilige informatie-uitwisseling (Siena), die door Europol wordt beheerd overeenkomstig Verordening (EU) 2016/794 van het Europees Parlement en de Raad</w:t>
            </w:r>
            <w:r w:rsidRPr="003B2FFA">
              <w:rPr>
                <w:vertAlign w:val="superscript"/>
              </w:rPr>
              <w:t>26</w:t>
            </w:r>
            <w:r w:rsidRPr="003B2FFA">
              <w:t>, worden verplicht gesteld voor all</w:t>
            </w:r>
            <w:r w:rsidRPr="003B2FFA">
              <w:t>e communicatie tussen de bureaus voor de ontneming van vermogensbestanddelen in het kader van deze richtlijn. Om alle bij deze richtlijn toegewezen taken te kunnen vervullen, moeten alle bureaus voor de ontneming van vermogensbestanddelen derhalve rechtstr</w:t>
            </w:r>
            <w:r w:rsidRPr="003B2FFA">
              <w:t xml:space="preserve">eeks toegang </w:t>
            </w:r>
            <w:r w:rsidRPr="003B2FFA">
              <w:rPr>
                <w:b/>
                <w:bCs/>
                <w:i/>
                <w:iCs/>
              </w:rPr>
              <w:t>hebben</w:t>
            </w:r>
            <w:r w:rsidRPr="003B2FFA">
              <w:rPr>
                <w:i/>
                <w:iCs/>
              </w:rPr>
              <w:t xml:space="preserve"> </w:t>
            </w:r>
            <w:r w:rsidRPr="003B2FFA">
              <w:t>tot Siena.</w:t>
            </w:r>
          </w:p>
        </w:tc>
      </w:tr>
      <w:tr w:rsidR="003B2FFA" w:rsidRPr="003B2FFA" w:rsidTr="00E93DAA">
        <w:trPr>
          <w:jc w:val="center"/>
        </w:trPr>
        <w:tc>
          <w:tcPr>
            <w:tcW w:w="4876" w:type="dxa"/>
            <w:hideMark/>
          </w:tcPr>
          <w:p w:rsidR="00E93DAA" w:rsidRPr="003B2FFA" w:rsidRDefault="003B2FFA">
            <w:pPr>
              <w:pStyle w:val="Normal6"/>
            </w:pPr>
            <w:r w:rsidRPr="003B2FFA">
              <w:t>__________________</w:t>
            </w:r>
          </w:p>
        </w:tc>
        <w:tc>
          <w:tcPr>
            <w:tcW w:w="4876" w:type="dxa"/>
            <w:hideMark/>
          </w:tcPr>
          <w:p w:rsidR="00E93DAA" w:rsidRPr="003B2FFA" w:rsidRDefault="003B2FFA">
            <w:pPr>
              <w:pStyle w:val="Normal6"/>
              <w:rPr>
                <w:szCs w:val="24"/>
              </w:rPr>
            </w:pPr>
            <w:r w:rsidRPr="003B2FFA">
              <w:t>__________________</w:t>
            </w:r>
          </w:p>
        </w:tc>
      </w:tr>
      <w:tr w:rsidR="003B2FFA" w:rsidRPr="003B2FFA" w:rsidTr="00E93DAA">
        <w:trPr>
          <w:jc w:val="center"/>
        </w:trPr>
        <w:tc>
          <w:tcPr>
            <w:tcW w:w="4876" w:type="dxa"/>
            <w:hideMark/>
          </w:tcPr>
          <w:p w:rsidR="00E93DAA" w:rsidRPr="003B2FFA" w:rsidRDefault="003B2FFA">
            <w:pPr>
              <w:pStyle w:val="Normal6"/>
            </w:pPr>
            <w:r w:rsidRPr="003B2FFA">
              <w:rPr>
                <w:vertAlign w:val="superscript"/>
              </w:rPr>
              <w:t>26</w:t>
            </w:r>
            <w:r w:rsidRPr="003B2FFA">
              <w:t xml:space="preserve"> Verordening (EU) 2016/794 van het Europees Parlement en de Raad van 11 mei 2016 betreffende het Agentschap van de Europese Unie voor samenwerking op het gebied van rechtshandhaving (</w:t>
            </w:r>
            <w:r w:rsidRPr="003B2FFA">
              <w:t xml:space="preserve">Europol) en tot vervanging en intrekking van de Besluiten 2009/371/JBZ, 2009/934/JBZ, 2009/935/JBZ, 2009/936/JBZ en 2009/968/JBZ van de </w:t>
            </w:r>
            <w:r w:rsidRPr="003B2FFA">
              <w:lastRenderedPageBreak/>
              <w:t>Raad (PB L 135 van 24.5.2016, blz. 53).</w:t>
            </w:r>
          </w:p>
        </w:tc>
        <w:tc>
          <w:tcPr>
            <w:tcW w:w="4876" w:type="dxa"/>
            <w:hideMark/>
          </w:tcPr>
          <w:p w:rsidR="00E93DAA" w:rsidRPr="003B2FFA" w:rsidRDefault="003B2FFA">
            <w:pPr>
              <w:pStyle w:val="Normal6"/>
              <w:rPr>
                <w:szCs w:val="24"/>
              </w:rPr>
            </w:pPr>
            <w:r w:rsidRPr="003B2FFA">
              <w:rPr>
                <w:vertAlign w:val="superscript"/>
              </w:rPr>
              <w:lastRenderedPageBreak/>
              <w:t>26</w:t>
            </w:r>
            <w:r w:rsidRPr="003B2FFA">
              <w:t xml:space="preserve"> Verordening (EU) 2016/794 van het Europees Parlement en de Raad van 11 mei 20</w:t>
            </w:r>
            <w:r w:rsidRPr="003B2FFA">
              <w:t xml:space="preserve">16 betreffende het Agentschap van de Europese Unie voor samenwerking op het gebied van rechtshandhaving (Europol) en tot vervanging en intrekking van de Besluiten 2009/371/JBZ, 2009/934/JBZ, 2009/935/JBZ, 2009/936/JBZ en 2009/968/JBZ van de </w:t>
            </w:r>
            <w:r w:rsidRPr="003B2FFA">
              <w:lastRenderedPageBreak/>
              <w:t xml:space="preserve">Raad (PB L 135 </w:t>
            </w:r>
            <w:r w:rsidRPr="003B2FFA">
              <w:t>van 24.5.2016, blz. 53).</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24</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(24)</w:t>
            </w:r>
            <w:r w:rsidRPr="003B2FFA">
              <w:tab/>
            </w:r>
            <w:r w:rsidRPr="003B2FFA">
              <w:t>Het is een gebruikelijke en algemene praktijk dat de verdachte of beklaagde voorwerpen of opbrengsten overdraagt aan een derde, medewetende partij om confiscatie te vermijden. Met verwerving door derden wordt bijvoorbeeld bedoeld dat voorwerpen direct of i</w:t>
            </w:r>
            <w:r w:rsidRPr="003B2FFA">
              <w:t>ndirect, bijvoorbeeld via een tussenpersoon, door de derde partij zijn verkregen van een verdachte of beklaagde, ook indien het strafbare feit in zijn opdracht of te zijnen voordele is gepleegd, en wanneer een beklaagde geen voorwerpen heeft die kunnen wor</w:t>
            </w:r>
            <w:r w:rsidRPr="003B2FFA">
              <w:t xml:space="preserve">den geconfisqueerd. Een dergelijke confiscatie zou mogelijk moeten zijn in gevallen waarin </w:t>
            </w:r>
            <w:r w:rsidRPr="003B2FFA">
              <w:rPr>
                <w:b/>
                <w:bCs/>
                <w:i/>
                <w:iCs/>
              </w:rPr>
              <w:t>is</w:t>
            </w:r>
            <w:r w:rsidRPr="003B2FFA">
              <w:t xml:space="preserve"> vastgesteld dat derden wisten of </w:t>
            </w:r>
            <w:r w:rsidRPr="003B2FFA">
              <w:rPr>
                <w:b/>
                <w:bCs/>
                <w:i/>
                <w:iCs/>
              </w:rPr>
              <w:t>hadden moeten</w:t>
            </w:r>
            <w:r w:rsidRPr="003B2FFA">
              <w:t xml:space="preserve"> weten dat het doel van de overdracht of de verwerving het vermijden van confiscatie was, en dit op grond van concre</w:t>
            </w:r>
            <w:r w:rsidRPr="003B2FFA">
              <w:t>te feiten en omstandigheden, zoals het feit dat de overdracht kosteloos werd uitgevoerd of tegen een bedrag dat beduidend onder de marktwaarde lag. De regels inzake confiscatie bij derden moeten zowel op natuurlijke als op rechtspersonen van toepassing zij</w:t>
            </w:r>
            <w:r w:rsidRPr="003B2FFA">
              <w:t xml:space="preserve">n, onverminderd het recht van derden om te worden gehoord, met inbegrip van het recht om de eigendom van de betrokken voorwerpen op te eisen. </w:t>
            </w:r>
            <w:r w:rsidRPr="003B2FFA">
              <w:rPr>
                <w:b/>
                <w:bCs/>
                <w:i/>
                <w:iCs/>
              </w:rPr>
              <w:t>In ieder geval</w:t>
            </w:r>
            <w:r w:rsidRPr="003B2FFA">
              <w:t xml:space="preserve"> </w:t>
            </w:r>
            <w:r w:rsidRPr="003B2FFA">
              <w:rPr>
                <w:b/>
                <w:bCs/>
                <w:i/>
                <w:iCs/>
              </w:rPr>
              <w:t>mogen</w:t>
            </w:r>
            <w:r w:rsidRPr="003B2FFA">
              <w:t xml:space="preserve"> de rechten van derden te goeder trouw niet worden aangetast.</w:t>
            </w:r>
          </w:p>
        </w:tc>
        <w:tc>
          <w:tcPr>
            <w:tcW w:w="4876" w:type="dxa"/>
            <w:hideMark/>
          </w:tcPr>
          <w:p w:rsidR="00E93DAA" w:rsidRPr="003B2FFA" w:rsidRDefault="003B2FFA" w:rsidP="00EB525F">
            <w:pPr>
              <w:pStyle w:val="Normal6"/>
              <w:rPr>
                <w:szCs w:val="24"/>
              </w:rPr>
            </w:pPr>
            <w:r w:rsidRPr="003B2FFA">
              <w:t>(24)</w:t>
            </w:r>
            <w:r w:rsidRPr="003B2FFA">
              <w:tab/>
              <w:t>Het is een gebruikelijke en</w:t>
            </w:r>
            <w:r w:rsidRPr="003B2FFA">
              <w:t xml:space="preserve"> algemene praktijk dat de verdachte of beklaagde voorwerpen of opbrengsten overdraagt aan een derde, medewetende partij om confiscatie te vermijden. Met verwerving door derden wordt bijvoorbeeld bedoeld dat voorwerpen direct of indirect, bijvoorbeeld via e</w:t>
            </w:r>
            <w:r w:rsidRPr="003B2FFA">
              <w:t>en tussenpersoon, door de derde partij zijn verkregen van een verdachte of beklaagde, ook indien het strafbare feit in zijn opdracht of te zijnen voordele is gepleegd, en wanneer een beklaagde geen voorwerpen heeft die kunnen worden geconfisqueerd. Een der</w:t>
            </w:r>
            <w:r w:rsidRPr="003B2FFA">
              <w:t>gelijke confiscatie zou mogelijk moeten zijn in gevallen waarin</w:t>
            </w:r>
            <w:r w:rsidRPr="003B2FFA">
              <w:rPr>
                <w:b/>
                <w:bCs/>
                <w:i/>
                <w:iCs/>
              </w:rPr>
              <w:t xml:space="preserve"> een nationale rechtbank, op basis</w:t>
            </w:r>
            <w:r w:rsidRPr="003B2FFA">
              <w:rPr>
                <w:i/>
                <w:iCs/>
              </w:rPr>
              <w:t xml:space="preserve"> </w:t>
            </w:r>
            <w:r w:rsidRPr="003B2FFA">
              <w:rPr>
                <w:b/>
                <w:bCs/>
                <w:i/>
                <w:iCs/>
              </w:rPr>
              <w:t>van concrete feiten en omstandigheden, heeft</w:t>
            </w:r>
            <w:r w:rsidRPr="003B2FFA">
              <w:t xml:space="preserve"> vastgesteld dat derden wisten of </w:t>
            </w:r>
            <w:r w:rsidRPr="003B2FFA">
              <w:rPr>
                <w:b/>
                <w:bCs/>
                <w:i/>
                <w:iCs/>
              </w:rPr>
              <w:t xml:space="preserve">verondersteld konden zijn te </w:t>
            </w:r>
            <w:r w:rsidRPr="003B2FFA">
              <w:t>weten dat het doel van de overdracht of de verwervi</w:t>
            </w:r>
            <w:r w:rsidRPr="003B2FFA">
              <w:t xml:space="preserve">ng het vermijden van confiscatie was </w:t>
            </w:r>
            <w:r w:rsidRPr="003B2FFA">
              <w:rPr>
                <w:b/>
                <w:i/>
              </w:rPr>
              <w:t>of dat de overgedragen voorwerpen direct of indirect verband hielden met crimineel gedrag</w:t>
            </w:r>
            <w:r w:rsidRPr="003B2FFA">
              <w:t>, en dit op grond van concrete feiten en omstandigheden, zoals het feit dat de overdracht kosteloos werd uitgevoerd of tegen een b</w:t>
            </w:r>
            <w:r w:rsidRPr="003B2FFA">
              <w:t>edrag dat beduidend onder de marktwaarde lag. De regels inzake confiscatie bij derden moeten zowel op natuurlijke als op rechtspersonen van toepassing zijn, onverminderd het recht van derden om te worden gehoord, met inbegrip van het recht om de eigendom v</w:t>
            </w:r>
            <w:r w:rsidRPr="003B2FFA">
              <w:t xml:space="preserve">an de betrokken voorwerpen op te eisen. De rechten van derden te goeder trouw </w:t>
            </w:r>
            <w:r w:rsidRPr="003B2FFA">
              <w:rPr>
                <w:b/>
                <w:bCs/>
                <w:i/>
                <w:iCs/>
              </w:rPr>
              <w:t xml:space="preserve">die een eerlijke marktwaarde voor de aankoop </w:t>
            </w:r>
            <w:r w:rsidRPr="003B2FFA">
              <w:rPr>
                <w:b/>
                <w:bCs/>
                <w:i/>
                <w:iCs/>
              </w:rPr>
              <w:lastRenderedPageBreak/>
              <w:t>van de voorwerpen hebben betaald</w:t>
            </w:r>
            <w:r w:rsidRPr="003B2FFA">
              <w:t xml:space="preserve">, </w:t>
            </w:r>
            <w:r w:rsidRPr="003B2FFA">
              <w:rPr>
                <w:b/>
                <w:bCs/>
                <w:i/>
                <w:iCs/>
              </w:rPr>
              <w:t xml:space="preserve">mogen </w:t>
            </w:r>
            <w:r w:rsidRPr="003B2FFA">
              <w:t xml:space="preserve">niet worden aangetast. </w:t>
            </w:r>
            <w:r w:rsidRPr="003B2FFA">
              <w:rPr>
                <w:b/>
                <w:i/>
              </w:rPr>
              <w:t>Dergelijke derden moeten de kans krijgen om hun bevindingen over de be</w:t>
            </w:r>
            <w:r w:rsidRPr="003B2FFA">
              <w:rPr>
                <w:b/>
                <w:i/>
              </w:rPr>
              <w:t>oogde confiscatiemaatregel voor te leggen of om in de rechtbank teruggave van de voorwerpen te vragen.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26</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(26)</w:t>
            </w:r>
            <w:r w:rsidRPr="003B2FFA">
              <w:tab/>
              <w:t xml:space="preserve">Confiscatie moet ook mogelijk zijn wanneer een rechter ervan overtuigd is dat de betrokken hulpmiddelen, opbrengsten of voorwerpen afkomstig zijn van crimineel gedrag, maar een definitieve </w:t>
            </w:r>
            <w:r w:rsidRPr="003B2FFA">
              <w:t>veroordeling niet mogelijk is wegens ziekte, vlucht of overlijden van de verdachte of beklaagde of omdat de verdachte of beklaagde niet aansprakelijk kan worden gesteld wegens immuniteit of amnestie waarin het nationale recht voorziet. Hetzelfde moet mogel</w:t>
            </w:r>
            <w:r w:rsidRPr="003B2FFA">
              <w:t>ijk zijn wanneer de in het nationale recht voorgeschreven termijnen zijn verstreken, en deze termijnen te kort zijn om een doeltreffend onderzoek en een doeltreffende vervolging van de betrokken strafbare feiten mogelijk te maken. In dergelijke gevallen ma</w:t>
            </w:r>
            <w:r w:rsidRPr="003B2FFA">
              <w:t xml:space="preserve">g confiscatie alleen worden toegestaan wanneer de nationale rechter ervan overtuigd is dat alle elementen van het strafbare feit aanwezig zijn. Om redenen van evenredigheid moet de confiscatie van voorwerpen zonder voorafgaande veroordeling worden beperkt </w:t>
            </w:r>
            <w:r w:rsidRPr="003B2FFA">
              <w:t>tot gevallen van ernstige misdrijven. Er mag geen afbreuk worden gedaan aan het recht van de verdachte om op de hoogte te worden gesteld van de procedure en om zich door een advocaat te laten vertegenwoordigen.</w:t>
            </w:r>
          </w:p>
        </w:tc>
        <w:tc>
          <w:tcPr>
            <w:tcW w:w="4876" w:type="dxa"/>
            <w:hideMark/>
          </w:tcPr>
          <w:p w:rsidR="00E93DAA" w:rsidRPr="003B2FFA" w:rsidRDefault="003B2FFA" w:rsidP="00ED3E81">
            <w:pPr>
              <w:pStyle w:val="Normal6"/>
              <w:rPr>
                <w:szCs w:val="24"/>
              </w:rPr>
            </w:pPr>
            <w:r w:rsidRPr="003B2FFA">
              <w:t>(26)</w:t>
            </w:r>
            <w:r w:rsidRPr="003B2FFA">
              <w:tab/>
              <w:t>Confiscatie moet ook mogelijk zijn wanne</w:t>
            </w:r>
            <w:r w:rsidRPr="003B2FFA">
              <w:t>er een rechter ervan overtuigd is dat de betrokken hulpmiddelen, opbrengsten of voorwerpen afkomstig zijn van crimineel gedrag, maar een definitieve veroordeling niet mogelijk is wegens ziekte, vlucht of overlijden van de verdachte of beklaagde of omdat de</w:t>
            </w:r>
            <w:r w:rsidRPr="003B2FFA">
              <w:t xml:space="preserve"> verdachte of beklaagde niet aansprakelijk kan worden gesteld wegens immuniteit of amnestie waarin het nationale recht voorziet. Hetzelfde moet mogelijk zijn wanneer de in het nationale recht voorgeschreven termijnen zijn verstreken, en deze termijnen te k</w:t>
            </w:r>
            <w:r w:rsidRPr="003B2FFA">
              <w:t xml:space="preserve">ort zijn om een doeltreffend onderzoek en een doeltreffende vervolging van de betrokken strafbare feiten mogelijk te maken. </w:t>
            </w:r>
            <w:r w:rsidRPr="003B2FFA">
              <w:rPr>
                <w:b/>
                <w:i/>
              </w:rPr>
              <w:t>In dergelijke gevallen is het passend en evenredig om een termijn van 15 jaar in te voeren. Een aantal lidstaten beschikt al over de</w:t>
            </w:r>
            <w:r w:rsidRPr="003B2FFA">
              <w:rPr>
                <w:b/>
                <w:i/>
              </w:rPr>
              <w:t xml:space="preserve">rgelijke instrumenten voor confiscatie zonder veroordeling, die uitermate doeltreffend zijn gebleken, vooral in vergelijking met traditionele confiscatiemechanismen. Instrumenten voor ontneming van vermogensbestanden zonder veroordeling worden ook al lang </w:t>
            </w:r>
            <w:r w:rsidRPr="003B2FFA">
              <w:rPr>
                <w:b/>
                <w:i/>
              </w:rPr>
              <w:t>erkend in belangrijke internationale verdragen, zoals het Verdrag van de VN tegen corruptie, en door normeringsorganen zoals de Financiële-</w:t>
            </w:r>
            <w:r w:rsidRPr="003B2FFA">
              <w:rPr>
                <w:b/>
                <w:i/>
              </w:rPr>
              <w:lastRenderedPageBreak/>
              <w:t xml:space="preserve">actiegroep (FATF). In de overeenkomst van de Raad van Europa over witwaspraktijken, het opsporen, de inbeslagname en </w:t>
            </w:r>
            <w:r w:rsidRPr="003B2FFA">
              <w:rPr>
                <w:b/>
                <w:i/>
              </w:rPr>
              <w:t>confiscatie van de opbrengsten van misdrijven en over de financiering van terrorisme uit 2005 wordt de partijen bij de overeenkomst verzocht andere partijen bij te staan bij de uitvoering van bevriezings- en confiscatiebevelen die niet gebaseerd zijn op ee</w:t>
            </w:r>
            <w:r w:rsidRPr="003B2FFA">
              <w:rPr>
                <w:b/>
                <w:i/>
              </w:rPr>
              <w:t>n stafrechtelijke veroordeling. Het in de Unie gevestigde Camden Asset Recovery Inter-Agency Network heeft ook meerdere aanbevelingen opgesteld over confiscatie zonder veroordeling.</w:t>
            </w:r>
            <w:r w:rsidRPr="003B2FFA">
              <w:t xml:space="preserve"> In dergelijke gevallen mag confiscatie alleen worden toegestaan wanneer de</w:t>
            </w:r>
            <w:r w:rsidRPr="003B2FFA">
              <w:t xml:space="preserve"> nationale rechter ervan overtuigd is dat alle elementen van het strafbare feit aanwezig zijn. Om redenen van evenredigheid moet de confiscatie van voorwerpen zonder voorafgaande veroordeling worden beperkt tot gevallen van ernstige misdrijven. Er mag geen</w:t>
            </w:r>
            <w:r w:rsidRPr="003B2FFA">
              <w:t xml:space="preserve"> afbreuk worden gedaan aan het recht van de verdachte om op de hoogte te worden gesteld van de procedure en om zich door een advocaat te laten vertegenwoordigen.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28</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(28)</w:t>
            </w:r>
            <w:r w:rsidRPr="003B2FFA">
              <w:tab/>
            </w:r>
            <w:r w:rsidRPr="003B2FFA">
              <w:t>Wegens de intrinsiek ondoorzichtige aard van de georganiseerde criminaliteit is het niet altijd mogelijk om uit criminele activiteiten verkregen voorwerpen in verband te brengen met een specifiek strafbaar feit en die voorwerpen te confisqueren. In dergeli</w:t>
            </w:r>
            <w:r w:rsidRPr="003B2FFA">
              <w:t xml:space="preserve">jke situaties moet confiscatie mogelijk zijn onder bepaalde voorwaarden, waaronder met name: de bevriezing van de voorwerpen </w:t>
            </w:r>
            <w:r w:rsidRPr="003B2FFA">
              <w:lastRenderedPageBreak/>
              <w:t>geschiedt op grond van verdenking van misdrijven die in het kader van een criminele organisatie zijn gepleegd, deze strafbare feite</w:t>
            </w:r>
            <w:r w:rsidRPr="003B2FFA">
              <w:t xml:space="preserve">n kunnen aanzienlijke economische voordelen opleveren en de rechter is ervan overtuigd dat de bevroren voorwerpen afkomstig zijn van criminele activiteiten die in het kader van een criminele organisatie zijn gepleegd. Deze voorwaarden moeten ervoor zorgen </w:t>
            </w:r>
            <w:r w:rsidRPr="003B2FFA">
              <w:t xml:space="preserve">dat de confiscatie van voorwerpen die geen verband houden met een specifiek strafbaar feit waarvoor de eigenaar is veroordeeld, beperkt blijft tot criminele activiteiten van criminele organisaties die ernstig van aard zijn en aanzienlijke voordelen kunnen </w:t>
            </w:r>
            <w:r w:rsidRPr="003B2FFA">
              <w:t>opleveren. Bij het bepalen of de strafbare feiten aanzienlijke voordelen kunnen opleveren, moeten de lidstaten rekening houden met alle relevante omstandigheden van het strafbare feit, waaronder de vraag of de criminele activiteiten werden gepleegd met het</w:t>
            </w:r>
            <w:r w:rsidRPr="003B2FFA">
              <w:t xml:space="preserve"> oogmerk regelmatig aanzienlijke winsten te genereren. Hoewel het geen voorwaarde mag zijn dat de nationale rechter ervan overtuigd is dat een strafbaar feit is gepleegd, moet de rechter er wel van overtuigd zijn dat de betrokken voorwerpen afkomstig zijn </w:t>
            </w:r>
            <w:r w:rsidRPr="003B2FFA">
              <w:t>van strafbare feiten. Bij de beoordeling of de betrokken voorwerpen al dan niet uit criminele activiteiten zijn verkregen, moeten de nationale rechters rekening houden met alle relevante omstandigheden van de zaak, waaronder het feit dat de waarde van voor</w:t>
            </w:r>
            <w:r w:rsidRPr="003B2FFA">
              <w:t xml:space="preserve">werpen in aanzienlijke mate niet in verhouding staan tot het legale inkomen van de eigenaar. De lidstaten moeten dan eisen dat de eigenaar van de voorwerpen daadwerkelijk een mogelijkheid heeft om te bewijzen dat de betrokken voorwerpen afkomstig zijn van </w:t>
            </w:r>
            <w:r w:rsidRPr="003B2FFA">
              <w:t>legale activiteiten, en moeten hem die mogelijkheid ook geven.</w:t>
            </w:r>
          </w:p>
        </w:tc>
        <w:tc>
          <w:tcPr>
            <w:tcW w:w="4876" w:type="dxa"/>
            <w:hideMark/>
          </w:tcPr>
          <w:p w:rsidR="00E93DAA" w:rsidRPr="003B2FFA" w:rsidRDefault="003B2FFA" w:rsidP="00ED3E81">
            <w:pPr>
              <w:pStyle w:val="Normal6"/>
              <w:rPr>
                <w:szCs w:val="24"/>
              </w:rPr>
            </w:pPr>
            <w:r w:rsidRPr="003B2FFA">
              <w:lastRenderedPageBreak/>
              <w:t>(28)</w:t>
            </w:r>
            <w:r w:rsidRPr="003B2FFA">
              <w:tab/>
              <w:t>Wegens de intrinsiek ondoorzichtige aard van de georganiseerde criminaliteit is het niet altijd mogelijk om uit criminele activiteiten verkregen voorwerpen in verband te brengen met een sp</w:t>
            </w:r>
            <w:r w:rsidRPr="003B2FFA">
              <w:t>ecifiek strafbaar feit en die voorwerpen te confisqueren</w:t>
            </w:r>
            <w:r w:rsidRPr="003B2FFA">
              <w:rPr>
                <w:b/>
                <w:bCs/>
                <w:i/>
                <w:iCs/>
              </w:rPr>
              <w:t>.</w:t>
            </w:r>
            <w:r w:rsidRPr="003B2FFA">
              <w:rPr>
                <w:b/>
                <w:i/>
              </w:rPr>
              <w:t xml:space="preserve"> Confiscatie zonder veroordeling moet evenwel nog steeds mogelijk zijn om vermogensbestanddelen te confisqueren om een einde te maken </w:t>
            </w:r>
            <w:r w:rsidRPr="003B2FFA">
              <w:rPr>
                <w:b/>
                <w:i/>
              </w:rPr>
              <w:lastRenderedPageBreak/>
              <w:t>aan criminele activiteiten en ervoor te zorgen dat winsten uit cr</w:t>
            </w:r>
            <w:r w:rsidRPr="003B2FFA">
              <w:rPr>
                <w:b/>
                <w:i/>
              </w:rPr>
              <w:t>iminele activiteiten niet worden geherinvesteerd in de legale economie</w:t>
            </w:r>
            <w:r w:rsidRPr="003B2FFA">
              <w:t xml:space="preserve">. In dergelijke situaties moet confiscatie mogelijk zijn onder bepaalde voorwaarden, waaronder met name: de bevriezing van de voorwerpen geschiedt op grond van verdenking van misdrijven </w:t>
            </w:r>
            <w:r w:rsidRPr="003B2FFA">
              <w:t>die in het kader van een criminele organisatie zijn gepleegd, deze strafbare feiten kunnen aanzienlijke economische voordelen opleveren en de rechter is ervan overtuigd dat de bevroren voorwerpen afkomstig zijn van criminele activiteiten die in het kader v</w:t>
            </w:r>
            <w:r w:rsidRPr="003B2FFA">
              <w:t xml:space="preserve">an een criminele organisatie zijn gepleegd. Deze voorwaarden moeten ervoor zorgen dat de confiscatie van voorwerpen die geen verband houden met een specifiek strafbaar feit waarvoor de eigenaar is veroordeeld, beperkt blijft tot criminele activiteiten van </w:t>
            </w:r>
            <w:r w:rsidRPr="003B2FFA">
              <w:t>criminele organisaties die ernstig van aard zijn en aanzienlijke voordelen kunnen opleveren. Bij het bepalen of de strafbare feiten aanzienlijke voordelen kunnen opleveren, moeten de lidstaten rekening houden met alle relevante omstandigheden van het straf</w:t>
            </w:r>
            <w:r w:rsidRPr="003B2FFA">
              <w:t>bare feit, waaronder de vraag of de criminele activiteiten werden gepleegd met het oogmerk regelmatig aanzienlijke winsten te genereren. Hoewel het geen voorwaarde mag zijn dat de nationale rechter ervan overtuigd is dat een strafbaar feit is gepleegd, moe</w:t>
            </w:r>
            <w:r w:rsidRPr="003B2FFA">
              <w:t>t de rechter er wel van overtuigd zijn dat de betrokken voorwerpen afkomstig zijn van strafbare feiten. Bij de beoordeling of de betrokken voorwerpen al dan niet uit criminele activiteiten zijn verkregen, moeten de nationale rechters rekening houden met al</w:t>
            </w:r>
            <w:r w:rsidRPr="003B2FFA">
              <w:t>le relevante omstandigheden van de zaak, waaronder het feit dat de waarde van voorwerpen in aanzienlijke mate niet in verhouding staan tot het legale inkomen van de eigenaar. De lidstaten moeten dan eisen dat de eigenaar van de voorwerpen daadwerkelijk een</w:t>
            </w:r>
            <w:r w:rsidRPr="003B2FFA">
              <w:t xml:space="preserve"> mogelijkheid heeft om te bewijzen dat de betrokken voorwerpen afkomstig zijn van legale activiteiten, en moeten hem die mogelijkheid ook geven. </w:t>
            </w:r>
            <w:r w:rsidRPr="003B2FFA">
              <w:rPr>
                <w:b/>
                <w:i/>
              </w:rPr>
              <w:lastRenderedPageBreak/>
              <w:t xml:space="preserve">In dit verband wordt in Aanbeveling 4 van het FATF ook gesteld dat landen moeten overwegen maatregelen vast te </w:t>
            </w:r>
            <w:r w:rsidRPr="003B2FFA">
              <w:rPr>
                <w:b/>
                <w:i/>
              </w:rPr>
              <w:t>stellen die vereisen dat een delinquent de wettige herkomst aantoont van de voorwerpen die mogelijk kunnen worden geconfisqueerd, in die mate dat een dergelijke vereiste strookt met de beginselen van hun binnenlands recht.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28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ED3E81">
            <w:pPr>
              <w:pStyle w:val="Normal6"/>
              <w:rPr>
                <w:szCs w:val="24"/>
              </w:rPr>
            </w:pPr>
            <w:r w:rsidRPr="003B2FFA">
              <w:rPr>
                <w:b/>
                <w:i/>
              </w:rPr>
              <w:t>(28 bis)</w:t>
            </w:r>
            <w:r w:rsidRPr="003B2FFA">
              <w:rPr>
                <w:b/>
                <w:i/>
              </w:rPr>
              <w:tab/>
            </w:r>
            <w:r w:rsidRPr="003B2FFA">
              <w:rPr>
                <w:b/>
                <w:i/>
              </w:rPr>
              <w:t>Het moet mogelijk zijn om te bevriezen en te confisqueren voorwerpen op te sporen en te identificeren, zelfs na een definitieve veroordeling voor een strafbaar feit of na een confiscatie zonder veroordeling. Die mogelijkheid mag lidstaten er evenwel niet v</w:t>
            </w:r>
            <w:r w:rsidRPr="003B2FFA">
              <w:rPr>
                <w:b/>
                <w:i/>
              </w:rPr>
              <w:t xml:space="preserve">an weerhouden redelijke termijnen in te voeren na definitieve veroordelingen of definitieve beslissingen bij confiscaties zonder veroordeling, waarna het niet langer mogelijk zou zijn om dergelijke voorwerpen op te sporen en te identificeren. </w:t>
            </w:r>
          </w:p>
        </w:tc>
      </w:tr>
    </w:tbl>
    <w:p w:rsidR="00E93DAA" w:rsidRPr="003B2FFA" w:rsidRDefault="003B2FFA" w:rsidP="00E93DAA">
      <w:pPr>
        <w:pStyle w:val="Olang"/>
      </w:pPr>
      <w:r w:rsidRPr="003B2FFA">
        <w:rPr>
          <w:noProof w:val="0"/>
        </w:rPr>
        <w:t xml:space="preserve">Or. </w:t>
      </w:r>
      <w:r w:rsidRPr="003B2FFA">
        <w:rPr>
          <w:rStyle w:val="HideTWBExt"/>
        </w:rPr>
        <w:t>&lt;Origin</w:t>
      </w:r>
      <w:r w:rsidRPr="003B2FFA">
        <w:rPr>
          <w:rStyle w:val="HideTWBExt"/>
        </w:rPr>
        <w:t>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10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29</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(29)</w:t>
            </w:r>
            <w:r w:rsidRPr="003B2FFA">
              <w:tab/>
            </w:r>
            <w:r w:rsidRPr="003B2FFA">
              <w:t xml:space="preserve">Om ervoor te zorgen dat voorwerpen die onderworpen zijn of kunnen worden aan een bevriezings- of </w:t>
            </w:r>
            <w:r w:rsidRPr="003B2FFA">
              <w:lastRenderedPageBreak/>
              <w:t>confiscatiebevel hun economische waarde behouden, moeten de lidstaten doeltreffende beheersmaatregelen nemen. Dergelijke maatregelen moeten een systematische b</w:t>
            </w:r>
            <w:r w:rsidRPr="003B2FFA">
              <w:t>eoordeling omvatten van de wijze waarop de waarde van voorwerpen het best kan worden behouden en geoptimaliseerd voordat bevriezingsmaatregelen worden genomen, ook wel planning vóór inbeslagneming genoemd.</w:t>
            </w:r>
          </w:p>
        </w:tc>
        <w:tc>
          <w:tcPr>
            <w:tcW w:w="4876" w:type="dxa"/>
            <w:hideMark/>
          </w:tcPr>
          <w:p w:rsidR="00E93DAA" w:rsidRPr="003B2FFA" w:rsidRDefault="003B2FFA" w:rsidP="00ED3E81">
            <w:pPr>
              <w:pStyle w:val="Normal6"/>
              <w:rPr>
                <w:szCs w:val="24"/>
              </w:rPr>
            </w:pPr>
            <w:r w:rsidRPr="003B2FFA">
              <w:lastRenderedPageBreak/>
              <w:t>(29)</w:t>
            </w:r>
            <w:r w:rsidRPr="003B2FFA">
              <w:tab/>
              <w:t>Om ervoor te zorgen dat voorwerpen die onderw</w:t>
            </w:r>
            <w:r w:rsidRPr="003B2FFA">
              <w:t xml:space="preserve">orpen zijn of kunnen worden aan een bevriezings- of </w:t>
            </w:r>
            <w:r w:rsidRPr="003B2FFA">
              <w:lastRenderedPageBreak/>
              <w:t>confiscatiebevel hun economische waarde behouden, moeten de lidstaten doeltreffende beheersmaatregelen nemen. Dergelijke maatregelen moeten een systematische beoordeling omvatten van de wijze waarop de wa</w:t>
            </w:r>
            <w:r w:rsidRPr="003B2FFA">
              <w:t xml:space="preserve">arde van voorwerpen het best kan worden behouden en geoptimaliseerd voordat bevriezingsmaatregelen worden genomen, ook wel planning vóór inbeslagneming genoemd. </w:t>
            </w:r>
            <w:r w:rsidRPr="003B2FFA">
              <w:rPr>
                <w:b/>
                <w:i/>
              </w:rPr>
              <w:t>Planning vóór inbeslagname moet worden toegepast in alle gevallen, tenzij de urgentie van de kw</w:t>
            </w:r>
            <w:r w:rsidRPr="003B2FFA">
              <w:rPr>
                <w:b/>
                <w:i/>
              </w:rPr>
              <w:t xml:space="preserve">estie vereist dat de volgende stap wordt beperkt of uitgevoerd.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11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29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8B6E81">
            <w:pPr>
              <w:pStyle w:val="Normal6"/>
              <w:rPr>
                <w:szCs w:val="24"/>
              </w:rPr>
            </w:pPr>
            <w:r w:rsidRPr="003B2FFA">
              <w:rPr>
                <w:b/>
                <w:i/>
              </w:rPr>
              <w:t>(29 bis)</w:t>
            </w:r>
            <w:r w:rsidRPr="003B2FFA">
              <w:rPr>
                <w:b/>
                <w:i/>
              </w:rPr>
              <w:tab/>
              <w:t xml:space="preserve">De lidstaten moeten de nodige maatregelen nemen om ervoor te zorgen dat claims van slachtoffers ten volle worden gerespecteerd vóór de definitieve confiscatiemaatregel. </w:t>
            </w:r>
            <w:r w:rsidRPr="003B2FFA">
              <w:rPr>
                <w:b/>
                <w:i/>
              </w:rPr>
              <w:t>De lidstaten moeten bijzondere aandacht besteden aan claims van slachtoffers in alle procedures en met name in grensoverschrijdende gevallen. Bovendien moeten de lidstaten, waar mogelijk en prioritair, de nodige maatregelen nemen om de betreffende voorwerp</w:t>
            </w:r>
            <w:r w:rsidRPr="003B2FFA">
              <w:rPr>
                <w:b/>
                <w:i/>
              </w:rPr>
              <w:t>en terug te geven aan het slachtoffer of, wanneer dat niet mogelijk is, een waarde die overeenstemt met de betreffende voorwerpen.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12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w:t>
      </w:r>
      <w:r w:rsidRPr="003B2FFA">
        <w:rPr>
          <w:rStyle w:val="HideTWBExt"/>
          <w:b w:val="0"/>
        </w:rPr>
        <w:t>d&gt;</w:t>
      </w:r>
    </w:p>
    <w:p w:rsidR="00E93DAA" w:rsidRPr="003B2FFA" w:rsidRDefault="003B2FFA" w:rsidP="00E93DAA">
      <w:pPr>
        <w:pStyle w:val="NormalBold"/>
      </w:pPr>
      <w:r w:rsidRPr="003B2FFA">
        <w:rPr>
          <w:rStyle w:val="HideTWBExt"/>
          <w:b w:val="0"/>
        </w:rPr>
        <w:t>&lt;Article&gt;</w:t>
      </w:r>
      <w:r w:rsidRPr="003B2FFA">
        <w:t>Overweging 29 ter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1C6953">
            <w:pPr>
              <w:pStyle w:val="Normal6"/>
              <w:rPr>
                <w:szCs w:val="24"/>
              </w:rPr>
            </w:pPr>
            <w:r w:rsidRPr="003B2FFA">
              <w:rPr>
                <w:b/>
                <w:i/>
              </w:rPr>
              <w:t>(29 ter)</w:t>
            </w:r>
            <w:r w:rsidRPr="003B2FFA">
              <w:rPr>
                <w:b/>
                <w:i/>
              </w:rPr>
              <w:tab/>
            </w:r>
            <w:r w:rsidRPr="003B2FFA">
              <w:rPr>
                <w:b/>
                <w:i/>
              </w:rPr>
              <w:t>De lidstaten moeten de nodige maatregelen nemen waardoor geconfisqueerde voorwerpen voor het publiek belang of voor maatschappelijke doeleinden kunnen worden gebruikt. Gezien de aanzienlijke kosten die gepaard gaan met de opsporing en identificatie, bevrie</w:t>
            </w:r>
            <w:r w:rsidRPr="003B2FFA">
              <w:rPr>
                <w:b/>
                <w:i/>
              </w:rPr>
              <w:t>zing en confiscatie van dergelijke voorwerpen, kunnen die voorwerpen worden bijgehouden als staatseigendom ten behoeve van justitie, rechtshandhaving, openbare dienstverlening of economie of worden overgedragen aan de lokale of regionale autoriteiten van h</w:t>
            </w:r>
            <w:r w:rsidRPr="003B2FFA">
              <w:rPr>
                <w:b/>
                <w:i/>
              </w:rPr>
              <w:t>et gebied waar de voorwerpen zich bevinden, voor institutionele, sociale of economische doeleinden, waaronder voor de toewijzing aan organisaties die werken van sociaal belang uitvoeren.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13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29 quater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955BC0">
            <w:pPr>
              <w:pStyle w:val="Normal6"/>
              <w:rPr>
                <w:szCs w:val="24"/>
              </w:rPr>
            </w:pPr>
            <w:r w:rsidRPr="003B2FFA">
              <w:rPr>
                <w:b/>
                <w:i/>
              </w:rPr>
              <w:t>(29 quater)</w:t>
            </w:r>
            <w:r w:rsidRPr="003B2FFA">
              <w:rPr>
                <w:b/>
                <w:i/>
              </w:rPr>
              <w:tab/>
            </w:r>
            <w:r w:rsidRPr="003B2FFA">
              <w:rPr>
                <w:b/>
                <w:i/>
              </w:rPr>
              <w:t xml:space="preserve">Wanneer de geconfisqueerde vermogensbestanddelen afkomstig zijn uit een derde land, moeten de lidstaten ze teruggeven aan het derde land op basis van een teruggaveovereenkomst. Dergelijke teruggaveovereenkomsten moeten openbaar beschikbaar worden gesteld. </w:t>
            </w:r>
            <w:r w:rsidRPr="003B2FFA">
              <w:rPr>
                <w:b/>
                <w:i/>
              </w:rPr>
              <w:t xml:space="preserve">Dergelijke teruggaveovereenkomsten zouden onder meer kunnen bepalen hoe de fondsen zouden worden </w:t>
            </w:r>
            <w:r w:rsidRPr="003B2FFA">
              <w:rPr>
                <w:b/>
                <w:i/>
              </w:rPr>
              <w:lastRenderedPageBreak/>
              <w:t>geherinvesteerd, bijvoorbeeld om de verliezen van slachtoffers te vergoeden of om bij te dragen tot projecten met een grote sociale impact die werden geselecte</w:t>
            </w:r>
            <w:r w:rsidRPr="003B2FFA">
              <w:rPr>
                <w:b/>
                <w:i/>
              </w:rPr>
              <w:t>erd op basis van de behoeften van de getroffen bevolkingsgroepen en na een transparante procedure.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14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31</w:t>
      </w:r>
      <w:r w:rsidRPr="003B2FFA">
        <w:rPr>
          <w:rStyle w:val="HideTWBExt"/>
          <w:b w:val="0"/>
        </w:rPr>
        <w:t>&lt;/Artic</w:t>
      </w:r>
      <w:r w:rsidRPr="003B2FFA">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(31)</w:t>
            </w:r>
            <w:r w:rsidRPr="003B2FFA">
              <w:tab/>
            </w:r>
            <w:r w:rsidRPr="003B2FFA">
              <w:t>De lidstaten moeten bureaus voor vermogensbeheer oprichten met het oog op de instelling van gespecialiseerde autoriteiten die belast zijn met het beheer van bevroren en geconfisqueerde voorwerpen, zodat de voorwerpen die vóór confiscatie zijn bevroren doel</w:t>
            </w:r>
            <w:r w:rsidRPr="003B2FFA">
              <w:t>treffend worden beheerd en hun waarde behouden blijft in afwachting van een definitieve beslissing over de confiscatie. Onverminderd de interne administratieve structuren van de lidstaten moeten de bureaus voor vermogensbeheer ofwel de enige autoriteit zij</w:t>
            </w:r>
            <w:r w:rsidRPr="003B2FFA">
              <w:t>n die bevroren of geconfisqueerde voorwerpen beheert, ofwel overeenkomstig de nationale beheersstructuren steun verlenen aan gedecentraliseerde instanties, en de betrokken autoriteiten ondersteunen bij de planning vóór inbeslagneming.</w:t>
            </w:r>
          </w:p>
        </w:tc>
        <w:tc>
          <w:tcPr>
            <w:tcW w:w="4876" w:type="dxa"/>
            <w:hideMark/>
          </w:tcPr>
          <w:p w:rsidR="00E93DAA" w:rsidRPr="003B2FFA" w:rsidRDefault="003B2FFA" w:rsidP="00955BC0">
            <w:pPr>
              <w:pStyle w:val="Normal6"/>
              <w:rPr>
                <w:szCs w:val="24"/>
              </w:rPr>
            </w:pPr>
            <w:r w:rsidRPr="003B2FFA">
              <w:t>(31)</w:t>
            </w:r>
            <w:r w:rsidRPr="003B2FFA">
              <w:tab/>
            </w:r>
            <w:r w:rsidRPr="003B2FFA">
              <w:t>De lidstaten moeten bureaus voor vermogensbeheer oprichten met het oog op de instelling van gespecialiseerde autoriteiten die belast zijn met het beheer van bevroren en geconfisqueerde voorwerpen, zodat de voorwerpen die vóór confiscatie zijn bevroren doel</w:t>
            </w:r>
            <w:r w:rsidRPr="003B2FFA">
              <w:t>treffend worden beheerd en hun waarde behouden blijft in afwachting van een definitieve beslissing over de confiscatie. Onverminderd de interne administratieve structuren van de lidstaten moeten de bureaus voor vermogensbeheer ofwel de enige autoriteit zij</w:t>
            </w:r>
            <w:r w:rsidRPr="003B2FFA">
              <w:t xml:space="preserve">n die bevroren of geconfisqueerde voorwerpen beheert, ofwel overeenkomstig de nationale beheersstructuren steun verlenen aan gedecentraliseerde instanties, en de betrokken autoriteiten ondersteunen bij de planning vóór inbeslagneming. </w:t>
            </w:r>
            <w:r w:rsidRPr="003B2FFA">
              <w:rPr>
                <w:b/>
                <w:i/>
              </w:rPr>
              <w:t>Omwille van de effici</w:t>
            </w:r>
            <w:r w:rsidRPr="003B2FFA">
              <w:rPr>
                <w:b/>
                <w:i/>
              </w:rPr>
              <w:t xml:space="preserve">ëntie moeten de lidstaten bureaus voor de ontneming van vermogensbestanddelen oprichten binnen één enkele rechts- en organisatiestructuur.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15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34</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(34)</w:t>
            </w:r>
            <w:r w:rsidRPr="003B2FFA">
              <w:tab/>
              <w:t xml:space="preserve">De getroffen </w:t>
            </w:r>
            <w:r w:rsidRPr="003B2FFA">
              <w:rPr>
                <w:b/>
                <w:bCs/>
                <w:i/>
                <w:iCs/>
              </w:rPr>
              <w:t>partij</w:t>
            </w:r>
            <w:r w:rsidRPr="003B2FFA">
              <w:t xml:space="preserve"> moet onverwijld in kennis worden gesteld van bevelen tot bevriezing, confiscatie en tussentijdse verkoop. </w:t>
            </w:r>
            <w:r w:rsidRPr="003B2FFA">
              <w:t xml:space="preserve">Het doel van de kennisgeving van deze bevelen is onder andere de getroffen persoon de kans te geven deze voor de rechtbank aan te vechten. Daarom moet in dergelijke kennisgevingen in de regel de reden of redenen voor het betrokken bevel worden aangegeven. </w:t>
            </w:r>
            <w:r w:rsidRPr="003B2FFA">
              <w:t>De getroffen partij moet daadwerkelijk de mogelijkheid hebben om de bevelen tot bevriezing, confiscatie en tussentijdse verkoop aan te vechten. In het geval van confiscatiebevelen waarbij alle elementen van het strafbare feit aanwezig zijn maar een strafre</w:t>
            </w:r>
            <w:r w:rsidRPr="003B2FFA">
              <w:t>chtelijke veroordeling onmogelijk is, moet de verweerder de mogelijkheid hebben om te worden gehoord voordat tot confiscatie wordt overgegaan. Dezelfde mogelijkheid moet worden geboden aan de eigenaar die wordt getroffen door een bevel tot verkoop van de v</w:t>
            </w:r>
            <w:r w:rsidRPr="003B2FFA">
              <w:t>oorwerpen vóór confiscatie.</w:t>
            </w:r>
          </w:p>
        </w:tc>
        <w:tc>
          <w:tcPr>
            <w:tcW w:w="4876" w:type="dxa"/>
            <w:hideMark/>
          </w:tcPr>
          <w:p w:rsidR="00E93DAA" w:rsidRPr="003B2FFA" w:rsidRDefault="003B2FFA">
            <w:pPr>
              <w:pStyle w:val="Normal6"/>
              <w:rPr>
                <w:szCs w:val="24"/>
              </w:rPr>
            </w:pPr>
            <w:r w:rsidRPr="003B2FFA">
              <w:t>(34)</w:t>
            </w:r>
            <w:r w:rsidRPr="003B2FFA">
              <w:tab/>
              <w:t xml:space="preserve">De getroffen </w:t>
            </w:r>
            <w:r w:rsidRPr="003B2FFA">
              <w:rPr>
                <w:b/>
                <w:bCs/>
                <w:i/>
                <w:iCs/>
              </w:rPr>
              <w:t>persoon</w:t>
            </w:r>
            <w:r w:rsidRPr="003B2FFA">
              <w:t xml:space="preserve"> moet onverwijld in kennis worden gesteld van bevelen tot bevriezing, confiscatie en tussentijdse verkoop. Het doel van de kennisgeving van deze bevelen is onder andere de getroffen persoon de kans te ge</w:t>
            </w:r>
            <w:r w:rsidRPr="003B2FFA">
              <w:t>ven deze voor de rechtbank aan te vechten. Daarom moet in dergelijke kennisgevingen in de regel de reden of redenen voor het betrokken bevel worden aangegeven. De getroffen partij moet daadwerkelijk de mogelijkheid hebben om de bevelen tot bevriezing, conf</w:t>
            </w:r>
            <w:r w:rsidRPr="003B2FFA">
              <w:t>iscatie en tussentijdse verkoop aan te vechten. In het geval van confiscatiebevelen waarbij alle elementen van het strafbare feit aanwezig zijn maar een strafrechtelijke veroordeling onmogelijk is, moet de verweerder de mogelijkheid hebben om te worden geh</w:t>
            </w:r>
            <w:r w:rsidRPr="003B2FFA">
              <w:t>oord voordat tot confiscatie wordt overgegaan. Dezelfde mogelijkheid moet worden geboden aan de eigenaar die wordt getroffen door een bevel tot verkoop van de voorwerpen vóór confiscatie.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16</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39</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(39)</w:t>
            </w:r>
            <w:r w:rsidRPr="003B2FFA">
              <w:tab/>
            </w:r>
            <w:r w:rsidRPr="003B2FFA">
              <w:t xml:space="preserve">Een doeltreffend systeem voor de ontneming van vermogensbestanddelen vereist gecoördineerde inspanningen van tal van autoriteiten, van rechtshandhavingsinstanties, met inbegrip van douaneautoriteiten, belastingautoriteiten en de voor </w:t>
            </w:r>
            <w:r w:rsidRPr="003B2FFA">
              <w:lastRenderedPageBreak/>
              <w:t>belastinginning bevoeg</w:t>
            </w:r>
            <w:r w:rsidRPr="003B2FFA">
              <w:t>de autoriteiten, voor zover die bevoegd zijn voor de ontneming van vermogensbestanddelen, tot bureaus voor de ontneming van vermogensbestanddelen, gerechtelijke autoriteiten en autoriteiten voor vermogensbeheer, met inbegrip van bureaus voor vermogensbehee</w:t>
            </w:r>
            <w:r w:rsidRPr="003B2FFA">
              <w:t>r. Met het oog op een gecoördineerd optreden van alle bevoegde autoriteiten moet een meer strategische aanpak inzake de ontneming van vermogensbestanddelen worden vastgesteld en moet een nauwere samenwerking tussen de betrokken autoriteiten worden bevorder</w:t>
            </w:r>
            <w:r w:rsidRPr="003B2FFA">
              <w:t>d, en moet een duidelijk overzicht worden verkregen van de resultaten van de ontneming van vermogensbestanddelen. Daartoe moeten de lidstaten een nationale strategie betreffende de ontneming van vermogensbestanddelen aannemen en regelmatig evalueren, als r</w:t>
            </w:r>
            <w:r w:rsidRPr="003B2FFA">
              <w:t>ichtsnoer voor acties in verband met financiële onderzoeken, bevriezing, confiscatie, beheer en definitieve verwijdering van de betrokken hulpmiddelen, opbrengsten of voorwerpen. Voorts moeten de lidstaten de bevoegde autoriteiten voorzien van de nodige mi</w:t>
            </w:r>
            <w:r w:rsidRPr="003B2FFA">
              <w:t>ddelen om hun taken doeltreffend te kunnen vervullen. Onder bevoegde autoriteiten moeten de autoriteiten worden verstaan die belast zijn met de uitvoering van de taken als omschreven in deze richtlijn en in overeenstemming met de nationale regelingen.</w:t>
            </w:r>
          </w:p>
        </w:tc>
        <w:tc>
          <w:tcPr>
            <w:tcW w:w="4876" w:type="dxa"/>
            <w:hideMark/>
          </w:tcPr>
          <w:p w:rsidR="00E93DAA" w:rsidRPr="003B2FFA" w:rsidRDefault="003B2FFA">
            <w:pPr>
              <w:pStyle w:val="Normal6"/>
              <w:rPr>
                <w:szCs w:val="24"/>
              </w:rPr>
            </w:pPr>
            <w:r w:rsidRPr="003B2FFA">
              <w:lastRenderedPageBreak/>
              <w:t>(39)</w:t>
            </w:r>
            <w:r w:rsidRPr="003B2FFA">
              <w:tab/>
              <w:t xml:space="preserve">Een doeltreffend systeem voor de ontneming van vermogensbestanddelen vereist gecoördineerde inspanningen van tal van autoriteiten, van rechtshandhavingsinstanties, met inbegrip van douaneautoriteiten, belastingautoriteiten en de voor </w:t>
            </w:r>
            <w:r w:rsidRPr="003B2FFA">
              <w:lastRenderedPageBreak/>
              <w:t>belastinginning bevoe</w:t>
            </w:r>
            <w:r w:rsidRPr="003B2FFA">
              <w:t>gde autoriteiten, voor zover die bevoegd zijn voor de ontneming van vermogensbestanddelen, tot bureaus voor de ontneming van vermogensbestanddelen, gerechtelijke autoriteiten en autoriteiten voor vermogensbeheer, met inbegrip van bureaus voor vermogensbehe</w:t>
            </w:r>
            <w:r w:rsidRPr="003B2FFA">
              <w:t>er. Met het oog op een gecoördineerd optreden van alle bevoegde autoriteiten moet een meer strategische aanpak inzake de ontneming van vermogensbestanddelen worden vastgesteld en moet een nauwere samenwerking tussen de betrokken autoriteiten worden bevorde</w:t>
            </w:r>
            <w:r w:rsidRPr="003B2FFA">
              <w:t xml:space="preserve">rd, en moet een duidelijk overzicht worden verkregen van de resultaten van de ontneming van vermogensbestanddelen. Daartoe moeten de lidstaten een nationale strategie betreffende de ontneming van vermogensbestanddelen aannemen en regelmatig evalueren, als </w:t>
            </w:r>
            <w:r w:rsidRPr="003B2FFA">
              <w:t xml:space="preserve">richtsnoer voor acties in verband met financiële onderzoeken, bevriezing, confiscatie, beheer en definitieve verwijdering van de betrokken hulpmiddelen, opbrengsten of voorwerpen. </w:t>
            </w:r>
            <w:r w:rsidRPr="003B2FFA">
              <w:rPr>
                <w:b/>
                <w:i/>
              </w:rPr>
              <w:t>De nationale strategieën moeten een beschrijving omvatten van de rollen en v</w:t>
            </w:r>
            <w:r w:rsidRPr="003B2FFA">
              <w:rPr>
                <w:b/>
                <w:i/>
              </w:rPr>
              <w:t>erantwoordelijkheden van alle bevoegde autoriteiten die betrokken zijn bij de ontneming, de confiscatie en het beheer van vermogensbestanddelen, en van de bijzondere samenwerkingsmechanismen tussen die autoriteiten.</w:t>
            </w:r>
            <w:r w:rsidRPr="003B2FFA">
              <w:t xml:space="preserve"> Voorts moeten de lidstaten de bevoegde a</w:t>
            </w:r>
            <w:r w:rsidRPr="003B2FFA">
              <w:t xml:space="preserve">utoriteiten voorzien van de nodige middelen </w:t>
            </w:r>
            <w:r w:rsidRPr="003B2FFA">
              <w:rPr>
                <w:b/>
                <w:bCs/>
                <w:i/>
                <w:iCs/>
              </w:rPr>
              <w:t>en wettelijke bevoegdheden</w:t>
            </w:r>
            <w:r w:rsidRPr="003B2FFA">
              <w:t xml:space="preserve"> om hun taken doeltreffend te kunnen vervullen. Onder bevoegde autoriteiten moeten de autoriteiten worden verstaan die belast zijn met de uitvoering van de taken als omschreven in deze r</w:t>
            </w:r>
            <w:r w:rsidRPr="003B2FFA">
              <w:t>ichtlijn en in overeenstemming met de nationale regelingen.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17</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41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(41)</w:t>
            </w:r>
            <w:r w:rsidRPr="003B2FFA">
              <w:tab/>
              <w:t xml:space="preserve">Om ervoor te zorgen dat de lidstaten bij de verzameling van statistieken een consistente aanpak volgen, </w:t>
            </w:r>
            <w:r w:rsidRPr="003B2FFA">
              <w:rPr>
                <w:b/>
                <w:bCs/>
                <w:i/>
                <w:iCs/>
              </w:rPr>
              <w:t>moet</w:t>
            </w:r>
            <w:r w:rsidRPr="003B2FFA">
              <w:t xml:space="preserve"> aan de Commissie de bevoegdheid worden overgedragen om overeenkomstig artikel 290 VWEU handel</w:t>
            </w:r>
            <w:r w:rsidRPr="003B2FFA">
              <w:t xml:space="preserve">ingen vast te stellen om deze richtlijn aan te vullen door meer gedetailleerde regels </w:t>
            </w:r>
            <w:r w:rsidRPr="003B2FFA">
              <w:rPr>
                <w:b/>
                <w:bCs/>
                <w:i/>
                <w:iCs/>
              </w:rPr>
              <w:t>vast te stellen</w:t>
            </w:r>
            <w:r w:rsidRPr="003B2FFA">
              <w:t xml:space="preserve"> betreffende de te verzamelen informatie </w:t>
            </w:r>
            <w:r w:rsidRPr="003B2FFA">
              <w:rPr>
                <w:b/>
                <w:bCs/>
                <w:i/>
                <w:iCs/>
              </w:rPr>
              <w:t>en</w:t>
            </w:r>
            <w:r w:rsidRPr="003B2FFA">
              <w:rPr>
                <w:i/>
                <w:iCs/>
              </w:rPr>
              <w:t xml:space="preserve"> </w:t>
            </w:r>
            <w:r w:rsidRPr="003B2FFA">
              <w:t xml:space="preserve">de methode voor het verzamelen van </w:t>
            </w:r>
            <w:r w:rsidRPr="003B2FFA">
              <w:rPr>
                <w:b/>
                <w:bCs/>
                <w:i/>
                <w:iCs/>
              </w:rPr>
              <w:t>statistieken</w:t>
            </w:r>
            <w:r w:rsidRPr="003B2FFA">
              <w:t>.</w:t>
            </w:r>
          </w:p>
        </w:tc>
        <w:tc>
          <w:tcPr>
            <w:tcW w:w="4876" w:type="dxa"/>
            <w:hideMark/>
          </w:tcPr>
          <w:p w:rsidR="00E93DAA" w:rsidRPr="003B2FFA" w:rsidRDefault="003B2FFA" w:rsidP="00955BC0">
            <w:pPr>
              <w:pStyle w:val="Normal6"/>
              <w:rPr>
                <w:szCs w:val="24"/>
              </w:rPr>
            </w:pPr>
            <w:r w:rsidRPr="003B2FFA">
              <w:t>(41)</w:t>
            </w:r>
            <w:r w:rsidRPr="003B2FFA">
              <w:tab/>
              <w:t>Om ervoor te zorgen dat de lidstaten bij de verzameling v</w:t>
            </w:r>
            <w:r w:rsidRPr="003B2FFA">
              <w:t xml:space="preserve">an statistieken een consistente aanpak volgen, </w:t>
            </w:r>
            <w:r w:rsidRPr="003B2FFA">
              <w:rPr>
                <w:b/>
                <w:i/>
              </w:rPr>
              <w:t>moeten de lidstaten voor alle strafbare feiten ten minste het aantal uitgevoerde bevriezingsbevelen opnemen, het aantal uitgevoerde confiscatiebevelen, de waarde van bevroren voorwerpen, de waarde van ontnomen</w:t>
            </w:r>
            <w:r w:rsidRPr="003B2FFA">
              <w:rPr>
                <w:b/>
                <w:i/>
              </w:rPr>
              <w:t xml:space="preserve"> voorwerpen, het aantal verzoeken om een bevriezingsbevel dat in een andere lidstaat moet worden uitgevoerd, het aantal verzoeken om een confiscatiebevel dat in een andere lidstaat moet worden uitgevoerd, de waarde van de voorwerpen die zijn ontnomen na ui</w:t>
            </w:r>
            <w:r w:rsidRPr="003B2FFA">
              <w:rPr>
                <w:b/>
                <w:i/>
              </w:rPr>
              <w:t xml:space="preserve">tvoering in een andere lidstaat, de waarde van de voorwerpen die bestemd zijn om opnieuw te worden gebruikt voor doeleinden inzake rechtshandhaving of preventie of voor sociale doeleinden, het aantal gevallen waarin confiscatie is gelast in verhouding tot </w:t>
            </w:r>
            <w:r w:rsidRPr="003B2FFA">
              <w:rPr>
                <w:b/>
                <w:i/>
              </w:rPr>
              <w:t>het aantal veroordelingen voor onder deze richtlijn vallende strafbare feiten, het aantal door de rechters afgewezen verzoeken om een beslissing tot bevriezing en confiscatie, de manier waarop de geconfisqueerde voorwerpen worden gebruikt en de duur van de</w:t>
            </w:r>
            <w:r w:rsidRPr="003B2FFA">
              <w:rPr>
                <w:b/>
                <w:i/>
              </w:rPr>
              <w:t xml:space="preserve"> procedures voor toewijzing van de geconfisqueerde voorwerpen.</w:t>
            </w:r>
            <w:r w:rsidRPr="003B2FFA">
              <w:t xml:space="preserve"> Aan de Commissie </w:t>
            </w:r>
            <w:r w:rsidRPr="003B2FFA">
              <w:rPr>
                <w:b/>
                <w:bCs/>
                <w:i/>
                <w:iCs/>
              </w:rPr>
              <w:t xml:space="preserve">moet </w:t>
            </w:r>
            <w:r w:rsidRPr="003B2FFA">
              <w:t xml:space="preserve">de bevoegdheid worden overgedragen om overeenkomstig artikel 290 VWEU handelingen vast te stellen om deze richtlijn aan te vullen door </w:t>
            </w:r>
            <w:r w:rsidRPr="003B2FFA">
              <w:rPr>
                <w:b/>
                <w:bCs/>
                <w:i/>
                <w:iCs/>
              </w:rPr>
              <w:t xml:space="preserve">te voorzien in </w:t>
            </w:r>
            <w:r w:rsidRPr="003B2FFA">
              <w:t>meer gedetailleerde r</w:t>
            </w:r>
            <w:r w:rsidRPr="003B2FFA">
              <w:t xml:space="preserve">egels betreffende de te verzamelen informatie </w:t>
            </w:r>
            <w:r w:rsidRPr="003B2FFA">
              <w:rPr>
                <w:b/>
                <w:bCs/>
                <w:i/>
                <w:iCs/>
              </w:rPr>
              <w:t>en</w:t>
            </w:r>
            <w:r w:rsidRPr="003B2FFA">
              <w:rPr>
                <w:i/>
                <w:iCs/>
              </w:rPr>
              <w:t xml:space="preserve"> </w:t>
            </w:r>
            <w:r w:rsidRPr="003B2FFA">
              <w:t xml:space="preserve">de methode voor het verzamelen </w:t>
            </w:r>
            <w:r w:rsidRPr="003B2FFA">
              <w:rPr>
                <w:b/>
                <w:bCs/>
                <w:i/>
                <w:iCs/>
              </w:rPr>
              <w:t xml:space="preserve">en doorgeven </w:t>
            </w:r>
            <w:r w:rsidRPr="003B2FFA">
              <w:t xml:space="preserve">van </w:t>
            </w:r>
            <w:r w:rsidRPr="003B2FFA">
              <w:rPr>
                <w:b/>
                <w:bCs/>
                <w:i/>
                <w:iCs/>
              </w:rPr>
              <w:t>gegevens aan de Commissie</w:t>
            </w:r>
            <w:r w:rsidRPr="003B2FFA">
              <w:rPr>
                <w:i/>
                <w:iCs/>
              </w:rPr>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18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43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(43 bis)</w:t>
            </w:r>
            <w:r w:rsidRPr="003B2FFA">
              <w:rPr>
                <w:b/>
                <w:i/>
              </w:rPr>
              <w:tab/>
              <w:t>Om de Commissie te adviseren over de uitvoering van de in deze richtlijn opgenomen maatregelen, om informatie uit te wisselen over de efficiëntie en d</w:t>
            </w:r>
            <w:r w:rsidRPr="003B2FFA">
              <w:rPr>
                <w:b/>
                <w:i/>
              </w:rPr>
              <w:t>oeltreffendheid van de samenwerking met derde landen en om de door de lidstaten vastgestelde nationale strategieën inzake de ontneming van vermogensbestanddelen te analyseren om beste praktijken te bepalen, moet een platform over de ontneming en confiscati</w:t>
            </w:r>
            <w:r w:rsidRPr="003B2FFA">
              <w:rPr>
                <w:b/>
                <w:i/>
              </w:rPr>
              <w:t>e van vermogensbestanddelen (het “platform”) worden opgericht onder auspiciën van de Commissie. Het platform moet zijn samengesteld uit vertegenwoordigers van bureaus voor de ontneming van vermogensbestanddelen en bureaus voor vermogensbeheer en moet worde</w:t>
            </w:r>
            <w:r w:rsidRPr="003B2FFA">
              <w:rPr>
                <w:b/>
                <w:i/>
              </w:rPr>
              <w:t>n voorgezeten door een vertegenwoordiger van de Commissie. Het moet mogelijk zijn vertegenwoordigers van Europol, Eurojust en het Europees Openbaar Ministerie uit te nodigen om deel te nemen aan de vergaderingen van het platform.</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19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45</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(45)</w:t>
            </w:r>
            <w:r w:rsidRPr="003B2FFA">
              <w:tab/>
            </w:r>
            <w:r w:rsidRPr="003B2FFA">
              <w:t>De bureaus voor de ontneming van vermogensbestanddelen moeten ook nauw samenwerken met organen en agentschappen van de Unie, waaronder Europol</w:t>
            </w:r>
            <w:r w:rsidRPr="003B2FFA">
              <w:rPr>
                <w:b/>
                <w:bCs/>
                <w:i/>
                <w:iCs/>
              </w:rPr>
              <w:t>,</w:t>
            </w:r>
            <w:r w:rsidRPr="003B2FFA">
              <w:t xml:space="preserve"> </w:t>
            </w:r>
            <w:r w:rsidRPr="003B2FFA">
              <w:rPr>
                <w:b/>
                <w:bCs/>
                <w:i/>
                <w:iCs/>
              </w:rPr>
              <w:t>Eurojust</w:t>
            </w:r>
            <w:r w:rsidRPr="003B2FFA">
              <w:t xml:space="preserve"> en het Europees Openbaar Ministerie, overeenkomstig hun </w:t>
            </w:r>
            <w:r w:rsidRPr="003B2FFA">
              <w:lastRenderedPageBreak/>
              <w:t>respectieve mandaten, voor zover dat nodig is v</w:t>
            </w:r>
            <w:r w:rsidRPr="003B2FFA">
              <w:t xml:space="preserve">oor de opsporing en identificatie van voorwerpen in het kader van de grensoverschrijdende onderzoeken die door Europol </w:t>
            </w:r>
            <w:r w:rsidRPr="003B2FFA">
              <w:rPr>
                <w:b/>
                <w:bCs/>
                <w:i/>
                <w:iCs/>
              </w:rPr>
              <w:t>en Eurojust</w:t>
            </w:r>
            <w:r w:rsidRPr="003B2FFA">
              <w:t xml:space="preserve"> worden ondersteund, of in het kader van de onderzoeken die door het Europees Openbaar Ministerie worden gevoerd. </w:t>
            </w:r>
            <w:r w:rsidRPr="003B2FFA">
              <w:t xml:space="preserve">De bureaus voor de ontneming van vermogensbestanddelen moeten ook samenwerken met Europol </w:t>
            </w:r>
            <w:r w:rsidRPr="003B2FFA">
              <w:rPr>
                <w:b/>
                <w:bCs/>
                <w:i/>
                <w:iCs/>
              </w:rPr>
              <w:t>en Eurojust,</w:t>
            </w:r>
            <w:r w:rsidRPr="003B2FFA">
              <w:t xml:space="preserve"> overeenkomstig </w:t>
            </w:r>
            <w:r w:rsidRPr="003B2FFA">
              <w:rPr>
                <w:b/>
                <w:bCs/>
                <w:i/>
                <w:iCs/>
              </w:rPr>
              <w:t>hun respectieve mandaten</w:t>
            </w:r>
            <w:r w:rsidRPr="003B2FFA">
              <w:t>, voor zover dat nodig is om voorwerpen op te sporen en te identificeren met het oog op het voorkomen, opsporen of</w:t>
            </w:r>
            <w:r w:rsidRPr="003B2FFA">
              <w:t xml:space="preserve"> onderzoeken van strafbare feiten die verband houden met de schending van beperkende maatregelen van de Unie.</w:t>
            </w:r>
          </w:p>
        </w:tc>
        <w:tc>
          <w:tcPr>
            <w:tcW w:w="4876" w:type="dxa"/>
            <w:hideMark/>
          </w:tcPr>
          <w:p w:rsidR="00E93DAA" w:rsidRPr="003B2FFA" w:rsidRDefault="003B2FFA">
            <w:pPr>
              <w:pStyle w:val="Normal6"/>
              <w:rPr>
                <w:szCs w:val="24"/>
              </w:rPr>
            </w:pPr>
            <w:r w:rsidRPr="003B2FFA">
              <w:lastRenderedPageBreak/>
              <w:t>(45)</w:t>
            </w:r>
            <w:r w:rsidRPr="003B2FFA">
              <w:tab/>
              <w:t>De bureaus voor de ontneming van vermogensbestanddelen moeten ook nauw samenwerken met organen en agentschappen van de Unie, waaronder Europo</w:t>
            </w:r>
            <w:r w:rsidRPr="003B2FFA">
              <w:t xml:space="preserve">l en het Europees Openbaar Ministerie, overeenkomstig hun </w:t>
            </w:r>
            <w:r w:rsidRPr="003B2FFA">
              <w:lastRenderedPageBreak/>
              <w:t>respectieve mandaten, voor zover dat nodig is voor de opsporing en identificatie van voorwerpen in het kader van de grensoverschrijdende onderzoeken die door Europol worden ondersteund, of in het ka</w:t>
            </w:r>
            <w:r w:rsidRPr="003B2FFA">
              <w:t xml:space="preserve">der van de onderzoeken die door het Europees Openbaar Ministerie worden gevoerd. De bureaus voor de ontneming van vermogensbestanddelen moeten ook samenwerken met Europol en overeenkomstig </w:t>
            </w:r>
            <w:r w:rsidRPr="003B2FFA">
              <w:rPr>
                <w:b/>
                <w:i/>
              </w:rPr>
              <w:t>zijn mandaat</w:t>
            </w:r>
            <w:r w:rsidRPr="003B2FFA">
              <w:t>, voor zover dat nodig is om voorwerpen op te sporen en</w:t>
            </w:r>
            <w:r w:rsidRPr="003B2FFA">
              <w:t xml:space="preserve"> te identificeren met het oog op het voorkomen, opsporen of onderzoeken van strafbare feiten die verband houden met de schending van beperkende maatregelen van de Unie.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w:t>
      </w:r>
      <w:r w:rsidRPr="003B2FFA">
        <w:rPr>
          <w:rStyle w:val="HideTWBExt"/>
          <w:b w:val="0"/>
        </w:rPr>
        <w:t>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45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1C6953">
            <w:pPr>
              <w:pStyle w:val="Normal6"/>
              <w:rPr>
                <w:szCs w:val="24"/>
              </w:rPr>
            </w:pPr>
            <w:r w:rsidRPr="003B2FFA">
              <w:rPr>
                <w:b/>
                <w:i/>
              </w:rPr>
              <w:t>(45 bis)</w:t>
            </w:r>
            <w:r w:rsidRPr="003B2FFA">
              <w:rPr>
                <w:b/>
                <w:i/>
              </w:rPr>
              <w:tab/>
            </w:r>
            <w:r w:rsidRPr="003B2FFA">
              <w:rPr>
                <w:b/>
                <w:i/>
              </w:rPr>
              <w:t>Overeenkomstig zijn mandaat moet Eurojust nationale autoriteiten ondersteunen in alle fasen van de ontneming van vermogensbestanddelen, van de opsporing en identificatie, bevriezing, de confiscatie en het beheer van vermogensbestanddelen tot de verwijderin</w:t>
            </w:r>
            <w:r w:rsidRPr="003B2FFA">
              <w:rPr>
                <w:b/>
                <w:i/>
              </w:rPr>
              <w:t>g van vermogensbestanddelen. Bureaus voor de ontneming van vermogensbestanddelen en bureaus voor vermogensbeheer moeten nauw samenwerken met Eurojust om de volledige procedure van ontneming van vermogensbestanddelen te vergemakkelijken. Een dergelijke same</w:t>
            </w:r>
            <w:r w:rsidRPr="003B2FFA">
              <w:rPr>
                <w:b/>
                <w:i/>
              </w:rPr>
              <w:t xml:space="preserve">nwerking omvat de opsporing en identificatie van hulpmiddelen, opbrengsten of eigendommen die het voorwerp zijn of kunnen zijn van een bevriezings- of confiscatiebevel van een bevoegde autoriteit tijdens strafrechtelijke </w:t>
            </w:r>
            <w:r w:rsidRPr="003B2FFA">
              <w:rPr>
                <w:b/>
                <w:i/>
              </w:rPr>
              <w:lastRenderedPageBreak/>
              <w:t>procedures en de daaropvolgende ver</w:t>
            </w:r>
            <w:r w:rsidRPr="003B2FFA">
              <w:rPr>
                <w:b/>
                <w:i/>
              </w:rPr>
              <w:t xml:space="preserve">wijdering, met inbegrip van het onderzoek naar en de vervolging van strafbare feiten die verband houden met de schending van de beperkende maatregelen van de Unie.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47</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(47)</w:t>
            </w:r>
            <w:r w:rsidRPr="003B2FFA">
              <w:tab/>
              <w:t>Daar de doelstelling van deze richtlijn, namelijk de confiscatie van voorwerpen in</w:t>
            </w:r>
            <w:r w:rsidRPr="003B2FFA">
              <w:rPr>
                <w:b/>
                <w:bCs/>
                <w:i/>
                <w:iCs/>
              </w:rPr>
              <w:t xml:space="preserve"> strafzaken</w:t>
            </w:r>
            <w:r w:rsidRPr="003B2FFA">
              <w:t xml:space="preserve"> vergemakkelijken, niet voldoende door de lidstaten kan worden verwezenlijkt maar beter door de Unie kan worden verwezenlijkt, kan de Unie, overeenkomstig het in artikel 5 van het Verdrag betreffende de Europese Unie (VEU) neergelegde subsidiariteitsbegins</w:t>
            </w:r>
            <w:r w:rsidRPr="003B2FFA">
              <w:t>el, maatregelen nemen. Overeenkomstig het in hetzelfde artikel neergelegde evenredigheidsbeginsel, gaat deze richtlijn niet verder dan nodig is om deze doelstelling te verwezenlijken.</w:t>
            </w:r>
          </w:p>
        </w:tc>
        <w:tc>
          <w:tcPr>
            <w:tcW w:w="4876" w:type="dxa"/>
            <w:hideMark/>
          </w:tcPr>
          <w:p w:rsidR="00E93DAA" w:rsidRPr="003B2FFA" w:rsidRDefault="003B2FFA">
            <w:pPr>
              <w:pStyle w:val="Normal6"/>
              <w:rPr>
                <w:szCs w:val="24"/>
              </w:rPr>
            </w:pPr>
            <w:r w:rsidRPr="003B2FFA">
              <w:t>(47)</w:t>
            </w:r>
            <w:r w:rsidRPr="003B2FFA">
              <w:tab/>
              <w:t>Daar de doelstelling van deze richtlijn, namelijk de confiscatie va</w:t>
            </w:r>
            <w:r w:rsidRPr="003B2FFA">
              <w:t xml:space="preserve">n voorwerpen in </w:t>
            </w:r>
            <w:r w:rsidRPr="003B2FFA">
              <w:rPr>
                <w:b/>
                <w:bCs/>
                <w:i/>
                <w:iCs/>
              </w:rPr>
              <w:t>strafrechtelijke procedures</w:t>
            </w:r>
            <w:r w:rsidRPr="003B2FFA">
              <w:rPr>
                <w:i/>
                <w:iCs/>
              </w:rPr>
              <w:t xml:space="preserve"> </w:t>
            </w:r>
            <w:r w:rsidRPr="003B2FFA">
              <w:t>vergemakkelijken, niet voldoende door de lidstaten kan worden verwezenlijkt maar beter door de Unie kan worden verwezenlijkt, kan de Unie, overeenkomstig het in artikel 5 van het Verdrag betreffende de Europese U</w:t>
            </w:r>
            <w:r w:rsidRPr="003B2FFA">
              <w:t>nie (VEU) neergelegde subsidiariteitsbeginsel, maatregelen nemen. Overeenkomstig het in hetzelfde artikel neergelegde evenredigheidsbeginsel, gaat deze richtlijn niet verder dan nodig is om deze doelstelling te verwezenlijken.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w:t>
      </w:r>
      <w:r w:rsidRPr="003B2FFA">
        <w:rPr>
          <w:rStyle w:val="HideTWBExt"/>
        </w:rPr>
        <w:t>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Overweging 51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(51)</w:t>
            </w:r>
            <w:r w:rsidRPr="003B2FFA">
              <w:tab/>
            </w:r>
            <w:r w:rsidRPr="003B2FFA">
              <w:t xml:space="preserve">Overeenkomstig artikel 42 van Verordening (EU) 2018/1725 is de Europese Toezichthouder voor gegevensbescherming geraadpleegd, en </w:t>
            </w:r>
            <w:r w:rsidRPr="003B2FFA">
              <w:rPr>
                <w:b/>
                <w:bCs/>
                <w:i/>
                <w:iCs/>
              </w:rPr>
              <w:t>op XX/XX/20XX</w:t>
            </w:r>
            <w:r w:rsidRPr="003B2FFA">
              <w:t xml:space="preserve"> heeft hij een advies </w:t>
            </w:r>
            <w:r w:rsidRPr="003B2FFA">
              <w:lastRenderedPageBreak/>
              <w:t>uitgebracht,</w:t>
            </w:r>
          </w:p>
        </w:tc>
        <w:tc>
          <w:tcPr>
            <w:tcW w:w="4876" w:type="dxa"/>
            <w:hideMark/>
          </w:tcPr>
          <w:p w:rsidR="00E93DAA" w:rsidRPr="003B2FFA" w:rsidRDefault="003B2FFA">
            <w:pPr>
              <w:pStyle w:val="Normal6"/>
              <w:rPr>
                <w:szCs w:val="24"/>
              </w:rPr>
            </w:pPr>
            <w:r w:rsidRPr="003B2FFA">
              <w:lastRenderedPageBreak/>
              <w:t>(51)</w:t>
            </w:r>
            <w:r w:rsidRPr="003B2FFA">
              <w:tab/>
              <w:t>Overeenkomstig artikel 42 van Verordening (EU) 2018/1725 is de Europese To</w:t>
            </w:r>
            <w:r w:rsidRPr="003B2FFA">
              <w:t xml:space="preserve">ezichthouder voor gegevensbescherming geraadpleegd, en </w:t>
            </w:r>
            <w:r w:rsidRPr="003B2FFA">
              <w:rPr>
                <w:b/>
                <w:i/>
              </w:rPr>
              <w:t>op 19 juli 2022</w:t>
            </w:r>
            <w:r w:rsidRPr="003B2FFA">
              <w:t xml:space="preserve"> heeft hij een advies </w:t>
            </w:r>
            <w:r w:rsidRPr="003B2FFA">
              <w:lastRenderedPageBreak/>
              <w:t>uitgebracht.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 – lid 2 – punt j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j bis)</w:t>
            </w:r>
            <w:r w:rsidRPr="003B2FFA">
              <w:rPr>
                <w:b/>
                <w:i/>
              </w:rPr>
              <w:tab/>
              <w:t>illegale handel in nucleaire of radioactieve stoffen;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 – lid 2 – punt j ter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j ter)</w:t>
            </w:r>
            <w:r w:rsidRPr="003B2FFA">
              <w:rPr>
                <w:b/>
                <w:i/>
              </w:rPr>
              <w:tab/>
              <w:t>misdrijven die onder de rechtsmacht van het Internationaal Strafhof vallen;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 – lid 2 – punt j quater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j quater)</w:t>
            </w:r>
            <w:r w:rsidRPr="003B2FFA">
              <w:rPr>
                <w:b/>
                <w:i/>
              </w:rPr>
              <w:tab/>
            </w:r>
            <w:r w:rsidRPr="003B2FFA">
              <w:rPr>
                <w:b/>
                <w:i/>
              </w:rPr>
              <w:t>kaping van vliegtuigen of schepen;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26</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 – lid 2 – punt j quinquies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j quinquies)</w:t>
            </w:r>
            <w:r w:rsidRPr="003B2FFA">
              <w:rPr>
                <w:b/>
                <w:i/>
              </w:rPr>
              <w:tab/>
              <w:t>sabotage.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27</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3 – alinea 1 – punt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t>“voorwerpen”: goederen van enigerlei aard, lichamelijk of onlichamelijk, roerend of onroerend, alsmede rechtsbescheiden waaruit de eigendom of andere rechten ten aanzien van die goederen blijken;</w:t>
            </w:r>
          </w:p>
        </w:tc>
        <w:tc>
          <w:tcPr>
            <w:tcW w:w="4876" w:type="dxa"/>
            <w:hideMark/>
          </w:tcPr>
          <w:p w:rsidR="00E93DAA" w:rsidRPr="003B2FFA" w:rsidRDefault="003B2FFA">
            <w:pPr>
              <w:pStyle w:val="Normal6"/>
              <w:rPr>
                <w:szCs w:val="24"/>
              </w:rPr>
            </w:pPr>
            <w:r w:rsidRPr="003B2FFA">
              <w:t>2)</w:t>
            </w:r>
            <w:r w:rsidRPr="003B2FFA">
              <w:tab/>
            </w:r>
            <w:r w:rsidRPr="003B2FFA">
              <w:t xml:space="preserve">“voorwerpen”: goederen van enigerlei aard, lichamelijk of onlichamelijk, roerend of onroerend, alsmede rechtsbescheiden </w:t>
            </w:r>
            <w:r w:rsidRPr="003B2FFA">
              <w:rPr>
                <w:b/>
                <w:bCs/>
                <w:i/>
                <w:iCs/>
              </w:rPr>
              <w:t>in eender welke vorm</w:t>
            </w:r>
            <w:r w:rsidRPr="003B2FFA">
              <w:rPr>
                <w:i/>
                <w:iCs/>
              </w:rPr>
              <w:t xml:space="preserve"> </w:t>
            </w:r>
            <w:r w:rsidRPr="003B2FFA">
              <w:t>waaruit de eigendom of andere rechten ten aanzien van die goederen blijken;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3 – alinea 1 – punt 10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1C6953">
            <w:pPr>
              <w:pStyle w:val="Normal6"/>
              <w:rPr>
                <w:b/>
                <w:i/>
              </w:rPr>
            </w:pPr>
            <w:r w:rsidRPr="003B2FFA">
              <w:rPr>
                <w:b/>
                <w:i/>
              </w:rPr>
              <w:t>10 bis)</w:t>
            </w:r>
            <w:r w:rsidRPr="003B2FFA">
              <w:rPr>
                <w:b/>
                <w:i/>
              </w:rPr>
              <w:tab/>
              <w:t>“getroffen persoon”:</w:t>
            </w:r>
          </w:p>
        </w:tc>
      </w:tr>
      <w:tr w:rsidR="003B2FFA" w:rsidRPr="003B2FFA" w:rsidTr="00E93DAA">
        <w:trPr>
          <w:jc w:val="center"/>
        </w:trPr>
        <w:tc>
          <w:tcPr>
            <w:tcW w:w="4876" w:type="dxa"/>
          </w:tcPr>
          <w:p w:rsidR="003C7B06" w:rsidRPr="003B2FFA" w:rsidRDefault="003C7B06">
            <w:pPr>
              <w:pStyle w:val="Normal6"/>
            </w:pPr>
          </w:p>
        </w:tc>
        <w:tc>
          <w:tcPr>
            <w:tcW w:w="4876" w:type="dxa"/>
          </w:tcPr>
          <w:p w:rsidR="003C7B06" w:rsidRPr="003B2FFA" w:rsidRDefault="003B2FFA" w:rsidP="00955BC0">
            <w:pPr>
              <w:pStyle w:val="Normal6"/>
              <w:rPr>
                <w:b/>
                <w:i/>
              </w:rPr>
            </w:pPr>
            <w:r w:rsidRPr="003B2FFA">
              <w:rPr>
                <w:b/>
                <w:i/>
              </w:rPr>
              <w:t>a)</w:t>
            </w:r>
            <w:r w:rsidRPr="003B2FFA">
              <w:rPr>
                <w:b/>
                <w:i/>
              </w:rPr>
              <w:tab/>
            </w:r>
            <w:r w:rsidRPr="003B2FFA">
              <w:rPr>
                <w:b/>
                <w:i/>
              </w:rPr>
              <w:t>een natuurlijke persoon of rechtspersoon tegen wie een bevriezings- of confiscatiebevel is uitgevaardigd;</w:t>
            </w:r>
          </w:p>
        </w:tc>
      </w:tr>
      <w:tr w:rsidR="003B2FFA" w:rsidRPr="003B2FFA" w:rsidTr="00E93DAA">
        <w:trPr>
          <w:jc w:val="center"/>
        </w:trPr>
        <w:tc>
          <w:tcPr>
            <w:tcW w:w="4876" w:type="dxa"/>
          </w:tcPr>
          <w:p w:rsidR="003C7B06" w:rsidRPr="003B2FFA" w:rsidRDefault="003C7B06">
            <w:pPr>
              <w:pStyle w:val="Normal6"/>
            </w:pPr>
          </w:p>
        </w:tc>
        <w:tc>
          <w:tcPr>
            <w:tcW w:w="4876" w:type="dxa"/>
          </w:tcPr>
          <w:p w:rsidR="003C7B06" w:rsidRPr="003B2FFA" w:rsidRDefault="003B2FFA" w:rsidP="00955BC0">
            <w:pPr>
              <w:pStyle w:val="Normal6"/>
              <w:rPr>
                <w:b/>
                <w:i/>
              </w:rPr>
            </w:pPr>
            <w:r w:rsidRPr="003B2FFA">
              <w:rPr>
                <w:b/>
                <w:i/>
              </w:rPr>
              <w:t>b)</w:t>
            </w:r>
            <w:r w:rsidRPr="003B2FFA">
              <w:rPr>
                <w:b/>
                <w:i/>
              </w:rPr>
              <w:tab/>
              <w:t xml:space="preserve">een natuurlijke persoon of rechtspersoon die voorwerpen bezit waarvoor een bevriezings- of confiscatiebevel is uitgevaardigd; of </w:t>
            </w:r>
          </w:p>
        </w:tc>
      </w:tr>
      <w:tr w:rsidR="003B2FFA" w:rsidRPr="003B2FFA" w:rsidTr="00E93DAA">
        <w:trPr>
          <w:jc w:val="center"/>
        </w:trPr>
        <w:tc>
          <w:tcPr>
            <w:tcW w:w="4876" w:type="dxa"/>
          </w:tcPr>
          <w:p w:rsidR="003C7B06" w:rsidRPr="003B2FFA" w:rsidRDefault="003C7B06">
            <w:pPr>
              <w:pStyle w:val="Normal6"/>
            </w:pPr>
          </w:p>
        </w:tc>
        <w:tc>
          <w:tcPr>
            <w:tcW w:w="4876" w:type="dxa"/>
          </w:tcPr>
          <w:p w:rsidR="003C7B06" w:rsidRPr="003B2FFA" w:rsidRDefault="003B2FFA" w:rsidP="00955BC0">
            <w:pPr>
              <w:pStyle w:val="Normal6"/>
              <w:rPr>
                <w:b/>
                <w:i/>
              </w:rPr>
            </w:pPr>
            <w:r w:rsidRPr="003B2FFA">
              <w:rPr>
                <w:b/>
                <w:i/>
              </w:rPr>
              <w:t>c)</w:t>
            </w:r>
            <w:r w:rsidRPr="003B2FFA">
              <w:rPr>
                <w:b/>
                <w:i/>
              </w:rPr>
              <w:tab/>
            </w:r>
            <w:r w:rsidRPr="003B2FFA">
              <w:rPr>
                <w:b/>
                <w:i/>
              </w:rPr>
              <w:t xml:space="preserve">een derde van wie rechtstreeks afbreuk wordt gedaan aan de rechten met </w:t>
            </w:r>
            <w:r w:rsidRPr="003B2FFA">
              <w:rPr>
                <w:b/>
                <w:i/>
              </w:rPr>
              <w:lastRenderedPageBreak/>
              <w:t xml:space="preserve">betrekking tot voorwerpen waarvoor een bevriezings- of confiscatiebevel is uitgevaardigd;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29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4 – lid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r>
            <w:r w:rsidRPr="003B2FFA">
              <w:t xml:space="preserve">Ter vergemakkelijking van de grensoverschrijdende samenwerking nemen de lidstaten maatregelen om de snelle opsporing en identificatie mogelijk te maken van hulpmiddelen en opbrengsten, of van voorwerpen die in de loop van een </w:t>
            </w:r>
            <w:r w:rsidRPr="003B2FFA">
              <w:rPr>
                <w:b/>
                <w:bCs/>
                <w:i/>
                <w:iCs/>
              </w:rPr>
              <w:t>strafprocedure</w:t>
            </w:r>
            <w:r w:rsidRPr="003B2FFA">
              <w:t xml:space="preserve"> zijn of kunnen </w:t>
            </w:r>
            <w:r w:rsidRPr="003B2FFA">
              <w:t>worden onderworpen aan een bevriezings- of confiscatiebevel.</w:t>
            </w:r>
          </w:p>
        </w:tc>
        <w:tc>
          <w:tcPr>
            <w:tcW w:w="4876" w:type="dxa"/>
            <w:hideMark/>
          </w:tcPr>
          <w:p w:rsidR="00E93DAA" w:rsidRPr="003B2FFA" w:rsidRDefault="003B2FFA">
            <w:pPr>
              <w:pStyle w:val="Normal6"/>
              <w:rPr>
                <w:szCs w:val="24"/>
              </w:rPr>
            </w:pPr>
            <w:r w:rsidRPr="003B2FFA">
              <w:t>1.</w:t>
            </w:r>
            <w:r w:rsidRPr="003B2FFA">
              <w:tab/>
              <w:t xml:space="preserve">Ter vergemakkelijking van de grensoverschrijdende samenwerking nemen de lidstaten maatregelen om de snelle opsporing en identificatie mogelijk te maken van hulpmiddelen en opbrengsten, of van </w:t>
            </w:r>
            <w:r w:rsidRPr="003B2FFA">
              <w:t xml:space="preserve">voorwerpen die in de loop van een </w:t>
            </w:r>
            <w:r w:rsidRPr="003B2FFA">
              <w:rPr>
                <w:b/>
                <w:bCs/>
                <w:i/>
                <w:iCs/>
              </w:rPr>
              <w:t>strafrechtelijke procedure</w:t>
            </w:r>
            <w:r w:rsidRPr="003B2FFA">
              <w:t xml:space="preserve"> zijn of kunnen worden onderworpen aan een bevriezings- of confiscatiebevel.</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w:t>
      </w:r>
      <w:r w:rsidRPr="003B2FFA">
        <w:rPr>
          <w:rStyle w:val="HideTWBExt"/>
          <w:b w:val="0"/>
        </w:rPr>
        <w:t>ocAmend&gt;</w:t>
      </w:r>
    </w:p>
    <w:p w:rsidR="00E93DAA" w:rsidRPr="003B2FFA" w:rsidRDefault="003B2FFA" w:rsidP="00E93DAA">
      <w:pPr>
        <w:pStyle w:val="NormalBold"/>
      </w:pPr>
      <w:r w:rsidRPr="003B2FFA">
        <w:rPr>
          <w:rStyle w:val="HideTWBExt"/>
          <w:b w:val="0"/>
        </w:rPr>
        <w:t>&lt;Article&gt;</w:t>
      </w:r>
      <w:r w:rsidRPr="003B2FFA">
        <w:t>Artikel 5 – lid 2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1C6953">
            <w:pPr>
              <w:pStyle w:val="Normal6"/>
              <w:rPr>
                <w:szCs w:val="24"/>
              </w:rPr>
            </w:pPr>
            <w:r w:rsidRPr="003B2FFA">
              <w:rPr>
                <w:b/>
                <w:i/>
              </w:rPr>
              <w:t>2 bis.</w:t>
            </w:r>
            <w:r w:rsidRPr="003B2FFA">
              <w:rPr>
                <w:b/>
                <w:i/>
              </w:rPr>
              <w:tab/>
            </w:r>
            <w:r w:rsidRPr="003B2FFA">
              <w:rPr>
                <w:b/>
                <w:i/>
              </w:rPr>
              <w:t>Om de taken krachtens lid 2, punt b), uit te voeren, hebben bureaus voor de ontneming van vermogensbestanddelen het recht de relevante bevoegde autoriteiten te verzoeken de nodige maatregelen te nemen voor de opsporing en identificatie van hulpmiddelen, op</w:t>
            </w:r>
            <w:r w:rsidRPr="003B2FFA">
              <w:rPr>
                <w:b/>
                <w:i/>
              </w:rPr>
              <w:t xml:space="preserve">brengsten of voorwerpen.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31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5 – lid 4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C5D7C">
            <w:pPr>
              <w:pStyle w:val="Normal6"/>
              <w:rPr>
                <w:szCs w:val="24"/>
              </w:rPr>
            </w:pPr>
            <w:r w:rsidRPr="003B2FFA">
              <w:rPr>
                <w:b/>
                <w:i/>
              </w:rPr>
              <w:t>4 bis.</w:t>
            </w:r>
            <w:r w:rsidRPr="003B2FFA">
              <w:rPr>
                <w:b/>
                <w:i/>
              </w:rPr>
              <w:tab/>
              <w:t xml:space="preserve">De lidstaten houden terdege rekening met de mogelijkheid om de in artikel 21, lid 2, omschreven taken toe te vertrouwen aan bureaus voor de ontneming van vermogensbestanddelen.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inleidende formule</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r>
            <w:r w:rsidRPr="003B2FFA">
              <w:t xml:space="preserve">Met het oog op de uitvoering van de in artikel 5 genoemde taken zorgen de lidstaten ervoor dat de bureaus voor de ontneming van vermogensbestanddelen </w:t>
            </w:r>
            <w:r w:rsidRPr="003B2FFA">
              <w:rPr>
                <w:b/>
                <w:bCs/>
                <w:i/>
                <w:iCs/>
              </w:rPr>
              <w:t>onmiddellijke en directe</w:t>
            </w:r>
            <w:r w:rsidRPr="003B2FFA">
              <w:t xml:space="preserve"> toegang hebben tot </w:t>
            </w:r>
            <w:r w:rsidRPr="003B2FFA">
              <w:rPr>
                <w:b/>
                <w:bCs/>
                <w:i/>
                <w:iCs/>
              </w:rPr>
              <w:t>de volgende</w:t>
            </w:r>
            <w:r w:rsidRPr="003B2FFA">
              <w:t xml:space="preserve"> informatie, voor zover </w:t>
            </w:r>
            <w:r w:rsidRPr="003B2FFA">
              <w:rPr>
                <w:b/>
                <w:bCs/>
                <w:i/>
                <w:iCs/>
              </w:rPr>
              <w:t>die informatie</w:t>
            </w:r>
            <w:r w:rsidRPr="003B2FFA">
              <w:t xml:space="preserve"> nodig is voo</w:t>
            </w:r>
            <w:r w:rsidRPr="003B2FFA">
              <w:t xml:space="preserve">r de opsporing en identificatie van </w:t>
            </w:r>
            <w:r w:rsidRPr="003B2FFA">
              <w:rPr>
                <w:b/>
                <w:bCs/>
                <w:i/>
                <w:iCs/>
              </w:rPr>
              <w:t>opbrengsten,</w:t>
            </w:r>
            <w:r w:rsidRPr="003B2FFA">
              <w:t xml:space="preserve"> hulpmiddelen en voorwerpen:</w:t>
            </w:r>
          </w:p>
        </w:tc>
        <w:tc>
          <w:tcPr>
            <w:tcW w:w="4876" w:type="dxa"/>
            <w:hideMark/>
          </w:tcPr>
          <w:p w:rsidR="00E93DAA" w:rsidRPr="003B2FFA" w:rsidRDefault="003B2FFA" w:rsidP="007C5D7C">
            <w:pPr>
              <w:pStyle w:val="Normal6"/>
              <w:rPr>
                <w:szCs w:val="24"/>
              </w:rPr>
            </w:pPr>
            <w:r w:rsidRPr="003B2FFA">
              <w:t>1.</w:t>
            </w:r>
            <w:r w:rsidRPr="003B2FFA">
              <w:tab/>
              <w:t xml:space="preserve">Met het oog op de uitvoering van de in artikel 5 genoemde taken zorgen de lidstaten ervoor dat de bureaus voor de ontneming van vermogensbestanddelen </w:t>
            </w:r>
            <w:r w:rsidRPr="003B2FFA">
              <w:rPr>
                <w:b/>
                <w:bCs/>
                <w:i/>
                <w:iCs/>
              </w:rPr>
              <w:t>passende</w:t>
            </w:r>
            <w:r w:rsidRPr="003B2FFA">
              <w:t xml:space="preserve"> toegang hebben to</w:t>
            </w:r>
            <w:r w:rsidRPr="003B2FFA">
              <w:t xml:space="preserve">t </w:t>
            </w:r>
            <w:r w:rsidRPr="003B2FFA">
              <w:rPr>
                <w:b/>
                <w:bCs/>
                <w:i/>
                <w:iCs/>
              </w:rPr>
              <w:t xml:space="preserve">alle </w:t>
            </w:r>
            <w:r w:rsidRPr="003B2FFA">
              <w:t xml:space="preserve">informatie, voor zover </w:t>
            </w:r>
            <w:r w:rsidRPr="003B2FFA">
              <w:rPr>
                <w:b/>
                <w:bCs/>
                <w:i/>
                <w:iCs/>
              </w:rPr>
              <w:t xml:space="preserve">dit </w:t>
            </w:r>
            <w:r w:rsidRPr="003B2FFA">
              <w:t>nodig is voor de opsporing en identificatie van hulpmiddelen</w:t>
            </w:r>
            <w:r w:rsidRPr="003B2FFA">
              <w:rPr>
                <w:b/>
                <w:bCs/>
                <w:i/>
                <w:iCs/>
              </w:rPr>
              <w:t xml:space="preserve">, </w:t>
            </w:r>
            <w:r w:rsidRPr="003B2FFA">
              <w:rPr>
                <w:b/>
                <w:bCs/>
                <w:i/>
                <w:iCs/>
              </w:rPr>
              <w:t>opbrengsten</w:t>
            </w:r>
            <w:r w:rsidRPr="003B2FFA">
              <w:t xml:space="preserve"> en voorwerpen</w:t>
            </w:r>
            <w:r w:rsidRPr="003B2FFA">
              <w:rPr>
                <w:b/>
                <w:bCs/>
                <w:i/>
                <w:iCs/>
              </w:rPr>
              <w:t>.</w:t>
            </w:r>
            <w:r w:rsidRPr="003B2FFA">
              <w:rPr>
                <w:b/>
                <w:i/>
              </w:rPr>
              <w:t xml:space="preserve"> </w:t>
            </w:r>
            <w:r w:rsidRPr="003B2FFA">
              <w:rPr>
                <w:b/>
                <w:bCs/>
                <w:i/>
                <w:iCs/>
              </w:rPr>
              <w:t xml:space="preserve">Die toegang omvat </w:t>
            </w:r>
            <w:r w:rsidRPr="003B2FFA">
              <w:rPr>
                <w:b/>
                <w:bCs/>
                <w:i/>
                <w:iCs/>
              </w:rPr>
              <w:t>met name</w:t>
            </w:r>
            <w:r w:rsidRPr="003B2FFA">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a</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a)</w:t>
            </w:r>
            <w:r w:rsidRPr="003B2FFA">
              <w:tab/>
              <w:t>fiscale gegevens, met inbegrip van gegevens die in het bezit zijn van de belastingautoriteiten;</w:t>
            </w:r>
          </w:p>
        </w:tc>
        <w:tc>
          <w:tcPr>
            <w:tcW w:w="4876" w:type="dxa"/>
            <w:hideMark/>
          </w:tcPr>
          <w:p w:rsidR="00E93DAA" w:rsidRPr="003B2FFA" w:rsidRDefault="003B2FFA">
            <w:pPr>
              <w:pStyle w:val="Normal6"/>
              <w:rPr>
                <w:szCs w:val="24"/>
              </w:rPr>
            </w:pPr>
            <w:r w:rsidRPr="003B2FFA">
              <w:t>a)</w:t>
            </w:r>
            <w:r w:rsidRPr="003B2FFA">
              <w:tab/>
            </w:r>
            <w:r w:rsidRPr="003B2FFA">
              <w:rPr>
                <w:b/>
                <w:i/>
              </w:rPr>
              <w:t>onmiddellijke en rechtstreekse toegang tot: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i) </w:t>
            </w:r>
            <w:r w:rsidRPr="003B2FFA">
              <w:tab/>
              <w:t xml:space="preserve">fiscale gegevens, met inbegrip van </w:t>
            </w:r>
            <w:r w:rsidRPr="003B2FFA">
              <w:lastRenderedPageBreak/>
              <w:t>gegevens die in het bezit zijn van de belastingautoriteiten;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ii) </w:t>
            </w:r>
            <w:r w:rsidRPr="003B2FFA">
              <w:tab/>
            </w:r>
            <w:r w:rsidRPr="003B2FFA">
              <w:rPr>
                <w:b/>
                <w:i/>
              </w:rPr>
              <w:t>nationale onroerendgoedregisters of elektronische systemen voor gegevensontsluiting en land- en kadastrale registers;</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iii)</w:t>
            </w:r>
            <w:r w:rsidRPr="003B2FFA">
              <w:tab/>
            </w:r>
            <w:r w:rsidRPr="003B2FFA">
              <w:rPr>
                <w:b/>
                <w:i/>
              </w:rPr>
              <w:t xml:space="preserve"> nationale burgerschaps- en bevolkingsregisters van natuurlijke personen;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C5D7C">
            <w:pPr>
              <w:pStyle w:val="Normal6"/>
              <w:rPr>
                <w:szCs w:val="24"/>
              </w:rPr>
            </w:pPr>
            <w:r w:rsidRPr="003B2FFA">
              <w:rPr>
                <w:b/>
                <w:i/>
              </w:rPr>
              <w:t xml:space="preserve">iv) </w:t>
            </w:r>
            <w:r w:rsidRPr="003B2FFA">
              <w:tab/>
            </w:r>
            <w:r w:rsidRPr="003B2FFA">
              <w:rPr>
                <w:b/>
                <w:i/>
              </w:rPr>
              <w:t>nationale registers van motorvoertuigen, luchtvaartuigen en vaartuigen;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v) </w:t>
            </w:r>
            <w:r w:rsidRPr="003B2FFA">
              <w:tab/>
            </w:r>
            <w:r w:rsidRPr="003B2FFA">
              <w:rPr>
                <w:b/>
                <w:i/>
              </w:rPr>
              <w:t>commerciële gegevensbanken, met inbegrip van bedrijfs- en vennootschapsregisters;</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vi) </w:t>
            </w:r>
            <w:r w:rsidRPr="003B2FFA">
              <w:tab/>
            </w:r>
            <w:r w:rsidRPr="003B2FFA">
              <w:rPr>
                <w:b/>
                <w:i/>
              </w:rPr>
              <w:t>de nationale registers van uiteindelijk begunstigden;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vii)</w:t>
            </w:r>
            <w:r w:rsidRPr="003B2FFA">
              <w:tab/>
            </w:r>
            <w:r w:rsidRPr="003B2FFA">
              <w:rPr>
                <w:b/>
                <w:i/>
              </w:rPr>
              <w:t xml:space="preserve"> gegevens die beschikbaar zi</w:t>
            </w:r>
            <w:r w:rsidRPr="003B2FFA">
              <w:rPr>
                <w:b/>
                <w:i/>
              </w:rPr>
              <w:t>jn door de interconnectie van registers voor uiteindelijk begunstigden overeenkomstig [artikel 12 van het voorstel voor een richtlijn van het Europees Parlement en de Raad inzake de mechanismen die de lidstaten moeten invoeren om het gebruik van het financ</w:t>
            </w:r>
            <w:r w:rsidRPr="003B2FFA">
              <w:rPr>
                <w:b/>
                <w:i/>
              </w:rPr>
              <w:t>iële stelsel voor het witwassen van geld of terrorismefinanciering te voorkomen en tot intrekking van Richtlijn (EU) 2015/849 (COM(2021)0423)];</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viii)</w:t>
            </w:r>
            <w:r w:rsidRPr="003B2FFA">
              <w:tab/>
            </w:r>
            <w:r w:rsidRPr="003B2FFA">
              <w:rPr>
                <w:b/>
                <w:i/>
              </w:rPr>
              <w:t xml:space="preserve"> nationale socialezekerheidsregisters; 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ix) </w:t>
            </w:r>
            <w:r w:rsidRPr="003B2FFA">
              <w:tab/>
            </w:r>
            <w:r w:rsidRPr="003B2FFA">
              <w:rPr>
                <w:b/>
                <w:i/>
              </w:rPr>
              <w:t>registers van bankrekeningen, met inbegrip van informat</w:t>
            </w:r>
            <w:r w:rsidRPr="003B2FFA">
              <w:rPr>
                <w:b/>
                <w:i/>
              </w:rPr>
              <w:t>ie over bankoverschrijvingen.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b</w:t>
      </w:r>
      <w:r w:rsidRPr="003B2F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7F04E7">
        <w:trPr>
          <w:jc w:val="center"/>
        </w:trPr>
        <w:tc>
          <w:tcPr>
            <w:tcW w:w="9752" w:type="dxa"/>
            <w:gridSpan w:val="2"/>
          </w:tcPr>
          <w:p w:rsidR="00E93DAA" w:rsidRPr="003B2FFA" w:rsidRDefault="00E93DAA">
            <w:pPr>
              <w:keepNext/>
            </w:pPr>
          </w:p>
        </w:tc>
      </w:tr>
      <w:tr w:rsidR="003B2FFA" w:rsidRPr="003B2FFA" w:rsidTr="007F04E7">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7F04E7">
        <w:trPr>
          <w:jc w:val="center"/>
        </w:trPr>
        <w:tc>
          <w:tcPr>
            <w:tcW w:w="4876" w:type="dxa"/>
            <w:hideMark/>
          </w:tcPr>
          <w:p w:rsidR="00E93DAA" w:rsidRPr="003B2FFA" w:rsidRDefault="003B2FFA">
            <w:pPr>
              <w:pStyle w:val="Normal6"/>
            </w:pPr>
            <w:r w:rsidRPr="003B2FFA">
              <w:t>b)</w:t>
            </w:r>
            <w:r w:rsidRPr="003B2FFA">
              <w:tab/>
            </w:r>
            <w:r w:rsidRPr="003B2FFA">
              <w:rPr>
                <w:b/>
                <w:i/>
              </w:rPr>
              <w:t>nationale onroerendgoedregisters of elektronische systemen voor gegevensontsluiting en land- en kadastrale registers;</w:t>
            </w:r>
          </w:p>
        </w:tc>
        <w:tc>
          <w:tcPr>
            <w:tcW w:w="4876" w:type="dxa"/>
            <w:hideMark/>
          </w:tcPr>
          <w:p w:rsidR="00E93DAA" w:rsidRPr="003B2FFA" w:rsidRDefault="003B2FFA">
            <w:pPr>
              <w:pStyle w:val="Normal6"/>
              <w:rPr>
                <w:szCs w:val="24"/>
              </w:rPr>
            </w:pPr>
            <w:r w:rsidRPr="003B2FFA">
              <w:t>b)</w:t>
            </w:r>
            <w:r w:rsidRPr="003B2FFA">
              <w:tab/>
            </w:r>
            <w:r w:rsidRPr="003B2FFA">
              <w:rPr>
                <w:b/>
                <w:i/>
              </w:rPr>
              <w:t>rechtstreekse of onrechtstreekse toegang tot:</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i)</w:t>
            </w:r>
            <w:r w:rsidRPr="003B2FFA">
              <w:rPr>
                <w:b/>
                <w:i/>
              </w:rPr>
              <w:tab/>
              <w:t>informatie over hypotheken en leningen;</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ii)</w:t>
            </w:r>
            <w:r w:rsidRPr="003B2FFA">
              <w:rPr>
                <w:b/>
                <w:i/>
              </w:rPr>
              <w:tab/>
            </w:r>
            <w:r w:rsidRPr="003B2FFA">
              <w:rPr>
                <w:b/>
                <w:i/>
              </w:rPr>
              <w:t>informatie in de nationale deviezen- en valutawisseldatabanken;</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iii)</w:t>
            </w:r>
            <w:r w:rsidRPr="003B2FFA">
              <w:rPr>
                <w:b/>
                <w:i/>
              </w:rPr>
              <w:tab/>
              <w:t>informatie over effecten;</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iv)</w:t>
            </w:r>
            <w:r w:rsidRPr="003B2FFA">
              <w:rPr>
                <w:b/>
                <w:i/>
              </w:rPr>
              <w:tab/>
              <w:t>douanegegevens, met inbegrip van grensoverschrijdende fysieke geldovermakingen;</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v)</w:t>
            </w:r>
            <w:r w:rsidRPr="003B2FFA">
              <w:rPr>
                <w:b/>
                <w:i/>
              </w:rPr>
              <w:tab/>
              <w:t>informatie die in het bezit is van handelsrechtbanken;</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vi)</w:t>
            </w:r>
            <w:r w:rsidRPr="003B2FFA">
              <w:rPr>
                <w:b/>
                <w:i/>
              </w:rPr>
              <w:tab/>
              <w:t>informa</w:t>
            </w:r>
            <w:r w:rsidRPr="003B2FFA">
              <w:rPr>
                <w:b/>
                <w:i/>
              </w:rPr>
              <w:t>tie over jaarrekeningen van ondernemingen;</w:t>
            </w:r>
          </w:p>
        </w:tc>
      </w:tr>
      <w:tr w:rsidR="003B2FFA" w:rsidRPr="003B2FFA" w:rsidTr="007F04E7">
        <w:trPr>
          <w:jc w:val="center"/>
        </w:trPr>
        <w:tc>
          <w:tcPr>
            <w:tcW w:w="4876" w:type="dxa"/>
          </w:tcPr>
          <w:p w:rsidR="006B279A" w:rsidRPr="003B2FFA" w:rsidRDefault="006B279A">
            <w:pPr>
              <w:pStyle w:val="Normal6"/>
            </w:pPr>
          </w:p>
        </w:tc>
        <w:tc>
          <w:tcPr>
            <w:tcW w:w="4876" w:type="dxa"/>
          </w:tcPr>
          <w:p w:rsidR="006B279A" w:rsidRPr="003B2FFA" w:rsidRDefault="003B2FFA">
            <w:pPr>
              <w:pStyle w:val="Normal6"/>
              <w:rPr>
                <w:b/>
                <w:i/>
              </w:rPr>
            </w:pPr>
            <w:r w:rsidRPr="003B2FFA">
              <w:rPr>
                <w:b/>
                <w:i/>
              </w:rPr>
              <w:t>vii)</w:t>
            </w:r>
            <w:r w:rsidRPr="003B2FFA">
              <w:rPr>
                <w:b/>
                <w:i/>
              </w:rPr>
              <w:tab/>
              <w:t>relevante informatie die in het bezit is van autoriteiten die bevoegd zijn om strafbare feiten te voorkomen, op te sporen, te onderzoeken of te vervolgen.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c</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c)</w:t>
            </w:r>
            <w:r w:rsidRPr="003B2FFA">
              <w:rPr>
                <w:b/>
                <w:i/>
              </w:rPr>
              <w:tab/>
              <w:t>nationale burgerschaps- en bevolkingsregisters van natuurlijke personen;</w:t>
            </w:r>
          </w:p>
        </w:tc>
        <w:tc>
          <w:tcPr>
            <w:tcW w:w="4876" w:type="dxa"/>
            <w:hideMark/>
          </w:tcPr>
          <w:p w:rsidR="00E93DAA" w:rsidRPr="003B2FFA" w:rsidRDefault="003B2FFA">
            <w:pPr>
              <w:pStyle w:val="Normal6"/>
              <w:rPr>
                <w:szCs w:val="24"/>
              </w:rPr>
            </w:pPr>
            <w:r w:rsidRPr="003B2FFA">
              <w:rPr>
                <w:b/>
                <w:i/>
              </w:rPr>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36</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d</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d)</w:t>
            </w:r>
            <w:r w:rsidRPr="003B2FFA">
              <w:rPr>
                <w:b/>
                <w:i/>
              </w:rPr>
              <w:tab/>
            </w:r>
            <w:r w:rsidRPr="003B2FFA">
              <w:rPr>
                <w:b/>
                <w:i/>
              </w:rPr>
              <w:t>nationale registers van motorvoertuigen, luchtvaartuigen en vaartuigen;</w:t>
            </w:r>
          </w:p>
        </w:tc>
        <w:tc>
          <w:tcPr>
            <w:tcW w:w="4876" w:type="dxa"/>
            <w:hideMark/>
          </w:tcPr>
          <w:p w:rsidR="00E93DAA" w:rsidRPr="003B2FFA" w:rsidRDefault="003B2FFA">
            <w:pPr>
              <w:pStyle w:val="Normal6"/>
              <w:rPr>
                <w:szCs w:val="24"/>
              </w:rPr>
            </w:pPr>
            <w:r w:rsidRPr="003B2FFA">
              <w:rPr>
                <w:b/>
                <w:i/>
              </w:rPr>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37</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e</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e)</w:t>
            </w:r>
            <w:r w:rsidRPr="003B2FFA">
              <w:rPr>
                <w:b/>
                <w:i/>
              </w:rPr>
              <w:tab/>
              <w:t>commerciële gegevensbanken, met inbegrip van bedrijfs- en vennootschapsregisters;</w:t>
            </w:r>
          </w:p>
        </w:tc>
        <w:tc>
          <w:tcPr>
            <w:tcW w:w="4876" w:type="dxa"/>
            <w:hideMark/>
          </w:tcPr>
          <w:p w:rsidR="00E93DAA" w:rsidRPr="003B2FFA" w:rsidRDefault="003B2FFA">
            <w:pPr>
              <w:pStyle w:val="Normal6"/>
              <w:rPr>
                <w:szCs w:val="24"/>
              </w:rPr>
            </w:pPr>
            <w:r w:rsidRPr="003B2FFA">
              <w:rPr>
                <w:b/>
                <w:i/>
              </w:rPr>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f</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f)</w:t>
            </w:r>
            <w:r w:rsidRPr="003B2FFA">
              <w:rPr>
                <w:b/>
                <w:i/>
              </w:rPr>
              <w:tab/>
              <w:t>nationale socialezekerheidsregisters;</w:t>
            </w:r>
          </w:p>
        </w:tc>
        <w:tc>
          <w:tcPr>
            <w:tcW w:w="4876" w:type="dxa"/>
            <w:hideMark/>
          </w:tcPr>
          <w:p w:rsidR="00E93DAA" w:rsidRPr="003B2FFA" w:rsidRDefault="003B2FFA">
            <w:pPr>
              <w:pStyle w:val="Normal6"/>
              <w:rPr>
                <w:szCs w:val="24"/>
              </w:rPr>
            </w:pPr>
            <w:r w:rsidRPr="003B2FFA">
              <w:rPr>
                <w:b/>
                <w:i/>
              </w:rPr>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39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1 – punt g</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g)</w:t>
            </w:r>
            <w:r w:rsidRPr="003B2FFA">
              <w:rPr>
                <w:b/>
                <w:i/>
              </w:rPr>
              <w:tab/>
              <w:t>relevante informatie die in het bezit is van autoriteiten die bevoegd zijn om strafbare feiten t</w:t>
            </w:r>
            <w:r w:rsidRPr="003B2FFA">
              <w:rPr>
                <w:b/>
                <w:i/>
              </w:rPr>
              <w:t xml:space="preserve">e voorkomen, op te </w:t>
            </w:r>
            <w:r w:rsidRPr="003B2FFA">
              <w:rPr>
                <w:b/>
                <w:i/>
              </w:rPr>
              <w:lastRenderedPageBreak/>
              <w:t>sporen, te onderzoeken of te vervolgen.</w:t>
            </w:r>
          </w:p>
        </w:tc>
        <w:tc>
          <w:tcPr>
            <w:tcW w:w="4876" w:type="dxa"/>
            <w:hideMark/>
          </w:tcPr>
          <w:p w:rsidR="00E93DAA" w:rsidRPr="003B2FFA" w:rsidRDefault="003B2FFA">
            <w:pPr>
              <w:pStyle w:val="Normal6"/>
              <w:rPr>
                <w:szCs w:val="24"/>
              </w:rPr>
            </w:pPr>
            <w:r w:rsidRPr="003B2FFA">
              <w:rPr>
                <w:b/>
                <w:i/>
              </w:rPr>
              <w:lastRenderedPageBreak/>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6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r>
            <w:r w:rsidRPr="003B2FFA">
              <w:t xml:space="preserve">Indien de in lid 1 bedoelde informatie niet in gegevensbanken of registers wordt opgeslagen, nemen de lidstaten de nodige maatregelen om ervoor te zorgen dat de bureaus voor de ontneming van vermogensbestanddelen deze informatie op een andere wijze kunnen </w:t>
            </w:r>
            <w:r w:rsidRPr="003B2FFA">
              <w:t>verkrijgen.</w:t>
            </w:r>
          </w:p>
        </w:tc>
        <w:tc>
          <w:tcPr>
            <w:tcW w:w="4876" w:type="dxa"/>
            <w:hideMark/>
          </w:tcPr>
          <w:p w:rsidR="00E93DAA" w:rsidRPr="003B2FFA" w:rsidRDefault="003B2FFA" w:rsidP="00933DE1">
            <w:pPr>
              <w:pStyle w:val="Normal6"/>
              <w:rPr>
                <w:szCs w:val="24"/>
              </w:rPr>
            </w:pPr>
            <w:r w:rsidRPr="003B2FFA">
              <w:t>2.</w:t>
            </w:r>
            <w:r w:rsidRPr="003B2FFA">
              <w:tab/>
              <w:t>Indien de in lid 1 bedoelde informatie niet in gegevensbanken of registers wordt opgeslagen, nemen de lidstaten de nodige maatregelen om ervoor te zorgen dat de bureaus voor de ontneming van vermogensbestanddelen deze informatie op een ander</w:t>
            </w:r>
            <w:r w:rsidRPr="003B2FFA">
              <w:t xml:space="preserve">e wijze kunnen verkrijgen. </w:t>
            </w:r>
            <w:r w:rsidRPr="003B2FFA">
              <w:rPr>
                <w:b/>
                <w:i/>
              </w:rPr>
              <w:t>Wanneer een bureau voor de ontneming van vermogensbestanddelen verzoekt om toegang tot informatie waartoe het geen rechtstreekse toegang heeft, reageert de autoriteit tijdig op het verzoek.</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w:t>
      </w:r>
      <w:r w:rsidRPr="003B2FFA">
        <w:rPr>
          <w:rStyle w:val="HideTWBExt"/>
        </w:rPr>
        <w:t>d&gt;</w:t>
      </w:r>
    </w:p>
    <w:p w:rsidR="00F76F19" w:rsidRPr="003B2FFA" w:rsidRDefault="003B2FFA" w:rsidP="00F76F19">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41</w:t>
      </w:r>
      <w:r w:rsidRPr="003B2FFA">
        <w:rPr>
          <w:rStyle w:val="HideTWBExt"/>
          <w:b w:val="0"/>
        </w:rPr>
        <w:t>&lt;/NumAm&gt;</w:t>
      </w:r>
    </w:p>
    <w:p w:rsidR="00F76F19" w:rsidRPr="003B2FFA" w:rsidRDefault="003B2FFA" w:rsidP="00F76F19">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F76F19" w:rsidRPr="003B2FFA" w:rsidRDefault="003B2FFA" w:rsidP="00F76F19">
      <w:pPr>
        <w:pStyle w:val="NormalBold"/>
      </w:pPr>
      <w:r w:rsidRPr="003B2FFA">
        <w:rPr>
          <w:rStyle w:val="HideTWBExt"/>
          <w:b w:val="0"/>
        </w:rPr>
        <w:t>&lt;Article&gt;</w:t>
      </w:r>
      <w:r w:rsidRPr="003B2FFA">
        <w:t>Artikel 6 – lid 2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F76F19">
        <w:trPr>
          <w:jc w:val="center"/>
        </w:trPr>
        <w:tc>
          <w:tcPr>
            <w:tcW w:w="9752" w:type="dxa"/>
            <w:gridSpan w:val="2"/>
          </w:tcPr>
          <w:p w:rsidR="00F76F19" w:rsidRPr="003B2FFA" w:rsidRDefault="00F76F19">
            <w:pPr>
              <w:keepNext/>
            </w:pPr>
          </w:p>
        </w:tc>
      </w:tr>
      <w:tr w:rsidR="003B2FFA" w:rsidRPr="003B2FFA" w:rsidTr="00F76F19">
        <w:trPr>
          <w:jc w:val="center"/>
        </w:trPr>
        <w:tc>
          <w:tcPr>
            <w:tcW w:w="4876" w:type="dxa"/>
            <w:hideMark/>
          </w:tcPr>
          <w:p w:rsidR="00F76F19" w:rsidRPr="003B2FFA" w:rsidRDefault="003B2FFA">
            <w:pPr>
              <w:pStyle w:val="ColumnHeading"/>
              <w:keepNext/>
            </w:pPr>
            <w:r w:rsidRPr="003B2FFA">
              <w:t>Door de Commissie voorgestelde tekst</w:t>
            </w:r>
          </w:p>
        </w:tc>
        <w:tc>
          <w:tcPr>
            <w:tcW w:w="4876" w:type="dxa"/>
            <w:hideMark/>
          </w:tcPr>
          <w:p w:rsidR="00F76F19" w:rsidRPr="003B2FFA" w:rsidRDefault="003B2FFA">
            <w:pPr>
              <w:pStyle w:val="ColumnHeading"/>
              <w:keepNext/>
            </w:pPr>
            <w:r w:rsidRPr="003B2FFA">
              <w:t>Amendement</w:t>
            </w:r>
          </w:p>
        </w:tc>
      </w:tr>
      <w:tr w:rsidR="003B2FFA" w:rsidRPr="003B2FFA" w:rsidTr="00F76F19">
        <w:trPr>
          <w:jc w:val="center"/>
        </w:trPr>
        <w:tc>
          <w:tcPr>
            <w:tcW w:w="4876" w:type="dxa"/>
          </w:tcPr>
          <w:p w:rsidR="00F76F19" w:rsidRPr="003B2FFA" w:rsidRDefault="00F76F19">
            <w:pPr>
              <w:pStyle w:val="Normal6"/>
            </w:pPr>
          </w:p>
        </w:tc>
        <w:tc>
          <w:tcPr>
            <w:tcW w:w="4876" w:type="dxa"/>
            <w:hideMark/>
          </w:tcPr>
          <w:p w:rsidR="00F76F19" w:rsidRPr="003B2FFA" w:rsidRDefault="003B2FFA">
            <w:pPr>
              <w:pStyle w:val="Normal6"/>
              <w:rPr>
                <w:szCs w:val="24"/>
              </w:rPr>
            </w:pPr>
            <w:r w:rsidRPr="003B2FFA">
              <w:rPr>
                <w:b/>
                <w:i/>
              </w:rPr>
              <w:t>2 bis.</w:t>
            </w:r>
            <w:r w:rsidRPr="003B2FFA">
              <w:rPr>
                <w:b/>
                <w:i/>
              </w:rPr>
              <w:tab/>
            </w:r>
            <w:r w:rsidRPr="003B2FFA">
              <w:rPr>
                <w:b/>
                <w:i/>
              </w:rPr>
              <w:t>De Commissie kan gedelegeerde handelingen vaststellen overeenkomstig artikel 30 tot vaststelling van specificaties voor een standaardformulier voor informatieverzoeken als bedoeld in lid 1, punt b), van dit artikel.</w:t>
            </w:r>
          </w:p>
        </w:tc>
      </w:tr>
    </w:tbl>
    <w:p w:rsidR="00F76F19" w:rsidRPr="003B2FFA" w:rsidRDefault="003B2FFA" w:rsidP="00F76F19">
      <w:pPr>
        <w:pStyle w:val="Olang"/>
      </w:pPr>
      <w:r w:rsidRPr="003B2FFA">
        <w:t xml:space="preserve">Or. </w:t>
      </w:r>
      <w:r w:rsidRPr="003B2FFA">
        <w:rPr>
          <w:rStyle w:val="HideTWBExt"/>
        </w:rPr>
        <w:t>&lt;Original&gt;</w:t>
      </w:r>
      <w:r w:rsidRPr="003B2FFA">
        <w:rPr>
          <w:rStyle w:val="HideTWBInt"/>
        </w:rPr>
        <w:t>{EN}</w:t>
      </w:r>
      <w:r w:rsidRPr="003B2FFA">
        <w:t>en</w:t>
      </w:r>
      <w:r w:rsidRPr="003B2FFA">
        <w:rPr>
          <w:rStyle w:val="HideTWBExt"/>
        </w:rPr>
        <w:t>&lt;/Original&gt;</w:t>
      </w:r>
    </w:p>
    <w:p w:rsidR="00F76F19" w:rsidRPr="003B2FFA" w:rsidRDefault="003B2FFA" w:rsidP="00F76F19">
      <w:pPr>
        <w:rPr>
          <w:szCs w:val="24"/>
        </w:rPr>
      </w:pPr>
      <w:r w:rsidRPr="003B2FFA">
        <w:rPr>
          <w:rStyle w:val="HideTWBExt"/>
        </w:rPr>
        <w:t>&lt;/Amend</w:t>
      </w:r>
      <w:r w:rsidRPr="003B2FFA">
        <w:rPr>
          <w:rStyle w:val="HideTWBExt"/>
        </w:rPr>
        <w:t>&gt;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42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9 – lid 5</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5.</w:t>
            </w:r>
            <w:r w:rsidRPr="003B2FFA">
              <w:tab/>
              <w:t xml:space="preserve">De lidstaten zorgen ervoor dat </w:t>
            </w:r>
            <w:r w:rsidRPr="003B2FFA">
              <w:rPr>
                <w:b/>
                <w:bCs/>
                <w:i/>
                <w:iCs/>
              </w:rPr>
              <w:t>de</w:t>
            </w:r>
            <w:r w:rsidRPr="003B2FFA">
              <w:t xml:space="preserve"> bureaus voor de ontneming van vermogensbestanddelen rechtstreeks toegang hebben tot Siena </w:t>
            </w:r>
            <w:r w:rsidRPr="003B2FFA">
              <w:rPr>
                <w:b/>
                <w:bCs/>
                <w:i/>
                <w:iCs/>
              </w:rPr>
              <w:t>en dat zij het Siena-systeem gebruiken voor de uitwisseling van informatie uit hoofde van dit artikel</w:t>
            </w:r>
            <w:r w:rsidRPr="003B2FFA">
              <w:t>.</w:t>
            </w:r>
          </w:p>
        </w:tc>
        <w:tc>
          <w:tcPr>
            <w:tcW w:w="4876" w:type="dxa"/>
            <w:hideMark/>
          </w:tcPr>
          <w:p w:rsidR="00E93DAA" w:rsidRPr="003B2FFA" w:rsidRDefault="003B2FFA" w:rsidP="007C5D7C">
            <w:pPr>
              <w:pStyle w:val="Normal6"/>
              <w:rPr>
                <w:szCs w:val="24"/>
              </w:rPr>
            </w:pPr>
            <w:r w:rsidRPr="003B2FFA">
              <w:t>5.</w:t>
            </w:r>
            <w:r w:rsidRPr="003B2FFA">
              <w:tab/>
            </w:r>
            <w:r w:rsidRPr="003B2FFA">
              <w:rPr>
                <w:b/>
                <w:bCs/>
                <w:i/>
                <w:iCs/>
              </w:rPr>
              <w:t>De uitwisseling van informatie uit hoofde van dit artikel</w:t>
            </w:r>
            <w:r w:rsidRPr="003B2FFA">
              <w:rPr>
                <w:b/>
                <w:i/>
                <w:iCs/>
              </w:rPr>
              <w:t xml:space="preserve"> v</w:t>
            </w:r>
            <w:r w:rsidRPr="003B2FFA">
              <w:rPr>
                <w:b/>
                <w:i/>
                <w:iCs/>
              </w:rPr>
              <w:t>erloopt via het Siena-systeem.</w:t>
            </w:r>
            <w:r w:rsidRPr="003B2FFA">
              <w:t xml:space="preserve"> De lidstaten zorgen ervoor dat </w:t>
            </w:r>
            <w:r w:rsidRPr="003B2FFA">
              <w:rPr>
                <w:b/>
                <w:bCs/>
                <w:i/>
                <w:iCs/>
              </w:rPr>
              <w:t>hun</w:t>
            </w:r>
            <w:r w:rsidRPr="003B2FFA">
              <w:rPr>
                <w:i/>
                <w:iCs/>
              </w:rPr>
              <w:t xml:space="preserve"> </w:t>
            </w:r>
            <w:r w:rsidRPr="003B2FFA">
              <w:t>bureaus voor de ontneming van vermogensbestanddelen rechtstreeks toegang hebben tot Siena</w:t>
            </w:r>
            <w:r w:rsidRPr="003B2FFA">
              <w:rPr>
                <w:i/>
                <w:iCs/>
              </w:rPr>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w:t>
      </w:r>
      <w:r w:rsidRPr="003B2FFA">
        <w:t>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11 – lid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r>
            <w:r w:rsidRPr="003B2FFA">
              <w:t>De lidstaten nemen de nodige maatregelen om de bevriezing mogelijk te maken van voorwerpen die nodig zijn voor een eventuele confiscatie van die voorwerpen krachtens artikel 12.</w:t>
            </w:r>
          </w:p>
        </w:tc>
        <w:tc>
          <w:tcPr>
            <w:tcW w:w="4876" w:type="dxa"/>
            <w:hideMark/>
          </w:tcPr>
          <w:p w:rsidR="00E93DAA" w:rsidRPr="003B2FFA" w:rsidRDefault="003B2FFA" w:rsidP="007C5D7C">
            <w:pPr>
              <w:pStyle w:val="Normal6"/>
              <w:rPr>
                <w:szCs w:val="24"/>
              </w:rPr>
            </w:pPr>
            <w:r w:rsidRPr="003B2FFA">
              <w:t>1.</w:t>
            </w:r>
            <w:r w:rsidRPr="003B2FFA">
              <w:tab/>
              <w:t>De lidstaten nemen de nodige maatregelen om de bevriezing mogelijk te maken</w:t>
            </w:r>
            <w:r w:rsidRPr="003B2FFA">
              <w:t xml:space="preserve"> van voorwerpen die nodig zijn voor een eventuele confiscatie van die voorwerpen krachtens artikel 12. </w:t>
            </w:r>
            <w:r w:rsidRPr="003B2FFA">
              <w:rPr>
                <w:b/>
                <w:i/>
              </w:rPr>
              <w:t>Bevriezingsmaatregelen bestaan uit bevriezingsbevelen en onmiddellijke actie in de vorm van tijdelijke dringende bevriezingsmaatregelen.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11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r>
            <w:r w:rsidRPr="003B2FFA">
              <w:rPr>
                <w:b/>
                <w:bCs/>
                <w:i/>
                <w:iCs/>
              </w:rPr>
              <w:t>Bevriezingsmaatregelen omvatten</w:t>
            </w:r>
            <w:r w:rsidRPr="003B2FFA">
              <w:t xml:space="preserve"> onmiddellijke actie </w:t>
            </w:r>
            <w:r w:rsidRPr="003B2FFA">
              <w:rPr>
                <w:b/>
                <w:bCs/>
                <w:i/>
                <w:iCs/>
              </w:rPr>
              <w:t>die moet worden</w:t>
            </w:r>
            <w:r w:rsidRPr="003B2FFA">
              <w:t xml:space="preserve"> ondernomen wanneer dat nodig is voor het </w:t>
            </w:r>
            <w:r w:rsidRPr="003B2FFA">
              <w:lastRenderedPageBreak/>
              <w:t>behoud van de voorwerpen.</w:t>
            </w:r>
          </w:p>
        </w:tc>
        <w:tc>
          <w:tcPr>
            <w:tcW w:w="4876" w:type="dxa"/>
            <w:hideMark/>
          </w:tcPr>
          <w:p w:rsidR="00E93DAA" w:rsidRPr="003B2FFA" w:rsidRDefault="003B2FFA" w:rsidP="007C5D7C">
            <w:pPr>
              <w:pStyle w:val="Normal6"/>
              <w:rPr>
                <w:szCs w:val="24"/>
              </w:rPr>
            </w:pPr>
            <w:r w:rsidRPr="003B2FFA">
              <w:lastRenderedPageBreak/>
              <w:t>2.</w:t>
            </w:r>
            <w:r w:rsidRPr="003B2FFA">
              <w:tab/>
            </w:r>
            <w:r w:rsidRPr="003B2FFA">
              <w:rPr>
                <w:b/>
                <w:bCs/>
                <w:i/>
                <w:iCs/>
              </w:rPr>
              <w:t>Er wordt</w:t>
            </w:r>
            <w:r w:rsidRPr="003B2FFA">
              <w:rPr>
                <w:i/>
                <w:iCs/>
              </w:rPr>
              <w:t xml:space="preserve"> </w:t>
            </w:r>
            <w:r w:rsidRPr="003B2FFA">
              <w:t xml:space="preserve">onmiddellijke actie ondernomen </w:t>
            </w:r>
            <w:r w:rsidRPr="003B2FFA">
              <w:rPr>
                <w:b/>
                <w:bCs/>
                <w:i/>
                <w:iCs/>
              </w:rPr>
              <w:t xml:space="preserve">in de vorm van tijdelijke dringende bevriezingsmaatregelen </w:t>
            </w:r>
            <w:r w:rsidRPr="003B2FFA">
              <w:lastRenderedPageBreak/>
              <w:t>wanneer dat nodig is voor het behoud van de voorwerpen.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13 – lid 1 – alinea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 xml:space="preserve">De lidstaten nemen de nodige maatregelen om de confiscatie mogelijk te maken van opbrengsten of andere voorwerpen </w:t>
            </w:r>
            <w:r w:rsidRPr="003B2FFA">
              <w:rPr>
                <w:b/>
                <w:bCs/>
                <w:i/>
                <w:iCs/>
              </w:rPr>
              <w:t>waarvan</w:t>
            </w:r>
            <w:r w:rsidRPr="003B2FFA">
              <w:t xml:space="preserve"> de waarde overeenkomt met die van </w:t>
            </w:r>
            <w:r w:rsidRPr="003B2FFA">
              <w:rPr>
                <w:b/>
                <w:bCs/>
                <w:i/>
                <w:iCs/>
              </w:rPr>
              <w:t>de</w:t>
            </w:r>
            <w:r w:rsidRPr="003B2FFA">
              <w:t xml:space="preserve"> opbrengsten, die direct of indirect door een verdachte of beklaagde aan derden zijn overgedragen </w:t>
            </w:r>
            <w:r w:rsidRPr="003B2FFA">
              <w:t>of die door derden van een verdachte of beklaagde zijn verkregen.</w:t>
            </w:r>
          </w:p>
        </w:tc>
        <w:tc>
          <w:tcPr>
            <w:tcW w:w="4876" w:type="dxa"/>
            <w:hideMark/>
          </w:tcPr>
          <w:p w:rsidR="00E93DAA" w:rsidRPr="003B2FFA" w:rsidRDefault="003B2FFA">
            <w:pPr>
              <w:pStyle w:val="Normal6"/>
              <w:rPr>
                <w:szCs w:val="24"/>
              </w:rPr>
            </w:pPr>
            <w:r w:rsidRPr="003B2FFA">
              <w:t xml:space="preserve">De lidstaten nemen de nodige maatregelen om de confiscatie mogelijk te maken van opbrengsten of andere voorwerpen </w:t>
            </w:r>
            <w:r w:rsidRPr="003B2FFA">
              <w:rPr>
                <w:b/>
                <w:bCs/>
                <w:i/>
                <w:iCs/>
              </w:rPr>
              <w:t>tot</w:t>
            </w:r>
            <w:r w:rsidRPr="003B2FFA">
              <w:rPr>
                <w:i/>
                <w:iCs/>
              </w:rPr>
              <w:t xml:space="preserve"> </w:t>
            </w:r>
            <w:r w:rsidRPr="003B2FFA">
              <w:t xml:space="preserve">de waarde die overeenkomt met die van </w:t>
            </w:r>
            <w:r w:rsidRPr="003B2FFA">
              <w:rPr>
                <w:b/>
                <w:bCs/>
                <w:i/>
                <w:iCs/>
              </w:rPr>
              <w:t>deze</w:t>
            </w:r>
            <w:r w:rsidRPr="003B2FFA">
              <w:t xml:space="preserve"> opbrengsten, die direct of in</w:t>
            </w:r>
            <w:r w:rsidRPr="003B2FFA">
              <w:t xml:space="preserve">direct door een verdachte of beklaagde aan derden zijn overgedragen of die door derden van een verdachte of beklaagde zijn verkregen. </w:t>
            </w:r>
            <w:r w:rsidRPr="003B2FFA">
              <w:rPr>
                <w:b/>
                <w:i/>
              </w:rPr>
              <w:t>De confiscatie van die opbrengsten of andere voorwerpen wordt mogelijk gemaakt in gevallen waarin een nationale rechtbank, op basis van concrete feiten en omstandigheden, heeft vastgesteld dat die derden wisten of verondersteld konden zijn te weten dat het</w:t>
            </w:r>
            <w:r w:rsidRPr="003B2FFA">
              <w:rPr>
                <w:b/>
                <w:i/>
              </w:rPr>
              <w:t xml:space="preserve"> doel van de overdracht of de verwerving het vermijden van confiscatie was of dat de overgedragen voorwerpen direct of indirect verband hielden met crimineel gedrag. Dergelijke feiten en omstandigheden kunnen bijvoorbeeld zijn dat de overdracht kosteloos w</w:t>
            </w:r>
            <w:r w:rsidRPr="003B2FFA">
              <w:rPr>
                <w:b/>
                <w:i/>
              </w:rPr>
              <w:t>erd uitgevoerd of tegen een bedrag dat in aanzienlijke mate niet in verhouding stond tot de marktwaarde.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46</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13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2.</w:t>
            </w:r>
            <w:r w:rsidRPr="003B2FFA">
              <w:rPr>
                <w:b/>
                <w:i/>
              </w:rPr>
              <w:tab/>
              <w:t>Lid 1 doet geen afbreuk aan de rechten van derden te goeder trouw.</w:t>
            </w:r>
          </w:p>
        </w:tc>
        <w:tc>
          <w:tcPr>
            <w:tcW w:w="4876" w:type="dxa"/>
            <w:hideMark/>
          </w:tcPr>
          <w:p w:rsidR="00E93DAA" w:rsidRPr="003B2FFA" w:rsidRDefault="003B2FFA">
            <w:pPr>
              <w:pStyle w:val="Normal6"/>
              <w:rPr>
                <w:szCs w:val="24"/>
              </w:rPr>
            </w:pPr>
            <w:r w:rsidRPr="003B2FFA">
              <w:rPr>
                <w:b/>
                <w:i/>
              </w:rPr>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47</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15 – lid 1 – punt f</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f)</w:t>
            </w:r>
            <w:r w:rsidRPr="003B2FFA">
              <w:tab/>
              <w:t xml:space="preserve">de in het nationale recht voorgeschreven termijnen zijn verstreken, </w:t>
            </w:r>
            <w:r w:rsidRPr="003B2FFA">
              <w:rPr>
                <w:b/>
                <w:bCs/>
                <w:i/>
                <w:iCs/>
              </w:rPr>
              <w:t>wanneer</w:t>
            </w:r>
            <w:r w:rsidRPr="003B2FFA">
              <w:t xml:space="preserve"> deze termijnen </w:t>
            </w:r>
            <w:r w:rsidRPr="003B2FFA">
              <w:rPr>
                <w:b/>
                <w:bCs/>
                <w:i/>
                <w:iCs/>
              </w:rPr>
              <w:t xml:space="preserve">te kort </w:t>
            </w:r>
            <w:r w:rsidRPr="003B2FFA">
              <w:t>zijn</w:t>
            </w:r>
            <w:r w:rsidRPr="003B2FFA">
              <w:rPr>
                <w:b/>
                <w:bCs/>
                <w:i/>
                <w:iCs/>
              </w:rPr>
              <w:t xml:space="preserve"> om een doeltreffend onderzoek en een doeltreffende vervolging van de betrokken strafbare feiten mogelijk te maken</w:t>
            </w:r>
            <w:r w:rsidRPr="003B2FFA">
              <w:t>.</w:t>
            </w:r>
          </w:p>
        </w:tc>
        <w:tc>
          <w:tcPr>
            <w:tcW w:w="4876" w:type="dxa"/>
            <w:hideMark/>
          </w:tcPr>
          <w:p w:rsidR="00E93DAA" w:rsidRPr="003B2FFA" w:rsidRDefault="003B2FFA" w:rsidP="007C5D7C">
            <w:pPr>
              <w:pStyle w:val="Normal6"/>
              <w:rPr>
                <w:szCs w:val="24"/>
              </w:rPr>
            </w:pPr>
            <w:r w:rsidRPr="003B2FFA">
              <w:t>f)</w:t>
            </w:r>
            <w:r w:rsidRPr="003B2FFA">
              <w:tab/>
              <w:t xml:space="preserve">de in het nationale recht voorgeschreven termijnen zijn verstreken, </w:t>
            </w:r>
            <w:r w:rsidRPr="003B2FFA">
              <w:rPr>
                <w:b/>
                <w:bCs/>
                <w:i/>
                <w:iCs/>
              </w:rPr>
              <w:t>op voorwaarde dat</w:t>
            </w:r>
            <w:r w:rsidRPr="003B2FFA">
              <w:t xml:space="preserve"> deze termijnen </w:t>
            </w:r>
            <w:r w:rsidRPr="003B2FFA">
              <w:rPr>
                <w:b/>
                <w:bCs/>
                <w:i/>
                <w:iCs/>
              </w:rPr>
              <w:t xml:space="preserve">langer dan 15 jaar </w:t>
            </w:r>
            <w:r w:rsidRPr="003B2FFA">
              <w:t>zijn.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15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r>
            <w:r w:rsidRPr="003B2FFA">
              <w:t xml:space="preserve">Confiscatie zonder voorafgaande veroordeling is beperkt tot strafbare feiten die direct of indirect een aanzienlijk economisch voordeel kunnen opleveren en alleen voor zover de nationale rechter ervan overtuigd is dat alle elementen van het strafbare feit </w:t>
            </w:r>
            <w:r w:rsidRPr="003B2FFA">
              <w:t>aanwezig zijn.</w:t>
            </w:r>
          </w:p>
        </w:tc>
        <w:tc>
          <w:tcPr>
            <w:tcW w:w="4876" w:type="dxa"/>
            <w:hideMark/>
          </w:tcPr>
          <w:p w:rsidR="00E93DAA" w:rsidRPr="003B2FFA" w:rsidRDefault="003B2FFA">
            <w:pPr>
              <w:pStyle w:val="Normal6"/>
              <w:rPr>
                <w:szCs w:val="24"/>
              </w:rPr>
            </w:pPr>
            <w:r w:rsidRPr="003B2FFA">
              <w:t>2.</w:t>
            </w:r>
            <w:r w:rsidRPr="003B2FFA">
              <w:tab/>
              <w:t>Confiscatie zonder voorafgaande veroordeling is beperkt tot strafbare feiten die direct of indirect een aanzienlijk economisch voordeel kunnen opleveren en alleen voor zover de nationale rechter ervan overtuigd is</w:t>
            </w:r>
            <w:r w:rsidRPr="003B2FFA">
              <w:rPr>
                <w:b/>
                <w:bCs/>
                <w:i/>
                <w:iCs/>
              </w:rPr>
              <w:t>, op basis van beschikbar</w:t>
            </w:r>
            <w:r w:rsidRPr="003B2FFA">
              <w:rPr>
                <w:b/>
                <w:bCs/>
                <w:i/>
                <w:iCs/>
              </w:rPr>
              <w:t>e informatie,</w:t>
            </w:r>
            <w:r w:rsidRPr="003B2FFA">
              <w:t xml:space="preserve"> dat alle elementen van het strafbare feit aanwezig zijn </w:t>
            </w:r>
            <w:r w:rsidRPr="003B2FFA">
              <w:rPr>
                <w:b/>
                <w:i/>
              </w:rPr>
              <w:t>en dat de te confisqueren hulpmiddelen, opbrengsten of voorwerpen zijn verkregen uit de strafbare gedraging in kwestie of daar direct of indirect verband mee houden</w:t>
            </w:r>
            <w:r w:rsidRPr="003B2FFA">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w:t>
      </w:r>
      <w:r w:rsidRPr="003B2FFA">
        <w:rPr>
          <w:noProof w:val="0"/>
        </w:rPr>
        <w:t>n</w:t>
      </w:r>
      <w:r w:rsidRPr="003B2FFA">
        <w:rPr>
          <w:rStyle w:val="HideTWBExt"/>
        </w:rPr>
        <w:t>&lt;/Original&gt;</w:t>
      </w:r>
    </w:p>
    <w:p w:rsidR="00E93DAA" w:rsidRPr="003B2FFA" w:rsidRDefault="003B2FFA" w:rsidP="00E93DAA">
      <w:r w:rsidRPr="003B2FFA">
        <w:rPr>
          <w:rStyle w:val="HideTWBExt"/>
        </w:rPr>
        <w:lastRenderedPageBreak/>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49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16 – lid 1 – inleidende formule</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r>
            <w:r w:rsidRPr="003B2FFA">
              <w:t xml:space="preserve">De lidstaten nemen de nodige maatregelen om de confiscatie van voorwerpen mogelijk te maken wanneer confiscatie overeenkomstig de artikelen 12 tot en met 15 niet mogelijk is en </w:t>
            </w:r>
            <w:r w:rsidRPr="003B2FFA">
              <w:rPr>
                <w:b/>
                <w:bCs/>
                <w:i/>
                <w:iCs/>
              </w:rPr>
              <w:t>er aan de volgende voorwaarden is voldaan</w:t>
            </w:r>
            <w:r w:rsidRPr="003B2FFA">
              <w:t>:</w:t>
            </w:r>
          </w:p>
        </w:tc>
        <w:tc>
          <w:tcPr>
            <w:tcW w:w="4876" w:type="dxa"/>
            <w:hideMark/>
          </w:tcPr>
          <w:p w:rsidR="00E93DAA" w:rsidRPr="003B2FFA" w:rsidRDefault="003B2FFA" w:rsidP="007C5D7C">
            <w:pPr>
              <w:pStyle w:val="Normal6"/>
              <w:rPr>
                <w:szCs w:val="24"/>
              </w:rPr>
            </w:pPr>
            <w:r w:rsidRPr="003B2FFA">
              <w:t>1.</w:t>
            </w:r>
            <w:r w:rsidRPr="003B2FFA">
              <w:tab/>
              <w:t>De lidstaten nemen de nodige maat</w:t>
            </w:r>
            <w:r w:rsidRPr="003B2FFA">
              <w:t xml:space="preserve">regelen om de confiscatie van voorwerpen mogelijk te maken wanneer confiscatie overeenkomstig de artikelen 12 tot en met 15 niet mogelijk is en </w:t>
            </w:r>
            <w:r w:rsidRPr="003B2FFA">
              <w:rPr>
                <w:b/>
                <w:i/>
              </w:rPr>
              <w:t>wanneer de nationale rechtbank ervan overtuigd is dat de bevroren voorwerpen afkomstig zijn van een strafbaar fe</w:t>
            </w:r>
            <w:r w:rsidRPr="003B2FFA">
              <w:rPr>
                <w:b/>
                <w:i/>
              </w:rPr>
              <w:t xml:space="preserve">it dat direct of indirect een aanzienlijk economisch voordeel zou kunnen opleveren en dat is gepleegd door een criminele organisatie. Om te bepalen of de bevroren voorwerpen afkomstig zijn van een strafbaar feit, zorgen de lidstaten ervoor dat er rekening </w:t>
            </w:r>
            <w:r w:rsidRPr="003B2FFA">
              <w:rPr>
                <w:b/>
                <w:i/>
              </w:rPr>
              <w:t>wordt gehouden met alle omstandigheden van de zaak, met inbegrip van de specifieke feiten en het beschikbare bewijs, zoals de omstandigheid dat de waarde van de voorwerpen niet in verhouding staat tot het legale inkomen van de eigenaar van de voorwerpen.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17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rPr>
                <w:b/>
                <w:i/>
              </w:rPr>
              <w:t>2.</w:t>
            </w:r>
            <w:r w:rsidRPr="003B2FFA">
              <w:rPr>
                <w:b/>
                <w:i/>
              </w:rPr>
              <w:tab/>
            </w:r>
            <w:r w:rsidRPr="003B2FFA">
              <w:rPr>
                <w:b/>
                <w:i/>
              </w:rPr>
              <w:t>De lidstaten gaan na of er maatregelen moeten worden genomen waardoor geconfisqueerde voorwerpen voor het publiek belang of voor maatschappelijke doeleinden kunnen worden gebruikt.</w:t>
            </w:r>
          </w:p>
        </w:tc>
        <w:tc>
          <w:tcPr>
            <w:tcW w:w="4876" w:type="dxa"/>
            <w:hideMark/>
          </w:tcPr>
          <w:p w:rsidR="00E93DAA" w:rsidRPr="003B2FFA" w:rsidRDefault="003B2FFA">
            <w:pPr>
              <w:pStyle w:val="Normal6"/>
              <w:rPr>
                <w:szCs w:val="24"/>
              </w:rPr>
            </w:pPr>
            <w:r w:rsidRPr="003B2FFA">
              <w:rPr>
                <w:b/>
                <w:i/>
              </w:rPr>
              <w:t>Schrappen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lastRenderedPageBreak/>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17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jc w:val="center"/>
              <w:rPr>
                <w:szCs w:val="24"/>
              </w:rPr>
            </w:pPr>
            <w:r w:rsidRPr="003B2FFA">
              <w:rPr>
                <w:b/>
                <w:i/>
              </w:rPr>
              <w:t>Artikel 17 bis.</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jc w:val="center"/>
              <w:rPr>
                <w:szCs w:val="24"/>
              </w:rPr>
            </w:pPr>
            <w:r w:rsidRPr="003B2FFA">
              <w:rPr>
                <w:b/>
                <w:i/>
              </w:rPr>
              <w:t>Verder gebruik van de geconfisqueerde voorwerpen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C5D7C">
            <w:pPr>
              <w:pStyle w:val="Normal6"/>
              <w:rPr>
                <w:szCs w:val="24"/>
              </w:rPr>
            </w:pPr>
            <w:r w:rsidRPr="003B2FFA">
              <w:rPr>
                <w:b/>
                <w:i/>
              </w:rPr>
              <w:t>1.</w:t>
            </w:r>
            <w:r w:rsidRPr="003B2FFA">
              <w:rPr>
                <w:b/>
                <w:i/>
              </w:rPr>
              <w:tab/>
            </w:r>
            <w:r w:rsidRPr="003B2FFA">
              <w:rPr>
                <w:b/>
                <w:i/>
              </w:rPr>
              <w:t>De lidstaten nemen de nodige maatregelen waardoor geconfisqueerde voorwerpen voor het publiek belang of voor maatschappelijke doeleinden kunnen worden gebruikt. Dergelijke voorwerpen mogen worden bijgehouden als staatseigendom ten behoeve van justitie, rec</w:t>
            </w:r>
            <w:r w:rsidRPr="003B2FFA">
              <w:rPr>
                <w:b/>
                <w:i/>
              </w:rPr>
              <w:t>htshandhaving, openbare dienstverlening of economie of worden overgedragen aan de lokale of regionale autoriteiten van het gebied waar de voorwerpen zich bevinden, voor institutionele, sociale of economische doeleinden, waaronder voor de toewijzing aan org</w:t>
            </w:r>
            <w:r w:rsidRPr="003B2FFA">
              <w:rPr>
                <w:b/>
                <w:i/>
              </w:rPr>
              <w:t>anisaties die werken van sociaal belang uitvoeren.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C5D7C">
            <w:pPr>
              <w:pStyle w:val="Normal6"/>
              <w:rPr>
                <w:szCs w:val="24"/>
              </w:rPr>
            </w:pPr>
            <w:r w:rsidRPr="003B2FFA">
              <w:rPr>
                <w:b/>
                <w:i/>
              </w:rPr>
              <w:t>2.</w:t>
            </w:r>
            <w:r w:rsidRPr="003B2FFA">
              <w:rPr>
                <w:b/>
                <w:i/>
              </w:rPr>
              <w:tab/>
              <w:t>Wanneer de geconfisqueerde vermogensbestanddelen afkomstig zijn uit een derde land, nemen de lidstaten alle nodige maatregelen om ze terug te geven aan het derde land. Deze verplichting doet geen afbr</w:t>
            </w:r>
            <w:r w:rsidRPr="003B2FFA">
              <w:rPr>
                <w:b/>
                <w:i/>
              </w:rPr>
              <w:t>euk aan de mogelijkheid om een deel van de vermogensbestanddelen te houden om de kosten te dekken die gepaard gaan met de opsporing en identificatie of het beheer en die rechtstreeks verband houden met die vermogensbestanddelen.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18 – titel</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Schadeloosstelling van slachtoffers</w:t>
            </w:r>
          </w:p>
        </w:tc>
        <w:tc>
          <w:tcPr>
            <w:tcW w:w="4876" w:type="dxa"/>
            <w:hideMark/>
          </w:tcPr>
          <w:p w:rsidR="00E93DAA" w:rsidRPr="003B2FFA" w:rsidRDefault="003B2FFA">
            <w:pPr>
              <w:pStyle w:val="Normal6"/>
              <w:rPr>
                <w:szCs w:val="24"/>
              </w:rPr>
            </w:pPr>
            <w:r w:rsidRPr="003B2FFA">
              <w:t>Schadeloosstelling van slachtoffers</w:t>
            </w:r>
            <w:r w:rsidRPr="003B2FFA">
              <w:rPr>
                <w:i/>
                <w:iCs/>
              </w:rPr>
              <w:t xml:space="preserve"> </w:t>
            </w:r>
            <w:r w:rsidRPr="003B2FFA">
              <w:rPr>
                <w:b/>
                <w:bCs/>
                <w:i/>
                <w:iCs/>
              </w:rPr>
              <w:t>en teruggave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18 – alinea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 xml:space="preserve">Indien slachtoffers als gevolg van een strafbaar feit vorderingen hebben tegen de persoon ten aanzien van wie overeenkomstig deze richtlijn een confiscatiemaatregel is genomen, treffen de lidstaten de nodige maatregelen opdat de confiscatiemaatregel </w:t>
            </w:r>
            <w:r w:rsidRPr="003B2FFA">
              <w:rPr>
                <w:b/>
                <w:bCs/>
                <w:i/>
                <w:iCs/>
              </w:rPr>
              <w:t>geen a</w:t>
            </w:r>
            <w:r w:rsidRPr="003B2FFA">
              <w:rPr>
                <w:b/>
                <w:bCs/>
                <w:i/>
                <w:iCs/>
              </w:rPr>
              <w:t>fbreuk doet aan de rechten van de slachtoffers om schadeloosstelling te verkrijgen voor hun</w:t>
            </w:r>
            <w:r w:rsidRPr="003B2FFA">
              <w:t xml:space="preserve"> vorderingen.</w:t>
            </w:r>
          </w:p>
        </w:tc>
        <w:tc>
          <w:tcPr>
            <w:tcW w:w="4876" w:type="dxa"/>
            <w:hideMark/>
          </w:tcPr>
          <w:p w:rsidR="00E93DAA" w:rsidRPr="003B2FFA" w:rsidRDefault="003B2FFA">
            <w:pPr>
              <w:pStyle w:val="Normal6"/>
              <w:rPr>
                <w:szCs w:val="24"/>
              </w:rPr>
            </w:pPr>
            <w:r w:rsidRPr="003B2FFA">
              <w:t>Indien slachtoffers als gevolg van een strafbaar feit vorderingen hebben tegen de persoon ten aanzien van wie overeenkomstig deze richtlijn een confisc</w:t>
            </w:r>
            <w:r w:rsidRPr="003B2FFA">
              <w:t xml:space="preserve">atiemaatregel is genomen, treffen de lidstaten </w:t>
            </w:r>
            <w:r w:rsidRPr="003B2FFA">
              <w:rPr>
                <w:b/>
                <w:bCs/>
                <w:i/>
                <w:iCs/>
              </w:rPr>
              <w:t>prioritair</w:t>
            </w:r>
            <w:r w:rsidRPr="003B2FFA">
              <w:t xml:space="preserve"> de nodige maatregelen opdat </w:t>
            </w:r>
            <w:r w:rsidRPr="003B2FFA">
              <w:rPr>
                <w:b/>
                <w:bCs/>
                <w:i/>
                <w:iCs/>
              </w:rPr>
              <w:t xml:space="preserve">vóór </w:t>
            </w:r>
            <w:r w:rsidRPr="003B2FFA">
              <w:t xml:space="preserve">de confiscatiemaatregel </w:t>
            </w:r>
            <w:r w:rsidRPr="003B2FFA">
              <w:rPr>
                <w:b/>
                <w:bCs/>
                <w:i/>
                <w:iCs/>
              </w:rPr>
              <w:t>rekening wordt gehouden met</w:t>
            </w:r>
            <w:r w:rsidRPr="003B2FFA">
              <w:rPr>
                <w:b/>
                <w:bCs/>
                <w:i/>
                <w:iCs/>
              </w:rPr>
              <w:t xml:space="preserve"> de </w:t>
            </w:r>
            <w:r w:rsidRPr="003B2FFA">
              <w:rPr>
                <w:b/>
                <w:bCs/>
                <w:i/>
                <w:iCs/>
              </w:rPr>
              <w:t xml:space="preserve">vorderingen </w:t>
            </w:r>
            <w:r w:rsidRPr="003B2FFA">
              <w:rPr>
                <w:b/>
                <w:bCs/>
                <w:i/>
                <w:iCs/>
              </w:rPr>
              <w:t>van de sl</w:t>
            </w:r>
            <w:r w:rsidRPr="003B2FFA">
              <w:rPr>
                <w:b/>
                <w:bCs/>
                <w:i/>
                <w:iCs/>
              </w:rPr>
              <w:t>achtoffers om schadeloosstelling te verkrijgen</w:t>
            </w:r>
            <w:r w:rsidRPr="003B2FFA">
              <w:t>.</w:t>
            </w:r>
            <w:r w:rsidRPr="003B2FFA">
              <w:rPr>
                <w:b/>
                <w:i/>
              </w:rPr>
              <w:t xml:space="preserve"> De lidstaten besteden bijzondere aandacht</w:t>
            </w:r>
            <w:r w:rsidRPr="003B2FFA">
              <w:rPr>
                <w:b/>
                <w:i/>
              </w:rPr>
              <w:t xml:space="preserve"> aan de</w:t>
            </w:r>
            <w:r w:rsidRPr="003B2FFA">
              <w:t xml:space="preserve"> vorderingen </w:t>
            </w:r>
            <w:r w:rsidRPr="003B2FFA">
              <w:rPr>
                <w:b/>
                <w:i/>
              </w:rPr>
              <w:t>van de slachtoffers in grensoverschrijdende gevallen</w:t>
            </w:r>
            <w:r w:rsidRPr="003B2FFA">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18 – alinea 1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Wanneer een slachtoffer als gevolg van een strafbaar feit recht heeft op teruggave van geconfisqueerde voorwerpen, nemen de lidstaten, waar mogelijk en prioritair, de nodige maatregelen om de betreffende v</w:t>
            </w:r>
            <w:r w:rsidRPr="003B2FFA">
              <w:rPr>
                <w:b/>
                <w:i/>
              </w:rPr>
              <w:t>oorwerpen terug te geven aan het slachtoffer.</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18 – alinea 1 ter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Wanneer het niet mogelijk is de voorwerpen terug te geven aan het slachtoffer overeenkomstig lid 2, en er zijn financiële vermogensbestanddelen verkregen als gevolg van de uitvoering van de confiscatie of d</w:t>
            </w:r>
            <w:r w:rsidRPr="003B2FFA">
              <w:rPr>
                <w:b/>
                <w:i/>
              </w:rPr>
              <w:t>e tussentijdse verkoop met betrekking tot die voorwerpen, worden die vermogensbestanddelen overgemaakt aan het slachtoffer bij wijze van teruggave.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56</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19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r>
            <w:r w:rsidRPr="003B2FFA">
              <w:t>De lidstaten zorgen ervoor dat de bevoegde autoriteiten die belast zijn met het beheer van bevroren en geconfisqueerde voorwerpen, alvorens een bevriezingsbevel in de zin van artikel 11, lid 1, uit te vaardigen, een raming maken van de kosten die eventueel</w:t>
            </w:r>
            <w:r w:rsidRPr="003B2FFA">
              <w:t xml:space="preserve"> verbonden zijn aan het beheer van de voorwerpen die kunnen worden bevroren, zulks met het oog op het behoud en de optimalisering van de waarde van deze voorwerpen tot het tijdstip waarop zij worden vervreemd.</w:t>
            </w:r>
          </w:p>
        </w:tc>
        <w:tc>
          <w:tcPr>
            <w:tcW w:w="4876" w:type="dxa"/>
            <w:hideMark/>
          </w:tcPr>
          <w:p w:rsidR="00E93DAA" w:rsidRPr="003B2FFA" w:rsidRDefault="003B2FFA" w:rsidP="007C5D7C">
            <w:pPr>
              <w:pStyle w:val="Normal6"/>
              <w:rPr>
                <w:szCs w:val="24"/>
              </w:rPr>
            </w:pPr>
            <w:r w:rsidRPr="003B2FFA">
              <w:t>2.</w:t>
            </w:r>
            <w:r w:rsidRPr="003B2FFA">
              <w:tab/>
              <w:t xml:space="preserve">De lidstaten zorgen ervoor dat de bevoegde </w:t>
            </w:r>
            <w:r w:rsidRPr="003B2FFA">
              <w:t>autoriteiten die belast zijn met het beheer van bevroren en geconfisqueerde voorwerpen, alvorens een bevriezingsbevel in de zin van artikel 11, lid 1, uit te vaardigen, een raming maken van de kosten die eventueel verbonden zijn aan het beheer van de voorw</w:t>
            </w:r>
            <w:r w:rsidRPr="003B2FFA">
              <w:t>erpen die kunnen worden bevroren, zulks met het oog op het behoud en de optimalisering van de waarde van deze voorwerpen tot het tijdstip waarop zij worden vervreemd</w:t>
            </w:r>
            <w:r w:rsidRPr="003B2FFA">
              <w:rPr>
                <w:b/>
                <w:i/>
              </w:rPr>
              <w:t>, tenzij de urgentie van een zaak vereist dat van een dergelijke raming mag worden afgezien</w:t>
            </w:r>
            <w:r w:rsidRPr="003B2FFA">
              <w:t xml:space="preserve">. </w:t>
            </w:r>
            <w:r w:rsidRPr="003B2FFA">
              <w:rPr>
                <w:b/>
                <w:i/>
              </w:rPr>
              <w:t>Een beslissing van de bevoegde autoriteit om van een dergelijke raming af te zien, wordt naar behoren gemotiveerd.</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57</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w:t>
      </w:r>
      <w:r w:rsidRPr="003B2FFA">
        <w:t>tikel 20 – lid 1 – punt a</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a)</w:t>
            </w:r>
            <w:r w:rsidRPr="003B2FFA">
              <w:tab/>
              <w:t xml:space="preserve">de te bevriezen voorwerpen zijn bederfelijk of kennen een </w:t>
            </w:r>
            <w:r w:rsidRPr="003B2FFA">
              <w:rPr>
                <w:b/>
                <w:bCs/>
                <w:i/>
                <w:iCs/>
              </w:rPr>
              <w:t>snelle</w:t>
            </w:r>
            <w:r w:rsidRPr="003B2FFA">
              <w:t xml:space="preserve"> waardevermindering;</w:t>
            </w:r>
          </w:p>
        </w:tc>
        <w:tc>
          <w:tcPr>
            <w:tcW w:w="4876" w:type="dxa"/>
            <w:hideMark/>
          </w:tcPr>
          <w:p w:rsidR="00E93DAA" w:rsidRPr="003B2FFA" w:rsidRDefault="003B2FFA">
            <w:pPr>
              <w:pStyle w:val="Normal6"/>
              <w:rPr>
                <w:szCs w:val="24"/>
              </w:rPr>
            </w:pPr>
            <w:r w:rsidRPr="003B2FFA">
              <w:t>a)</w:t>
            </w:r>
            <w:r w:rsidRPr="003B2FFA">
              <w:tab/>
              <w:t>de te bevriezen voorwerpen zijn bederfelijk of kennen een waardevermindering;</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58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20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r>
            <w:r w:rsidRPr="003B2FFA">
              <w:t xml:space="preserve">De lidstaten nemen de nodige maatregelen om ervoor te zorgen dat de belangen van de eigenaar van de voorwerpen in aanmerking worden genomen bij het uitvaardigen van een bevel tot tussentijdse verkoop, met inbegrip van de vraag of de te verkopen voorwerpen </w:t>
            </w:r>
            <w:r w:rsidRPr="003B2FFA">
              <w:t>gemakkelijk vervangbaar zijn. Met uitzondering van gevallen van vlucht zorgen de lidstaten ervoor dat de eigenaar van de voorwerpen die in het kader van een tussentijdse verkoop kunnen worden verkocht, vóór de verkoop in kennis wordt gesteld en wordt gehoo</w:t>
            </w:r>
            <w:r w:rsidRPr="003B2FFA">
              <w:t>rd. De eigenaar wordt in de gelegenheid gesteld om te verzoeken om de verkoop van de voorwerpen.</w:t>
            </w:r>
          </w:p>
        </w:tc>
        <w:tc>
          <w:tcPr>
            <w:tcW w:w="4876" w:type="dxa"/>
            <w:hideMark/>
          </w:tcPr>
          <w:p w:rsidR="00E93DAA" w:rsidRPr="003B2FFA" w:rsidRDefault="003B2FFA" w:rsidP="007C5D7C">
            <w:pPr>
              <w:pStyle w:val="Normal6"/>
              <w:rPr>
                <w:szCs w:val="24"/>
              </w:rPr>
            </w:pPr>
            <w:r w:rsidRPr="003B2FFA">
              <w:t>2.</w:t>
            </w:r>
            <w:r w:rsidRPr="003B2FFA">
              <w:tab/>
              <w:t>De lidstaten nemen de nodige maatregelen om ervoor te zorgen dat de belangen van de eigenaar van de voorwerpen in aanmerking worden genomen bij het uitvaard</w:t>
            </w:r>
            <w:r w:rsidRPr="003B2FFA">
              <w:t>igen van een bevel tot tussentijdse verkoop, met inbegrip van de vraag of de te verkopen voorwerpen gemakkelijk vervangbaar zijn. Met uitzondering van gevallen van vlucht zorgen de lidstaten ervoor dat de eigenaar van de voorwerpen die in het kader van een</w:t>
            </w:r>
            <w:r w:rsidRPr="003B2FFA">
              <w:t xml:space="preserve"> tussentijdse verkoop kunnen worden verkocht, vóór de verkoop in kennis wordt gesteld en </w:t>
            </w:r>
            <w:r w:rsidRPr="003B2FFA">
              <w:rPr>
                <w:b/>
                <w:bCs/>
                <w:i/>
                <w:iCs/>
              </w:rPr>
              <w:t xml:space="preserve">zo nodig </w:t>
            </w:r>
            <w:r w:rsidRPr="003B2FFA">
              <w:t>wordt gehoord. De eigenaar wordt in de gelegenheid gesteld om te verzoeken om de verkoop van de voorwerpen.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lastRenderedPageBreak/>
        <w:t>&lt;Amend&gt;</w:t>
      </w:r>
      <w:r w:rsidRPr="003B2FFA">
        <w:t>Amendement</w:t>
      </w:r>
      <w:r w:rsidRPr="003B2FFA">
        <w:tab/>
      </w:r>
      <w:r w:rsidRPr="003B2FFA">
        <w:tab/>
      </w:r>
      <w:r w:rsidRPr="003B2FFA">
        <w:rPr>
          <w:rStyle w:val="HideTWBExt"/>
          <w:b w:val="0"/>
        </w:rPr>
        <w:t>&lt;NumAm&gt;</w:t>
      </w:r>
      <w:r w:rsidRPr="003B2FFA">
        <w:t>59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21 – lid 2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2 bis.</w:t>
            </w:r>
            <w:r w:rsidRPr="003B2FFA">
              <w:rPr>
                <w:b/>
                <w:i/>
              </w:rPr>
              <w:tab/>
            </w:r>
            <w:r w:rsidRPr="003B2FFA">
              <w:rPr>
                <w:b/>
                <w:i/>
              </w:rPr>
              <w:t>De lidstaten houden terdege rekening met de mogelijkheid om de in artikel 5, lid 2, omschreven taken toe te vertrouwen aan bureaus voor vermogensbeheer.</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23 – lid 4 – alinea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 xml:space="preserve">In het geval van confiscatiebevelen uit hoofde van artikel 13 omvatten deze omstandigheden de feiten en omstandigheden op grond waarvan is vastgesteld dat de derde wist of </w:t>
            </w:r>
            <w:r w:rsidRPr="003B2FFA">
              <w:rPr>
                <w:b/>
                <w:bCs/>
                <w:i/>
                <w:iCs/>
              </w:rPr>
              <w:t>had moeten</w:t>
            </w:r>
            <w:r w:rsidRPr="003B2FFA">
              <w:t xml:space="preserve"> weten dat de overdracht of de verwerving tot doel had confiscatie te voor</w:t>
            </w:r>
            <w:r w:rsidRPr="003B2FFA">
              <w:t>komen.</w:t>
            </w:r>
          </w:p>
        </w:tc>
        <w:tc>
          <w:tcPr>
            <w:tcW w:w="4876" w:type="dxa"/>
            <w:hideMark/>
          </w:tcPr>
          <w:p w:rsidR="00E93DAA" w:rsidRPr="003B2FFA" w:rsidRDefault="003B2FFA" w:rsidP="007C5D7C">
            <w:pPr>
              <w:pStyle w:val="Normal6"/>
              <w:rPr>
                <w:szCs w:val="24"/>
              </w:rPr>
            </w:pPr>
            <w:r w:rsidRPr="003B2FFA">
              <w:t xml:space="preserve">In het geval van confiscatiebevelen uit hoofde van artikel 13 omvatten deze omstandigheden de feiten en omstandigheden op grond waarvan is vastgesteld dat de derde wist of </w:t>
            </w:r>
            <w:r w:rsidRPr="003B2FFA">
              <w:rPr>
                <w:b/>
                <w:bCs/>
                <w:i/>
                <w:iCs/>
              </w:rPr>
              <w:t>verondersteld kon zijn te</w:t>
            </w:r>
            <w:r w:rsidRPr="003B2FFA">
              <w:t xml:space="preserve"> weten dat de overdracht of de verwerving tot doel h</w:t>
            </w:r>
            <w:r w:rsidRPr="003B2FFA">
              <w:t>ad confiscatie te voorkomen</w:t>
            </w:r>
            <w:r w:rsidRPr="003B2FFA">
              <w:rPr>
                <w:b/>
                <w:i/>
              </w:rPr>
              <w:t>, of dat de overgedragen voorwerpen direct of indirect verband hielden met</w:t>
            </w:r>
            <w:r w:rsidRPr="003B2FFA">
              <w:t xml:space="preserve"> </w:t>
            </w:r>
            <w:r w:rsidRPr="003B2FFA">
              <w:rPr>
                <w:b/>
                <w:bCs/>
                <w:i/>
                <w:iCs/>
              </w:rPr>
              <w:t>strafbare gedragingen</w:t>
            </w:r>
            <w:r w:rsidRPr="003B2FFA">
              <w:rPr>
                <w:i/>
                <w:iCs/>
              </w:rPr>
              <w:t xml:space="preserve"> </w:t>
            </w:r>
            <w:r w:rsidRPr="003B2FFA">
              <w:rPr>
                <w:b/>
                <w:bCs/>
                <w:i/>
                <w:iCs/>
              </w:rPr>
              <w:t>op basis van concrete feiten en omstandigheden</w:t>
            </w:r>
            <w:r w:rsidRPr="003B2FFA">
              <w:t xml:space="preserve">. </w:t>
            </w:r>
            <w:r w:rsidRPr="003B2FFA">
              <w:rPr>
                <w:b/>
                <w:i/>
              </w:rPr>
              <w:t>Dergelijke feiten en omstandigheden kunnen bijvoorbeeld zijn dat de overdracht koste</w:t>
            </w:r>
            <w:r w:rsidRPr="003B2FFA">
              <w:rPr>
                <w:b/>
                <w:i/>
              </w:rPr>
              <w:t>loos werd uitgevoerd of tegen een bedrag dat in aanzienlijke mate niet in verhouding stond tot de marktwaarde.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23 – lid 4 – alinea 3</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In het geval van confiscatiebevelen uit hoofde van de artikelen 14 en 16 omvatten dergelijke omstandigheden de specifieke feiten en het beschikbare bewijsmateriaal o</w:t>
            </w:r>
            <w:r w:rsidRPr="003B2FFA">
              <w:t>p grond waarvan de betrokken voorwerpen worden beschouwd als voorwerpen die afkomstig zijn van crimineel gedrag.</w:t>
            </w:r>
          </w:p>
        </w:tc>
        <w:tc>
          <w:tcPr>
            <w:tcW w:w="4876" w:type="dxa"/>
            <w:hideMark/>
          </w:tcPr>
          <w:p w:rsidR="00E93DAA" w:rsidRPr="003B2FFA" w:rsidRDefault="003B2FFA">
            <w:pPr>
              <w:pStyle w:val="Normal6"/>
              <w:rPr>
                <w:szCs w:val="24"/>
              </w:rPr>
            </w:pPr>
            <w:r w:rsidRPr="003B2FFA">
              <w:t xml:space="preserve">In het geval van een confiscatiebevelen uit hoofde van de artikelen 14 en 16 omvatten dergelijke omstandigheden de specifieke feiten en het beschikbare bewijsmateriaal op grond waarvan de betrokken voorwerpen worden beschouwd als voorwerpen die </w:t>
            </w:r>
            <w:r w:rsidRPr="003B2FFA">
              <w:rPr>
                <w:b/>
                <w:bCs/>
                <w:i/>
                <w:iCs/>
              </w:rPr>
              <w:t>direct of i</w:t>
            </w:r>
            <w:r w:rsidRPr="003B2FFA">
              <w:rPr>
                <w:b/>
                <w:bCs/>
                <w:i/>
                <w:iCs/>
              </w:rPr>
              <w:t xml:space="preserve">ndirect </w:t>
            </w:r>
            <w:r w:rsidRPr="003B2FFA">
              <w:t>afkomstig zijn van crimineel gedrag.</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24 – lid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w:t>
            </w:r>
            <w:r w:rsidRPr="003B2FFA">
              <w:t>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t xml:space="preserve">De lidstaten stellen uiterlijk op [één jaar na de inwerkingtreding van deze richtlijn] een nationale strategie betreffende de ontneming van vermogensbestanddelen vast en actualiseren deze met regelmatige tussenpozen van niet langer dan </w:t>
            </w:r>
            <w:r w:rsidRPr="003B2FFA">
              <w:rPr>
                <w:b/>
                <w:bCs/>
                <w:i/>
                <w:iCs/>
              </w:rPr>
              <w:t>vijf</w:t>
            </w:r>
            <w:r w:rsidRPr="003B2FFA">
              <w:t xml:space="preserve"> jaar.</w:t>
            </w:r>
          </w:p>
        </w:tc>
        <w:tc>
          <w:tcPr>
            <w:tcW w:w="4876" w:type="dxa"/>
            <w:hideMark/>
          </w:tcPr>
          <w:p w:rsidR="00E93DAA" w:rsidRPr="003B2FFA" w:rsidRDefault="003B2FFA">
            <w:pPr>
              <w:pStyle w:val="Normal6"/>
              <w:rPr>
                <w:szCs w:val="24"/>
              </w:rPr>
            </w:pPr>
            <w:r w:rsidRPr="003B2FFA">
              <w:t>1.</w:t>
            </w:r>
            <w:r w:rsidRPr="003B2FFA">
              <w:tab/>
              <w:t xml:space="preserve">De lidstaten stellen uiterlijk op [één jaar na de inwerkingtreding van deze richtlijn] een nationale strategie betreffende de ontneming van vermogensbestanddelen vast en actualiseren deze met regelmatige tussenpozen van niet langer dan </w:t>
            </w:r>
            <w:r w:rsidRPr="003B2FFA">
              <w:rPr>
                <w:b/>
                <w:i/>
              </w:rPr>
              <w:t>drie</w:t>
            </w:r>
            <w:r w:rsidRPr="003B2FFA">
              <w:t xml:space="preserve"> jaar.</w:t>
            </w:r>
          </w:p>
        </w:tc>
      </w:tr>
    </w:tbl>
    <w:p w:rsidR="00E93DAA" w:rsidRPr="003B2FFA" w:rsidRDefault="003B2FFA" w:rsidP="00E93DAA">
      <w:pPr>
        <w:pStyle w:val="Olang"/>
      </w:pPr>
      <w:r w:rsidRPr="003B2FFA">
        <w:rPr>
          <w:noProof w:val="0"/>
        </w:rPr>
        <w:t xml:space="preserve">Or. </w:t>
      </w:r>
      <w:r w:rsidRPr="003B2FFA">
        <w:rPr>
          <w:rStyle w:val="HideTWBExt"/>
        </w:rPr>
        <w:t>&lt;</w:t>
      </w:r>
      <w:r w:rsidRPr="003B2FFA">
        <w:rPr>
          <w:rStyle w:val="HideTWBExt"/>
        </w:rPr>
        <w: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24 – lid 2 – alinea 1 – punt a</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a)</w:t>
            </w:r>
            <w:r w:rsidRPr="003B2FFA">
              <w:tab/>
            </w:r>
            <w:r w:rsidRPr="003B2FFA">
              <w:t>strategische doelstellingen, prioriteiten en maatregelen ter versterking van de inspanningen van alle bevoegde nationale autoriteiten die betrokken zijn bij de ontneming van voorwerpen, zoals uiteengezet in deze richtlijn;</w:t>
            </w:r>
          </w:p>
        </w:tc>
        <w:tc>
          <w:tcPr>
            <w:tcW w:w="4876" w:type="dxa"/>
            <w:hideMark/>
          </w:tcPr>
          <w:p w:rsidR="00E93DAA" w:rsidRPr="003B2FFA" w:rsidRDefault="003B2FFA">
            <w:pPr>
              <w:pStyle w:val="Normal6"/>
              <w:rPr>
                <w:szCs w:val="24"/>
              </w:rPr>
            </w:pPr>
            <w:r w:rsidRPr="003B2FFA">
              <w:t>a)</w:t>
            </w:r>
            <w:r w:rsidRPr="003B2FFA">
              <w:tab/>
              <w:t>strategische doelstellingen, p</w:t>
            </w:r>
            <w:r w:rsidRPr="003B2FFA">
              <w:t xml:space="preserve">rioriteiten en maatregelen ter versterking van de inspanningen van alle bevoegde nationale autoriteiten die betrokken zijn bij de ontneming </w:t>
            </w:r>
            <w:r w:rsidRPr="003B2FFA">
              <w:rPr>
                <w:b/>
                <w:bCs/>
                <w:i/>
                <w:iCs/>
              </w:rPr>
              <w:t>en het beheer</w:t>
            </w:r>
            <w:r w:rsidRPr="003B2FFA">
              <w:t xml:space="preserve"> van voorwerpen, zoals uiteengezet in deze richtlijn;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24 – lid 2 – alinea 1 – punt b</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b)</w:t>
            </w:r>
            <w:r w:rsidRPr="003B2FFA">
              <w:tab/>
            </w:r>
            <w:r w:rsidRPr="003B2FFA">
              <w:t xml:space="preserve">een governancekader ter verwezenlijking van de strategische doelstellingen en prioriteiten, met inbegrip van </w:t>
            </w:r>
            <w:r w:rsidRPr="003B2FFA">
              <w:rPr>
                <w:b/>
                <w:bCs/>
                <w:i/>
                <w:iCs/>
              </w:rPr>
              <w:t>een beschrijving van de taken en verantwoordelijkheden van alle bevoegde autoriteiten en samenwerkingsmechanismen</w:t>
            </w:r>
            <w:r w:rsidRPr="003B2FFA">
              <w:t>;</w:t>
            </w:r>
          </w:p>
        </w:tc>
        <w:tc>
          <w:tcPr>
            <w:tcW w:w="4876" w:type="dxa"/>
            <w:hideMark/>
          </w:tcPr>
          <w:p w:rsidR="00E93DAA" w:rsidRPr="003B2FFA" w:rsidRDefault="003B2FFA">
            <w:pPr>
              <w:pStyle w:val="Normal6"/>
              <w:rPr>
                <w:szCs w:val="24"/>
              </w:rPr>
            </w:pPr>
            <w:r w:rsidRPr="003B2FFA">
              <w:t>b)</w:t>
            </w:r>
            <w:r w:rsidRPr="003B2FFA">
              <w:tab/>
              <w:t>een governancekader ter verwe</w:t>
            </w:r>
            <w:r w:rsidRPr="003B2FFA">
              <w:t xml:space="preserve">zenlijking van de strategische doelstellingen en prioriteiten, met inbegrip van </w:t>
            </w:r>
            <w:r w:rsidRPr="003B2FFA">
              <w:rPr>
                <w:b/>
                <w:i/>
              </w:rPr>
              <w:t>effectieve samenwerking tussen bureaus voor de ontneming van vermogensbestanddelen en financiële-inlichtingeneenheden</w:t>
            </w:r>
            <w:r w:rsidRPr="003B2FFA">
              <w:t>;</w:t>
            </w:r>
            <w:r w:rsidRPr="003B2FFA">
              <w:rPr>
                <w:b/>
                <w:i/>
              </w:rPr>
              <w:t xml:space="preserve"> </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w:t>
      </w:r>
      <w:r w:rsidRPr="003B2FFA">
        <w:t>ent</w:t>
      </w:r>
      <w:r w:rsidRPr="003B2FFA">
        <w:tab/>
      </w:r>
      <w:r w:rsidRPr="003B2FFA">
        <w:tab/>
      </w:r>
      <w:r w:rsidRPr="003B2FFA">
        <w:rPr>
          <w:rStyle w:val="HideTWBExt"/>
          <w:b w:val="0"/>
        </w:rPr>
        <w:t>&lt;NumAm&gt;</w:t>
      </w:r>
      <w:r w:rsidRPr="003B2FFA">
        <w:t>65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24 – lid 2 – alinea 1 – punt d</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d)</w:t>
            </w:r>
            <w:r w:rsidRPr="003B2FFA">
              <w:tab/>
              <w:t>middelen die ter beschikking van de bevoegde autoriteiten worden gesteld</w:t>
            </w:r>
            <w:r w:rsidRPr="003B2FFA">
              <w:rPr>
                <w:b/>
                <w:bCs/>
                <w:i/>
                <w:iCs/>
              </w:rPr>
              <w:t>, waaronder opleiding</w:t>
            </w:r>
            <w:r w:rsidRPr="003B2FFA">
              <w:t>;</w:t>
            </w:r>
          </w:p>
        </w:tc>
        <w:tc>
          <w:tcPr>
            <w:tcW w:w="4876" w:type="dxa"/>
            <w:hideMark/>
          </w:tcPr>
          <w:p w:rsidR="00E93DAA" w:rsidRPr="003B2FFA" w:rsidRDefault="003B2FFA" w:rsidP="00221B12">
            <w:pPr>
              <w:pStyle w:val="Normal6"/>
              <w:rPr>
                <w:szCs w:val="24"/>
              </w:rPr>
            </w:pPr>
            <w:r w:rsidRPr="003B2FFA">
              <w:t>d)</w:t>
            </w:r>
            <w:r w:rsidRPr="003B2FFA">
              <w:tab/>
            </w:r>
            <w:r w:rsidRPr="003B2FFA">
              <w:rPr>
                <w:b/>
                <w:bCs/>
                <w:i/>
                <w:iCs/>
              </w:rPr>
              <w:t xml:space="preserve">passende financiële </w:t>
            </w:r>
            <w:r w:rsidRPr="003B2FFA">
              <w:t>middelen</w:t>
            </w:r>
            <w:r w:rsidRPr="003B2FFA">
              <w:rPr>
                <w:b/>
                <w:bCs/>
                <w:i/>
                <w:iCs/>
              </w:rPr>
              <w:t>, passende opleiding en passende juridische capaciteiten</w:t>
            </w:r>
            <w:r w:rsidRPr="003B2FFA">
              <w:t xml:space="preserve"> die ter beschikking van de bevoegde autoriteiten worden gesteld;</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66</w:t>
      </w:r>
      <w:r w:rsidRPr="003B2FFA">
        <w:rPr>
          <w:rStyle w:val="HideTWBExt"/>
          <w:b w:val="0"/>
        </w:rPr>
        <w:t>&lt;/NumAm&gt;</w:t>
      </w:r>
    </w:p>
    <w:p w:rsidR="00E93DAA" w:rsidRPr="003B2FFA" w:rsidRDefault="003B2FFA" w:rsidP="00E93DAA">
      <w:pPr>
        <w:pStyle w:val="NormalBold12b"/>
        <w:keepNext/>
      </w:pPr>
      <w:r w:rsidRPr="003B2FFA">
        <w:rPr>
          <w:rStyle w:val="HideTWBExt"/>
          <w:b w:val="0"/>
        </w:rPr>
        <w:t>&lt;</w:t>
      </w:r>
      <w:r w:rsidRPr="003B2FFA">
        <w:rPr>
          <w:rStyle w:val="HideTWBExt"/>
          <w:b w:val="0"/>
        </w:rPr>
        <w: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24 – lid 2 – alinea 1 – punt e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e bis)</w:t>
            </w:r>
            <w:r w:rsidRPr="003B2FFA">
              <w:rPr>
                <w:b/>
                <w:i/>
              </w:rPr>
              <w:tab/>
            </w:r>
            <w:r w:rsidRPr="003B2FFA">
              <w:rPr>
                <w:b/>
                <w:i/>
              </w:rPr>
              <w:t>de mogelijkheid om bevroren en geconfisqueerde vermogensbestanddelen te gebruiken voor het publiek belang of voor maatschappelijke doeleinden.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3C7B06" w:rsidRPr="003B2FFA" w:rsidRDefault="003B2FFA" w:rsidP="003C7B06">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67</w:t>
      </w:r>
      <w:r w:rsidRPr="003B2FFA">
        <w:rPr>
          <w:rStyle w:val="HideTWBExt"/>
          <w:b w:val="0"/>
        </w:rPr>
        <w:t>&lt;/NumAm&gt;</w:t>
      </w:r>
    </w:p>
    <w:p w:rsidR="003C7B06" w:rsidRPr="003B2FFA" w:rsidRDefault="003B2FFA" w:rsidP="003C7B06">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3C7B06" w:rsidRPr="003B2FFA" w:rsidRDefault="003B2FFA" w:rsidP="003C7B06">
      <w:pPr>
        <w:pStyle w:val="NormalBold"/>
      </w:pPr>
      <w:r w:rsidRPr="003B2FFA">
        <w:rPr>
          <w:rStyle w:val="HideTWBExt"/>
          <w:b w:val="0"/>
        </w:rPr>
        <w:t>&lt;Article&gt;</w:t>
      </w:r>
      <w:r w:rsidRPr="003B2FFA">
        <w:t>Artikel 24 – lid 2 – alinea 2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A80126">
        <w:trPr>
          <w:jc w:val="center"/>
        </w:trPr>
        <w:tc>
          <w:tcPr>
            <w:tcW w:w="9752" w:type="dxa"/>
            <w:gridSpan w:val="2"/>
          </w:tcPr>
          <w:p w:rsidR="003C7B06" w:rsidRPr="003B2FFA" w:rsidRDefault="003C7B06" w:rsidP="00A80126">
            <w:pPr>
              <w:keepNext/>
            </w:pPr>
          </w:p>
        </w:tc>
      </w:tr>
      <w:tr w:rsidR="003B2FFA" w:rsidRPr="003B2FFA" w:rsidTr="00A80126">
        <w:trPr>
          <w:jc w:val="center"/>
        </w:trPr>
        <w:tc>
          <w:tcPr>
            <w:tcW w:w="4876" w:type="dxa"/>
            <w:hideMark/>
          </w:tcPr>
          <w:p w:rsidR="003C7B06" w:rsidRPr="003B2FFA" w:rsidRDefault="003B2FFA" w:rsidP="00A80126">
            <w:pPr>
              <w:pStyle w:val="ColumnHeading"/>
              <w:keepNext/>
            </w:pPr>
            <w:r w:rsidRPr="003B2FFA">
              <w:t>Door de Commissie voorgestelde tekst</w:t>
            </w:r>
          </w:p>
        </w:tc>
        <w:tc>
          <w:tcPr>
            <w:tcW w:w="4876" w:type="dxa"/>
            <w:hideMark/>
          </w:tcPr>
          <w:p w:rsidR="003C7B06" w:rsidRPr="003B2FFA" w:rsidRDefault="003B2FFA" w:rsidP="00A80126">
            <w:pPr>
              <w:pStyle w:val="ColumnHeading"/>
              <w:keepNext/>
            </w:pPr>
            <w:r w:rsidRPr="003B2FFA">
              <w:t>Amendement</w:t>
            </w:r>
          </w:p>
        </w:tc>
      </w:tr>
      <w:tr w:rsidR="003B2FFA" w:rsidRPr="003B2FFA" w:rsidTr="00A80126">
        <w:trPr>
          <w:jc w:val="center"/>
        </w:trPr>
        <w:tc>
          <w:tcPr>
            <w:tcW w:w="4876" w:type="dxa"/>
          </w:tcPr>
          <w:p w:rsidR="003C7B06" w:rsidRPr="003B2FFA" w:rsidRDefault="003C7B06" w:rsidP="00A80126">
            <w:pPr>
              <w:pStyle w:val="Normal6"/>
            </w:pPr>
          </w:p>
        </w:tc>
        <w:tc>
          <w:tcPr>
            <w:tcW w:w="4876" w:type="dxa"/>
            <w:hideMark/>
          </w:tcPr>
          <w:p w:rsidR="003C7B06" w:rsidRPr="003B2FFA" w:rsidRDefault="003B2FFA" w:rsidP="00A80126">
            <w:pPr>
              <w:pStyle w:val="Normal6"/>
              <w:rPr>
                <w:b/>
                <w:i/>
                <w:szCs w:val="24"/>
              </w:rPr>
            </w:pPr>
            <w:r w:rsidRPr="003B2FFA">
              <w:rPr>
                <w:b/>
                <w:i/>
              </w:rPr>
              <w:t>Voor de toepassing van punt b) van de eerste alinea overwegen de lidstaten ook naar behoren de mogelijkheid en de potentiële voordelen om bureaus voor ontneming van vermogensbestanddelen en hun bureaus voor vermogensbeheer onder te brengen onder één enkele</w:t>
            </w:r>
            <w:r w:rsidRPr="003B2FFA">
              <w:rPr>
                <w:b/>
                <w:i/>
              </w:rPr>
              <w:t xml:space="preserve"> juridische en organisatiestructuur. </w:t>
            </w:r>
          </w:p>
        </w:tc>
      </w:tr>
    </w:tbl>
    <w:p w:rsidR="003C7B06" w:rsidRPr="003B2FFA" w:rsidRDefault="003B2FFA" w:rsidP="003C7B06">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3C7B06" w:rsidRPr="003B2FFA" w:rsidRDefault="003B2FFA" w:rsidP="003C7B06">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68</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26 – lid 3 – punt b</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b)</w:t>
            </w:r>
            <w:r w:rsidRPr="003B2FFA">
              <w:tab/>
              <w:t>de geraamde of werkelijke waarde van de voorwerpen op het tijdstip van de bevriezing</w:t>
            </w:r>
            <w:r w:rsidRPr="003B2FFA">
              <w:rPr>
                <w:b/>
                <w:bCs/>
                <w:i/>
                <w:iCs/>
              </w:rPr>
              <w:t>, confiscatie en beschikking</w:t>
            </w:r>
            <w:r w:rsidRPr="003B2FFA">
              <w:t>;</w:t>
            </w:r>
          </w:p>
        </w:tc>
        <w:tc>
          <w:tcPr>
            <w:tcW w:w="4876" w:type="dxa"/>
            <w:hideMark/>
          </w:tcPr>
          <w:p w:rsidR="00E93DAA" w:rsidRPr="003B2FFA" w:rsidRDefault="003B2FFA">
            <w:pPr>
              <w:pStyle w:val="Normal6"/>
              <w:rPr>
                <w:szCs w:val="24"/>
              </w:rPr>
            </w:pPr>
            <w:r w:rsidRPr="003B2FFA">
              <w:t>b)</w:t>
            </w:r>
            <w:r w:rsidRPr="003B2FFA">
              <w:tab/>
              <w:t>de geraamde of werkelijke waarde van de voorwerpen op het tijdstip van de bevriezing;</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69</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26 – lid 5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5 bis.</w:t>
            </w:r>
            <w:r w:rsidRPr="003B2FFA">
              <w:rPr>
                <w:b/>
                <w:i/>
              </w:rPr>
              <w:tab/>
            </w:r>
            <w:r w:rsidRPr="003B2FFA">
              <w:rPr>
                <w:b/>
                <w:i/>
              </w:rPr>
              <w:t xml:space="preserve">De lidstaten wijzen de bevoegde autoriteit of autoriteiten aan die verantwoordelijk is (zijn) voor het beheer van de centrale registers. Die autoriteiten worden beschouwd als </w:t>
            </w:r>
            <w:r w:rsidRPr="003B2FFA">
              <w:rPr>
                <w:b/>
                <w:i/>
              </w:rPr>
              <w:lastRenderedPageBreak/>
              <w:t>verwerkingsverantwoordelijke in de zin van artikel 3, punt 8), van Richtlijn (EU)</w:t>
            </w:r>
            <w:r w:rsidRPr="003B2FFA">
              <w:rPr>
                <w:b/>
                <w:i/>
              </w:rPr>
              <w:t xml:space="preserve"> 2016/680.</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70</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27 – lid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t xml:space="preserve">De lidstaten verzamelen </w:t>
            </w:r>
            <w:r w:rsidRPr="003B2FFA">
              <w:rPr>
                <w:b/>
                <w:bCs/>
                <w:i/>
                <w:iCs/>
              </w:rPr>
              <w:t>op centraal niveau</w:t>
            </w:r>
            <w:r w:rsidRPr="003B2FFA">
              <w:t xml:space="preserve"> uitgebreide statistieken over de uit hoofde van deze richtlijn genomen maatregelen en houden deze bij.</w:t>
            </w:r>
          </w:p>
        </w:tc>
        <w:tc>
          <w:tcPr>
            <w:tcW w:w="4876" w:type="dxa"/>
            <w:hideMark/>
          </w:tcPr>
          <w:p w:rsidR="00E93DAA" w:rsidRPr="003B2FFA" w:rsidRDefault="003B2FFA" w:rsidP="00710398">
            <w:pPr>
              <w:pStyle w:val="Normal6"/>
              <w:rPr>
                <w:szCs w:val="24"/>
              </w:rPr>
            </w:pPr>
            <w:r w:rsidRPr="003B2FFA">
              <w:t>1.</w:t>
            </w:r>
            <w:r w:rsidRPr="003B2FFA">
              <w:tab/>
              <w:t xml:space="preserve">De lidstaten verzamelen </w:t>
            </w:r>
            <w:r w:rsidRPr="003B2FFA">
              <w:rPr>
                <w:b/>
                <w:bCs/>
                <w:i/>
                <w:iCs/>
              </w:rPr>
              <w:t xml:space="preserve">bij de relevante autoriteiten regelmatig </w:t>
            </w:r>
            <w:r w:rsidRPr="003B2FFA">
              <w:t xml:space="preserve">uitgebreide </w:t>
            </w:r>
            <w:r w:rsidRPr="003B2FFA">
              <w:rPr>
                <w:b/>
                <w:bCs/>
                <w:i/>
                <w:iCs/>
              </w:rPr>
              <w:t>statistieken</w:t>
            </w:r>
            <w:r w:rsidRPr="003B2FFA">
              <w:t xml:space="preserve"> over de uit hoofde van deze richtlijn gen</w:t>
            </w:r>
            <w:r w:rsidRPr="003B2FFA">
              <w:t xml:space="preserve">omen maatregelen en houden deze </w:t>
            </w:r>
            <w:r w:rsidRPr="003B2FFA">
              <w:rPr>
                <w:b/>
                <w:bCs/>
                <w:i/>
                <w:iCs/>
              </w:rPr>
              <w:t xml:space="preserve">op centraal niveau </w:t>
            </w:r>
            <w:r w:rsidRPr="003B2FFA">
              <w:t xml:space="preserve">bij </w:t>
            </w:r>
            <w:r w:rsidRPr="003B2FFA">
              <w:rPr>
                <w:b/>
                <w:bCs/>
                <w:i/>
                <w:iCs/>
              </w:rPr>
              <w:t>zodat zij de doeltreffendheid van hun confiscatiesystemen kunnen beoordelen</w:t>
            </w:r>
            <w:r w:rsidRPr="003B2FFA">
              <w:t>.</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71</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27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r>
            <w:r w:rsidRPr="003B2FFA">
              <w:t>De lidstaten zorgen ervoor dat de in lid 1 bedoelde statistieken op kalenderbasis worden verzameld en jaarlijks uiterlijk op [1 september] van het volgende jaar bij de Commissie worden ingediend.</w:t>
            </w:r>
          </w:p>
        </w:tc>
        <w:tc>
          <w:tcPr>
            <w:tcW w:w="4876" w:type="dxa"/>
            <w:hideMark/>
          </w:tcPr>
          <w:p w:rsidR="00E93DAA" w:rsidRPr="003B2FFA" w:rsidRDefault="003B2FFA">
            <w:pPr>
              <w:pStyle w:val="Normal6"/>
              <w:rPr>
                <w:szCs w:val="24"/>
              </w:rPr>
            </w:pPr>
            <w:r w:rsidRPr="003B2FFA">
              <w:t>2.</w:t>
            </w:r>
            <w:r w:rsidRPr="003B2FFA">
              <w:tab/>
              <w:t>De lidstaten zorgen ervoor dat de in lid 1 bedoelde stati</w:t>
            </w:r>
            <w:r w:rsidRPr="003B2FFA">
              <w:t xml:space="preserve">stieken op kalenderbasis worden verzameld en jaarlijks uiterlijk op [1 september] van het volgende jaar bij de Commissie worden ingediend. </w:t>
            </w:r>
            <w:r w:rsidRPr="003B2FFA">
              <w:rPr>
                <w:b/>
                <w:i/>
              </w:rPr>
              <w:t>De verzamelde statistieken worden elk jaar aan de Commissie toegezonden en omvatten voor alle strafbare feiten: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a) </w:t>
            </w:r>
            <w:r w:rsidRPr="003B2FFA">
              <w:tab/>
            </w:r>
            <w:r w:rsidRPr="003B2FFA">
              <w:rPr>
                <w:b/>
                <w:i/>
              </w:rPr>
              <w:t>het aantal uitgevoerde bevriezingsbevelen;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b)</w:t>
            </w:r>
            <w:r w:rsidRPr="003B2FFA">
              <w:tab/>
            </w:r>
            <w:r w:rsidRPr="003B2FFA">
              <w:rPr>
                <w:b/>
                <w:i/>
              </w:rPr>
              <w:t xml:space="preserve"> het aantal uitgevoerde confiscatiebevelen;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c) </w:t>
            </w:r>
            <w:r w:rsidRPr="003B2FFA">
              <w:tab/>
            </w:r>
            <w:r w:rsidRPr="003B2FFA">
              <w:rPr>
                <w:b/>
                <w:i/>
              </w:rPr>
              <w:t>de waarde van de bevroren voorwerpen;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d) </w:t>
            </w:r>
            <w:r w:rsidRPr="003B2FFA">
              <w:tab/>
            </w:r>
            <w:r w:rsidRPr="003B2FFA">
              <w:rPr>
                <w:b/>
                <w:i/>
              </w:rPr>
              <w:t>de waarde van de ontnomen voorwerpen;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e)</w:t>
            </w:r>
            <w:r w:rsidRPr="003B2FFA">
              <w:tab/>
            </w:r>
            <w:r w:rsidRPr="003B2FFA">
              <w:rPr>
                <w:b/>
                <w:i/>
              </w:rPr>
              <w:t xml:space="preserve"> </w:t>
            </w:r>
            <w:r w:rsidRPr="003B2FFA">
              <w:rPr>
                <w:b/>
                <w:i/>
              </w:rPr>
              <w:t>het aantal verzoeken om een bevriezingsbevel dat in een andere lidstaat moet worden uitgevoerd;</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f) </w:t>
            </w:r>
            <w:r w:rsidRPr="003B2FFA">
              <w:tab/>
            </w:r>
            <w:r w:rsidRPr="003B2FFA">
              <w:rPr>
                <w:b/>
                <w:i/>
              </w:rPr>
              <w:t>het aantal verzoeken om een confiscatiebevel dat in een andere lidstaat moet worden uitgevoerd;</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g) </w:t>
            </w:r>
            <w:r w:rsidRPr="003B2FFA">
              <w:tab/>
            </w:r>
            <w:r w:rsidRPr="003B2FFA">
              <w:rPr>
                <w:b/>
                <w:i/>
              </w:rPr>
              <w:t>de waarde van de goederen die zijn ontnomen na uitvo</w:t>
            </w:r>
            <w:r w:rsidRPr="003B2FFA">
              <w:rPr>
                <w:b/>
                <w:i/>
              </w:rPr>
              <w:t>ering in een andere lidstaat;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h) </w:t>
            </w:r>
            <w:r w:rsidRPr="003B2FFA">
              <w:tab/>
            </w:r>
            <w:r w:rsidRPr="003B2FFA">
              <w:rPr>
                <w:b/>
                <w:i/>
              </w:rPr>
              <w:t>de waarde van de voorwerpen die bestemd zijn om opnieuw te worden gebruikt voor doeleinden inzake rechtshandhaving of preventie of voor sociale doeleinden;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 xml:space="preserve">i) </w:t>
            </w:r>
            <w:r w:rsidRPr="003B2FFA">
              <w:tab/>
            </w:r>
            <w:r w:rsidRPr="003B2FFA">
              <w:rPr>
                <w:b/>
                <w:i/>
              </w:rPr>
              <w:t>het aantal gevallen waarin confiscatie is gelast in verhouding tot het aantal veroordelingen voor onder deze richtlijn vallende strafbare feiten;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j) </w:t>
            </w:r>
            <w:r w:rsidRPr="003B2FFA">
              <w:tab/>
            </w:r>
            <w:r w:rsidRPr="003B2FFA">
              <w:rPr>
                <w:b/>
                <w:i/>
              </w:rPr>
              <w:t>het aantal door de rechters afgewezen verzoeken om een bevriezings- en confiscatiebevel;</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k)</w:t>
            </w:r>
            <w:r w:rsidRPr="003B2FFA">
              <w:tab/>
            </w:r>
            <w:r w:rsidRPr="003B2FFA">
              <w:rPr>
                <w:b/>
                <w:i/>
              </w:rPr>
              <w:t xml:space="preserve"> de manier</w:t>
            </w:r>
            <w:r w:rsidRPr="003B2FFA">
              <w:rPr>
                <w:b/>
                <w:i/>
              </w:rPr>
              <w:t xml:space="preserve"> waarop de geconfisqueerde voorwerpen worden gebruikt; 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 xml:space="preserve">l) </w:t>
            </w:r>
            <w:r w:rsidRPr="003B2FFA">
              <w:tab/>
            </w:r>
            <w:r w:rsidRPr="003B2FFA">
              <w:rPr>
                <w:b/>
                <w:i/>
              </w:rPr>
              <w:t>de termijn van de procedures om de geconfisqueerde voorwerpen toe te wijzen.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72</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27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D75F9F">
            <w:pPr>
              <w:pStyle w:val="Normal6"/>
              <w:jc w:val="center"/>
              <w:rPr>
                <w:szCs w:val="24"/>
              </w:rPr>
            </w:pPr>
            <w:r w:rsidRPr="003B2FFA">
              <w:rPr>
                <w:b/>
                <w:i/>
              </w:rPr>
              <w:t>Artikel 27 bis (nieuw)</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jc w:val="center"/>
              <w:rPr>
                <w:szCs w:val="24"/>
              </w:rPr>
            </w:pPr>
            <w:r w:rsidRPr="003B2FFA">
              <w:rPr>
                <w:b/>
                <w:i/>
              </w:rPr>
              <w:t>Platform inzake ontneming en confiscatie van vermogensbestanddelen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 xml:space="preserve">Onder auspiciën van de Commissie wordt een platform inzake ontneming en </w:t>
            </w:r>
            <w:r w:rsidRPr="003B2FFA">
              <w:rPr>
                <w:b/>
                <w:i/>
              </w:rPr>
              <w:lastRenderedPageBreak/>
              <w:t>confiscatie van vermogensbestanddelen (het “platform”) opgericht. Het platform bestaat uit vertegenwoordigers van bureaus voor de ontneming van vermogensbestanddelen en bureaus voor ve</w:t>
            </w:r>
            <w:r w:rsidRPr="003B2FFA">
              <w:rPr>
                <w:b/>
                <w:i/>
              </w:rPr>
              <w:t>rmogensbeheer en wordt voorgezeten door een vertegenwoordiger van de Commissie. Het platform komt regelmatig samen.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pPr>
              <w:pStyle w:val="Normal6"/>
              <w:rPr>
                <w:szCs w:val="24"/>
              </w:rPr>
            </w:pPr>
            <w:r w:rsidRPr="003B2FFA">
              <w:rPr>
                <w:b/>
                <w:i/>
              </w:rPr>
              <w:t>Het platform:</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a)</w:t>
            </w:r>
            <w:r w:rsidRPr="003B2FFA">
              <w:tab/>
            </w:r>
            <w:r w:rsidRPr="003B2FFA">
              <w:rPr>
                <w:b/>
                <w:i/>
              </w:rPr>
              <w:t xml:space="preserve"> adviseert de Commissie over de uitvoering van de in deze richtlijn opgenomen maatregelen;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D75F9F">
            <w:pPr>
              <w:pStyle w:val="Normal6"/>
              <w:rPr>
                <w:szCs w:val="24"/>
              </w:rPr>
            </w:pPr>
            <w:r w:rsidRPr="003B2FFA">
              <w:rPr>
                <w:b/>
                <w:i/>
              </w:rPr>
              <w:t xml:space="preserve">b) </w:t>
            </w:r>
            <w:r w:rsidRPr="003B2FFA">
              <w:tab/>
            </w:r>
            <w:r w:rsidRPr="003B2FFA">
              <w:rPr>
                <w:b/>
                <w:i/>
              </w:rPr>
              <w:t>wisselt informatie uit over de efficiëntie en doeltreffendheid van de samenwerking met derde landen;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 xml:space="preserve">c) </w:t>
            </w:r>
            <w:r w:rsidRPr="003B2FFA">
              <w:tab/>
            </w:r>
            <w:r w:rsidRPr="003B2FFA">
              <w:rPr>
                <w:b/>
                <w:i/>
              </w:rPr>
              <w:t>analyseert de uit hoofde van artikel 24 door de lidstaten vastgestelde nationale strategieën inzake de ontneming van vermogensbestanddelen om beste p</w:t>
            </w:r>
            <w:r w:rsidRPr="003B2FFA">
              <w:rPr>
                <w:b/>
                <w:i/>
              </w:rPr>
              <w:t>raktijken te bepalen.</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Vertegenwoordigers van Europol, Eurojust en het Europees Openbaar Ministerie kunnen worden uitgenodigd om deel te nemen aan de vergaderingen van het platform.</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D75F9F" w:rsidRPr="003B2FFA" w:rsidRDefault="003B2FFA" w:rsidP="007F04E7">
      <w:pPr>
        <w:pStyle w:val="AmCrossRef"/>
      </w:pPr>
      <w:r w:rsidRPr="003B2FFA">
        <w:t>(Artikel 27 bis (nieuw) wordt ingevoegd in hoofdstuk VII, vóór artikel 28.)</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73</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28 – lid 2</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2.</w:t>
            </w:r>
            <w:r w:rsidRPr="003B2FFA">
              <w:tab/>
              <w:t xml:space="preserve">De bureaus voor de ontneming van vermogensbestanddelen werken </w:t>
            </w:r>
            <w:r w:rsidRPr="003B2FFA">
              <w:rPr>
                <w:b/>
                <w:bCs/>
                <w:i/>
                <w:iCs/>
              </w:rPr>
              <w:t>op de onder hun bevoegdheid vallende gebieden</w:t>
            </w:r>
            <w:r w:rsidRPr="003B2FFA">
              <w:t xml:space="preserve"> samen met Europol </w:t>
            </w:r>
            <w:r w:rsidRPr="003B2FFA">
              <w:rPr>
                <w:b/>
                <w:bCs/>
                <w:i/>
                <w:iCs/>
              </w:rPr>
              <w:t>en Eurojust</w:t>
            </w:r>
            <w:r w:rsidRPr="003B2FFA">
              <w:t xml:space="preserve">, teneinde de identificatie te vergemakkelijken van hulpmiddelen en opbrengsten, of van voorwerpen die zijn of kunnen worden onderworpen aan een door een bevoegde </w:t>
            </w:r>
            <w:r w:rsidRPr="003B2FFA">
              <w:lastRenderedPageBreak/>
              <w:t xml:space="preserve">autoriteit in de loop van een </w:t>
            </w:r>
            <w:r w:rsidRPr="003B2FFA">
              <w:rPr>
                <w:b/>
                <w:bCs/>
                <w:i/>
                <w:iCs/>
              </w:rPr>
              <w:t>strafprocedure</w:t>
            </w:r>
            <w:r w:rsidRPr="003B2FFA">
              <w:t xml:space="preserve"> uitgevaardigd bevriezings- of confiscatiebevel, </w:t>
            </w:r>
            <w:r w:rsidRPr="003B2FFA">
              <w:t>en indien nodig om strafbare feiten in verband met de schending van beperkende maatregelen van de Unie te voorkomen, op te sporen of te onderzoeken.</w:t>
            </w:r>
          </w:p>
        </w:tc>
        <w:tc>
          <w:tcPr>
            <w:tcW w:w="4876" w:type="dxa"/>
            <w:hideMark/>
          </w:tcPr>
          <w:p w:rsidR="00E93DAA" w:rsidRPr="003B2FFA" w:rsidRDefault="003B2FFA" w:rsidP="00ED3E81">
            <w:pPr>
              <w:pStyle w:val="Normal6"/>
              <w:rPr>
                <w:szCs w:val="24"/>
              </w:rPr>
            </w:pPr>
            <w:r w:rsidRPr="003B2FFA">
              <w:lastRenderedPageBreak/>
              <w:t>2.</w:t>
            </w:r>
            <w:r w:rsidRPr="003B2FFA">
              <w:tab/>
              <w:t>De bureaus voor de ontneming van vermogensbestanddelen werken samen met Europol, teneinde de identificat</w:t>
            </w:r>
            <w:r w:rsidRPr="003B2FFA">
              <w:t xml:space="preserve">ie te vergemakkelijken van hulpmiddelen en opbrengsten, of van voorwerpen die zijn of kunnen worden onderworpen aan een door een bevoegde autoriteit in de loop van een </w:t>
            </w:r>
            <w:r w:rsidRPr="003B2FFA">
              <w:rPr>
                <w:b/>
                <w:bCs/>
                <w:i/>
                <w:iCs/>
              </w:rPr>
              <w:t>strafrechtelijke procedure</w:t>
            </w:r>
            <w:r w:rsidRPr="003B2FFA">
              <w:t xml:space="preserve"> uitgevaardigd </w:t>
            </w:r>
            <w:r w:rsidRPr="003B2FFA">
              <w:lastRenderedPageBreak/>
              <w:t>bevriezings- of confiscatiebevel, en indien nod</w:t>
            </w:r>
            <w:r w:rsidRPr="003B2FFA">
              <w:t>ig om strafbare feiten in verband met de schending van beperkende maatregelen van de Unie te voorkomen, op te sporen of te onderzoeken.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74</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w:t>
      </w:r>
      <w:r w:rsidRPr="003B2FFA">
        <w:rPr>
          <w:rStyle w:val="HideTWBExt"/>
          <w:b w:val="0"/>
        </w:rPr>
        <w:t>cAmend&gt;</w:t>
      </w:r>
    </w:p>
    <w:p w:rsidR="00E93DAA" w:rsidRPr="003B2FFA" w:rsidRDefault="003B2FFA" w:rsidP="00E93DAA">
      <w:pPr>
        <w:pStyle w:val="NormalBold"/>
      </w:pPr>
      <w:r w:rsidRPr="003B2FFA">
        <w:rPr>
          <w:rStyle w:val="HideTWBExt"/>
          <w:b w:val="0"/>
        </w:rPr>
        <w:t>&lt;Article&gt;</w:t>
      </w:r>
      <w:r w:rsidRPr="003B2FFA">
        <w:t>Artikel 28 – lid 2 bis (nieuw)</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tcPr>
          <w:p w:rsidR="00E93DAA" w:rsidRPr="003B2FFA" w:rsidRDefault="00E93DAA">
            <w:pPr>
              <w:pStyle w:val="Normal6"/>
            </w:pPr>
          </w:p>
        </w:tc>
        <w:tc>
          <w:tcPr>
            <w:tcW w:w="4876" w:type="dxa"/>
            <w:hideMark/>
          </w:tcPr>
          <w:p w:rsidR="00E93DAA" w:rsidRPr="003B2FFA" w:rsidRDefault="003B2FFA" w:rsidP="00710398">
            <w:pPr>
              <w:pStyle w:val="Normal6"/>
              <w:rPr>
                <w:szCs w:val="24"/>
              </w:rPr>
            </w:pPr>
            <w:r w:rsidRPr="003B2FFA">
              <w:rPr>
                <w:b/>
                <w:i/>
              </w:rPr>
              <w:t>2 bis.</w:t>
            </w:r>
            <w:r w:rsidRPr="003B2FFA">
              <w:rPr>
                <w:b/>
                <w:i/>
              </w:rPr>
              <w:tab/>
            </w:r>
            <w:r w:rsidRPr="003B2FFA">
              <w:rPr>
                <w:b/>
                <w:i/>
              </w:rPr>
              <w:t>Bureaus voor de ontneming van vermogensbestanddelen en bureaus voor vermogensbeheer werken nauw samen met Eurojust om de procedure van ontneming van vermogensbestanddelen te vergemakkelijken overeenkomstig het mandaat van Eurojust, met inbegrip van, maar n</w:t>
            </w:r>
            <w:r w:rsidRPr="003B2FFA">
              <w:rPr>
                <w:b/>
                <w:i/>
              </w:rPr>
              <w:t>iet beperkt tot, de opsporing en identificatie van hulpmiddelen en opbrengsten, of voorwerpen die zijn of kunnen worden onderworpen aan een door een bevoegde autoriteit in de loop van een strafrechtelijke procedure uitgevaardigd bevriezings- en confiscatie</w:t>
            </w:r>
            <w:r w:rsidRPr="003B2FFA">
              <w:rPr>
                <w:b/>
                <w:i/>
              </w:rPr>
              <w:t>bevel en de daaropvolgende verwijdering, met inbegrip van het onderzoek naar en de vervolging van strafbare feiten die verband houden met de schending van de beperkende maatregelen van de Unie.</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E93DAA" w:rsidRPr="003B2FFA" w:rsidRDefault="003B2FFA" w:rsidP="00E93DAA">
      <w:r w:rsidRPr="003B2FFA">
        <w:rPr>
          <w:rStyle w:val="HideTWBExt"/>
        </w:rPr>
        <w:t>&lt;/Amend&gt;</w:t>
      </w:r>
    </w:p>
    <w:p w:rsidR="00E93DAA" w:rsidRPr="003B2FFA" w:rsidRDefault="003B2FFA" w:rsidP="00E93DAA">
      <w:pPr>
        <w:pStyle w:val="AMNumberTabs0"/>
        <w:keepNext/>
      </w:pPr>
      <w:r w:rsidRPr="003B2FFA">
        <w:rPr>
          <w:rStyle w:val="HideTWBExt"/>
          <w:b w:val="0"/>
        </w:rPr>
        <w:t>&lt;Amend&gt;</w:t>
      </w:r>
      <w:r w:rsidRPr="003B2FFA">
        <w:t>Amendement</w:t>
      </w:r>
      <w:r w:rsidRPr="003B2FFA">
        <w:tab/>
      </w:r>
      <w:r w:rsidRPr="003B2FFA">
        <w:tab/>
      </w:r>
      <w:r w:rsidRPr="003B2FFA">
        <w:rPr>
          <w:rStyle w:val="HideTWBExt"/>
          <w:b w:val="0"/>
        </w:rPr>
        <w:t>&lt;NumAm&gt;</w:t>
      </w:r>
      <w:r w:rsidRPr="003B2FFA">
        <w:t>75</w:t>
      </w:r>
      <w:r w:rsidRPr="003B2FFA">
        <w:rPr>
          <w:rStyle w:val="HideTWBExt"/>
          <w:b w:val="0"/>
        </w:rPr>
        <w:t>&lt;/NumAm&gt;</w:t>
      </w:r>
    </w:p>
    <w:p w:rsidR="00E93DAA" w:rsidRPr="003B2FFA" w:rsidRDefault="003B2FFA" w:rsidP="00E93DAA">
      <w:pPr>
        <w:pStyle w:val="NormalBold12b"/>
        <w:keepNext/>
      </w:pPr>
      <w:r w:rsidRPr="003B2FFA">
        <w:rPr>
          <w:rStyle w:val="HideTWBExt"/>
          <w:b w:val="0"/>
        </w:rPr>
        <w:t>&lt;DocAmend&gt;</w:t>
      </w:r>
      <w:r w:rsidRPr="003B2FFA">
        <w:t>Voorstel voor een richtlijn</w:t>
      </w:r>
      <w:r w:rsidRPr="003B2FFA">
        <w:rPr>
          <w:rStyle w:val="HideTWBExt"/>
          <w:b w:val="0"/>
        </w:rPr>
        <w:t>&lt;/DocAmend&gt;</w:t>
      </w:r>
    </w:p>
    <w:p w:rsidR="00E93DAA" w:rsidRPr="003B2FFA" w:rsidRDefault="003B2FFA" w:rsidP="00E93DAA">
      <w:pPr>
        <w:pStyle w:val="NormalBold"/>
      </w:pPr>
      <w:r w:rsidRPr="003B2FFA">
        <w:rPr>
          <w:rStyle w:val="HideTWBExt"/>
          <w:b w:val="0"/>
        </w:rPr>
        <w:t>&lt;Article&gt;</w:t>
      </w:r>
      <w:r w:rsidRPr="003B2FFA">
        <w:t>Artikel 33 – lid 1</w:t>
      </w:r>
      <w:r w:rsidRPr="003B2FF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2FFA" w:rsidRPr="003B2FFA" w:rsidTr="00E93DAA">
        <w:trPr>
          <w:jc w:val="center"/>
        </w:trPr>
        <w:tc>
          <w:tcPr>
            <w:tcW w:w="9752" w:type="dxa"/>
            <w:gridSpan w:val="2"/>
          </w:tcPr>
          <w:p w:rsidR="00E93DAA" w:rsidRPr="003B2FFA" w:rsidRDefault="00E93DAA">
            <w:pPr>
              <w:keepNext/>
            </w:pPr>
          </w:p>
        </w:tc>
      </w:tr>
      <w:tr w:rsidR="003B2FFA" w:rsidRPr="003B2FFA" w:rsidTr="00E93DAA">
        <w:trPr>
          <w:jc w:val="center"/>
        </w:trPr>
        <w:tc>
          <w:tcPr>
            <w:tcW w:w="4876" w:type="dxa"/>
            <w:hideMark/>
          </w:tcPr>
          <w:p w:rsidR="00E93DAA" w:rsidRPr="003B2FFA" w:rsidRDefault="003B2FFA">
            <w:pPr>
              <w:pStyle w:val="ColumnHeading"/>
              <w:keepNext/>
            </w:pPr>
            <w:r w:rsidRPr="003B2FFA">
              <w:t>Door de Commissie voorgestelde tekst</w:t>
            </w:r>
          </w:p>
        </w:tc>
        <w:tc>
          <w:tcPr>
            <w:tcW w:w="4876" w:type="dxa"/>
            <w:hideMark/>
          </w:tcPr>
          <w:p w:rsidR="00E93DAA" w:rsidRPr="003B2FFA" w:rsidRDefault="003B2FFA">
            <w:pPr>
              <w:pStyle w:val="ColumnHeading"/>
              <w:keepNext/>
            </w:pPr>
            <w:r w:rsidRPr="003B2FFA">
              <w:t>Amendement</w:t>
            </w:r>
          </w:p>
        </w:tc>
      </w:tr>
      <w:tr w:rsidR="003B2FFA" w:rsidRPr="003B2FFA" w:rsidTr="00E93DAA">
        <w:trPr>
          <w:jc w:val="center"/>
        </w:trPr>
        <w:tc>
          <w:tcPr>
            <w:tcW w:w="4876" w:type="dxa"/>
            <w:hideMark/>
          </w:tcPr>
          <w:p w:rsidR="00E93DAA" w:rsidRPr="003B2FFA" w:rsidRDefault="003B2FFA">
            <w:pPr>
              <w:pStyle w:val="Normal6"/>
            </w:pPr>
            <w:r w:rsidRPr="003B2FFA">
              <w:t>1.</w:t>
            </w:r>
            <w:r w:rsidRPr="003B2FFA">
              <w:tab/>
              <w:t xml:space="preserve">De Commissie dient uiterlijk op [datum van inwerkingtreding + 3 jaar] bij het Europees Parlement </w:t>
            </w:r>
            <w:r w:rsidRPr="003B2FFA">
              <w:t>en de Raad een verslag in waarin de uitvoering van deze richtlijn wordt beoordeeld.</w:t>
            </w:r>
          </w:p>
        </w:tc>
        <w:tc>
          <w:tcPr>
            <w:tcW w:w="4876" w:type="dxa"/>
            <w:hideMark/>
          </w:tcPr>
          <w:p w:rsidR="00E93DAA" w:rsidRPr="003B2FFA" w:rsidRDefault="003B2FFA" w:rsidP="00710398">
            <w:pPr>
              <w:pStyle w:val="Normal6"/>
              <w:rPr>
                <w:szCs w:val="24"/>
              </w:rPr>
            </w:pPr>
            <w:r w:rsidRPr="003B2FFA">
              <w:t>1.</w:t>
            </w:r>
            <w:r w:rsidRPr="003B2FFA">
              <w:tab/>
              <w:t xml:space="preserve">De Commissie dient uiterlijk op [datum van inwerkingtreding + 3 jaar] bij het Europees Parlement en de Raad een verslag in waarin de uitvoering van deze richtlijn wordt </w:t>
            </w:r>
            <w:r w:rsidRPr="003B2FFA">
              <w:t>beoordeeld.</w:t>
            </w:r>
            <w:r w:rsidRPr="003B2FFA">
              <w:rPr>
                <w:b/>
                <w:i/>
              </w:rPr>
              <w:t xml:space="preserve"> Het verslag bevat een gedetailleerde beoordeling van de mogelijkheid en voordelen van de interconnectie van de centrale registers als bedoeld in artikel 26 via één enkel toegangspunt zodat bureaus voor de ontneming van vermogensbestanddelen rec</w:t>
            </w:r>
            <w:r w:rsidRPr="003B2FFA">
              <w:rPr>
                <w:b/>
                <w:i/>
              </w:rPr>
              <w:t>htstreeks en onmiddellijk de hierin opgenomen gegevens kunnen opzoeken, onder relevante waarborgen.</w:t>
            </w:r>
          </w:p>
        </w:tc>
      </w:tr>
    </w:tbl>
    <w:p w:rsidR="00E93DAA" w:rsidRPr="003B2FFA" w:rsidRDefault="003B2FFA" w:rsidP="00E93DAA">
      <w:pPr>
        <w:pStyle w:val="Olang"/>
      </w:pPr>
      <w:r w:rsidRPr="003B2FFA">
        <w:rPr>
          <w:noProof w:val="0"/>
        </w:rPr>
        <w:t xml:space="preserve">Or. </w:t>
      </w:r>
      <w:r w:rsidRPr="003B2FFA">
        <w:rPr>
          <w:rStyle w:val="HideTWBExt"/>
        </w:rPr>
        <w:t>&lt;Original&gt;</w:t>
      </w:r>
      <w:r w:rsidRPr="003B2FFA">
        <w:rPr>
          <w:rStyle w:val="HideTWBInt"/>
        </w:rPr>
        <w:t>{EN}</w:t>
      </w:r>
      <w:r w:rsidRPr="003B2FFA">
        <w:rPr>
          <w:noProof w:val="0"/>
        </w:rPr>
        <w:t>en</w:t>
      </w:r>
      <w:r w:rsidRPr="003B2FFA">
        <w:rPr>
          <w:rStyle w:val="HideTWBExt"/>
        </w:rPr>
        <w:t>&lt;/Original&gt;</w:t>
      </w:r>
    </w:p>
    <w:p w:rsidR="002669B6" w:rsidRPr="003B2FFA" w:rsidRDefault="003B2FFA" w:rsidP="00AA7DD9">
      <w:r w:rsidRPr="003B2FFA">
        <w:rPr>
          <w:rStyle w:val="HideTWBExt"/>
        </w:rPr>
        <w:t>&lt;/Amend&gt;&lt;/RepeatBlock-Amend&gt;</w:t>
      </w:r>
    </w:p>
    <w:sectPr w:rsidR="002669B6" w:rsidRPr="003B2FFA" w:rsidSect="004957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957B7" w:rsidRDefault="003B2FFA">
      <w:r w:rsidRPr="004957B7">
        <w:separator/>
      </w:r>
    </w:p>
  </w:endnote>
  <w:endnote w:type="continuationSeparator" w:id="0">
    <w:p w:rsidR="00000000" w:rsidRPr="004957B7" w:rsidRDefault="003B2FFA">
      <w:r w:rsidRPr="004957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7B7" w:rsidRPr="004957B7" w:rsidRDefault="004957B7" w:rsidP="004957B7">
    <w:pPr>
      <w:pStyle w:val="EPFooter"/>
    </w:pPr>
    <w:r w:rsidRPr="004957B7">
      <w:t>PE</w:t>
    </w:r>
    <w:r w:rsidRPr="003B2FFA">
      <w:rPr>
        <w:rStyle w:val="HideTWBExt"/>
      </w:rPr>
      <w:t>&lt;NoPE&gt;</w:t>
    </w:r>
    <w:r w:rsidRPr="004957B7">
      <w:t>742.501</w:t>
    </w:r>
    <w:r w:rsidRPr="003B2FFA">
      <w:rPr>
        <w:rStyle w:val="HideTWBExt"/>
      </w:rPr>
      <w:t>&lt;/NoPE&gt;&lt;Version&gt;</w:t>
    </w:r>
    <w:r w:rsidRPr="004957B7">
      <w:t>v01-00</w:t>
    </w:r>
    <w:r w:rsidRPr="003B2FFA">
      <w:rPr>
        <w:rStyle w:val="HideTWBExt"/>
      </w:rPr>
      <w:t>&lt;/Version&gt;</w:t>
    </w:r>
    <w:r w:rsidRPr="004957B7">
      <w:tab/>
    </w:r>
    <w:r w:rsidRPr="004957B7">
      <w:fldChar w:fldCharType="begin"/>
    </w:r>
    <w:r w:rsidRPr="004957B7">
      <w:instrText xml:space="preserve"> PAGE  \* MERGEFORMAT </w:instrText>
    </w:r>
    <w:r w:rsidRPr="004957B7">
      <w:fldChar w:fldCharType="separate"/>
    </w:r>
    <w:r w:rsidR="003B2FFA">
      <w:rPr>
        <w:noProof/>
      </w:rPr>
      <w:t>2</w:t>
    </w:r>
    <w:r w:rsidRPr="004957B7">
      <w:fldChar w:fldCharType="end"/>
    </w:r>
    <w:r w:rsidRPr="004957B7">
      <w:t>/</w:t>
    </w:r>
    <w:fldSimple w:instr=" NUMPAGES  \* MERGEFORMAT ">
      <w:r w:rsidR="003B2FFA">
        <w:rPr>
          <w:noProof/>
        </w:rPr>
        <w:t>53</w:t>
      </w:r>
    </w:fldSimple>
    <w:r w:rsidRPr="004957B7">
      <w:tab/>
    </w:r>
    <w:r w:rsidRPr="003B2FFA">
      <w:rPr>
        <w:rStyle w:val="HideTWBExt"/>
      </w:rPr>
      <w:t>&lt;PathFdR&gt;</w:t>
    </w:r>
    <w:r w:rsidRPr="004957B7">
      <w:t>PR\1272739NL.docx</w:t>
    </w:r>
    <w:r w:rsidRPr="003B2FFA">
      <w:rPr>
        <w:rStyle w:val="HideTWBExt"/>
      </w:rPr>
      <w:t>&lt;/PathFdR&gt;</w:t>
    </w:r>
  </w:p>
  <w:p w:rsidR="00A80126" w:rsidRPr="004957B7" w:rsidRDefault="004957B7" w:rsidP="004957B7">
    <w:pPr>
      <w:pStyle w:val="EPFooter2"/>
    </w:pPr>
    <w:r w:rsidRPr="004957B7">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7B7" w:rsidRPr="004957B7" w:rsidRDefault="004957B7" w:rsidP="004957B7">
    <w:pPr>
      <w:pStyle w:val="EPFooter"/>
    </w:pPr>
    <w:r w:rsidRPr="003B2FFA">
      <w:rPr>
        <w:rStyle w:val="HideTWBExt"/>
      </w:rPr>
      <w:t>&lt;PathFdR&gt;</w:t>
    </w:r>
    <w:r w:rsidRPr="004957B7">
      <w:t>PR\1272739NL.docx</w:t>
    </w:r>
    <w:r w:rsidRPr="003B2FFA">
      <w:rPr>
        <w:rStyle w:val="HideTWBExt"/>
      </w:rPr>
      <w:t>&lt;/PathFdR&gt;</w:t>
    </w:r>
    <w:r w:rsidRPr="004957B7">
      <w:tab/>
    </w:r>
    <w:r w:rsidRPr="004957B7">
      <w:fldChar w:fldCharType="begin"/>
    </w:r>
    <w:r w:rsidRPr="004957B7">
      <w:instrText xml:space="preserve"> PAGE  \* MERGEFORMAT </w:instrText>
    </w:r>
    <w:r w:rsidRPr="004957B7">
      <w:fldChar w:fldCharType="separate"/>
    </w:r>
    <w:r w:rsidR="003B2FFA">
      <w:rPr>
        <w:noProof/>
      </w:rPr>
      <w:t>53</w:t>
    </w:r>
    <w:r w:rsidRPr="004957B7">
      <w:fldChar w:fldCharType="end"/>
    </w:r>
    <w:r w:rsidRPr="004957B7">
      <w:t>/</w:t>
    </w:r>
    <w:fldSimple w:instr=" NUMPAGES  \* MERGEFORMAT ">
      <w:r w:rsidR="003B2FFA">
        <w:rPr>
          <w:noProof/>
        </w:rPr>
        <w:t>53</w:t>
      </w:r>
    </w:fldSimple>
    <w:r w:rsidRPr="004957B7">
      <w:tab/>
      <w:t>PE</w:t>
    </w:r>
    <w:r w:rsidRPr="003B2FFA">
      <w:rPr>
        <w:rStyle w:val="HideTWBExt"/>
      </w:rPr>
      <w:t>&lt;NoPE&gt;</w:t>
    </w:r>
    <w:r w:rsidRPr="004957B7">
      <w:t>742.501</w:t>
    </w:r>
    <w:r w:rsidRPr="003B2FFA">
      <w:rPr>
        <w:rStyle w:val="HideTWBExt"/>
      </w:rPr>
      <w:t>&lt;/NoPE&gt;&lt;Version&gt;</w:t>
    </w:r>
    <w:r w:rsidRPr="004957B7">
      <w:t>v01-00</w:t>
    </w:r>
    <w:r w:rsidRPr="003B2FFA">
      <w:rPr>
        <w:rStyle w:val="HideTWBExt"/>
      </w:rPr>
      <w:t>&lt;/Version&gt;</w:t>
    </w:r>
  </w:p>
  <w:p w:rsidR="00A80126" w:rsidRPr="004957B7" w:rsidRDefault="004957B7" w:rsidP="004957B7">
    <w:pPr>
      <w:pStyle w:val="EPFooter2"/>
    </w:pPr>
    <w:r w:rsidRPr="004957B7">
      <w:tab/>
    </w:r>
    <w:r w:rsidRPr="004957B7">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7B7" w:rsidRPr="004957B7" w:rsidRDefault="004957B7" w:rsidP="004957B7">
    <w:pPr>
      <w:pStyle w:val="EPFooter"/>
    </w:pPr>
    <w:r w:rsidRPr="003B2FFA">
      <w:rPr>
        <w:rStyle w:val="HideTWBExt"/>
      </w:rPr>
      <w:t>&lt;PathFdR&gt;</w:t>
    </w:r>
    <w:r w:rsidRPr="004957B7">
      <w:t>PR\1272739NL.docx</w:t>
    </w:r>
    <w:r w:rsidRPr="003B2FFA">
      <w:rPr>
        <w:rStyle w:val="HideTWBExt"/>
      </w:rPr>
      <w:t>&lt;/PathFdR&gt;</w:t>
    </w:r>
    <w:r w:rsidRPr="004957B7">
      <w:tab/>
    </w:r>
    <w:r w:rsidRPr="004957B7">
      <w:tab/>
      <w:t>PE</w:t>
    </w:r>
    <w:r w:rsidRPr="003B2FFA">
      <w:rPr>
        <w:rStyle w:val="HideTWBExt"/>
      </w:rPr>
      <w:t>&lt;NoPE&gt;</w:t>
    </w:r>
    <w:r w:rsidRPr="004957B7">
      <w:t>742.501</w:t>
    </w:r>
    <w:r w:rsidRPr="003B2FFA">
      <w:rPr>
        <w:rStyle w:val="HideTWBExt"/>
      </w:rPr>
      <w:t>&lt;/NoPE&gt;&lt;Version&gt;</w:t>
    </w:r>
    <w:r w:rsidRPr="004957B7">
      <w:t>v01-00</w:t>
    </w:r>
    <w:r w:rsidRPr="003B2FFA">
      <w:rPr>
        <w:rStyle w:val="HideTWBExt"/>
      </w:rPr>
      <w:t>&lt;/Version&gt;</w:t>
    </w:r>
  </w:p>
  <w:p w:rsidR="00A80126" w:rsidRPr="004957B7" w:rsidRDefault="004957B7" w:rsidP="004957B7">
    <w:pPr>
      <w:pStyle w:val="EPFooter2"/>
    </w:pPr>
    <w:r w:rsidRPr="004957B7">
      <w:t>NL</w:t>
    </w:r>
    <w:r w:rsidRPr="004957B7">
      <w:tab/>
    </w:r>
    <w:r w:rsidRPr="004957B7">
      <w:rPr>
        <w:b w:val="0"/>
        <w:i/>
        <w:color w:val="C0C0C0"/>
        <w:sz w:val="22"/>
      </w:rPr>
      <w:t>In verscheidenheid verenigd</w:t>
    </w:r>
    <w:r w:rsidRPr="004957B7">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126" w:rsidRPr="004957B7" w:rsidRDefault="003B2FFA">
      <w:r w:rsidRPr="004957B7">
        <w:separator/>
      </w:r>
    </w:p>
  </w:footnote>
  <w:footnote w:type="continuationSeparator" w:id="0">
    <w:p w:rsidR="00A80126" w:rsidRPr="004957B7" w:rsidRDefault="003B2FFA">
      <w:r w:rsidRPr="004957B7">
        <w:continuationSeparator/>
      </w:r>
    </w:p>
  </w:footnote>
  <w:footnote w:id="1">
    <w:p w:rsidR="00A80126" w:rsidRPr="004957B7" w:rsidRDefault="003B2FFA">
      <w:pPr>
        <w:pStyle w:val="FootnoteText"/>
      </w:pPr>
      <w:r w:rsidRPr="004957B7">
        <w:rPr>
          <w:rStyle w:val="FootnoteReference"/>
        </w:rPr>
        <w:footnoteRef/>
      </w:r>
      <w:r w:rsidRPr="004957B7">
        <w:t xml:space="preserve"> Nog niet bekendgemaakt in het Publicatieblad.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FFA" w:rsidRDefault="003B2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FFA" w:rsidRDefault="003B2F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2FFA" w:rsidRDefault="003B2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80"/>
    <w:docVar w:name="DOCMNU" w:val=" 2"/>
    <w:docVar w:name="EPSTATMNU" w:val=" 5"/>
    <w:docVar w:name="iNoAmend" w:val="41"/>
    <w:docVar w:name="INSTITUTIONSMNU" w:val=" 2"/>
    <w:docVar w:name="JURI1MNU" w:val=" 2"/>
    <w:docVar w:name="JURI2MNU" w:val=" 2"/>
    <w:docVar w:name="LastEditedSection" w:val=" 1"/>
    <w:docVar w:name="OTHERSTATMNU" w:val=" 4"/>
    <w:docVar w:name="PARLIAMENTSMNU" w:val=" 2"/>
    <w:docVar w:name="RECONSULTMNU"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2"/>
    <w:docVar w:name="TXTAUTHOR" w:val="Loránt Vincze"/>
    <w:docVar w:name="TXTLANGUE" w:val="EN"/>
    <w:docVar w:name="TXTLANGUEMIN" w:val="en"/>
    <w:docVar w:name="TXTNRC" w:val="0186/2022"/>
    <w:docVar w:name="TXTNRCOD" w:val="2022/0167"/>
    <w:docVar w:name="TXTNRCOM" w:val="(2022)0245"/>
    <w:docVar w:name="TXTNRFIRSTAM" w:val="1"/>
    <w:docVar w:name="TXTNRLASTAM" w:val="75"/>
    <w:docVar w:name="TXTNRPE" w:val="742.501"/>
    <w:docVar w:name="TXTPEorAP" w:val="PE"/>
    <w:docVar w:name="TXTROUTE" w:val="PR\1272739EN.docx"/>
    <w:docVar w:name="TXTTITLE" w:val="on asset recovery and confiscation"/>
    <w:docVar w:name="TXTVERSION" w:val="01-00"/>
  </w:docVars>
  <w:rsids>
    <w:rsidRoot w:val="004A238F"/>
    <w:rsid w:val="00011AAB"/>
    <w:rsid w:val="00012351"/>
    <w:rsid w:val="000139E5"/>
    <w:rsid w:val="00020F8C"/>
    <w:rsid w:val="00076C5B"/>
    <w:rsid w:val="00084DD2"/>
    <w:rsid w:val="00084E89"/>
    <w:rsid w:val="000B7489"/>
    <w:rsid w:val="000F1096"/>
    <w:rsid w:val="00120948"/>
    <w:rsid w:val="00123DD5"/>
    <w:rsid w:val="001277AE"/>
    <w:rsid w:val="00137BF6"/>
    <w:rsid w:val="00142215"/>
    <w:rsid w:val="001767E2"/>
    <w:rsid w:val="00187008"/>
    <w:rsid w:val="001A45B0"/>
    <w:rsid w:val="001B3829"/>
    <w:rsid w:val="001C5592"/>
    <w:rsid w:val="001C5B44"/>
    <w:rsid w:val="001C6953"/>
    <w:rsid w:val="001C6FFC"/>
    <w:rsid w:val="001F7C7C"/>
    <w:rsid w:val="00212B84"/>
    <w:rsid w:val="00221B12"/>
    <w:rsid w:val="002346B0"/>
    <w:rsid w:val="00246662"/>
    <w:rsid w:val="002667C3"/>
    <w:rsid w:val="002669B6"/>
    <w:rsid w:val="00285C4F"/>
    <w:rsid w:val="00290BED"/>
    <w:rsid w:val="002C7529"/>
    <w:rsid w:val="002D13EE"/>
    <w:rsid w:val="002E33EE"/>
    <w:rsid w:val="002F40BB"/>
    <w:rsid w:val="002F4B02"/>
    <w:rsid w:val="00323EF8"/>
    <w:rsid w:val="00327209"/>
    <w:rsid w:val="003316DD"/>
    <w:rsid w:val="00366A46"/>
    <w:rsid w:val="00370AC3"/>
    <w:rsid w:val="00374985"/>
    <w:rsid w:val="003824EE"/>
    <w:rsid w:val="003A416B"/>
    <w:rsid w:val="003B2FFA"/>
    <w:rsid w:val="003B4689"/>
    <w:rsid w:val="003C2068"/>
    <w:rsid w:val="003C37CF"/>
    <w:rsid w:val="003C7B06"/>
    <w:rsid w:val="003D2F76"/>
    <w:rsid w:val="003F053B"/>
    <w:rsid w:val="004100B1"/>
    <w:rsid w:val="00426E47"/>
    <w:rsid w:val="00444C84"/>
    <w:rsid w:val="0044796B"/>
    <w:rsid w:val="00455743"/>
    <w:rsid w:val="00461601"/>
    <w:rsid w:val="004743F7"/>
    <w:rsid w:val="004957B7"/>
    <w:rsid w:val="004A238F"/>
    <w:rsid w:val="004A6AD3"/>
    <w:rsid w:val="004B3EB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C3343"/>
    <w:rsid w:val="005D1A99"/>
    <w:rsid w:val="005D7609"/>
    <w:rsid w:val="005D7EE8"/>
    <w:rsid w:val="00642325"/>
    <w:rsid w:val="00691BC0"/>
    <w:rsid w:val="006A2F5D"/>
    <w:rsid w:val="006B279A"/>
    <w:rsid w:val="006B5A26"/>
    <w:rsid w:val="006F0AE8"/>
    <w:rsid w:val="006F7907"/>
    <w:rsid w:val="00710398"/>
    <w:rsid w:val="00725A72"/>
    <w:rsid w:val="00743189"/>
    <w:rsid w:val="00743D33"/>
    <w:rsid w:val="00744968"/>
    <w:rsid w:val="007471C7"/>
    <w:rsid w:val="007572B9"/>
    <w:rsid w:val="007932B3"/>
    <w:rsid w:val="00793EA9"/>
    <w:rsid w:val="007C5D7C"/>
    <w:rsid w:val="007D6F68"/>
    <w:rsid w:val="007F04E7"/>
    <w:rsid w:val="00823E6B"/>
    <w:rsid w:val="00826780"/>
    <w:rsid w:val="00837CCD"/>
    <w:rsid w:val="008633CC"/>
    <w:rsid w:val="00865190"/>
    <w:rsid w:val="008719B9"/>
    <w:rsid w:val="0089201D"/>
    <w:rsid w:val="00894ECE"/>
    <w:rsid w:val="00896BB4"/>
    <w:rsid w:val="008A7FB8"/>
    <w:rsid w:val="008B6E81"/>
    <w:rsid w:val="009022B8"/>
    <w:rsid w:val="00914537"/>
    <w:rsid w:val="00917CC4"/>
    <w:rsid w:val="00933DE1"/>
    <w:rsid w:val="00955BC0"/>
    <w:rsid w:val="009763DA"/>
    <w:rsid w:val="009975B3"/>
    <w:rsid w:val="009A216D"/>
    <w:rsid w:val="009B4B93"/>
    <w:rsid w:val="009B72ED"/>
    <w:rsid w:val="009F24BE"/>
    <w:rsid w:val="009F6C2F"/>
    <w:rsid w:val="009F767A"/>
    <w:rsid w:val="00A10B91"/>
    <w:rsid w:val="00A150B6"/>
    <w:rsid w:val="00A22533"/>
    <w:rsid w:val="00A26F46"/>
    <w:rsid w:val="00A34FD3"/>
    <w:rsid w:val="00A36929"/>
    <w:rsid w:val="00A50548"/>
    <w:rsid w:val="00A60EE7"/>
    <w:rsid w:val="00A80126"/>
    <w:rsid w:val="00A910C9"/>
    <w:rsid w:val="00AA35B0"/>
    <w:rsid w:val="00AA7DD9"/>
    <w:rsid w:val="00AD18C8"/>
    <w:rsid w:val="00AD7FA6"/>
    <w:rsid w:val="00AE2C61"/>
    <w:rsid w:val="00AE4643"/>
    <w:rsid w:val="00AF0416"/>
    <w:rsid w:val="00B10CB4"/>
    <w:rsid w:val="00B13D6F"/>
    <w:rsid w:val="00B23B72"/>
    <w:rsid w:val="00B42702"/>
    <w:rsid w:val="00B57B8B"/>
    <w:rsid w:val="00B85407"/>
    <w:rsid w:val="00B95702"/>
    <w:rsid w:val="00BC55BB"/>
    <w:rsid w:val="00BC6489"/>
    <w:rsid w:val="00BD480C"/>
    <w:rsid w:val="00C20954"/>
    <w:rsid w:val="00C23324"/>
    <w:rsid w:val="00C42A41"/>
    <w:rsid w:val="00C45955"/>
    <w:rsid w:val="00C47A9B"/>
    <w:rsid w:val="00C47E74"/>
    <w:rsid w:val="00C57A72"/>
    <w:rsid w:val="00C73602"/>
    <w:rsid w:val="00C81776"/>
    <w:rsid w:val="00C84AEC"/>
    <w:rsid w:val="00CB6E07"/>
    <w:rsid w:val="00CE6EC8"/>
    <w:rsid w:val="00CF60C8"/>
    <w:rsid w:val="00D05292"/>
    <w:rsid w:val="00D30DE2"/>
    <w:rsid w:val="00D32924"/>
    <w:rsid w:val="00D503A3"/>
    <w:rsid w:val="00D75F9F"/>
    <w:rsid w:val="00DA6ED0"/>
    <w:rsid w:val="00DC5011"/>
    <w:rsid w:val="00DC5418"/>
    <w:rsid w:val="00DE0B5C"/>
    <w:rsid w:val="00E171B6"/>
    <w:rsid w:val="00E72695"/>
    <w:rsid w:val="00E93DAA"/>
    <w:rsid w:val="00EB0BB9"/>
    <w:rsid w:val="00EB1753"/>
    <w:rsid w:val="00EB525F"/>
    <w:rsid w:val="00EB6CFF"/>
    <w:rsid w:val="00ED3E81"/>
    <w:rsid w:val="00EE3996"/>
    <w:rsid w:val="00F07062"/>
    <w:rsid w:val="00F23CFC"/>
    <w:rsid w:val="00F433E2"/>
    <w:rsid w:val="00F76F19"/>
    <w:rsid w:val="00F81398"/>
    <w:rsid w:val="00F904AE"/>
    <w:rsid w:val="00F934F8"/>
    <w:rsid w:val="00FB52FE"/>
    <w:rsid w:val="00FC0A34"/>
    <w:rsid w:val="00FD1DEF"/>
    <w:rsid w:val="00FD34E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9E5C56-EC32-4F2B-B83E-83FE9541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6B5A26"/>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B5A26"/>
    <w:pPr>
      <w:tabs>
        <w:tab w:val="right" w:pos="454"/>
        <w:tab w:val="left" w:pos="737"/>
      </w:tabs>
      <w:ind w:left="737" w:hanging="737"/>
    </w:pPr>
    <w:rPr>
      <w:snapToGrid w:val="0"/>
      <w:sz w:val="18"/>
      <w:lang w:eastAsia="en-US"/>
    </w:rPr>
  </w:style>
  <w:style w:type="paragraph" w:customStyle="1" w:styleId="Lgendetitre">
    <w:name w:val="Légende titre"/>
    <w:basedOn w:val="Normal"/>
    <w:rsid w:val="006B5A26"/>
    <w:pPr>
      <w:spacing w:before="240" w:after="240"/>
    </w:pPr>
    <w:rPr>
      <w:b/>
      <w:i/>
      <w:snapToGrid w:val="0"/>
      <w:lang w:eastAsia="en-US"/>
    </w:rPr>
  </w:style>
  <w:style w:type="paragraph" w:customStyle="1" w:styleId="Lgendestandard">
    <w:name w:val="Légende standard"/>
    <w:basedOn w:val="Normal"/>
    <w:rsid w:val="006B5A26"/>
    <w:rPr>
      <w:sz w:val="18"/>
    </w:rPr>
  </w:style>
  <w:style w:type="character" w:customStyle="1" w:styleId="FooterChar">
    <w:name w:val="Footer Char"/>
    <w:basedOn w:val="DefaultParagraphFont"/>
    <w:link w:val="Footer"/>
    <w:semiHidden/>
    <w:rsid w:val="006B5A26"/>
    <w:rPr>
      <w:sz w:val="22"/>
    </w:rPr>
  </w:style>
  <w:style w:type="paragraph" w:styleId="Footer">
    <w:name w:val="footer"/>
    <w:link w:val="FooterChar"/>
    <w:semiHidden/>
    <w:unhideWhenUsed/>
    <w:rsid w:val="006B5A26"/>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6B5A26"/>
    <w:rPr>
      <w:noProof/>
      <w:sz w:val="24"/>
    </w:rPr>
  </w:style>
  <w:style w:type="paragraph" w:customStyle="1" w:styleId="Normal12">
    <w:name w:val="Normal12"/>
    <w:basedOn w:val="Normal"/>
    <w:link w:val="Normal12Char"/>
    <w:rsid w:val="006B5A26"/>
    <w:pPr>
      <w:spacing w:after="240"/>
    </w:pPr>
    <w:rPr>
      <w:noProof/>
    </w:rPr>
  </w:style>
  <w:style w:type="character" w:customStyle="1" w:styleId="Normal6Char">
    <w:name w:val="Normal6 Char"/>
    <w:basedOn w:val="DefaultParagraphFont"/>
    <w:link w:val="Normal6"/>
    <w:locked/>
    <w:rsid w:val="006B5A26"/>
    <w:rPr>
      <w:sz w:val="24"/>
      <w:lang w:val="nl-NL"/>
    </w:rPr>
  </w:style>
  <w:style w:type="paragraph" w:customStyle="1" w:styleId="Normal6">
    <w:name w:val="Normal6"/>
    <w:basedOn w:val="Normal"/>
    <w:link w:val="Normal6Char"/>
    <w:rsid w:val="006B5A26"/>
    <w:pPr>
      <w:spacing w:after="120"/>
    </w:pPr>
  </w:style>
  <w:style w:type="paragraph" w:customStyle="1" w:styleId="Normal12Italic">
    <w:name w:val="Normal12Italic"/>
    <w:basedOn w:val="Normal12"/>
    <w:rsid w:val="006B5A26"/>
    <w:rPr>
      <w:i/>
    </w:rPr>
  </w:style>
  <w:style w:type="paragraph" w:customStyle="1" w:styleId="Footer2">
    <w:name w:val="Footer2"/>
    <w:basedOn w:val="Normal12"/>
    <w:rsid w:val="006B5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6B5A26"/>
    <w:pPr>
      <w:jc w:val="center"/>
    </w:pPr>
    <w:rPr>
      <w:noProof w:val="0"/>
      <w:sz w:val="56"/>
    </w:rPr>
  </w:style>
  <w:style w:type="paragraph" w:customStyle="1" w:styleId="AMNumberTabs0">
    <w:name w:val="AMNumberTabs"/>
    <w:basedOn w:val="Normal"/>
    <w:rsid w:val="006B5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B5A26"/>
    <w:pPr>
      <w:spacing w:after="240"/>
      <w:jc w:val="center"/>
    </w:pPr>
    <w:rPr>
      <w:i/>
    </w:rPr>
  </w:style>
  <w:style w:type="paragraph" w:customStyle="1" w:styleId="Olang">
    <w:name w:val="Olang"/>
    <w:basedOn w:val="Normal"/>
    <w:rsid w:val="006B5A26"/>
    <w:pPr>
      <w:spacing w:before="240" w:after="240"/>
      <w:jc w:val="right"/>
    </w:pPr>
    <w:rPr>
      <w:noProof/>
      <w:szCs w:val="24"/>
    </w:rPr>
  </w:style>
  <w:style w:type="character" w:styleId="CommentReference">
    <w:name w:val="annotation reference"/>
    <w:basedOn w:val="DefaultParagraphFont"/>
    <w:rsid w:val="00137BF6"/>
    <w:rPr>
      <w:sz w:val="16"/>
      <w:szCs w:val="16"/>
    </w:rPr>
  </w:style>
  <w:style w:type="paragraph" w:styleId="CommentText">
    <w:name w:val="annotation text"/>
    <w:basedOn w:val="Normal"/>
    <w:link w:val="CommentTextChar"/>
    <w:rsid w:val="00137BF6"/>
    <w:rPr>
      <w:sz w:val="20"/>
    </w:rPr>
  </w:style>
  <w:style w:type="character" w:customStyle="1" w:styleId="CommentTextChar">
    <w:name w:val="Comment Text Char"/>
    <w:basedOn w:val="DefaultParagraphFont"/>
    <w:link w:val="CommentText"/>
    <w:rsid w:val="00137BF6"/>
  </w:style>
  <w:style w:type="paragraph" w:styleId="CommentSubject">
    <w:name w:val="annotation subject"/>
    <w:basedOn w:val="CommentText"/>
    <w:next w:val="CommentText"/>
    <w:link w:val="CommentSubjectChar"/>
    <w:semiHidden/>
    <w:unhideWhenUsed/>
    <w:rsid w:val="00137BF6"/>
    <w:rPr>
      <w:b/>
      <w:bCs/>
    </w:rPr>
  </w:style>
  <w:style w:type="character" w:customStyle="1" w:styleId="CommentSubjectChar">
    <w:name w:val="Comment Subject Char"/>
    <w:basedOn w:val="CommentTextChar"/>
    <w:link w:val="CommentSubject"/>
    <w:semiHidden/>
    <w:rsid w:val="00137BF6"/>
    <w:rPr>
      <w:b/>
      <w:bCs/>
    </w:rPr>
  </w:style>
  <w:style w:type="paragraph" w:styleId="BalloonText">
    <w:name w:val="Balloon Text"/>
    <w:basedOn w:val="Normal"/>
    <w:link w:val="BalloonTextChar"/>
    <w:semiHidden/>
    <w:unhideWhenUsed/>
    <w:rsid w:val="00137BF6"/>
    <w:rPr>
      <w:rFonts w:ascii="Segoe UI" w:hAnsi="Segoe UI" w:cs="Segoe UI"/>
      <w:sz w:val="18"/>
      <w:szCs w:val="18"/>
    </w:rPr>
  </w:style>
  <w:style w:type="character" w:customStyle="1" w:styleId="BalloonTextChar">
    <w:name w:val="Balloon Text Char"/>
    <w:basedOn w:val="DefaultParagraphFont"/>
    <w:link w:val="BalloonText"/>
    <w:semiHidden/>
    <w:rsid w:val="00137BF6"/>
    <w:rPr>
      <w:rFonts w:ascii="Segoe UI" w:hAnsi="Segoe UI" w:cs="Segoe UI"/>
      <w:sz w:val="18"/>
      <w:szCs w:val="18"/>
    </w:rPr>
  </w:style>
  <w:style w:type="paragraph" w:customStyle="1" w:styleId="msonormal0">
    <w:name w:val="msonormal"/>
    <w:basedOn w:val="Normal"/>
    <w:rsid w:val="00E93DAA"/>
    <w:pPr>
      <w:widowControl/>
      <w:spacing w:before="100" w:beforeAutospacing="1" w:after="100" w:afterAutospacing="1"/>
    </w:pPr>
    <w:rPr>
      <w:szCs w:val="24"/>
    </w:rPr>
  </w:style>
  <w:style w:type="paragraph" w:customStyle="1" w:styleId="CommitteeAM">
    <w:name w:val="CommitteeAM"/>
    <w:basedOn w:val="Normal"/>
    <w:rsid w:val="00E93DAA"/>
    <w:pPr>
      <w:spacing w:before="240" w:after="600"/>
      <w:jc w:val="center"/>
    </w:pPr>
    <w:rPr>
      <w:i/>
    </w:rPr>
  </w:style>
  <w:style w:type="paragraph" w:customStyle="1" w:styleId="ZDateAM">
    <w:name w:val="ZDateAM"/>
    <w:basedOn w:val="Normal"/>
    <w:rsid w:val="00E93DAA"/>
    <w:pPr>
      <w:tabs>
        <w:tab w:val="right" w:pos="9356"/>
      </w:tabs>
      <w:spacing w:after="480"/>
    </w:pPr>
    <w:rPr>
      <w:noProof/>
    </w:rPr>
  </w:style>
  <w:style w:type="paragraph" w:customStyle="1" w:styleId="ProjRap">
    <w:name w:val="ProjRap"/>
    <w:basedOn w:val="Normal"/>
    <w:rsid w:val="00E93DAA"/>
    <w:pPr>
      <w:tabs>
        <w:tab w:val="right" w:pos="9356"/>
      </w:tabs>
    </w:pPr>
    <w:rPr>
      <w:b/>
      <w:noProof/>
    </w:rPr>
  </w:style>
  <w:style w:type="paragraph" w:customStyle="1" w:styleId="PELeft">
    <w:name w:val="PELeft"/>
    <w:basedOn w:val="Normal"/>
    <w:rsid w:val="00E93DAA"/>
    <w:pPr>
      <w:spacing w:before="40" w:after="40"/>
    </w:pPr>
    <w:rPr>
      <w:rFonts w:ascii="Arial" w:hAnsi="Arial" w:cs="Arial"/>
      <w:sz w:val="22"/>
      <w:szCs w:val="22"/>
    </w:rPr>
  </w:style>
  <w:style w:type="paragraph" w:customStyle="1" w:styleId="PERight">
    <w:name w:val="PERight"/>
    <w:basedOn w:val="Normal"/>
    <w:next w:val="Normal"/>
    <w:rsid w:val="00E93DAA"/>
    <w:pPr>
      <w:jc w:val="right"/>
    </w:pPr>
    <w:rPr>
      <w:rFonts w:ascii="Arial" w:hAnsi="Arial" w:cs="Arial"/>
      <w:sz w:val="22"/>
      <w:szCs w:val="22"/>
    </w:rPr>
  </w:style>
  <w:style w:type="paragraph" w:customStyle="1" w:styleId="JustificationTitle">
    <w:name w:val="JustificationTitle"/>
    <w:basedOn w:val="Normal"/>
    <w:next w:val="Normal12"/>
    <w:rsid w:val="00E93DAA"/>
    <w:pPr>
      <w:keepNext/>
      <w:spacing w:before="240" w:after="240"/>
      <w:jc w:val="center"/>
    </w:pPr>
    <w:rPr>
      <w:i/>
      <w:noProof/>
    </w:rPr>
  </w:style>
  <w:style w:type="paragraph" w:customStyle="1" w:styleId="CrossRef">
    <w:name w:val="CrossRef"/>
    <w:basedOn w:val="Normal"/>
    <w:rsid w:val="00E93DAA"/>
    <w:pPr>
      <w:spacing w:before="240"/>
      <w:jc w:val="center"/>
    </w:pPr>
    <w:rPr>
      <w:i/>
    </w:rPr>
  </w:style>
  <w:style w:type="character" w:customStyle="1" w:styleId="Footer2Middle">
    <w:name w:val="Footer2Middle"/>
    <w:rsid w:val="00E93DAA"/>
    <w:rPr>
      <w:rFonts w:ascii="Arial" w:hAnsi="Arial" w:cs="Arial" w:hint="default"/>
      <w:b w:val="0"/>
      <w:bCs w:val="0"/>
      <w:i/>
      <w:iCs w:val="0"/>
      <w:color w:val="C0C0C0"/>
      <w:sz w:val="22"/>
    </w:rPr>
  </w:style>
  <w:style w:type="character" w:styleId="Emphasis">
    <w:name w:val="Emphasis"/>
    <w:basedOn w:val="DefaultParagraphFont"/>
    <w:uiPriority w:val="20"/>
    <w:qFormat/>
    <w:rsid w:val="00DC5418"/>
    <w:rPr>
      <w:i/>
      <w:iCs/>
    </w:rPr>
  </w:style>
  <w:style w:type="character" w:styleId="Hyperlink">
    <w:name w:val="Hyperlink"/>
    <w:basedOn w:val="DefaultParagraphFont"/>
    <w:rsid w:val="004A6AD3"/>
    <w:rPr>
      <w:color w:val="0563C1" w:themeColor="hyperlink"/>
      <w:u w:val="single"/>
    </w:rPr>
  </w:style>
  <w:style w:type="paragraph" w:styleId="FootnoteText">
    <w:name w:val="footnote text"/>
    <w:basedOn w:val="Normal"/>
    <w:link w:val="FootnoteTextChar"/>
    <w:rsid w:val="00EB0BB9"/>
    <w:rPr>
      <w:sz w:val="20"/>
    </w:rPr>
  </w:style>
  <w:style w:type="character" w:customStyle="1" w:styleId="FootnoteTextChar">
    <w:name w:val="Footnote Text Char"/>
    <w:basedOn w:val="DefaultParagraphFont"/>
    <w:link w:val="FootnoteText"/>
    <w:rsid w:val="00EB0BB9"/>
  </w:style>
  <w:style w:type="character" w:styleId="FootnoteReference">
    <w:name w:val="footnote reference"/>
    <w:basedOn w:val="DefaultParagraphFont"/>
    <w:rsid w:val="00EB0B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01842-0EC1-42EB-B303-454E39C8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13671</Words>
  <Characters>82301</Characters>
  <Application>Microsoft Office Word</Application>
  <DocSecurity>0</DocSecurity>
  <Lines>3165</Lines>
  <Paragraphs>864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ARRIBAS Sophie</dc:creator>
  <cp:lastModifiedBy>VAN DEN BERGH Petra</cp:lastModifiedBy>
  <cp:revision>2</cp:revision>
  <cp:lastPrinted>2004-11-04T09:41:00Z</cp:lastPrinted>
  <dcterms:created xsi:type="dcterms:W3CDTF">2023-02-27T12:57:00Z</dcterms:created>
  <dcterms:modified xsi:type="dcterms:W3CDTF">2023-02-27T12:57:00Z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1272739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9.14.1 Build [20230101]</vt:lpwstr>
  </property>
  <property fmtid="{D5CDD505-2E9C-101B-9397-08002B2CF9AE}" pid="9" name="FooterPath">
    <vt:lpwstr>PR\1272739NL.docx</vt:lpwstr>
  </property>
  <property fmtid="{D5CDD505-2E9C-101B-9397-08002B2CF9AE}" pid="10" name="LastEdited with">
    <vt:lpwstr>9.14.1 Build [20230101]</vt:lpwstr>
  </property>
  <property fmtid="{D5CDD505-2E9C-101B-9397-08002B2CF9AE}" pid="11" name="PE number">
    <vt:lpwstr>742.501</vt:lpwstr>
  </property>
  <property fmtid="{D5CDD505-2E9C-101B-9397-08002B2CF9AE}" pid="12" name="SendToEpades">
    <vt:lpwstr>OK - 2023/02/14 17:57</vt:lpwstr>
  </property>
  <property fmtid="{D5CDD505-2E9C-101B-9397-08002B2CF9AE}" pid="13" name="SDLStudio">
    <vt:lpwstr/>
  </property>
  <property fmtid="{D5CDD505-2E9C-101B-9397-08002B2CF9AE}" pid="14" name="Bookout">
    <vt:lpwstr>OK - 2023/02/27 13:57</vt:lpwstr>
  </property>
</Properties>
</file>