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B1A16" w:rsidTr="00C85D0F">
        <w:trPr>
          <w:trHeight w:hRule="exact" w:val="1418"/>
        </w:trPr>
        <w:tc>
          <w:tcPr>
            <w:tcW w:w="6804" w:type="dxa"/>
            <w:shd w:val="clear" w:color="auto" w:fill="auto"/>
            <w:vAlign w:val="center"/>
          </w:tcPr>
          <w:p w:rsidR="00B13D6F" w:rsidRPr="0005384F" w:rsidRDefault="00DA6CAB" w:rsidP="00C85D0F">
            <w:pPr>
              <w:pStyle w:val="EPName"/>
            </w:pPr>
            <w:bookmarkStart w:id="0" w:name="_GoBack"/>
            <w:bookmarkEnd w:id="0"/>
            <w:r>
              <w:t>Parlament Europejski</w:t>
            </w:r>
          </w:p>
          <w:p w:rsidR="00B13D6F" w:rsidRPr="006451C6" w:rsidRDefault="00DA6CAB" w:rsidP="00C85D0F">
            <w:pPr>
              <w:pStyle w:val="EPTerm"/>
            </w:pPr>
            <w:r>
              <w:t>2019-2024</w:t>
            </w:r>
          </w:p>
        </w:tc>
        <w:tc>
          <w:tcPr>
            <w:tcW w:w="2268" w:type="dxa"/>
            <w:shd w:val="clear" w:color="auto" w:fill="auto"/>
          </w:tcPr>
          <w:p w:rsidR="00B13D6F" w:rsidRPr="0005384F" w:rsidRDefault="00DA6CAB" w:rsidP="00C85D0F">
            <w:pPr>
              <w:pStyle w:val="EPLogo"/>
            </w:pPr>
            <w:r w:rsidRPr="0005384F">
              <w:rPr>
                <w:noProof/>
                <w:lang w:val="fr-FR"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77555"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5384F" w:rsidRDefault="00461601" w:rsidP="00461601">
      <w:pPr>
        <w:pStyle w:val="LineTop"/>
      </w:pPr>
    </w:p>
    <w:p w:rsidR="00461601" w:rsidRPr="0005384F" w:rsidRDefault="00DA6CAB" w:rsidP="00461601">
      <w:pPr>
        <w:pStyle w:val="EPBody"/>
      </w:pPr>
      <w:r>
        <w:rPr>
          <w:rStyle w:val="HideTWBExt"/>
        </w:rPr>
        <w:t>&lt;</w:t>
      </w:r>
      <w:r>
        <w:rPr>
          <w:rStyle w:val="HideTWBExt"/>
          <w:i w:val="0"/>
        </w:rPr>
        <w:t>Commission</w:t>
      </w:r>
      <w:r>
        <w:rPr>
          <w:rStyle w:val="HideTWBExt"/>
        </w:rPr>
        <w:t>&gt;</w:t>
      </w:r>
      <w:r>
        <w:rPr>
          <w:rStyle w:val="HideTWBInt"/>
          <w:color w:val="auto"/>
        </w:rPr>
        <w:t>{LIBE}</w:t>
      </w:r>
      <w:r>
        <w:t>Komisja Wolności Obywatelskich, Sprawiedliwości i Spraw Wewnętrznych</w:t>
      </w:r>
      <w:r>
        <w:rPr>
          <w:rStyle w:val="HideTWBExt"/>
        </w:rPr>
        <w:t>&lt;/</w:t>
      </w:r>
      <w:r>
        <w:rPr>
          <w:rStyle w:val="HideTWBExt"/>
          <w:i w:val="0"/>
        </w:rPr>
        <w:t>Commission</w:t>
      </w:r>
      <w:r>
        <w:rPr>
          <w:rStyle w:val="HideTWBExt"/>
        </w:rPr>
        <w:t>&gt;</w:t>
      </w:r>
    </w:p>
    <w:p w:rsidR="00461601" w:rsidRPr="0005384F" w:rsidRDefault="00461601" w:rsidP="00461601">
      <w:pPr>
        <w:pStyle w:val="LineBottom"/>
      </w:pPr>
    </w:p>
    <w:p w:rsidR="00793EA9" w:rsidRPr="0005384F" w:rsidRDefault="00DA6CAB">
      <w:pPr>
        <w:pStyle w:val="CoverReference"/>
      </w:pPr>
      <w:r>
        <w:rPr>
          <w:rStyle w:val="HideTWBExt"/>
          <w:b w:val="0"/>
        </w:rPr>
        <w:t>&lt;RefProc&gt;</w:t>
      </w:r>
      <w:r>
        <w:t>2022/0167</w:t>
      </w:r>
      <w:r>
        <w:rPr>
          <w:rStyle w:val="HideTWBExt"/>
          <w:b w:val="0"/>
        </w:rPr>
        <w:t>&lt;/RefProc&gt;&lt;RefTypeProc&gt;</w:t>
      </w:r>
      <w:r>
        <w:t>(COD)</w:t>
      </w:r>
      <w:r>
        <w:rPr>
          <w:rStyle w:val="HideTWBExt"/>
          <w:b w:val="0"/>
        </w:rPr>
        <w:t>&lt;/RefTypeProc&gt;</w:t>
      </w:r>
    </w:p>
    <w:p w:rsidR="00793EA9" w:rsidRPr="006C5B12" w:rsidRDefault="00DA6CAB">
      <w:pPr>
        <w:pStyle w:val="CoverDate"/>
      </w:pPr>
      <w:r>
        <w:rPr>
          <w:rStyle w:val="HideTWBExt"/>
          <w:lang w:val="en-US"/>
        </w:rPr>
        <w:t>&lt;Date&gt;</w:t>
      </w:r>
      <w:r>
        <w:rPr>
          <w:rStyle w:val="HideTWBInt"/>
          <w:color w:val="auto"/>
          <w:lang w:val="fr-BE"/>
        </w:rPr>
        <w:t>{14/02/2023}</w:t>
      </w:r>
      <w:r>
        <w:t>14.2.2023</w:t>
      </w:r>
      <w:r>
        <w:rPr>
          <w:rStyle w:val="HideTWBExt"/>
          <w:lang w:val="en-US"/>
        </w:rPr>
        <w:t>&lt;/Date&gt;</w:t>
      </w:r>
    </w:p>
    <w:p w:rsidR="00793EA9" w:rsidRPr="006C5B12" w:rsidRDefault="00DA6CAB">
      <w:pPr>
        <w:pStyle w:val="CoverDocType"/>
      </w:pPr>
      <w:r>
        <w:rPr>
          <w:rStyle w:val="HideTWBExt"/>
          <w:b w:val="0"/>
          <w:lang w:val="en-US"/>
        </w:rPr>
        <w:t>&lt;RefProcLect&gt;</w:t>
      </w:r>
      <w:r>
        <w:t>***I</w:t>
      </w:r>
      <w:r>
        <w:rPr>
          <w:rStyle w:val="HideTWBExt"/>
          <w:b w:val="0"/>
          <w:lang w:val="en-US"/>
        </w:rPr>
        <w:t>&lt;/RefProcLect&gt;</w:t>
      </w:r>
    </w:p>
    <w:p w:rsidR="00793EA9" w:rsidRPr="0005384F" w:rsidRDefault="00DA6CAB">
      <w:pPr>
        <w:pStyle w:val="CoverDocType24a"/>
      </w:pPr>
      <w:r>
        <w:rPr>
          <w:rStyle w:val="HideTWBExt"/>
          <w:b w:val="0"/>
        </w:rPr>
        <w:t>&lt;TitreType&gt;</w:t>
      </w:r>
      <w:r>
        <w:t>PROJEKT SPRAWOZDANIA</w:t>
      </w:r>
      <w:r>
        <w:rPr>
          <w:rStyle w:val="HideTWBExt"/>
          <w:b w:val="0"/>
        </w:rPr>
        <w:t>&lt;/TitreType&gt;</w:t>
      </w:r>
    </w:p>
    <w:p w:rsidR="00793EA9" w:rsidRPr="0005384F" w:rsidRDefault="00DA6CAB">
      <w:pPr>
        <w:pStyle w:val="CoverNormal"/>
      </w:pPr>
      <w:r>
        <w:rPr>
          <w:rStyle w:val="HideTWBExt"/>
        </w:rPr>
        <w:t>&lt;Titre&gt;</w:t>
      </w:r>
      <w:r>
        <w:t>w sprawie wniosku dotyczącego dyrektywy Parlamentu Europejskiego i Rady w sprawie odzyskiwania i konfiskaty mienia</w:t>
      </w:r>
      <w:r>
        <w:rPr>
          <w:rStyle w:val="HideTWBExt"/>
        </w:rPr>
        <w:t>&lt;/Titre&gt;</w:t>
      </w:r>
    </w:p>
    <w:p w:rsidR="00793EA9" w:rsidRPr="00233344" w:rsidRDefault="00DA6CAB">
      <w:pPr>
        <w:pStyle w:val="CoverNormal24a"/>
      </w:pPr>
      <w:r>
        <w:rPr>
          <w:rStyle w:val="HideTWBExt"/>
        </w:rPr>
        <w:t>&lt;DocRef&gt;</w:t>
      </w:r>
      <w:r>
        <w:t>(COM(2022)0245 – C9</w:t>
      </w:r>
      <w:r>
        <w:noBreakHyphen/>
        <w:t>0186/2022 – 2022/0167(COD))</w:t>
      </w:r>
      <w:r>
        <w:rPr>
          <w:rStyle w:val="HideTWBExt"/>
        </w:rPr>
        <w:t>&lt;/DocRef&gt;</w:t>
      </w:r>
    </w:p>
    <w:p w:rsidR="00793EA9" w:rsidRPr="0005384F" w:rsidRDefault="00DA6CAB">
      <w:pPr>
        <w:pStyle w:val="CoverNormal24a"/>
      </w:pPr>
      <w:r>
        <w:rPr>
          <w:rStyle w:val="HideTWBExt"/>
        </w:rPr>
        <w:t>&lt;C</w:t>
      </w:r>
      <w:r>
        <w:rPr>
          <w:rStyle w:val="HideTWBExt"/>
        </w:rPr>
        <w:t>ommission&gt;</w:t>
      </w:r>
      <w:r>
        <w:rPr>
          <w:rStyle w:val="HideTWBInt"/>
          <w:color w:val="auto"/>
        </w:rPr>
        <w:t>{LIBE}</w:t>
      </w:r>
      <w:r>
        <w:t>Komisja Wolności Obywatelskich, Sprawiedliwości i Spraw Wewnętrznych</w:t>
      </w:r>
      <w:r>
        <w:rPr>
          <w:rStyle w:val="HideTWBExt"/>
        </w:rPr>
        <w:t>&lt;/Commission&gt;</w:t>
      </w:r>
    </w:p>
    <w:p w:rsidR="00793EA9" w:rsidRPr="006C5B12" w:rsidRDefault="00DA6CAB">
      <w:pPr>
        <w:pStyle w:val="CoverNormal24a"/>
      </w:pPr>
      <w:r>
        <w:t xml:space="preserve">Sprawozdawca: </w:t>
      </w:r>
      <w:r>
        <w:rPr>
          <w:rStyle w:val="HideTWBExt"/>
          <w:lang w:val="en-US"/>
        </w:rPr>
        <w:t>&lt;Depute&gt;</w:t>
      </w:r>
      <w:r>
        <w:t>Loránt Vincze</w:t>
      </w:r>
      <w:r>
        <w:rPr>
          <w:rStyle w:val="HideTWBExt"/>
          <w:lang w:val="en-US"/>
        </w:rPr>
        <w:t>&lt;/Depute&gt;</w:t>
      </w:r>
    </w:p>
    <w:p w:rsidR="001C5B44" w:rsidRDefault="001C5B44" w:rsidP="001C5B44">
      <w:pPr>
        <w:pStyle w:val="CoverNormal"/>
        <w:rPr>
          <w:lang w:val="en-US"/>
        </w:rPr>
      </w:pPr>
    </w:p>
    <w:p w:rsidR="00CA3D8B" w:rsidRPr="00CA3D8B" w:rsidRDefault="00DA6CAB" w:rsidP="00CA3D8B">
      <w:pPr>
        <w:pStyle w:val="CoverNormal"/>
        <w:rPr>
          <w:szCs w:val="24"/>
        </w:rPr>
      </w:pPr>
      <w:r>
        <w:t>Sprawozdawca komisji opiniodawczej w ramach procedury zaangażowanych komisji zgodnie z art. 57 Regulaminu</w:t>
      </w:r>
    </w:p>
    <w:p w:rsidR="00CA3D8B" w:rsidRPr="00CA3D8B" w:rsidRDefault="00DA6CAB" w:rsidP="00CA3D8B">
      <w:pPr>
        <w:ind w:left="698" w:firstLine="720"/>
      </w:pPr>
      <w:r>
        <w:t xml:space="preserve">Sergey Lagodinsky, Komisja </w:t>
      </w:r>
      <w:r>
        <w:rPr>
          <w:color w:val="000000"/>
        </w:rPr>
        <w:t>Prawna</w:t>
      </w:r>
    </w:p>
    <w:p w:rsidR="00EC1AEB" w:rsidRDefault="00DA6CAB" w:rsidP="00894923">
      <w:r>
        <w:br w:type="page"/>
      </w:r>
      <w:r>
        <w:lastRenderedPageBreak/>
        <w:fldChar w:fldCharType="begin"/>
      </w:r>
      <w:r>
        <w:instrText xml:space="preserve"> TITLE  \* MERGEFORMAT </w:instrText>
      </w:r>
      <w:r>
        <w:fldChar w:fldCharType="separate"/>
      </w:r>
      <w:r w:rsidRPr="00DA6CAB">
        <w:rPr>
          <w:lang w:val="fr-FR"/>
        </w:rPr>
        <w:t>PR_COD_1amCom</w:t>
      </w:r>
      <w:r>
        <w:rPr>
          <w:lang w:val="fr-FR"/>
        </w:rPr>
        <w:fldChar w:fldCharType="end"/>
      </w:r>
    </w:p>
    <w:p w:rsidR="00EC1AEB" w:rsidRDefault="00EC1AEB" w:rsidP="00894923">
      <w:pPr>
        <w:rPr>
          <w:lang w:val="fr-FR"/>
        </w:rPr>
      </w:pPr>
    </w:p>
    <w:p w:rsidR="00EC1AEB" w:rsidRDefault="00EC1AEB"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B1A16">
        <w:tc>
          <w:tcPr>
            <w:tcW w:w="5811" w:type="dxa"/>
          </w:tcPr>
          <w:p w:rsidR="00EC1AEB" w:rsidRDefault="00DA6CAB" w:rsidP="00894923">
            <w:pPr>
              <w:pStyle w:val="Lgendetitre"/>
            </w:pPr>
            <w:r>
              <w:t>Objaśnienie używanych znaków</w:t>
            </w:r>
          </w:p>
        </w:tc>
      </w:tr>
      <w:tr w:rsidR="00AB1A16" w:rsidTr="00C50C36">
        <w:trPr>
          <w:cantSplit/>
          <w:trHeight w:val="1944"/>
        </w:trPr>
        <w:tc>
          <w:tcPr>
            <w:tcW w:w="5811" w:type="dxa"/>
            <w:tcBorders>
              <w:bottom w:val="single" w:sz="4" w:space="0" w:color="auto"/>
            </w:tcBorders>
          </w:tcPr>
          <w:p w:rsidR="00EC1AEB" w:rsidRDefault="00DA6CAB" w:rsidP="007848C2">
            <w:pPr>
              <w:pStyle w:val="Lgendesigne"/>
              <w:rPr>
                <w:szCs w:val="24"/>
              </w:rPr>
            </w:pPr>
            <w:r>
              <w:tab/>
              <w:t>*</w:t>
            </w:r>
            <w:r>
              <w:tab/>
              <w:t>Procedura konsultacji</w:t>
            </w:r>
          </w:p>
          <w:p w:rsidR="00EC1AEB" w:rsidRDefault="00DA6CAB" w:rsidP="007848C2">
            <w:pPr>
              <w:pStyle w:val="Lgendesigne"/>
              <w:rPr>
                <w:szCs w:val="24"/>
              </w:rPr>
            </w:pPr>
            <w:r>
              <w:tab/>
              <w:t>***</w:t>
            </w:r>
            <w:r>
              <w:tab/>
              <w:t>Procedura zgody</w:t>
            </w:r>
          </w:p>
          <w:p w:rsidR="00EC1AEB" w:rsidRDefault="00DA6CAB" w:rsidP="007848C2">
            <w:pPr>
              <w:pStyle w:val="Lgendesigne"/>
              <w:rPr>
                <w:szCs w:val="24"/>
              </w:rPr>
            </w:pPr>
            <w:r>
              <w:tab/>
              <w:t>***I</w:t>
            </w:r>
            <w:r>
              <w:tab/>
              <w:t>Zwykła procedura ustawodawcza (pierwsze czytanie)</w:t>
            </w:r>
          </w:p>
          <w:p w:rsidR="00EC1AEB" w:rsidRDefault="00DA6CAB" w:rsidP="007848C2">
            <w:pPr>
              <w:pStyle w:val="Lgendesigne"/>
              <w:rPr>
                <w:szCs w:val="24"/>
              </w:rPr>
            </w:pPr>
            <w:r>
              <w:tab/>
              <w:t>***II</w:t>
            </w:r>
            <w:r>
              <w:tab/>
              <w:t>Zwykła procedura ustawodawcza (drugie cz</w:t>
            </w:r>
            <w:r>
              <w:t>ytanie)</w:t>
            </w:r>
          </w:p>
          <w:p w:rsidR="00EC1AEB" w:rsidRDefault="00DA6CAB" w:rsidP="007848C2">
            <w:pPr>
              <w:pStyle w:val="Lgendesigne"/>
              <w:rPr>
                <w:szCs w:val="24"/>
              </w:rPr>
            </w:pPr>
            <w:r>
              <w:tab/>
              <w:t>***III</w:t>
            </w:r>
            <w:r>
              <w:tab/>
              <w:t>Zwykła procedura ustawodawcza (trzecie czytanie)</w:t>
            </w:r>
          </w:p>
          <w:p w:rsidR="00EC1AEB" w:rsidRPr="00EC1AEB" w:rsidRDefault="00EC1AEB" w:rsidP="007848C2">
            <w:pPr>
              <w:pStyle w:val="Lgendestandard"/>
            </w:pPr>
          </w:p>
          <w:p w:rsidR="00EC1AEB" w:rsidRDefault="00DA6CAB" w:rsidP="007848C2">
            <w:pPr>
              <w:pStyle w:val="Lgendestandard"/>
            </w:pPr>
            <w:r>
              <w:t>(Wskazana procedura opiera się na podstawie prawnej zaproponowanej w projekcie aktu)</w:t>
            </w:r>
          </w:p>
          <w:p w:rsidR="00EC1AEB" w:rsidRDefault="00EC1AEB" w:rsidP="007848C2">
            <w:pPr>
              <w:pStyle w:val="Lgendestandard"/>
              <w:rPr>
                <w:lang w:val="fr-FR"/>
              </w:rPr>
            </w:pPr>
          </w:p>
        </w:tc>
      </w:tr>
    </w:tbl>
    <w:p w:rsidR="00EC1AEB" w:rsidRDefault="00EC1AEB" w:rsidP="00894923">
      <w:pPr>
        <w:rPr>
          <w:lang w:val="fr-FR"/>
        </w:rPr>
      </w:pPr>
    </w:p>
    <w:p w:rsidR="00EC1AEB" w:rsidRDefault="00EC1AEB" w:rsidP="00894923">
      <w:pPr>
        <w:rPr>
          <w:lang w:val="fr-FR"/>
        </w:rPr>
      </w:pPr>
    </w:p>
    <w:p w:rsidR="00EC1AEB" w:rsidRDefault="00EC1AEB" w:rsidP="00894923">
      <w:pPr>
        <w:rPr>
          <w:lang w:val="fr-FR"/>
        </w:rPr>
      </w:pPr>
    </w:p>
    <w:p w:rsidR="00EC1AEB" w:rsidRDefault="00EC1AEB"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B1A16">
        <w:tc>
          <w:tcPr>
            <w:tcW w:w="5811" w:type="dxa"/>
          </w:tcPr>
          <w:p w:rsidR="00EC1AEB" w:rsidRPr="00817843" w:rsidRDefault="00DA6CAB" w:rsidP="00894923">
            <w:pPr>
              <w:pStyle w:val="Lgendetitre"/>
            </w:pPr>
            <w:r>
              <w:t>Poprawki do projektu aktu</w:t>
            </w:r>
          </w:p>
        </w:tc>
      </w:tr>
      <w:tr w:rsidR="00AB1A16" w:rsidTr="00EC2B5D">
        <w:trPr>
          <w:trHeight w:val="4923"/>
        </w:trPr>
        <w:tc>
          <w:tcPr>
            <w:tcW w:w="5811" w:type="dxa"/>
          </w:tcPr>
          <w:p w:rsidR="00EC1AEB" w:rsidRDefault="00DA6CAB" w:rsidP="007848C2">
            <w:pPr>
              <w:pStyle w:val="Lgendestandard"/>
              <w:rPr>
                <w:szCs w:val="24"/>
              </w:rPr>
            </w:pPr>
            <w:r>
              <w:rPr>
                <w:b/>
              </w:rPr>
              <w:t>Poprawki Parlamentu w postaci dwóch kolumn</w:t>
            </w:r>
          </w:p>
          <w:p w:rsidR="00EC1AEB" w:rsidRDefault="00EC1AEB" w:rsidP="007848C2">
            <w:pPr>
              <w:pStyle w:val="Lgendestandard"/>
              <w:rPr>
                <w:szCs w:val="24"/>
              </w:rPr>
            </w:pPr>
          </w:p>
          <w:p w:rsidR="00EC1AEB" w:rsidRDefault="00DA6CAB" w:rsidP="007848C2">
            <w:pPr>
              <w:pStyle w:val="Lgendestandard"/>
              <w:rPr>
                <w:szCs w:val="24"/>
              </w:rPr>
            </w:pPr>
            <w:r>
              <w:t xml:space="preserve">Skreślenia zaznacza się </w:t>
            </w:r>
            <w:r>
              <w:rPr>
                <w:b/>
                <w:i/>
              </w:rPr>
              <w:t>wytłuszczonym drukiem i kursywą</w:t>
            </w:r>
            <w:r>
              <w:t xml:space="preserve"> w lewej kolumnie. Zmianę brzmienia zaznacza się </w:t>
            </w:r>
            <w:r>
              <w:rPr>
                <w:b/>
                <w:i/>
              </w:rPr>
              <w:t>wytłuszczonym drukiem i kursywą</w:t>
            </w:r>
            <w:r>
              <w:t xml:space="preserve"> w obu kolumnach. Nowy tekst zaznacza się </w:t>
            </w:r>
            <w:r>
              <w:rPr>
                <w:b/>
                <w:i/>
              </w:rPr>
              <w:t>wytłuszczonym drukiem i kursywą</w:t>
            </w:r>
            <w:r>
              <w:t xml:space="preserve"> w prawej kolumnie.</w:t>
            </w:r>
          </w:p>
          <w:p w:rsidR="00EC1AEB" w:rsidRDefault="00EC1AEB" w:rsidP="007848C2">
            <w:pPr>
              <w:pStyle w:val="Lgendestandard"/>
              <w:rPr>
                <w:szCs w:val="24"/>
              </w:rPr>
            </w:pPr>
          </w:p>
          <w:p w:rsidR="00EC1AEB" w:rsidRDefault="00DA6CAB" w:rsidP="007848C2">
            <w:pPr>
              <w:pStyle w:val="Lgendestandard"/>
              <w:rPr>
                <w:szCs w:val="24"/>
              </w:rPr>
            </w:pPr>
            <w:r>
              <w:t>Pierwszy i drugi wiersz nagłówka każdej poprawki ws</w:t>
            </w:r>
            <w:r>
              <w:t>kazuje element rozpatrywanego projektu aktu, którego dotyczy poprawka. Jeżeli poprawka odnosi się do obowiązującego aktu, do którego zmiany zmierza projekt aktu, nagłówek zawiera dodatkowo trzeci wiersz, w którym wskazuje się odpowiednio obowiązujący akt i</w:t>
            </w:r>
            <w:r>
              <w:t xml:space="preserve"> przepis, którego dotyczy poprawka. </w:t>
            </w:r>
          </w:p>
          <w:p w:rsidR="00EC1AEB" w:rsidRDefault="00EC1AEB" w:rsidP="007848C2">
            <w:pPr>
              <w:pStyle w:val="Lgendestandard"/>
              <w:rPr>
                <w:szCs w:val="24"/>
              </w:rPr>
            </w:pPr>
          </w:p>
          <w:p w:rsidR="00EC1AEB" w:rsidRDefault="00DA6CAB" w:rsidP="007848C2">
            <w:pPr>
              <w:pStyle w:val="Lgendestandard"/>
              <w:rPr>
                <w:b/>
                <w:szCs w:val="24"/>
              </w:rPr>
            </w:pPr>
            <w:r>
              <w:rPr>
                <w:b/>
              </w:rPr>
              <w:t>Poprawki Parlamentu w postaci tekstu skonsolidowanego</w:t>
            </w:r>
          </w:p>
          <w:p w:rsidR="00EC1AEB" w:rsidRDefault="00EC1AEB" w:rsidP="007848C2">
            <w:pPr>
              <w:pStyle w:val="Lgendestandard"/>
              <w:rPr>
                <w:szCs w:val="24"/>
              </w:rPr>
            </w:pPr>
          </w:p>
          <w:p w:rsidR="00EC1AEB" w:rsidRDefault="00DA6CAB" w:rsidP="007848C2">
            <w:pPr>
              <w:pStyle w:val="Lgendestandard"/>
              <w:rPr>
                <w:szCs w:val="24"/>
              </w:rPr>
            </w:pPr>
            <w:r>
              <w:t xml:space="preserve">Nowe fragmenty tekstu zaznacza się </w:t>
            </w:r>
            <w:r>
              <w:rPr>
                <w:b/>
                <w:i/>
              </w:rPr>
              <w:t>wytłuszczonym drukiem i kursywą</w:t>
            </w:r>
            <w:r>
              <w:t>. Fragmenty tekstu, które zostały skreślone, zaznacza się za pomocą symbolu ▌ lub przekreśla. Zmi</w:t>
            </w:r>
            <w:r>
              <w:t xml:space="preserve">anę brzmienia zaznacza się przez wyróżnienie nowego tekstu </w:t>
            </w:r>
            <w:r>
              <w:rPr>
                <w:b/>
                <w:i/>
              </w:rPr>
              <w:t>wytłuszczonym drukiem i kursywą</w:t>
            </w:r>
            <w:r>
              <w:t xml:space="preserve"> i usunięcie lub przekreślenie zastąpionego tekstu. </w:t>
            </w:r>
          </w:p>
          <w:p w:rsidR="00EC1AEB" w:rsidRDefault="00DA6CAB" w:rsidP="007848C2">
            <w:pPr>
              <w:pStyle w:val="Lgendestandard"/>
            </w:pPr>
            <w:r>
              <w:t>Tytułem wyjątku nie zaznacza się zmian o charakterze ściśle technicznym wprowadzonych przez służby w celu opracow</w:t>
            </w:r>
            <w:r>
              <w:t>ania końcowej wersji tekstu.</w:t>
            </w:r>
          </w:p>
          <w:p w:rsidR="00EC1AEB" w:rsidRDefault="00EC1AEB" w:rsidP="0069092A">
            <w:pPr>
              <w:pStyle w:val="Lgendestandard"/>
              <w:rPr>
                <w:lang w:val="fr-FR"/>
              </w:rPr>
            </w:pPr>
          </w:p>
        </w:tc>
      </w:tr>
    </w:tbl>
    <w:p w:rsidR="00EC1AEB" w:rsidRDefault="00EC1AEB" w:rsidP="00894923">
      <w:pPr>
        <w:rPr>
          <w:lang w:val="fr-FR"/>
        </w:rPr>
      </w:pPr>
    </w:p>
    <w:p w:rsidR="00793EA9" w:rsidRPr="00EC1AEB" w:rsidRDefault="00793EA9" w:rsidP="00012351">
      <w:pPr>
        <w:widowControl/>
        <w:tabs>
          <w:tab w:val="center" w:pos="4677"/>
        </w:tabs>
      </w:pPr>
    </w:p>
    <w:p w:rsidR="00793EA9" w:rsidRPr="0005384F" w:rsidRDefault="00DA6CAB">
      <w:pPr>
        <w:pStyle w:val="TOCHeading"/>
      </w:pPr>
      <w:r>
        <w:br w:type="page"/>
      </w:r>
      <w:r>
        <w:lastRenderedPageBreak/>
        <w:t>SPIS TREŚCI</w:t>
      </w:r>
    </w:p>
    <w:p w:rsidR="00793EA9" w:rsidRPr="0005384F" w:rsidRDefault="00DA6CAB">
      <w:pPr>
        <w:pStyle w:val="TOCPage"/>
      </w:pPr>
      <w:r>
        <w:t>Strona</w:t>
      </w:r>
    </w:p>
    <w:p w:rsidR="00DA6CAB" w:rsidRDefault="00DA6CAB">
      <w:pPr>
        <w:pStyle w:val="TOC1"/>
        <w:tabs>
          <w:tab w:val="right" w:leader="dot" w:pos="9060"/>
        </w:tabs>
        <w:rPr>
          <w:rFonts w:asciiTheme="minorHAnsi" w:eastAsiaTheme="minorEastAsia" w:hAnsiTheme="minorHAnsi" w:cstheme="minorBidi"/>
          <w:noProof/>
          <w:sz w:val="22"/>
          <w:szCs w:val="22"/>
          <w:lang w:val="fr-FR" w:eastAsia="fr-FR"/>
        </w:rPr>
      </w:pPr>
      <w:r w:rsidRPr="0005384F">
        <w:rPr>
          <w:b/>
        </w:rPr>
        <w:fldChar w:fldCharType="begin"/>
      </w:r>
      <w:r w:rsidRPr="0005384F">
        <w:rPr>
          <w:b/>
        </w:rPr>
        <w:instrText xml:space="preserve"> TOC \t "PageHeading</w:instrText>
      </w:r>
      <w:r w:rsidR="006451C6">
        <w:rPr>
          <w:b/>
        </w:rPr>
        <w:instrText>;</w:instrText>
      </w:r>
      <w:r w:rsidRPr="0005384F">
        <w:rPr>
          <w:b/>
        </w:rPr>
        <w:instrText xml:space="preserve">1" </w:instrText>
      </w:r>
      <w:r w:rsidRPr="0005384F">
        <w:rPr>
          <w:b/>
        </w:rPr>
        <w:fldChar w:fldCharType="separate"/>
      </w:r>
      <w:r>
        <w:rPr>
          <w:noProof/>
        </w:rPr>
        <w:t>PROJEKT REZOLUCJI USTAWODAWCZEJ PARLAMENTU EUROPEJSKIEGO</w:t>
      </w:r>
      <w:r>
        <w:rPr>
          <w:noProof/>
        </w:rPr>
        <w:tab/>
      </w:r>
      <w:r>
        <w:rPr>
          <w:noProof/>
        </w:rPr>
        <w:fldChar w:fldCharType="begin"/>
      </w:r>
      <w:r>
        <w:rPr>
          <w:noProof/>
        </w:rPr>
        <w:instrText xml:space="preserve"> PAGEREF _Toc128475649 \h </w:instrText>
      </w:r>
      <w:r>
        <w:rPr>
          <w:noProof/>
        </w:rPr>
      </w:r>
      <w:r>
        <w:rPr>
          <w:noProof/>
        </w:rPr>
        <w:fldChar w:fldCharType="separate"/>
      </w:r>
      <w:r>
        <w:rPr>
          <w:noProof/>
        </w:rPr>
        <w:t>5</w:t>
      </w:r>
      <w:r>
        <w:rPr>
          <w:noProof/>
        </w:rPr>
        <w:fldChar w:fldCharType="end"/>
      </w:r>
    </w:p>
    <w:p w:rsidR="002346B0" w:rsidRPr="0005384F" w:rsidRDefault="00DA6CAB" w:rsidP="00C23324">
      <w:r w:rsidRPr="0005384F">
        <w:rPr>
          <w:b/>
        </w:rPr>
        <w:fldChar w:fldCharType="end"/>
      </w:r>
    </w:p>
    <w:p w:rsidR="00793EA9" w:rsidRPr="0005384F" w:rsidRDefault="00DA6CAB">
      <w:pPr>
        <w:pStyle w:val="PageHeading"/>
      </w:pPr>
      <w:r>
        <w:br w:type="page"/>
      </w:r>
      <w:r>
        <w:lastRenderedPageBreak/>
        <w:br w:type="page"/>
      </w:r>
      <w:bookmarkStart w:id="1" w:name="_Toc128475649"/>
      <w:r>
        <w:lastRenderedPageBreak/>
        <w:t>PROJEKT REZOLUCJI USTAWODAWCZEJ PARLAMENTU EUROPEJSKIEGO</w:t>
      </w:r>
      <w:bookmarkEnd w:id="1"/>
    </w:p>
    <w:p w:rsidR="00793EA9" w:rsidRPr="0005384F" w:rsidRDefault="00DA6CAB">
      <w:pPr>
        <w:pStyle w:val="NormalBold"/>
      </w:pPr>
      <w:r>
        <w:t>w sprawie wniosku dotyczącego dyrektywy Parlamentu Europejskiego i Rady w sprawie odzyskiwania i konfiskaty mienia</w:t>
      </w:r>
    </w:p>
    <w:p w:rsidR="00793EA9" w:rsidRPr="0005384F" w:rsidRDefault="00DA6CAB">
      <w:pPr>
        <w:pStyle w:val="NormalBold12a"/>
      </w:pPr>
      <w:r>
        <w:t>(COM(2022)024</w:t>
      </w:r>
      <w:r>
        <w:t>5 – C9</w:t>
      </w:r>
      <w:r>
        <w:noBreakHyphen/>
        <w:t>0186/2022 – 2022/0167(COD))</w:t>
      </w:r>
    </w:p>
    <w:p w:rsidR="00793EA9" w:rsidRPr="0005384F" w:rsidRDefault="00DA6CAB" w:rsidP="00A910C9">
      <w:pPr>
        <w:pStyle w:val="NormalBold"/>
      </w:pPr>
      <w:r>
        <w:t>(Zwykła procedura ustawodawcza: pierwsze czytanie)</w:t>
      </w:r>
    </w:p>
    <w:p w:rsidR="00793EA9" w:rsidRPr="006C5B12" w:rsidRDefault="00DA6CAB" w:rsidP="00A910C9">
      <w:pPr>
        <w:pStyle w:val="EPComma"/>
      </w:pPr>
      <w:r>
        <w:rPr>
          <w:i/>
        </w:rPr>
        <w:t>Parlament Europejski</w:t>
      </w:r>
      <w:r>
        <w:t>,</w:t>
      </w:r>
    </w:p>
    <w:p w:rsidR="00CA3D8B" w:rsidRPr="00CA3D8B" w:rsidRDefault="00DA6CAB" w:rsidP="00CA3D8B">
      <w:pPr>
        <w:pStyle w:val="NormalHanging12a"/>
      </w:pPr>
      <w:r>
        <w:t>–</w:t>
      </w:r>
      <w:r>
        <w:tab/>
        <w:t>uwzględniając wniosek Komisji przedstawiony Parlamentowi Europejskiemu i Radzie (COM(2022)0245),</w:t>
      </w:r>
    </w:p>
    <w:p w:rsidR="00CA3D8B" w:rsidRPr="00CA3D8B" w:rsidRDefault="00DA6CAB" w:rsidP="00CA3D8B">
      <w:pPr>
        <w:pStyle w:val="NormalHanging12a"/>
      </w:pPr>
      <w:r>
        <w:t>–</w:t>
      </w:r>
      <w:r>
        <w:tab/>
        <w:t xml:space="preserve">uwzględniając art. 294 ust. 2, art. 82 ust. 2, </w:t>
      </w:r>
      <w:r>
        <w:t>art. 83 ust. 1 i 2 i art. 87 ust. 2 Traktatu o funkcjonowaniu Unii Europejskiej, zgodnie z którymi wniosek został przedstawiony Parlamentowi przez Komisję (C9</w:t>
      </w:r>
      <w:r>
        <w:noBreakHyphen/>
        <w:t>0186/2022),</w:t>
      </w:r>
    </w:p>
    <w:p w:rsidR="00CA3D8B" w:rsidRPr="00CA3D8B" w:rsidRDefault="00DA6CAB" w:rsidP="00CA3D8B">
      <w:pPr>
        <w:pStyle w:val="NormalHanging12a"/>
      </w:pPr>
      <w:r>
        <w:t>–</w:t>
      </w:r>
      <w:r>
        <w:tab/>
        <w:t>uwzględniając art. 294 ust. 3 Traktatu o funkcjonowaniu Unii Europejskiej,</w:t>
      </w:r>
    </w:p>
    <w:p w:rsidR="00CA3D8B" w:rsidRPr="00CA3D8B" w:rsidRDefault="00DA6CAB" w:rsidP="00CA3D8B">
      <w:pPr>
        <w:pStyle w:val="NormalHanging12a"/>
      </w:pPr>
      <w:r>
        <w:t>–</w:t>
      </w:r>
      <w:r>
        <w:tab/>
        <w:t>uwzglę</w:t>
      </w:r>
      <w:r>
        <w:t>dniając art. 59 Regulaminu,</w:t>
      </w:r>
    </w:p>
    <w:p w:rsidR="00CA3D8B" w:rsidRPr="00CA3D8B" w:rsidRDefault="00DA6CAB" w:rsidP="00CA3D8B">
      <w:pPr>
        <w:pStyle w:val="NormalHanging12a"/>
      </w:pPr>
      <w:r>
        <w:t>–</w:t>
      </w:r>
      <w:r>
        <w:tab/>
        <w:t>uwzględniając opinię Europejskiego Komitetu Ekonomiczno-Społecznego z dnia 14 grudnia 2022 r.</w:t>
      </w:r>
      <w:r>
        <w:rPr>
          <w:rStyle w:val="FootnoteReference"/>
          <w:lang w:val="mt-MT"/>
        </w:rPr>
        <w:footnoteReference w:id="1"/>
      </w:r>
      <w:r>
        <w:t>,</w:t>
      </w:r>
    </w:p>
    <w:p w:rsidR="00CA3D8B" w:rsidRPr="00CA3D8B" w:rsidRDefault="00DA6CAB" w:rsidP="00CA3D8B">
      <w:pPr>
        <w:pStyle w:val="NormalHanging12a"/>
      </w:pPr>
      <w:r>
        <w:t>–</w:t>
      </w:r>
      <w:r>
        <w:tab/>
        <w:t>uwzględniając opinie przedstawione przez Komisję Prawną oraz Komisję Budżetową,</w:t>
      </w:r>
    </w:p>
    <w:p w:rsidR="00CA3D8B" w:rsidRPr="00CA3D8B" w:rsidRDefault="00DA6CAB" w:rsidP="00CA3D8B">
      <w:pPr>
        <w:pStyle w:val="NormalHanging12a"/>
      </w:pPr>
      <w:r>
        <w:t>–</w:t>
      </w:r>
      <w:r>
        <w:tab/>
        <w:t>uwzględniając sprawozdanie Komisji Wolności Ob</w:t>
      </w:r>
      <w:r>
        <w:t>ywatelskich, Sprawiedliwości i Spraw Wewnętrznych (A9</w:t>
      </w:r>
      <w:r>
        <w:noBreakHyphen/>
        <w:t>0000/2023),</w:t>
      </w:r>
    </w:p>
    <w:p w:rsidR="00CA3D8B" w:rsidRPr="00CA3D8B" w:rsidRDefault="00DA6CAB" w:rsidP="00CA3D8B">
      <w:pPr>
        <w:pStyle w:val="NormalHanging12a"/>
      </w:pPr>
      <w:r>
        <w:t>1.</w:t>
      </w:r>
      <w:r>
        <w:tab/>
        <w:t>przyjmuje poniższe stanowisko w pierwszym czytaniu;</w:t>
      </w:r>
    </w:p>
    <w:p w:rsidR="00CA3D8B" w:rsidRPr="00CA3D8B" w:rsidRDefault="00DA6CAB" w:rsidP="00CA3D8B">
      <w:pPr>
        <w:pStyle w:val="NormalHanging12a"/>
      </w:pPr>
      <w:r>
        <w:t>2.</w:t>
      </w:r>
      <w:r>
        <w:tab/>
        <w:t>zwraca się do Komisji o ponowne przekazanie mu sprawy, jeśli zastąpi ona pierwotny wniosek, wprowadzi w nim istotne zmiany lub planu</w:t>
      </w:r>
      <w:r>
        <w:t>je ich wprowadzenie;</w:t>
      </w:r>
    </w:p>
    <w:p w:rsidR="00CA3D8B" w:rsidRPr="00CA3D8B" w:rsidRDefault="00DA6CAB" w:rsidP="00CA3D8B">
      <w:pPr>
        <w:pStyle w:val="NormalHanging12a"/>
      </w:pPr>
      <w:r>
        <w:t>3.</w:t>
      </w:r>
      <w:r>
        <w:tab/>
        <w:t>zobowiązuje swoją przewodniczącą do przekazania stanowiska Parlamentu Radzie i Komisji oraz parlamentom narodowym.</w:t>
      </w:r>
    </w:p>
    <w:p w:rsidR="00CA3D8B" w:rsidRPr="00CA3D8B" w:rsidRDefault="00CA3D8B" w:rsidP="00CA3D8B">
      <w:pPr>
        <w:rPr>
          <w:lang w:val="en-US"/>
        </w:rPr>
      </w:pPr>
    </w:p>
    <w:p w:rsidR="00CA3D8B" w:rsidRPr="00CA3D8B" w:rsidRDefault="00CA3D8B" w:rsidP="00CA3D8B">
      <w:pPr>
        <w:rPr>
          <w:lang w:val="en-US"/>
        </w:rPr>
      </w:pPr>
    </w:p>
    <w:p w:rsidR="00CA3D8B" w:rsidRPr="00CA3D8B" w:rsidRDefault="00CA3D8B" w:rsidP="00CA3D8B">
      <w:pPr>
        <w:rPr>
          <w:lang w:val="en-US"/>
        </w:rPr>
      </w:pPr>
    </w:p>
    <w:p w:rsidR="00CA3D8B" w:rsidRPr="00CA3D8B" w:rsidRDefault="00CA3D8B" w:rsidP="00CA3D8B">
      <w:pPr>
        <w:rPr>
          <w:lang w:val="en-US"/>
        </w:rPr>
      </w:pPr>
    </w:p>
    <w:p w:rsidR="00CA3D8B" w:rsidRPr="00CA3D8B" w:rsidRDefault="00CA3D8B" w:rsidP="00CA3D8B">
      <w:pPr>
        <w:rPr>
          <w:lang w:val="en-US"/>
        </w:rPr>
      </w:pPr>
    </w:p>
    <w:p w:rsidR="002669B6" w:rsidRDefault="002669B6" w:rsidP="00CA3D8B">
      <w:pPr>
        <w:pStyle w:val="NormalHanging12a"/>
        <w:rPr>
          <w:lang w:val="en-US"/>
        </w:rPr>
      </w:pPr>
    </w:p>
    <w:p w:rsidR="00CA3D8B" w:rsidRDefault="00CA3D8B" w:rsidP="00CA3D8B">
      <w:pPr>
        <w:pStyle w:val="NormalHanging12a"/>
        <w:rPr>
          <w:lang w:val="en-US"/>
        </w:rPr>
      </w:pPr>
    </w:p>
    <w:p w:rsidR="00CA3D8B" w:rsidRPr="007F04E7" w:rsidRDefault="00DA6CAB" w:rsidP="00CA3D8B">
      <w:pPr>
        <w:pStyle w:val="AMNumberTabs0"/>
        <w:keepNext/>
      </w:pPr>
      <w:r>
        <w:rPr>
          <w:rStyle w:val="HideTWBExt"/>
          <w:b w:val="0"/>
          <w:lang w:val="en-GB"/>
        </w:rPr>
        <w:lastRenderedPageBreak/>
        <w:t>&lt;RepeatBlock-Amend&gt;&lt;Amend&gt;</w:t>
      </w:r>
      <w:r>
        <w:t>Poprawka</w:t>
      </w:r>
      <w:r>
        <w:tab/>
      </w:r>
      <w:r>
        <w:tab/>
      </w:r>
      <w:r>
        <w:rPr>
          <w:rStyle w:val="HideTWBExt"/>
          <w:b w:val="0"/>
          <w:lang w:val="en-GB"/>
        </w:rPr>
        <w:t>&lt;NumAm&gt;</w:t>
      </w:r>
      <w:r>
        <w:t>1</w:t>
      </w:r>
      <w:r>
        <w:rPr>
          <w:rStyle w:val="HideTWBExt"/>
          <w:b w:val="0"/>
          <w:lang w:val="en-GB"/>
        </w:rPr>
        <w:t>&lt;/NumAm&gt;</w:t>
      </w:r>
    </w:p>
    <w:p w:rsidR="00CA3D8B" w:rsidRPr="00CA3D8B"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7F04E7" w:rsidRDefault="00DA6CAB" w:rsidP="00CA3D8B">
      <w:pPr>
        <w:pStyle w:val="NormalBold"/>
      </w:pPr>
      <w:r>
        <w:rPr>
          <w:rStyle w:val="HideTWBExt"/>
          <w:b w:val="0"/>
        </w:rPr>
        <w:t>&lt;Article&gt;</w:t>
      </w:r>
      <w:r>
        <w:t>Motyw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(3)</w:t>
            </w:r>
            <w:r>
              <w:tab/>
              <w:t>Skuteczny system odzyskiwania mienia wymaga szybkiego śledzenia i identyfikacji narzędzi służących do popełnienia przestępstwa, a także korzyści pochodzących z przestępstwa i mienia</w:t>
            </w:r>
            <w:r>
              <w:t xml:space="preserve">, co do którego podejrzewa się, że pochodzi z działań przestępczych. Takie korzyści, narzędzia oraz mienie należy zabezpieczyć, aby zapobiec ich zaginięciu, a następnie — po zakończeniu </w:t>
            </w:r>
            <w:r>
              <w:rPr>
                <w:b/>
                <w:i/>
              </w:rPr>
              <w:t>postępowania</w:t>
            </w:r>
            <w:r>
              <w:t xml:space="preserve"> karnego — skonfiskować je. Skuteczny system odzyskiwania </w:t>
            </w:r>
            <w:r>
              <w:t>mienia wymaga także skutecznego zarządzania zabezpieczonym i skonfiskowanym mieniem w celu utrzymania jego wartości dla państwa lub w celu naprawienia szkód wyrządzonych ofiarom.</w:t>
            </w:r>
          </w:p>
        </w:tc>
        <w:tc>
          <w:tcPr>
            <w:tcW w:w="4876" w:type="dxa"/>
            <w:hideMark/>
          </w:tcPr>
          <w:p w:rsidR="00CA3D8B" w:rsidRPr="007F04E7" w:rsidRDefault="00DA6CAB" w:rsidP="009648E3">
            <w:pPr>
              <w:pStyle w:val="Normal6"/>
              <w:rPr>
                <w:szCs w:val="24"/>
              </w:rPr>
            </w:pPr>
            <w:r>
              <w:t>(3)</w:t>
            </w:r>
            <w:r>
              <w:tab/>
              <w:t>Skuteczny system odzyskiwania mienia wymaga szybkiego śledzenia i identyf</w:t>
            </w:r>
            <w:r>
              <w:t>ikacji narzędzi służących do popełnienia przestępstwa, a także korzyści pochodzących z przestępstwa i mienia, co do którego podejrzewa się, że pochodzi z działań przestępczych. Takie korzyści, narzędzia oraz mienie należy zabezpieczyć, aby zapobiec ich zag</w:t>
            </w:r>
            <w:r>
              <w:t xml:space="preserve">inięciu, a następnie — po zakończeniu </w:t>
            </w:r>
            <w:r>
              <w:rPr>
                <w:b/>
                <w:i/>
              </w:rPr>
              <w:t>ścigania</w:t>
            </w:r>
            <w:r>
              <w:t xml:space="preserve"> karnego — skonfiskować je. Skuteczny system odzyskiwania mienia wymaga także skutecznego zarządzania zabezpieczonym i skonfiskowanym mieniem w celu utrzymania jego wartości dla państwa lub w celu naprawienia s</w:t>
            </w:r>
            <w:r>
              <w:t>zkód wyrządzonych ofiarom.</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CA3D8B"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(9)</w:t>
            </w:r>
            <w:r>
              <w:tab/>
              <w:t xml:space="preserve">Z uwagi na prowadzenie </w:t>
            </w:r>
            <w:r>
              <w:t>jednocześnie różnych rodzajów działalności przestępczej oraz systematyczną i nastawioną na zysk współpracę organizacji przestępczych zaangażowanych w różnego rodzaju nielegalną działalność na różnych rynkach skuteczne zwalczanie przestępczości zorganizowan</w:t>
            </w:r>
            <w:r>
              <w:t xml:space="preserve">ej wymaga dostępności środków dotyczących zabezpieczenia i konfiskaty w celu pokrycia zysków ze wszystkich przestępstw, w których popełnianiu biorą udział zorganizowane </w:t>
            </w:r>
            <w:r>
              <w:lastRenderedPageBreak/>
              <w:t>grupy przestępcze. Przestępstwa te obejmują obszary przestępczości wymienione w art. 83</w:t>
            </w:r>
            <w:r>
              <w:t xml:space="preserve"> ust. 1, w tym nielegalny handel bronią, amunicją i materiałami wybuchowymi w brzmieniu zdefiniowanym w Protokole przeciwko nielegalnemu wytwarzaniu i obrotowi bronią palną, jej częściami i komponentami oraz amunicją, uzupełniającym Konwencję Narodów Zjedn</w:t>
            </w:r>
            <w:r>
              <w:t>oczonych przeciwko międzynarodowej przestępczości zorganizowanej, której Unia jest stroną. Oprócz przestępstw wymienionych w art. 83 ust. 1 zakresem dyrektywy należy objąć także wszystkie przestępstwa zharmonizowane na poziomie UE, w tym nadużycia przeciwk</w:t>
            </w:r>
            <w:r>
              <w:t>o interesom finansowym Unii Europejskiej w świetle rosnącego zaangażowania zorganizowanych grup przestępczych w takich obszarach przestępczości. Zakresem dyrektywy należy objąć także przestępstwa przeciwko środowisku, które stanowią kluczowy element działa</w:t>
            </w:r>
            <w:r>
              <w:t xml:space="preserve">lności grup przestępczych i często mają związek z praniem pieniędzy lub dotyczą odpadów </w:t>
            </w:r>
            <w:r>
              <w:rPr>
                <w:b/>
                <w:i/>
              </w:rPr>
              <w:t>i</w:t>
            </w:r>
            <w:r>
              <w:t> pozostałości powstających w ramach produkcji narkotyków i nielegalnego handlu nimi. Ułatwianie nielegalnego wjazdu i pobytu jest podstawową działalnością zorganizowan</w:t>
            </w:r>
            <w:r>
              <w:t>ych grup przestępczych i zazwyczaj powiązane jest z handlem ludźmi.</w:t>
            </w:r>
          </w:p>
        </w:tc>
        <w:tc>
          <w:tcPr>
            <w:tcW w:w="4876" w:type="dxa"/>
            <w:hideMark/>
          </w:tcPr>
          <w:p w:rsidR="00CA3D8B" w:rsidRPr="007F04E7" w:rsidRDefault="00DA6CAB" w:rsidP="009648E3">
            <w:pPr>
              <w:pStyle w:val="Normal6"/>
              <w:rPr>
                <w:szCs w:val="24"/>
              </w:rPr>
            </w:pPr>
            <w:r>
              <w:lastRenderedPageBreak/>
              <w:t>(9)</w:t>
            </w:r>
            <w:r>
              <w:tab/>
              <w:t>Z uwagi na prowadzenie jednocześnie różnych rodzajów działalności przestępczej oraz systematyczną i nastawioną na zysk współpracę organizacji przestępczych zaangażowanych w różnego rod</w:t>
            </w:r>
            <w:r>
              <w:t>zaju nielegalną działalność na różnych rynkach skuteczne zwalczanie przestępczości zorganizowanej wymaga dostępności środków dotyczących zabezpieczenia i konfiskaty w celu pokrycia zysków ze wszystkich przestępstw, w których popełnianiu biorą udział zorgan</w:t>
            </w:r>
            <w:r>
              <w:t xml:space="preserve">izowane </w:t>
            </w:r>
            <w:r>
              <w:lastRenderedPageBreak/>
              <w:t>grupy przestępcze. Przestępstwa te obejmują obszary przestępczości wymienione w art. 83 ust. 1, w tym nielegalny handel bronią, amunicją i materiałami wybuchowymi w brzmieniu zdefiniowanym w Protokole przeciwko nielegalnemu wytwarzaniu i obrotowi b</w:t>
            </w:r>
            <w:r>
              <w:t>ronią palną, jej częściami i komponentami oraz amunicją, uzupełniającym Konwencję Narodów Zjednoczonych przeciwko międzynarodowej przestępczości zorganizowanej, której Unia jest stroną. Oprócz przestępstw wymienionych w art. 83 ust. 1 zakresem dyrektywy na</w:t>
            </w:r>
            <w:r>
              <w:t>leży objąć także wszystkie przestępstwa zharmonizowane na poziomie UE, w tym nadużycia przeciwko interesom finansowym Unii Europejskiej w świetle rosnącego zaangażowania zorganizowanych grup przestępczych w takich obszarach przestępczości. Zakresem dyrekty</w:t>
            </w:r>
            <w:r>
              <w:t>wy należy objąć także przestępstwa przeciwko środowisku, które stanowią kluczowy element działalności grup przestępczych i często mają związek z praniem pieniędzy</w:t>
            </w:r>
            <w:r>
              <w:rPr>
                <w:b/>
                <w:i/>
              </w:rPr>
              <w:t xml:space="preserve">, przestępstwami przeciwko wiarygodności dokumentów, oszustwami gospodarczymi, uchylaniem się </w:t>
            </w:r>
            <w:r>
              <w:rPr>
                <w:b/>
                <w:i/>
              </w:rPr>
              <w:t>od opodatkowania i korupcją</w:t>
            </w:r>
            <w:r>
              <w:t xml:space="preserve"> lub dotyczą </w:t>
            </w:r>
            <w:r>
              <w:rPr>
                <w:b/>
                <w:i/>
              </w:rPr>
              <w:t>nielegalnego handlu odpadami z naruszeniem krajowych i międzynarodowych praw oraz norm regulujących zbieranie, przetwarzanie i unieszkodliwianie</w:t>
            </w:r>
            <w:r>
              <w:t xml:space="preserve"> odpadów</w:t>
            </w:r>
            <w:r>
              <w:rPr>
                <w:b/>
                <w:i/>
              </w:rPr>
              <w:t>, w tym</w:t>
            </w:r>
            <w:r>
              <w:t xml:space="preserve"> pozostałości powstających w ramach produkcji narkotyków </w:t>
            </w:r>
            <w:r>
              <w:t>i nielegalnego handlu nimi. Ułatwianie nielegalnego wjazdu i pobytu jest podstawową działalnością zorganizowanych grup przestępczych i zazwyczaj powiązane jest z handlem ludźmi.</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CA3D8B"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lastRenderedPageBreak/>
        <w:t>&lt;Amend&gt;</w:t>
      </w:r>
      <w:r>
        <w:t>Poprawka</w:t>
      </w:r>
      <w:r>
        <w:tab/>
      </w:r>
      <w:r>
        <w:tab/>
      </w:r>
      <w:r>
        <w:rPr>
          <w:rStyle w:val="HideTWBExt"/>
          <w:b w:val="0"/>
          <w:lang w:val="pt-PT"/>
        </w:rPr>
        <w:t>&lt;NumAm&gt;</w:t>
      </w:r>
      <w:r>
        <w:t>3</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(10)</w:t>
            </w:r>
            <w:r>
              <w:tab/>
              <w:t>Inne przestępstwa popełniane w ramach organizacji przestępczej odgrywają zasadniczą rolę w generowaniu przychodów i umożliwianiu p</w:t>
            </w:r>
            <w:r>
              <w:t>opełniania kolejnych przestępstw, w tym poważnych przestępstw o charakterze transgranicznym. Przestępstwa takie należy objąć przepisami dyrektywy w takim zakresie, w jakim są one popełniane w ramach organizacji przestępczej. Podrabianie i piractwo produktó</w:t>
            </w:r>
            <w:r>
              <w:t>w jest powiązane z praniem pieniędzy i fałszowaniem dokumentów, a także zagraża funkcjonowaniu jednolitego rynku i uczciwej konkurencji. Nielegalny handel dobrami kultury, w tym antykami i dziełami sztuki, jest często powiązany z praniem pieniędzy i stanow</w:t>
            </w:r>
            <w:r>
              <w:t>i ważne źródło finansowania dla zorganizowanych grup przestępczych. Fałszowanie dokumentów urzędowych i obrót takimi dokumentami, w tym dokumentami bankowymi lub dokumentami tożsamości, stanowią kluczowe narzędzie umożliwiające pranie pieniędzy, handel lud</w:t>
            </w:r>
            <w:r>
              <w:t>źmi lub przemyt migrantów, w związku z czym należy je objąć zakresem niniejszej dyrektywy. Inne przestępstwa często popełniane w ramach zorganizowanej grupy przestępczej obejmują zabójstwo lub spowodowanie ciężkiego uszczerbku na zdrowiu, a także nielegaln</w:t>
            </w:r>
            <w:r>
              <w:t>y obrót organami i tkankami ludzkimi, które stanowią źródło przychodów dla zorganizowanych grup przestępczych w kontekście zabójstw na zlecenie, zastraszania oraz handlu ludźmi. Podobnie uprowadzenie, bezprawne przetrzymywanie i branie zakładników, jak rów</w:t>
            </w:r>
            <w:r>
              <w:t xml:space="preserve">nież wymuszenie rozbójnicze są wykorzystywane jako źródło przychodów przez gromadzenie pieniędzy z okupów albo jako element taktyki zastraszania </w:t>
            </w:r>
            <w:r>
              <w:lastRenderedPageBreak/>
              <w:t>przeciwników. Przestępstwo rozboju w formie zorganizowanej lub przy użyciu broni stanowi dla zorganizowanych gr</w:t>
            </w:r>
            <w:r>
              <w:t>up przestępczych jedną z najbardziej powszechnych form generowania zysków i często jest popełniane w związku z innymi przestępstwami, w szczególności nielegalnym handlem bronią palną. Podobnie handel kradzionymi pojazdami może nie tylko generować zyski, al</w:t>
            </w:r>
            <w:r>
              <w:t>e także stanowi przestępstwo, które umożliwia zapewnienie narzędzi niezbędnych do popełniania kolejnych przestępstw. Co więcej, zasadniczą kwestią jest objęcie zakresem stosowania dyrektywy przestępstw skarbowych w zakresie, w jakim są one popełniane w ram</w:t>
            </w:r>
            <w:r>
              <w:t>ach organizacji przestępczej, gdyż te konkretne przestępstwa stanowią źródło umożliwiające czerpanie zysków, zwłaszcza w przypadku prowadzenia działalności w kontekście transgranicznym. Typowe techniki stosowane przy popełnianiu oszustw podatkowych lub uch</w:t>
            </w:r>
            <w:r>
              <w:t>ylaniu się od opodatkowania obejmują wykorzystywanie transgranicznych struktur korporacyjnych lub podobnych rozwiązań służących oszukańczemu uzyskiwaniu korzyści podatkowych i zwrotów podatku, ukrywaniu mienia lub zysków, łączeniu zysków legalnych z nieleg</w:t>
            </w:r>
            <w:r>
              <w:t>alnymi oraz mienia legalnego z nielegalnym lub przekazywaniu ich innym podmiotom za granicą w celu ukrycia ich pochodzenia lub właścicieli bądź beneficjentów rzeczywistych.</w:t>
            </w:r>
          </w:p>
        </w:tc>
        <w:tc>
          <w:tcPr>
            <w:tcW w:w="4876" w:type="dxa"/>
            <w:hideMark/>
          </w:tcPr>
          <w:p w:rsidR="00CA3D8B" w:rsidRPr="007F04E7" w:rsidRDefault="00DA6CAB" w:rsidP="009648E3">
            <w:pPr>
              <w:pStyle w:val="Normal6"/>
              <w:rPr>
                <w:szCs w:val="24"/>
              </w:rPr>
            </w:pPr>
            <w:r>
              <w:lastRenderedPageBreak/>
              <w:t>(10)</w:t>
            </w:r>
            <w:r>
              <w:tab/>
              <w:t xml:space="preserve">Inne przestępstwa popełniane w ramach organizacji przestępczej odgrywają </w:t>
            </w:r>
            <w:r>
              <w:t xml:space="preserve">zasadniczą rolę w generowaniu przychodów i umożliwianiu popełniania kolejnych przestępstw, w tym poważnych przestępstw o charakterze transgranicznym. Przestępstwa takie należy objąć przepisami dyrektywy w takim zakresie, w jakim są one popełniane w ramach </w:t>
            </w:r>
            <w:r>
              <w:t>organizacji przestępczej. Podrabianie i piractwo produktów jest powiązane z praniem pieniędzy i fałszowaniem dokumentów, a także zagraża funkcjonowaniu jednolitego rynku i uczciwej konkurencji. Nielegalny handel dobrami kultury, w tym antykami i dziełami s</w:t>
            </w:r>
            <w:r>
              <w:t>ztuki, jest często powiązany z praniem pieniędzy i stanowi ważne źródło finansowania dla zorganizowanych grup przestępczych. Fałszowanie dokumentów urzędowych i obrót takimi dokumentami, w tym dokumentami bankowymi lub dokumentami tożsamości, stanowią kluc</w:t>
            </w:r>
            <w:r>
              <w:t>zowe narzędzie umożliwiające pranie pieniędzy, handel ludźmi lub przemyt migrantów, w związku z czym należy je objąć zakresem niniejszej dyrektywy. Inne przestępstwa często popełniane w ramach zorganizowanej grupy przestępczej obejmują zabójstwo lub spowod</w:t>
            </w:r>
            <w:r>
              <w:t>owanie ciężkiego uszczerbku na zdrowiu, a także nielegalny obrót organami i tkankami ludzkimi, które stanowią źródło przychodów dla zorganizowanych grup przestępczych w kontekście zabójstw na zlecenie, zastraszania oraz handlu ludźmi. Podobnie uprowadzenie</w:t>
            </w:r>
            <w:r>
              <w:t xml:space="preserve">, bezprawne przetrzymywanie i branie zakładników, jak również wymuszenie rozbójnicze są wykorzystywane jako źródło przychodów przez gromadzenie pieniędzy z okupów albo jako element taktyki zastraszania </w:t>
            </w:r>
            <w:r>
              <w:lastRenderedPageBreak/>
              <w:t>przeciwników. Przestępstwo rozboju w formie zorganizow</w:t>
            </w:r>
            <w:r>
              <w:t>anej lub przy użyciu broni stanowi dla zorganizowanych grup przestępczych jedną z najbardziej powszechnych form generowania zysków i często jest popełniane w związku z innymi przestępstwami, w szczególności nielegalnym handlem bronią palną. Podobnie handel</w:t>
            </w:r>
            <w:r>
              <w:t xml:space="preserve"> kradzionymi pojazdami może nie tylko generować zyski, ale także stanowi przestępstwo, które umożliwia zapewnienie narzędzi niezbędnych do popełniania kolejnych przestępstw. Co więcej, zasadniczą kwestią jest objęcie zakresem stosowania dyrektywy przestęps</w:t>
            </w:r>
            <w:r>
              <w:t>tw skarbowych w zakresie, w jakim są one popełniane w ramach organizacji przestępczej, gdyż te konkretne przestępstwa stanowią źródło umożliwiające czerpanie zysków, zwłaszcza w przypadku prowadzenia działalności w kontekście transgranicznym. Typowe techni</w:t>
            </w:r>
            <w:r>
              <w:t>ki stosowane przy popełnianiu oszustw podatkowych lub uchylaniu się od opodatkowania obejmują wykorzystywanie transgranicznych struktur korporacyjnych lub podobnych rozwiązań służących oszukańczemu uzyskiwaniu korzyści podatkowych i zwrotów podatku, ukrywa</w:t>
            </w:r>
            <w:r>
              <w:t xml:space="preserve">niu mienia lub zysków, łączeniu zysków legalnych z nielegalnymi oraz mienia legalnego z nielegalnym lub przekazywaniu ich innym podmiotom za granicą w celu ukrycia ich pochodzenia lub właścicieli bądź beneficjentów rzeczywistych. </w:t>
            </w:r>
            <w:r>
              <w:rPr>
                <w:b/>
                <w:i/>
              </w:rPr>
              <w:t xml:space="preserve">Należy również uwzględnić </w:t>
            </w:r>
            <w:r>
              <w:rPr>
                <w:b/>
                <w:i/>
              </w:rPr>
              <w:t>w zakresie niniejszej dyrektywy wszystkie istotne przestępstwa objęte rozporządzeniem Parlamentu Europejskiego i Rady (UE) 2018/1805</w:t>
            </w:r>
            <w:r>
              <w:rPr>
                <w:b/>
                <w:i/>
                <w:vertAlign w:val="superscript"/>
              </w:rPr>
              <w:t>1a</w:t>
            </w:r>
            <w:r>
              <w:rPr>
                <w:b/>
                <w:i/>
              </w:rPr>
              <w:t>. W związku z tym do zakresu niniejszej dyrektywy należy dodać nielegalny handel materiałami jądrowymi lub radioaktywnymi,</w:t>
            </w:r>
            <w:r>
              <w:rPr>
                <w:b/>
                <w:i/>
              </w:rPr>
              <w:t xml:space="preserve"> przestępstwa podlegające jurysdykcji Międzynarodowego Trybunału Karnego, bezprawne zajęcie samolotu lub statku oraz sabotaż.</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t>__________________</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vertAlign w:val="superscript"/>
              </w:rPr>
              <w:t>1a</w:t>
            </w:r>
            <w:r>
              <w:rPr>
                <w:b/>
                <w:i/>
              </w:rPr>
              <w:t xml:space="preserve">Rozporządzenie Parlamentu Europejskiego i Rady (UE) 2018/1805 z dnia 14 listopada 2018 r. w sprawie </w:t>
            </w:r>
            <w:r>
              <w:rPr>
                <w:b/>
                <w:i/>
              </w:rPr>
              <w:t>wzajemnego uznawania nakazów zabezpieczenia i nakazów konfiskaty (</w:t>
            </w:r>
            <w:r>
              <w:rPr>
                <w:b/>
              </w:rPr>
              <w:t>Dz.U. L 303 z 28.11.2018, s. 1</w:t>
            </w:r>
            <w:r>
              <w:rPr>
                <w:b/>
                <w:i/>
              </w:rPr>
              <w: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CA3D8B"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4</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(17)</w:t>
            </w:r>
            <w:r>
              <w:tab/>
              <w:t>Aby biura ds. odzyskiwania mienia mogły prowadzić skuteczne dochodzenia mające na celu śledzenie mienia oraz szybko reagować na wnioski transgraniczne, powinny mieć dostęp do informacji, które umożliwiają im u</w:t>
            </w:r>
            <w:r>
              <w:t>stalenie istnienia lub własności mienia, które może stać się przedmiotem nakazu zabezpieczenia lub konfiskaty, bądź ustalenie, kto sprawuje kontrolę nad takim mieniem. Z tego względu biura ds. odzyskiwania mienia powinny mieć dostęp do odpowiednich danych,</w:t>
            </w:r>
            <w:r>
              <w:t xml:space="preserve"> takich jak dane podatkowe, krajowych rejestrów obywatelstwa i ewidencji ludności, handlowych baz danych oraz informacji dotyczących zabezpieczenia społecznego. Dostęp ten powinien obejmować informacje dotyczące ścigania przestępstw w zakresie, w jakim dan</w:t>
            </w:r>
            <w:r>
              <w:t>e takie jak rejestry karne, zatrzymania pojazdów, przeszukanie mienia oraz uprzednio podjęte czynności prawne, takie jak nakazy zabezpieczenia lub konfiskaty bądź zajęcie środków pieniężnych, mogą mieć znaczenie dla identyfikacji odnośnego mienia. Dostęp d</w:t>
            </w:r>
            <w:r>
              <w:t xml:space="preserve">o informacji powinien podlegać szczegółowym środkom zabezpieczającym, które zapobiegają nieuprawnionemu wykorzystywaniu praw dostępu. Środki zabezpieczające nie powinny naruszać </w:t>
            </w:r>
            <w:r>
              <w:lastRenderedPageBreak/>
              <w:t>przepisów art. 25 dyrektywy Parlamentu Europejskiego i Rady (UE) 2016/680</w:t>
            </w:r>
            <w:r>
              <w:rPr>
                <w:vertAlign w:val="superscript"/>
              </w:rPr>
              <w:t>23</w:t>
            </w:r>
            <w:r>
              <w:t>. B</w:t>
            </w:r>
            <w:r>
              <w:t>ezpośredni i natychmiastowy dostęp do tych informacji nie uniemożliwia państwom członkowskim uzyskania dostępu podlegającego gwarancjom proceduralnym ustanowionym na mocy prawa krajowego, przy należytym uwzględnieniu faktu, że biura ds. odzyskiwania mienia</w:t>
            </w:r>
            <w:r>
              <w:t xml:space="preserve"> muszą być w stanie szybko reagować na wnioski transgraniczne. Wdrożenie gwarancji proceduralnych dotyczących dostępu do baz danych nie powinno wpłynąć na zdolność biur ds. odzyskiwania mienia do reagowania na wnioski od innych państw członkowskich, zwłasz</w:t>
            </w:r>
            <w:r>
              <w:t xml:space="preserve">cza w przypadku pilnych wniosków. Dostęp do właściwych baz danych i rejestrów na podstawie niniejszej dyrektywy powinien mieć charakter uzupełniający wobec dostępu do informacji o rachunkach bankowych na podstawie dyrektywy Parlamentu Europejskiego i Rady </w:t>
            </w:r>
            <w:r>
              <w:t>(UE) 2019/1153</w:t>
            </w:r>
            <w:r>
              <w:rPr>
                <w:vertAlign w:val="superscript"/>
              </w:rPr>
              <w:t>24</w:t>
            </w:r>
            <w:r>
              <w:t xml:space="preserve"> oraz do informacji o beneficjentach rzeczywistych na podstawie dyrektywy Parlamentu Europejskiego i Rady (UE) 2015/849</w:t>
            </w:r>
            <w:r>
              <w:rPr>
                <w:vertAlign w:val="superscript"/>
              </w:rPr>
              <w:t>25</w:t>
            </w:r>
            <w:r>
              <w:t>.</w:t>
            </w:r>
          </w:p>
        </w:tc>
        <w:tc>
          <w:tcPr>
            <w:tcW w:w="4876" w:type="dxa"/>
            <w:hideMark/>
          </w:tcPr>
          <w:p w:rsidR="00CA3D8B" w:rsidRPr="007F04E7" w:rsidRDefault="00DA6CAB" w:rsidP="009648E3">
            <w:pPr>
              <w:pStyle w:val="Normal6"/>
              <w:rPr>
                <w:szCs w:val="24"/>
              </w:rPr>
            </w:pPr>
            <w:r>
              <w:lastRenderedPageBreak/>
              <w:t>(17)</w:t>
            </w:r>
            <w:r>
              <w:tab/>
              <w:t>Aby biura ds. odzyskiwania mienia mogły prowadzić skuteczne dochodzenia mające na celu śledzenie mienia oraz szy</w:t>
            </w:r>
            <w:r>
              <w:t xml:space="preserve">bko reagować na wnioski transgraniczne, powinny mieć </w:t>
            </w:r>
            <w:r>
              <w:rPr>
                <w:b/>
                <w:i/>
              </w:rPr>
              <w:t>bezpośredni</w:t>
            </w:r>
            <w:r>
              <w:t xml:space="preserve"> dostęp do informacji, które umożliwiają im ustalenie istnienia lub własności mienia, które może stać się przedmiotem nakazu zabezpieczenia lub konfiskaty, bądź ustalenie, kto sprawuje kontrol</w:t>
            </w:r>
            <w:r>
              <w:t>ę nad takim mieniem. Z tego względu biura ds. odzyskiwania mienia powinny mieć dostęp do odpowiednich danych, takich jak dane podatkowe, krajowych rejestrów obywatelstwa i ewidencji ludności, handlowych baz danych oraz informacji dotyczących zabezpieczenia</w:t>
            </w:r>
            <w:r>
              <w:t xml:space="preserve"> społecznego. Dostęp ten powinien obejmować informacje dotyczące ścigania przestępstw w zakresie, w jakim dane takie jak rejestry karne, zatrzymania pojazdów, przeszukanie mienia oraz uprzednio podjęte czynności prawne, takie jak nakazy zabezpieczenia lub </w:t>
            </w:r>
            <w:r>
              <w:t>konfiskaty bądź zajęcie środków pieniężnych, mogą mieć znaczenie dla identyfikacji odnośnego mienia</w:t>
            </w:r>
            <w:r>
              <w:rPr>
                <w:b/>
                <w:i/>
              </w:rPr>
              <w:t>. W zakresie, w jakim jest to możliwe, oraz w przypadku gdy takie informacje znajdują się w bazach danych i systemach automatycznych, dostęp do nich powinien</w:t>
            </w:r>
            <w:r>
              <w:rPr>
                <w:b/>
                <w:i/>
              </w:rPr>
              <w:t xml:space="preserve"> być bezpośredni i natychmiastowy. Jeżeli </w:t>
            </w:r>
            <w:r>
              <w:rPr>
                <w:b/>
                <w:i/>
              </w:rPr>
              <w:lastRenderedPageBreak/>
              <w:t>udzielenie dostępu do takich informacji wymaga dodatkowych działań, właściwe organy powinny szybko dostarczyć takie informacje, aby umożliwić biurom ds. odzyskiwania mienia skuteczne wykonanie zadań wynikających z </w:t>
            </w:r>
            <w:r>
              <w:rPr>
                <w:b/>
                <w:i/>
              </w:rPr>
              <w:t>niniejszej dyrektywy</w:t>
            </w:r>
            <w:r>
              <w:t xml:space="preserve">. Dostęp do informacji powinien podlegać szczegółowym środkom zabezpieczającym, które zapobiegają nieuprawnionemu wykorzystywaniu praw dostępu. Środki zabezpieczające nie powinny naruszać przepisów art. 25 dyrektywy Parlamentu </w:t>
            </w:r>
            <w:r>
              <w:t>Europejskiego i Rady (UE) 2016/680</w:t>
            </w:r>
            <w:r>
              <w:rPr>
                <w:vertAlign w:val="superscript"/>
              </w:rPr>
              <w:t>23</w:t>
            </w:r>
            <w:r>
              <w:t xml:space="preserve">. Bezpośredni i natychmiastowy dostęp do tych informacji nie uniemożliwia państwom członkowskim uzyskania dostępu podlegającego gwarancjom proceduralnym ustanowionym na mocy prawa krajowego, przy należytym uwzględnieniu </w:t>
            </w:r>
            <w:r>
              <w:t>faktu, że biura ds. odzyskiwania mienia muszą być w stanie szybko reagować na wnioski transgraniczne. Wdrożenie gwarancji proceduralnych dotyczących dostępu do baz danych nie powinno wpłynąć na zdolność biur ds. odzyskiwania mienia do reagowania na wnioski</w:t>
            </w:r>
            <w:r>
              <w:t xml:space="preserve"> od innych państw członkowskich, zwłaszcza w przypadku pilnych wniosków. Dostęp do właściwych baz danych i rejestrów na podstawie niniejszej dyrektywy powinien mieć charakter uzupełniający wobec dostępu do informacji o rachunkach bankowych na podstawie dyr</w:t>
            </w:r>
            <w:r>
              <w:t>ektywy Parlamentu Europejskiego i Rady (UE) 2019/1153</w:t>
            </w:r>
            <w:r>
              <w:rPr>
                <w:vertAlign w:val="superscript"/>
              </w:rPr>
              <w:t>24</w:t>
            </w:r>
            <w:r>
              <w:t xml:space="preserve"> oraz do informacji o beneficjentach rzeczywistych na podstawie dyrektywy Parlamentu Europejskiego i Rady (UE) 2015/849</w:t>
            </w:r>
            <w:r>
              <w:rPr>
                <w:vertAlign w:val="superscript"/>
              </w:rPr>
              <w:t>25</w:t>
            </w:r>
            <w:r>
              <w:t>.</w:t>
            </w:r>
          </w:p>
        </w:tc>
      </w:tr>
      <w:tr w:rsidR="00AB1A16" w:rsidTr="009648E3">
        <w:trPr>
          <w:jc w:val="center"/>
        </w:trPr>
        <w:tc>
          <w:tcPr>
            <w:tcW w:w="4876" w:type="dxa"/>
            <w:hideMark/>
          </w:tcPr>
          <w:p w:rsidR="00CA3D8B" w:rsidRPr="007F04E7" w:rsidRDefault="00DA6CAB" w:rsidP="009648E3">
            <w:pPr>
              <w:pStyle w:val="Normal6"/>
            </w:pPr>
            <w:r>
              <w:lastRenderedPageBreak/>
              <w:t>__________________</w:t>
            </w:r>
          </w:p>
        </w:tc>
        <w:tc>
          <w:tcPr>
            <w:tcW w:w="4876" w:type="dxa"/>
            <w:hideMark/>
          </w:tcPr>
          <w:p w:rsidR="00CA3D8B" w:rsidRPr="007F04E7" w:rsidRDefault="00DA6CAB" w:rsidP="009648E3">
            <w:pPr>
              <w:pStyle w:val="Normal6"/>
              <w:rPr>
                <w:szCs w:val="24"/>
              </w:rPr>
            </w:pPr>
            <w:r>
              <w:t>__________________</w:t>
            </w:r>
          </w:p>
        </w:tc>
      </w:tr>
      <w:tr w:rsidR="00AB1A16" w:rsidTr="009648E3">
        <w:trPr>
          <w:jc w:val="center"/>
        </w:trPr>
        <w:tc>
          <w:tcPr>
            <w:tcW w:w="4876" w:type="dxa"/>
            <w:hideMark/>
          </w:tcPr>
          <w:p w:rsidR="00CA3D8B" w:rsidRPr="007F04E7" w:rsidRDefault="00DA6CAB" w:rsidP="009648E3">
            <w:pPr>
              <w:pStyle w:val="Normal6"/>
            </w:pPr>
            <w:r>
              <w:rPr>
                <w:vertAlign w:val="superscript"/>
              </w:rPr>
              <w:t>23</w:t>
            </w:r>
            <w:r>
              <w:t xml:space="preserve"> Dyrektywa Parlamentu Europejskiego </w:t>
            </w:r>
            <w:r>
              <w:t xml:space="preserve">i Rady (UE) 2016/680 z dnia 27 kwietnia 2016 r. w sprawie ochrony osób fizycznych w związku z przetwarzaniem danych osobowych przez właściwe organy do celów zapobiegania przestępczości, prowadzenia postępowań </w:t>
            </w:r>
            <w:r>
              <w:lastRenderedPageBreak/>
              <w:t xml:space="preserve">przygotowawczych, wykrywania i ścigania czynów </w:t>
            </w:r>
            <w:r>
              <w:t>zabronionych i wykonywania kar, w sprawie swobodnego przepływu takich danych oraz uchylająca decyzję ramową Rady 2008/977/WSiSW (Dz.U. L 119 z 4.5.2016, s. 89).</w:t>
            </w:r>
          </w:p>
        </w:tc>
        <w:tc>
          <w:tcPr>
            <w:tcW w:w="4876" w:type="dxa"/>
            <w:hideMark/>
          </w:tcPr>
          <w:p w:rsidR="00CA3D8B" w:rsidRPr="007F04E7" w:rsidRDefault="00DA6CAB" w:rsidP="009648E3">
            <w:pPr>
              <w:pStyle w:val="Normal6"/>
              <w:rPr>
                <w:szCs w:val="24"/>
              </w:rPr>
            </w:pPr>
            <w:r>
              <w:rPr>
                <w:vertAlign w:val="superscript"/>
              </w:rPr>
              <w:lastRenderedPageBreak/>
              <w:t>23</w:t>
            </w:r>
            <w:r>
              <w:t xml:space="preserve"> Dyrektywa Parlamentu Europejskiego i Rady (UE) 2016/680 z dnia 27 kwietnia 2016 r. w sprawie</w:t>
            </w:r>
            <w:r>
              <w:t xml:space="preserve"> ochrony osób fizycznych w związku z przetwarzaniem danych osobowych przez właściwe organy do celów zapobiegania przestępczości, prowadzenia postępowań </w:t>
            </w:r>
            <w:r>
              <w:lastRenderedPageBreak/>
              <w:t>przygotowawczych, wykrywania i ścigania czynów zabronionych i wykonywania kar, w sprawie swobodnego prze</w:t>
            </w:r>
            <w:r>
              <w:t>pływu takich danych oraz uchylająca decyzję ramową Rady 2008/977/WSiSW (Dz.U. L 119 z 4.5.2016, s. 89).</w:t>
            </w:r>
          </w:p>
        </w:tc>
      </w:tr>
      <w:tr w:rsidR="00AB1A16" w:rsidTr="009648E3">
        <w:trPr>
          <w:jc w:val="center"/>
        </w:trPr>
        <w:tc>
          <w:tcPr>
            <w:tcW w:w="4876" w:type="dxa"/>
            <w:hideMark/>
          </w:tcPr>
          <w:p w:rsidR="00CA3D8B" w:rsidRPr="007F04E7" w:rsidRDefault="00DA6CAB" w:rsidP="009648E3">
            <w:pPr>
              <w:pStyle w:val="Normal6"/>
            </w:pPr>
            <w:r>
              <w:rPr>
                <w:vertAlign w:val="superscript"/>
              </w:rPr>
              <w:lastRenderedPageBreak/>
              <w:t>24</w:t>
            </w:r>
            <w:r>
              <w:t xml:space="preserve"> Dyrektywa Parlamentu Europejskiego i Rady (UE) 2019/1153 z dnia 20 czerwca 2019 r. ustanawiająca zasady ułatwiające korzystanie z informacji finansowych i innych informacji w celu zapobiegania niektórym przestępstwom, ich wykrywania, prowadzenia dochodzeń</w:t>
            </w:r>
            <w:r>
              <w:t xml:space="preserve"> w ich sprawie lub ich ścigania oraz uchylająca decyzję Rady 2000/642/WSiSW (Dz.U. L 186 z 11.7.2019, s. 122).</w:t>
            </w:r>
          </w:p>
        </w:tc>
        <w:tc>
          <w:tcPr>
            <w:tcW w:w="4876" w:type="dxa"/>
            <w:hideMark/>
          </w:tcPr>
          <w:p w:rsidR="00CA3D8B" w:rsidRPr="007F04E7" w:rsidRDefault="00DA6CAB" w:rsidP="009648E3">
            <w:pPr>
              <w:pStyle w:val="Normal6"/>
              <w:rPr>
                <w:szCs w:val="24"/>
              </w:rPr>
            </w:pPr>
            <w:r>
              <w:rPr>
                <w:vertAlign w:val="superscript"/>
              </w:rPr>
              <w:t>24</w:t>
            </w:r>
            <w:r>
              <w:t xml:space="preserve"> Dyrektywa Parlamentu Europejskiego i Rady (UE) 2019/1153 z dnia 20 czerwca 2019 r. ustanawiająca zasady ułatwiające korzystanie z informacji f</w:t>
            </w:r>
            <w:r>
              <w:t>inansowych i innych informacji w celu zapobiegania niektórym przestępstwom, ich wykrywania, prowadzenia dochodzeń w ich sprawie lub ich ścigania oraz uchylająca decyzję Rady 2000/642/WSiSW (Dz.U. L 186 z 11.7.2019, s. 122).</w:t>
            </w:r>
          </w:p>
        </w:tc>
      </w:tr>
      <w:tr w:rsidR="00AB1A16" w:rsidTr="009648E3">
        <w:trPr>
          <w:jc w:val="center"/>
        </w:trPr>
        <w:tc>
          <w:tcPr>
            <w:tcW w:w="4876" w:type="dxa"/>
            <w:hideMark/>
          </w:tcPr>
          <w:p w:rsidR="00CA3D8B" w:rsidRPr="007F04E7" w:rsidRDefault="00DA6CAB" w:rsidP="009648E3">
            <w:pPr>
              <w:pStyle w:val="Normal6"/>
            </w:pPr>
            <w:r>
              <w:rPr>
                <w:vertAlign w:val="superscript"/>
              </w:rPr>
              <w:t>25</w:t>
            </w:r>
            <w:r>
              <w:t xml:space="preserve"> Dyrektywa Parlamentu Europej</w:t>
            </w:r>
            <w:r>
              <w:t>skiego i Rady (UE) 2015/849 z dnia 20 maja 2015 r. w sprawie zapobiegania wykorzystywaniu systemu finansowego do prania pieniędzy lub finansowania terroryzmu zmieniona dyrektywą (UE) 2018/843 (Dz.U. L 141 z 5.6.2015, s. 73).</w:t>
            </w:r>
          </w:p>
        </w:tc>
        <w:tc>
          <w:tcPr>
            <w:tcW w:w="4876" w:type="dxa"/>
            <w:hideMark/>
          </w:tcPr>
          <w:p w:rsidR="00CA3D8B" w:rsidRPr="007F04E7" w:rsidRDefault="00DA6CAB" w:rsidP="009648E3">
            <w:pPr>
              <w:pStyle w:val="Normal6"/>
              <w:rPr>
                <w:szCs w:val="24"/>
              </w:rPr>
            </w:pPr>
            <w:r>
              <w:rPr>
                <w:vertAlign w:val="superscript"/>
              </w:rPr>
              <w:t>25</w:t>
            </w:r>
            <w:r>
              <w:t xml:space="preserve"> Dyrektywa Parlamentu Europej</w:t>
            </w:r>
            <w:r>
              <w:t>skiego i Rady (UE) 2015/849 z dnia 20 maja 2015 r. w sprawie zapobiegania wykorzystywaniu systemu finansowego do prania pieniędzy lub finansowania terroryzmu zmieniona dyrektywą (UE) 2018/843 (Dz.U. L 141 z 5.6.2015, s. 73).</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w:t>
      </w:r>
      <w:r w:rsidRPr="007F04E7">
        <w:rPr>
          <w:rStyle w:val="HideTWBExt"/>
          <w:noProof w:val="0"/>
          <w:lang w:val="en-GB"/>
        </w:rPr>
        <w:t>&gt;</w:t>
      </w:r>
    </w:p>
    <w:p w:rsidR="00CA3D8B" w:rsidRPr="00CA3D8B"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(18)</w:t>
            </w:r>
            <w:r>
              <w:tab/>
              <w:t xml:space="preserve">Aby zapewnić bezpieczeństwo informacji wymienianych przez biura ds. odzyskiwania </w:t>
            </w:r>
            <w:r>
              <w:t xml:space="preserve">mienia, we wszelkiej komunikacji między tymi biurami prowadzonej na podstawie niniejszej dyrektywy obowiązkowe powinno być korzystanie z aplikacji sieci bezpiecznej wymiany informacji (SIENA), zarządzanej przez Europol zgodnie z rozporządzeniem Parlamentu </w:t>
            </w:r>
            <w:r>
              <w:t>Europejskiego i Rady (UE) 2016/794</w:t>
            </w:r>
            <w:r>
              <w:rPr>
                <w:vertAlign w:val="superscript"/>
              </w:rPr>
              <w:t>26</w:t>
            </w:r>
            <w:r>
              <w:t xml:space="preserve">. Z tego względu wszystkie biura ds. odzyskiwania mienia powinny </w:t>
            </w:r>
            <w:r>
              <w:lastRenderedPageBreak/>
              <w:t>mieć bezpośredni dostęp do SIENA, aby móc realizować wszystkie zadania powierzone im na mocy niniejszej dyrektywy.</w:t>
            </w:r>
          </w:p>
        </w:tc>
        <w:tc>
          <w:tcPr>
            <w:tcW w:w="4876" w:type="dxa"/>
            <w:hideMark/>
          </w:tcPr>
          <w:p w:rsidR="00CA3D8B" w:rsidRPr="007F04E7" w:rsidRDefault="00DA6CAB" w:rsidP="009648E3">
            <w:pPr>
              <w:pStyle w:val="Normal6"/>
              <w:rPr>
                <w:szCs w:val="24"/>
              </w:rPr>
            </w:pPr>
            <w:r>
              <w:lastRenderedPageBreak/>
              <w:t>(18)</w:t>
            </w:r>
            <w:r>
              <w:tab/>
              <w:t>Aby zapewnić bezpieczeństwo informa</w:t>
            </w:r>
            <w:r>
              <w:t>cji wymienianych przez biura ds. odzyskiwania mienia, we wszelkiej komunikacji między tymi biurami prowadzonej na podstawie niniejszej dyrektywy obowiązkowe powinno być korzystanie z aplikacji sieci bezpiecznej wymiany informacji (SIENA), zarządzanej przez</w:t>
            </w:r>
            <w:r>
              <w:t xml:space="preserve"> Europol zgodnie z rozporządzeniem Parlamentu Europejskiego i Rady (UE) 2016/794</w:t>
            </w:r>
            <w:r>
              <w:rPr>
                <w:vertAlign w:val="superscript"/>
              </w:rPr>
              <w:t>26</w:t>
            </w:r>
            <w:r>
              <w:t xml:space="preserve">. Z tego względu wszystkie biura ds. odzyskiwania mienia powinny </w:t>
            </w:r>
            <w:r>
              <w:lastRenderedPageBreak/>
              <w:t xml:space="preserve">mieć </w:t>
            </w:r>
            <w:r>
              <w:rPr>
                <w:b/>
                <w:i/>
              </w:rPr>
              <w:t>zapewniony</w:t>
            </w:r>
            <w:r>
              <w:t xml:space="preserve"> bezpośredni dostęp do SIENA, aby móc realizować wszystkie zadania powierzone im na mocy ninie</w:t>
            </w:r>
            <w:r>
              <w:t>jszej dyrektywy.</w:t>
            </w:r>
          </w:p>
        </w:tc>
      </w:tr>
      <w:tr w:rsidR="00AB1A16" w:rsidTr="009648E3">
        <w:trPr>
          <w:jc w:val="center"/>
        </w:trPr>
        <w:tc>
          <w:tcPr>
            <w:tcW w:w="4876" w:type="dxa"/>
            <w:hideMark/>
          </w:tcPr>
          <w:p w:rsidR="00CA3D8B" w:rsidRPr="007F04E7" w:rsidRDefault="00DA6CAB" w:rsidP="009648E3">
            <w:pPr>
              <w:pStyle w:val="Normal6"/>
            </w:pPr>
            <w:r>
              <w:lastRenderedPageBreak/>
              <w:t>__________________</w:t>
            </w:r>
          </w:p>
        </w:tc>
        <w:tc>
          <w:tcPr>
            <w:tcW w:w="4876" w:type="dxa"/>
            <w:hideMark/>
          </w:tcPr>
          <w:p w:rsidR="00CA3D8B" w:rsidRPr="007F04E7" w:rsidRDefault="00DA6CAB" w:rsidP="009648E3">
            <w:pPr>
              <w:pStyle w:val="Normal6"/>
              <w:rPr>
                <w:szCs w:val="24"/>
              </w:rPr>
            </w:pPr>
            <w:r>
              <w:t>__________________</w:t>
            </w:r>
          </w:p>
        </w:tc>
      </w:tr>
      <w:tr w:rsidR="00AB1A16" w:rsidTr="009648E3">
        <w:trPr>
          <w:jc w:val="center"/>
        </w:trPr>
        <w:tc>
          <w:tcPr>
            <w:tcW w:w="4876" w:type="dxa"/>
            <w:hideMark/>
          </w:tcPr>
          <w:p w:rsidR="00CA3D8B" w:rsidRPr="007F04E7" w:rsidRDefault="00DA6CAB" w:rsidP="009648E3">
            <w:pPr>
              <w:pStyle w:val="Normal6"/>
            </w:pPr>
            <w:r>
              <w:rPr>
                <w:vertAlign w:val="superscript"/>
              </w:rPr>
              <w:t>26</w:t>
            </w:r>
            <w:r>
              <w:t xml:space="preserve"> Rozporządzenie Parlamentu Europejskiego i Rady (UE) 2016/794 z dnia 11 maja 2016 r. w sprawie Agencji Unii Europejskiej ds. Współpracy Organów Ścigania (Europol), zastępujące i uchylające decyzje </w:t>
            </w:r>
            <w:r>
              <w:t>Rady 2009/371/WSiSW, 2009/934/WSiSW, 2009/935/WSiSW, 2009/936/WSiSW i 2009/968/WSiSW (Dz.U. L 135 z 24.5.2016, s. 53).</w:t>
            </w:r>
          </w:p>
        </w:tc>
        <w:tc>
          <w:tcPr>
            <w:tcW w:w="4876" w:type="dxa"/>
            <w:hideMark/>
          </w:tcPr>
          <w:p w:rsidR="00CA3D8B" w:rsidRPr="007F04E7" w:rsidRDefault="00DA6CAB" w:rsidP="009648E3">
            <w:pPr>
              <w:pStyle w:val="Normal6"/>
              <w:rPr>
                <w:szCs w:val="24"/>
              </w:rPr>
            </w:pPr>
            <w:r>
              <w:rPr>
                <w:vertAlign w:val="superscript"/>
              </w:rPr>
              <w:t>26</w:t>
            </w:r>
            <w:r>
              <w:t xml:space="preserve"> Rozporządzenie Parlamentu Europejskiego i Rady (UE) 2016/794 z dnia 11 maja 2016 r. w sprawie Agencji Unii Europejskiej ds. Współpracy</w:t>
            </w:r>
            <w:r>
              <w:t xml:space="preserve"> Organów Ścigania (Europol), zastępujące i uchylające decyzje Rady 2009/371/WSiSW, 2009/934/WSiSW, 2009/935/WSiSW, 2009/936/WSiSW i 2009/968/WSiSW (Dz.U. L 135 z 24.5.2016, s. 53).</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CA3D8B"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(24)</w:t>
            </w:r>
            <w:r>
              <w:tab/>
              <w:t xml:space="preserve">Powszechną i często stosowaną praktyką służącą uniknięciu konfiskaty jest przekazywanie mienia lub korzyści przez podejrzanego </w:t>
            </w:r>
            <w:r>
              <w:t>lub oskarżonego świadomej tego osobie trzeciej. Nabycie przez osobę trzecią odnosi się na przykład do sytuacji, w których osoba trzecia nabyła mienie – bezpośrednio lub pośrednio, na przykład przez pośrednika – od podejrzanego lub oskarżonego, w tym w przy</w:t>
            </w:r>
            <w:r>
              <w:t xml:space="preserve">padku sprawstwa polecającego lub kierowniczego lub popełnienia przestępstwa na rzecz podejrzanego lub oskarżonego, oraz jeżeli oskarżony nie posiada mienia, które można skonfiskować. Konfiskata taka powinna być możliwa w przypadkach, w których </w:t>
            </w:r>
            <w:r>
              <w:rPr>
                <w:b/>
                <w:i/>
              </w:rPr>
              <w:t>ustalono</w:t>
            </w:r>
            <w:r>
              <w:t xml:space="preserve">, że osoby trzecie wiedziały lub </w:t>
            </w:r>
            <w:r>
              <w:rPr>
                <w:b/>
                <w:i/>
              </w:rPr>
              <w:t>powinny były wiedzieć</w:t>
            </w:r>
            <w:r>
              <w:t xml:space="preserve"> – na podstawie konkretnych faktów i okoliczności, takich jak przekazanie nieodpłatne lub przekazanie w zamian za kwotę o wiele </w:t>
            </w:r>
            <w:r>
              <w:lastRenderedPageBreak/>
              <w:t>niższą niż wartość rynkowa danego mienia – że celem przekazania lub nabyci</w:t>
            </w:r>
            <w:r>
              <w:t xml:space="preserve">a mienia było uniknięcie konfiskaty. Przepisy dotyczące konfiskaty w stosunku do osób trzecich powinny dotyczyć zarówno osób fizycznych, jak i osób prawnych, bez uszczerbku dla prawa osób trzecich do bycia wysłuchanym, w tym prawa do zgłoszenia roszczenia </w:t>
            </w:r>
            <w:r>
              <w:t xml:space="preserve">do odnośnego mienia. </w:t>
            </w:r>
            <w:r>
              <w:rPr>
                <w:b/>
                <w:i/>
              </w:rPr>
              <w:t>W żadnym przypadku</w:t>
            </w:r>
            <w:r>
              <w:t xml:space="preserve"> nie powinno to mieć wpływu na prawa osób trzecich działających w dobrej wierze.</w:t>
            </w:r>
          </w:p>
        </w:tc>
        <w:tc>
          <w:tcPr>
            <w:tcW w:w="4876" w:type="dxa"/>
            <w:hideMark/>
          </w:tcPr>
          <w:p w:rsidR="00CA3D8B" w:rsidRPr="007F04E7" w:rsidRDefault="00DA6CAB" w:rsidP="009648E3">
            <w:pPr>
              <w:pStyle w:val="Normal6"/>
              <w:rPr>
                <w:szCs w:val="24"/>
              </w:rPr>
            </w:pPr>
            <w:r>
              <w:lastRenderedPageBreak/>
              <w:t>(24)</w:t>
            </w:r>
            <w:r>
              <w:tab/>
              <w:t xml:space="preserve">Powszechną i często stosowaną praktyką służącą uniknięciu konfiskaty jest przekazywanie mienia lub korzyści przez podejrzanego lub </w:t>
            </w:r>
            <w:r>
              <w:t>oskarżonego świadomej tego osobie trzeciej. Nabycie przez osobę trzecią odnosi się na przykład do sytuacji, w których osoba trzecia nabyła mienie – bezpośrednio lub pośrednio, na przykład przez pośrednika – od podejrzanego lub oskarżonego, w tym w przypadk</w:t>
            </w:r>
            <w:r>
              <w:t xml:space="preserve">u sprawstwa polecającego lub kierowniczego lub popełnienia przestępstwa na rzecz podejrzanego lub oskarżonego, oraz jeżeli oskarżony nie posiada mienia, które można skonfiskować. Konfiskata taka powinna być możliwa w przypadkach, w których </w:t>
            </w:r>
            <w:r>
              <w:rPr>
                <w:b/>
                <w:i/>
              </w:rPr>
              <w:t>– na podstawie k</w:t>
            </w:r>
            <w:r>
              <w:rPr>
                <w:b/>
                <w:i/>
              </w:rPr>
              <w:t>onkretnych faktów i okoliczności – sąd krajowy ustalił</w:t>
            </w:r>
            <w:r>
              <w:t xml:space="preserve">, że osoby trzecie wiedziały lub </w:t>
            </w:r>
            <w:r>
              <w:rPr>
                <w:b/>
                <w:i/>
              </w:rPr>
              <w:t>można zakładać, że wiedziały</w:t>
            </w:r>
            <w:r>
              <w:t xml:space="preserve"> – na podstawie konkretnych faktów i okoliczności, takich </w:t>
            </w:r>
            <w:r>
              <w:lastRenderedPageBreak/>
              <w:t>jak przekazanie nieodpłatne lub przekazanie w zamian za kwotę o wiele niższą niż wa</w:t>
            </w:r>
            <w:r>
              <w:t xml:space="preserve">rtość rynkowa danego mienia – że celem przekazania lub nabycia mienia było uniknięcie konfiskaty </w:t>
            </w:r>
            <w:r>
              <w:rPr>
                <w:b/>
                <w:i/>
              </w:rPr>
              <w:t>lub że przekazane mienie było bezpośrednio lub pośrednio powiązane z działalnością przestępczą</w:t>
            </w:r>
            <w:r>
              <w:t>. Przepisy dotyczące konfiskaty w stosunku do osób trzecich powin</w:t>
            </w:r>
            <w:r>
              <w:t>ny dotyczyć zarówno osób fizycznych, jak i osób prawnych, bez uszczerbku dla prawa osób trzecich do bycia wysłuchanym, w tym prawa do zgłoszenia roszczenia do odnośnego mienia. Nie powinno to mieć wpływu na prawa osób trzecich działających w dobrej wierze</w:t>
            </w:r>
            <w:r>
              <w:rPr>
                <w:b/>
                <w:i/>
              </w:rPr>
              <w:t>,</w:t>
            </w:r>
            <w:r>
              <w:rPr>
                <w:b/>
                <w:i/>
              </w:rPr>
              <w:t xml:space="preserve"> które dokonały uczciwej zapłaty za nabycie mienia według wartości rynkowej</w:t>
            </w:r>
            <w:r>
              <w:t xml:space="preserve">. </w:t>
            </w:r>
            <w:r>
              <w:rPr>
                <w:b/>
                <w:i/>
              </w:rPr>
              <w:t>Takim osobom trzecim należy zapewnić możliwość zgłoszenia uwag na temat przewidzianego środka dotyczącego konfiskaty lub możliwość wystąpienia do sądu o zwrot mienia.</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w:t>
      </w:r>
      <w:r w:rsidRPr="007F04E7">
        <w:rPr>
          <w:rStyle w:val="HideTWBExt"/>
          <w:noProof w:val="0"/>
          <w:lang w:val="en-GB"/>
        </w:rPr>
        <w:t>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CA3D8B"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7</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26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(26)</w:t>
            </w:r>
            <w:r>
              <w:tab/>
              <w:t xml:space="preserve">Konfiskata powinna być możliwa także wówczas, gdy sąd jest </w:t>
            </w:r>
            <w:r>
              <w:t>przekonany, że dane narzędzia, korzyści lub mienie pochodzą z działalności przestępczej, lecz wydanie prawomocnego wyroku skazującego nie jest możliwe z powodu choroby, ucieczki lub śmierci podejrzanego lub oskarżonego bądź gdy nie można pociągnąć podejrza</w:t>
            </w:r>
            <w:r>
              <w:t xml:space="preserve">nego lub oskarżonego do odpowiedzialności z powodu immunitetu lub amnestii przewidzianych w prawie krajowym. Powyższe powinno być możliwe również po upływie terminów przewidzianych w prawie krajowym, gdy </w:t>
            </w:r>
            <w:r>
              <w:lastRenderedPageBreak/>
              <w:t>takie terminy nie są wystarczająco długie, aby umożl</w:t>
            </w:r>
            <w:r>
              <w:t>iwić skuteczne prowadzenie dochodzenia w sprawie określonych przestępstw i ich ściganie. W takich przypadkach konfiskata powinna być dozwolona jedynie wówczas, gdy sąd krajowy jest przekonany, że wyczerpane są wszystkie znamiona przestępstwa. Ze względu na</w:t>
            </w:r>
            <w:r>
              <w:t xml:space="preserve"> proporcjonalność konfiskatę mienia bez wcześniejszego wyroku skazującego należy ograniczyć do przypadków poważnych przestępstw. Nie powinno to mieć wpływu na prawo oskarżonego do bycia poinformowanym o postępowaniu i do bycia reprezentowanym przez adwokat</w:t>
            </w:r>
            <w:r>
              <w:t>a.</w:t>
            </w:r>
          </w:p>
        </w:tc>
        <w:tc>
          <w:tcPr>
            <w:tcW w:w="4876" w:type="dxa"/>
            <w:hideMark/>
          </w:tcPr>
          <w:p w:rsidR="00CA3D8B" w:rsidRPr="007F04E7" w:rsidRDefault="00DA6CAB" w:rsidP="009648E3">
            <w:pPr>
              <w:pStyle w:val="Normal6"/>
              <w:rPr>
                <w:szCs w:val="24"/>
              </w:rPr>
            </w:pPr>
            <w:r>
              <w:lastRenderedPageBreak/>
              <w:t>(26)</w:t>
            </w:r>
            <w:r>
              <w:tab/>
              <w:t>Konfiskata powinna być możliwa także wówczas, gdy sąd jest przekonany, że dane narzędzia, korzyści lub mienie pochodzą z działalności przestępczej, lecz wydanie prawomocnego wyroku skazującego nie jest możliwe z powodu choroby, ucieczki lub śmierci</w:t>
            </w:r>
            <w:r>
              <w:t xml:space="preserve"> podejrzanego lub oskarżonego bądź gdy nie można pociągnąć podejrzanego lub oskarżonego do odpowiedzialności z powodu immunitetu lub amnestii przewidzianych w prawie krajowym. Powyższe powinno być możliwe również po upływie terminów przewidzianych w prawie</w:t>
            </w:r>
            <w:r>
              <w:t xml:space="preserve"> krajowym, gdy </w:t>
            </w:r>
            <w:r>
              <w:lastRenderedPageBreak/>
              <w:t xml:space="preserve">takie terminy nie są wystarczająco długie, aby umożliwić skuteczne prowadzenie dochodzenia w sprawie określonych przestępstw i ich ściganie. </w:t>
            </w:r>
            <w:r>
              <w:rPr>
                <w:b/>
                <w:i/>
              </w:rPr>
              <w:t>W takich przypadkach zasadne i proporcjonalne jest zastosowanie terminu 15 lat. W wielu państwach cz</w:t>
            </w:r>
            <w:r>
              <w:rPr>
                <w:b/>
                <w:i/>
              </w:rPr>
              <w:t>łonkowskich funkcjonują już tego rodzaju narzędzia konfiskaty bez uprzedniego wyroku skazującego, które okazały się bardzo skuteczne, zwłaszcza w porównaniu z tradycyjnymi mechanizmami konfiskaty. Mechanizmy odzyskiwania mienia bez uprzedniego wyroku skazu</w:t>
            </w:r>
            <w:r>
              <w:rPr>
                <w:b/>
                <w:i/>
              </w:rPr>
              <w:t>jącego zostały już dawno uznane w kluczowych traktatach międzynarodowych, między innymi w Konwencji Narodów Zjednoczonych przeciwko korupcji, oraz przez organy ustanawiające standardy, takie jak Grupa Specjalna ds. Przeciwdziałania Praniu Pieniędzy (FATF).</w:t>
            </w:r>
            <w:r>
              <w:rPr>
                <w:b/>
                <w:i/>
              </w:rPr>
              <w:t xml:space="preserve"> W Konwencji Rady Europy o praniu, ujawnianiu, zajmowaniu i konfiskacie dochodów pochodzących z przestępstwa oraz o finansowaniu terroryzmu z 2005 r. wzywa się strony konwencji do udzielenia pomocy innym stronom w wykonaniu nakazów zabezpieczenia i konfisk</w:t>
            </w:r>
            <w:r>
              <w:rPr>
                <w:b/>
                <w:i/>
              </w:rPr>
              <w:t>aty, które to nakazy nie zostały wydane na podstawie wyroku skazującego. Międzyagencyjna Sieć Odzyskiwania Mienia Camden, finansowana przez Unię, wydała też kilka zaleceń dotyczących konfiskaty bez uprzedniego wyroku skazującego.</w:t>
            </w:r>
            <w:r>
              <w:t xml:space="preserve"> W takich przypadkach konfi</w:t>
            </w:r>
            <w:r>
              <w:t>skata powinna być dozwolona jedynie wówczas, gdy sąd krajowy jest przekonany, że wyczerpane są wszystkie znamiona przestępstwa. Ze względu na proporcjonalność konfiskatę mienia bez wcześniejszego wyroku skazującego należy ograniczyć do przypadków poważnych</w:t>
            </w:r>
            <w:r>
              <w:t xml:space="preserve"> przestępstw. Nie powinno to mieć wpływu na prawo oskarżonego do bycia poinformowanym o postępowaniu i do bycia reprezentowanym przez adwokata.</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CA3D8B"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8</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 xml:space="preserve">Wniosek dotyczący </w:t>
      </w:r>
      <w:r>
        <w:t>dyrektywy</w:t>
      </w:r>
      <w:r>
        <w:rPr>
          <w:rStyle w:val="HideTWBExt"/>
          <w:b w:val="0"/>
          <w:lang w:val="pt-PT"/>
        </w:rPr>
        <w:t>&lt;/DocAmend&gt;</w:t>
      </w:r>
    </w:p>
    <w:p w:rsidR="00CA3D8B" w:rsidRPr="007F04E7" w:rsidRDefault="00DA6CAB" w:rsidP="00CA3D8B">
      <w:pPr>
        <w:pStyle w:val="NormalBold"/>
      </w:pPr>
      <w:r>
        <w:rPr>
          <w:rStyle w:val="HideTWBExt"/>
          <w:b w:val="0"/>
        </w:rPr>
        <w:t>&lt;Article&gt;</w:t>
      </w:r>
      <w:r>
        <w:t>Motyw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(28)</w:t>
            </w:r>
            <w:r>
              <w:tab/>
              <w:t>Z uwagi na immanentnie nieprzejrzysty charakter przestępczości zorganizowanej nie zawsze istnieje możliwość powiązania mienia pochodzącego z działalności prze</w:t>
            </w:r>
            <w:r>
              <w:t>stępczej z konkretnym przestępstwem oraz konfiskaty takiego mienia. W takich sytuacjach konfiskata powinna być możliwa pod pewnymi warunkami, w szczególności gdy: mienie jest zabezpieczone na podstawie podejrzenia popełnienia przestępstw w ramach organizac</w:t>
            </w:r>
            <w:r>
              <w:t>ji przestępczej, przestępstwa te mogą być źródłem znacznych korzyści majątkowych, a sąd jest przekonany, że zabezpieczone mienie pochodzi z działalności przestępczej prowadzonej w ramach organizacji przestępczej. Warunki te powinny zapewniać, aby konfiskat</w:t>
            </w:r>
            <w:r>
              <w:t>ę mienia niepowiązanego z przestępstwem, za które właściciel został skazany, ograniczono do działalności przestępczej w ramach organizacji przestępczych o poważnym charakterze, która może być źródłem znacznych korzyści. Przy ustalaniu, czy przestępstwa mog</w:t>
            </w:r>
            <w:r>
              <w:t>ą być źródłem znacznych korzyści, państwa członkowskie powinny wziąć pod uwagę wszystkie istotne okoliczności przestępstwa, w tym fakt, czy działalność przestępczą prowadzono z zamiarem uzyskiwania stałych znacznych zysków. Przekonanie sądu krajowego o pop</w:t>
            </w:r>
            <w:r>
              <w:t xml:space="preserve">ełnieniu przestępstwa nie powinno stanowić warunku wstępnego, niemniej sąd musi być przekonany, że dane mienie pochodzi z działalności przestępczej. Przy ustalaniu, czy dane mienie pochodzi z działalności </w:t>
            </w:r>
            <w:r>
              <w:lastRenderedPageBreak/>
              <w:t>przestępczej, sądy krajowe powinny brać pod uwagę w</w:t>
            </w:r>
            <w:r>
              <w:t>szystkie istotne okoliczności danej sprawy, w tym fakt, że wartość mienia jest rażąco nieproporcjonalna w stosunku do legalnego dochodu właściciela. Państwa członkowskie powinny zatem wymagać od właściciela mienia – i zapewnić mu skuteczną możliwość – udow</w:t>
            </w:r>
            <w:r>
              <w:t>odnienia, że dane mienie pochodzi z legalnej działalności.</w:t>
            </w:r>
          </w:p>
        </w:tc>
        <w:tc>
          <w:tcPr>
            <w:tcW w:w="4876" w:type="dxa"/>
            <w:hideMark/>
          </w:tcPr>
          <w:p w:rsidR="00CA3D8B" w:rsidRPr="007F04E7" w:rsidRDefault="00DA6CAB" w:rsidP="009648E3">
            <w:pPr>
              <w:pStyle w:val="Normal6"/>
              <w:rPr>
                <w:szCs w:val="24"/>
              </w:rPr>
            </w:pPr>
            <w:r>
              <w:lastRenderedPageBreak/>
              <w:t>(28)</w:t>
            </w:r>
            <w:r>
              <w:tab/>
              <w:t>Z uwagi na immanentnie nieprzejrzysty charakter przestępczości zorganizowanej nie zawsze istnieje możliwość powiązania mienia pochodzącego z działalności przestępczej z konkretnym przestępstwe</w:t>
            </w:r>
            <w:r>
              <w:t>m oraz konfiskaty takiego mienia.</w:t>
            </w:r>
            <w:r>
              <w:rPr>
                <w:b/>
                <w:i/>
              </w:rPr>
              <w:t xml:space="preserve"> Niemniej nadal powinna istnieć możliwość konfiskaty mienia w celu przerwania działalności przestępczej i zagwarantowania, że zyski z działalności przestępczej nie zostaną zainwestowane w legalnym obrocie gospodarczym.</w:t>
            </w:r>
            <w:r>
              <w:t xml:space="preserve"> W ta</w:t>
            </w:r>
            <w:r>
              <w:t>kich sytuacjach konfiskata powinna być możliwa pod pewnymi warunkami, w szczególności gdy: mienie jest zabezpieczone na podstawie podejrzenia popełnienia przestępstw w ramach organizacji przestępczej, przestępstwa te mogą być źródłem znacznych korzyści maj</w:t>
            </w:r>
            <w:r>
              <w:t>ątkowych, a sąd jest przekonany, że zabezpieczone mienie pochodzi z działalności przestępczej prowadzonej w ramach organizacji przestępczej. Warunki te powinny zapewniać, aby konfiskatę mienia niepowiązanego z przestępstwem, za które właściciel został skaz</w:t>
            </w:r>
            <w:r>
              <w:t>any, ograniczono do działalności przestępczej w ramach organizacji przestępczych o poważnym charakterze, która może być źródłem znacznych korzyści. Przy ustalaniu, czy przestępstwa mogą być źródłem znacznych korzyści, państwa członkowskie powinny wziąć pod</w:t>
            </w:r>
            <w:r>
              <w:t xml:space="preserve"> uwagę wszystkie istotne okoliczności przestępstwa, w tym fakt, czy działalność przestępczą prowadzono z zamiarem uzyskiwania stałych znacznych zysków. Przekonanie sądu krajowego </w:t>
            </w:r>
            <w:r>
              <w:lastRenderedPageBreak/>
              <w:t>o popełnieniu przestępstwa nie powinno stanowić warunku wstępnego, niemniej s</w:t>
            </w:r>
            <w:r>
              <w:t>ąd musi być przekonany, że dane mienie pochodzi z działalności przestępczej. Przy ustalaniu, czy dane mienie pochodzi z działalności przestępczej, sądy krajowe powinny brać pod uwagę wszystkie istotne okoliczności danej sprawy, w tym fakt, że wartość mieni</w:t>
            </w:r>
            <w:r>
              <w:t xml:space="preserve">a jest rażąco nieproporcjonalna w stosunku do legalnego dochodu właściciela. Państwa członkowskie powinny zatem wymagać od właściciela mienia – i zapewnić mu skuteczną możliwość – udowodnienia, że dane mienie pochodzi z legalnej działalności. </w:t>
            </w:r>
            <w:r>
              <w:rPr>
                <w:b/>
                <w:i/>
              </w:rPr>
              <w:t>W tym kontekś</w:t>
            </w:r>
            <w:r>
              <w:rPr>
                <w:b/>
                <w:i/>
              </w:rPr>
              <w:t>cie rekomendacja 4 Grupy Specjalnej ds. Przeciwdziałania Praniu Pieniędzy stanowi ponadto, że państwa powinny rozważyć przyjęcie środków, które nakładają na przestępcę obowiązek wykazania legalnego pochodzenia mienia będącego przedmiotem domniemanej konfis</w:t>
            </w:r>
            <w:r>
              <w:rPr>
                <w:b/>
                <w:i/>
              </w:rPr>
              <w:t>katy w zakresie, w jakim taki obowiązek jest zgodny z przepisami prawa krajowego.</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9</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6C5B12" w:rsidRDefault="00DA6CAB" w:rsidP="00CA3D8B">
      <w:pPr>
        <w:pStyle w:val="NormalBold"/>
      </w:pPr>
      <w:r>
        <w:rPr>
          <w:rStyle w:val="HideTWBExt"/>
          <w:b w:val="0"/>
          <w:lang w:val="en-US"/>
        </w:rPr>
        <w:t>&lt;Article&gt;</w:t>
      </w:r>
      <w:r>
        <w:t>Motyw 28 a (nowy)</w:t>
      </w:r>
      <w:r>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6C5B12" w:rsidRDefault="00CA3D8B" w:rsidP="009648E3">
            <w:pPr>
              <w:keepNext/>
              <w:rPr>
                <w:lang w:val="en-US"/>
              </w:rPr>
            </w:pPr>
          </w:p>
        </w:tc>
      </w:tr>
      <w:tr w:rsidR="00AB1A16" w:rsidTr="009648E3">
        <w:trPr>
          <w:jc w:val="center"/>
        </w:trPr>
        <w:tc>
          <w:tcPr>
            <w:tcW w:w="4876" w:type="dxa"/>
            <w:hideMark/>
          </w:tcPr>
          <w:p w:rsidR="00CA3D8B" w:rsidRPr="007F04E7" w:rsidRDefault="00DA6CAB" w:rsidP="009648E3">
            <w:pPr>
              <w:pStyle w:val="ColumnHeading"/>
              <w:keepNext/>
            </w:pPr>
            <w:r>
              <w:t xml:space="preserve">Tekst </w:t>
            </w:r>
            <w:r>
              <w:t>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(28a)</w:t>
            </w:r>
            <w:r>
              <w:rPr>
                <w:b/>
                <w:i/>
              </w:rPr>
              <w:tab/>
              <w:t>Należy przewidzieć możliwość śledzenia i identyfikacji mienia, które podlega zabezpieczeniu i konfiskacie, nawet po wydaniu prawomocnego wyroku skazującego za przestępstwo lub po zakończeniu postępowania w sprawie</w:t>
            </w:r>
            <w:r>
              <w:rPr>
                <w:b/>
                <w:i/>
              </w:rPr>
              <w:t xml:space="preserve"> konfiskaty bez uprzedniego wyroku skazującego. Możliwość ta nie powinna jednak powstrzymywać państwa członkowskie od określenia rozsądnych terminów przewidzianych po ogłoszeniu </w:t>
            </w:r>
            <w:r>
              <w:rPr>
                <w:b/>
                <w:i/>
              </w:rPr>
              <w:lastRenderedPageBreak/>
              <w:t>prawomocnych wyroków skazujących lub po wydaniu prawomocnych orzeczeń w postęp</w:t>
            </w:r>
            <w:r>
              <w:rPr>
                <w:b/>
                <w:i/>
              </w:rPr>
              <w:t xml:space="preserve">owaniu w sprawie konfiskaty bez uprzedniego wyroku skazującego, po upływie których to terminów nie można byłoby już śledzić i identyfikować takiego mienia. </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10</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 xml:space="preserve">Wniosek </w:t>
      </w:r>
      <w:r>
        <w:t>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(29)</w:t>
            </w:r>
            <w:r>
              <w:tab/>
              <w:t xml:space="preserve">Aby zagwarantować, że mienie, które jest lub może zostać objęte nakazem zabezpieczenia lub konfiskaty, zachowa swoją wartość ekonomiczną, państwa </w:t>
            </w:r>
            <w:r>
              <w:t>członkowskie powinny wdrożyć środki skutecznego zarządzania. Takie środki powinny obejmować systematyczną ocenę najlepszych sposobów zachowania i optymalizacji wartości mienia przed przyjęciem środków zabezpieczających mienie, znaną także jako planowanie p</w:t>
            </w:r>
            <w:r>
              <w:t>oprzedzające zajęcie.</w:t>
            </w:r>
          </w:p>
        </w:tc>
        <w:tc>
          <w:tcPr>
            <w:tcW w:w="4876" w:type="dxa"/>
            <w:hideMark/>
          </w:tcPr>
          <w:p w:rsidR="00CA3D8B" w:rsidRPr="007F04E7" w:rsidRDefault="00DA6CAB" w:rsidP="009648E3">
            <w:pPr>
              <w:pStyle w:val="Normal6"/>
              <w:rPr>
                <w:szCs w:val="24"/>
              </w:rPr>
            </w:pPr>
            <w:r>
              <w:t>(29)</w:t>
            </w:r>
            <w:r>
              <w:tab/>
              <w:t>Aby zagwarantować, że mienie, które jest lub może zostać objęte nakazem zabezpieczenia lub konfiskaty, zachowa swoją wartość ekonomiczną, państwa członkowskie powinny wdrożyć środki skutecznego zarządzania. Takie środki powinny o</w:t>
            </w:r>
            <w:r>
              <w:t xml:space="preserve">bejmować systematyczną ocenę najlepszych sposobów zachowania i optymalizacji wartości mienia przed przyjęciem środków zabezpieczających mienie, znaną także jako planowanie poprzedzające zajęcie. </w:t>
            </w:r>
            <w:r>
              <w:rPr>
                <w:b/>
                <w:i/>
              </w:rPr>
              <w:t>Powinno ono obowiązywać we wszystkich przypadkach, chyba że p</w:t>
            </w:r>
            <w:r>
              <w:rPr>
                <w:b/>
                <w:i/>
              </w:rPr>
              <w:t xml:space="preserve">ilny charakter sprawy wymagałby ograniczenia tego środka lub rezygnacji z niego. </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11</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6C5B12" w:rsidRDefault="00DA6CAB" w:rsidP="00CA3D8B">
      <w:pPr>
        <w:pStyle w:val="NormalBold"/>
      </w:pPr>
      <w:r>
        <w:rPr>
          <w:rStyle w:val="HideTWBExt"/>
          <w:b w:val="0"/>
          <w:lang w:val="en-US"/>
        </w:rPr>
        <w:t>&lt;Article&gt;</w:t>
      </w:r>
      <w:r>
        <w:t>Motyw 29 a (nowy)</w:t>
      </w:r>
      <w:r>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6C5B12" w:rsidRDefault="00CA3D8B" w:rsidP="009648E3">
            <w:pPr>
              <w:keepNext/>
              <w:rPr>
                <w:lang w:val="en-US"/>
              </w:rPr>
            </w:pPr>
          </w:p>
        </w:tc>
      </w:tr>
      <w:tr w:rsidR="00AB1A16" w:rsidTr="009648E3">
        <w:trPr>
          <w:jc w:val="center"/>
        </w:trPr>
        <w:tc>
          <w:tcPr>
            <w:tcW w:w="4876" w:type="dxa"/>
            <w:hideMark/>
          </w:tcPr>
          <w:p w:rsidR="00CA3D8B" w:rsidRPr="007F04E7" w:rsidRDefault="00DA6CAB" w:rsidP="009648E3">
            <w:pPr>
              <w:pStyle w:val="ColumnHeading"/>
              <w:keepNext/>
            </w:pPr>
            <w:r>
              <w:t xml:space="preserve">Tekst </w:t>
            </w:r>
            <w:r>
              <w:t>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(29a)</w:t>
            </w:r>
            <w:r>
              <w:rPr>
                <w:b/>
                <w:i/>
              </w:rPr>
              <w:tab/>
              <w:t xml:space="preserve">Państwa członkowskie powinny wprowadzić środki niezbędne do </w:t>
            </w:r>
            <w:r>
              <w:rPr>
                <w:b/>
                <w:i/>
              </w:rPr>
              <w:lastRenderedPageBreak/>
              <w:t xml:space="preserve">zapewnienia pełnego poszanowania roszczeń ofiar przed zastosowaniem ostatecznego środka polegającego na konfiskacie. Powinny zwrócić szczególną uwagę na </w:t>
            </w:r>
            <w:r>
              <w:rPr>
                <w:b/>
                <w:i/>
              </w:rPr>
              <w:t>roszczenia ofiar we wszystkich postępowaniach, zwłaszcza w sprawach transgranicznych. Ponadto – o ile jest to możliwe i traktując tę kwestię priorytetowo – państwa członkowskie powinny podjąć niezbędne środki, aby zwrócić ofierze dane mienie lub, jeżeli ni</w:t>
            </w:r>
            <w:r>
              <w:rPr>
                <w:b/>
                <w:i/>
              </w:rPr>
              <w:t>e ma takiej możliwości, równowartość tego mienia.</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12</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Motyw 29 b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(29b)</w:t>
            </w:r>
            <w:r>
              <w:rPr>
                <w:b/>
                <w:i/>
              </w:rPr>
              <w:tab/>
              <w:t>Państwa członkowskie powinny podjąć niezbędne środki, aby umożliwić wykorzystanie skonfiskowanego mienia w interesie publicznym lub do celów społecznych. Ze względu na znaczne koszty związane ze śledzeniem i identyfikacją, zabezpieczeniem i konfisk</w:t>
            </w:r>
            <w:r>
              <w:rPr>
                <w:b/>
                <w:i/>
              </w:rPr>
              <w:t>atą mienie takie może być zatrzymane jako mienie państwowe na użytek wymiaru sprawiedliwości, organów ścigania, służb cywilnych lub do celów gospodarczych lub też przekazane władzom lokalnym lub regionalnym odpowiedzialnym za obszar, na którym znajduje się</w:t>
            </w:r>
            <w:r>
              <w:rPr>
                <w:b/>
                <w:i/>
              </w:rPr>
              <w:t xml:space="preserve"> mienie, z przeznaczeniem na cele instytucjonalne, społeczne lub gospodarcze, w tym na rzecz organizacji prowadzących działalność w interesie społecznym.</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lastRenderedPageBreak/>
        <w:t>&lt;Amend&gt;</w:t>
      </w:r>
      <w:r>
        <w:t>Poprawka</w:t>
      </w:r>
      <w:r>
        <w:tab/>
      </w:r>
      <w:r>
        <w:tab/>
      </w:r>
      <w:r>
        <w:rPr>
          <w:rStyle w:val="HideTWBExt"/>
          <w:b w:val="0"/>
          <w:lang w:val="pt-PT"/>
        </w:rPr>
        <w:t>&lt;NumAm&gt;</w:t>
      </w:r>
      <w:r>
        <w:t>13</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 xml:space="preserve">Wniosek </w:t>
      </w:r>
      <w:r>
        <w:t>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Motyw 29 c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(29c)</w:t>
            </w:r>
            <w:r>
              <w:rPr>
                <w:b/>
                <w:i/>
              </w:rPr>
              <w:tab/>
              <w:t>W przypadku gdy skonfiskowane mienie pochodzi z państwa trzeciego, państwa członkowskie powinny zwrócić je temu państwu trzeciemu na pods</w:t>
            </w:r>
            <w:r>
              <w:rPr>
                <w:b/>
                <w:i/>
              </w:rPr>
              <w:t>tawie umowy o zwrocie. Tego rodzaju umowy o zwrocie powinny być publicznie dostępne. Mogą one określać między innymi sposób ponownego zainwestowania środków finansowych, na przykład w celu zrekompensowania strat poniesionych przez ofiary lub wsparcia proje</w:t>
            </w:r>
            <w:r>
              <w:rPr>
                <w:b/>
                <w:i/>
              </w:rPr>
              <w:t>któw o dużym wpływie społecznym, które zostały wyłonione na podstawie potrzeb poszkodowanych społeczności i przy zastosowaniu przejrzystej procedury.</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14</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 xml:space="preserve">Wniosek dotyczący </w:t>
      </w:r>
      <w:r>
        <w:t>dyrektywy</w:t>
      </w:r>
      <w:r>
        <w:rPr>
          <w:rStyle w:val="HideTWBExt"/>
          <w:b w:val="0"/>
          <w:lang w:val="pt-PT"/>
        </w:rPr>
        <w:t>&lt;/DocAmend&gt;</w:t>
      </w:r>
    </w:p>
    <w:p w:rsidR="00CA3D8B" w:rsidRPr="007F04E7" w:rsidRDefault="00DA6CAB" w:rsidP="00CA3D8B">
      <w:pPr>
        <w:pStyle w:val="NormalBold"/>
      </w:pPr>
      <w:r>
        <w:rPr>
          <w:rStyle w:val="HideTWBExt"/>
          <w:b w:val="0"/>
        </w:rPr>
        <w:t>&lt;Article&gt;</w:t>
      </w:r>
      <w:r>
        <w:t>Motyw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(31)</w:t>
            </w:r>
            <w:r>
              <w:tab/>
              <w:t xml:space="preserve">Państwa członkowskie powinny utworzyć biura ds. zarządzania mieniem, aby ustanowić wyspecjalizowane organy, których zadaniem jest zarządzanie mieniem </w:t>
            </w:r>
            <w:r>
              <w:t>zabezpieczonym i mieniem skonfiskowanym w celu skutecznego zarządzania zabezpieczonym mieniem przed konfiskatą i zachowania jego wartości w oczekiwaniu na wydanie ostatecznego orzeczenia w przedmiocie konfiskaty. Bez uszczerbku dla wewnętrznych struktur ad</w:t>
            </w:r>
            <w:r>
              <w:t xml:space="preserve">ministracyjnych państw członkowskich biura ds. zarządzania mieniem powinny być albo </w:t>
            </w:r>
            <w:r>
              <w:lastRenderedPageBreak/>
              <w:t>jedynym organem zarządzającym zabezpieczonym lub skonfiskowanym mieniem, albo powinny udzielać wsparcia podmiotom zdecentralizowanym zgodnie z krajowymi strukturami zarządz</w:t>
            </w:r>
            <w:r>
              <w:t>ania oraz wspierać właściwe organy w planowaniu poprzedzającym zajęcie.</w:t>
            </w:r>
          </w:p>
        </w:tc>
        <w:tc>
          <w:tcPr>
            <w:tcW w:w="4876" w:type="dxa"/>
            <w:hideMark/>
          </w:tcPr>
          <w:p w:rsidR="00CA3D8B" w:rsidRPr="007F04E7" w:rsidRDefault="00DA6CAB" w:rsidP="009648E3">
            <w:pPr>
              <w:pStyle w:val="Normal6"/>
              <w:rPr>
                <w:szCs w:val="24"/>
              </w:rPr>
            </w:pPr>
            <w:r>
              <w:lastRenderedPageBreak/>
              <w:t>(31)</w:t>
            </w:r>
            <w:r>
              <w:tab/>
              <w:t>Państwa członkowskie powinny utworzyć biura ds. zarządzania mieniem, aby ustanowić wyspecjalizowane organy, których zadaniem jest zarządzanie mieniem zabezpieczonym i mieniem skon</w:t>
            </w:r>
            <w:r>
              <w:t>fiskowanym w celu skutecznego zarządzania zabezpieczonym mieniem przed konfiskatą i zachowania jego wartości w oczekiwaniu na wydanie ostatecznego orzeczenia w przedmiocie konfiskaty. Bez uszczerbku dla wewnętrznych struktur administracyjnych państw członk</w:t>
            </w:r>
            <w:r>
              <w:t xml:space="preserve">owskich biura ds. zarządzania mieniem powinny być albo </w:t>
            </w:r>
            <w:r>
              <w:lastRenderedPageBreak/>
              <w:t>jedynym organem zarządzającym zabezpieczonym lub skonfiskowanym mieniem, albo powinny udzielać wsparcia podmiotom zdecentralizowanym zgodnie z krajowymi strukturami zarządzania oraz wspierać właściwe o</w:t>
            </w:r>
            <w:r>
              <w:t xml:space="preserve">rgany w planowaniu poprzedzającym zajęcie. </w:t>
            </w:r>
            <w:r>
              <w:rPr>
                <w:b/>
                <w:i/>
              </w:rPr>
              <w:t xml:space="preserve">W celu zapewnienia skuteczności państwa członkowskie powinny rozważyć utworzenie biur ds. odzyskiwania mienia i biur ds. zarządzania mieniem w ramach jednej struktury prawnej i organizacyjnej. </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15</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(34)</w:t>
            </w:r>
            <w:r>
              <w:tab/>
            </w:r>
            <w:r>
              <w:rPr>
                <w:b/>
                <w:i/>
              </w:rPr>
              <w:t>Stronę</w:t>
            </w:r>
            <w:r>
              <w:t xml:space="preserve">, której dotyczy nakaz, należy niezwłocznie powiadomić o wydaniu </w:t>
            </w:r>
            <w:r>
              <w:t>nakazu zabezpieczenia, nakazu konfiskaty i nakazu zastosowania środka tymczasowego w postaci sprzedaży. Celem powiadomienia o tych nakazach jest między innymi umożliwienie osobie, której dotyczy nakaz, zaskarżenia ich przed sądem. W powiadomieniach tych na</w:t>
            </w:r>
            <w:r>
              <w:t>leży zatem co do zasady określić przyczynę lub przyczyny wydania takiego nakazu. Strona, której dotyczy nakaz, powinna mieć skuteczną możliwość zaskarżenia nakazu zabezpieczenia, nakazu konfiskaty i nakazu zastosowania środka tymczasowego w postaci sprzeda</w:t>
            </w:r>
            <w:r>
              <w:t>ży. W przypadku nakazów konfiskaty, gdy wyczerpano wszystkie znamiona przestępstwa, lecz nie jest możliwe wydanie wyroku skazującego, oskarżony powinien mieć możliwość wykonania prawa do bycia wysłuchanym przed wydaniem nakazu. Tę samą możliwość należy zap</w:t>
            </w:r>
            <w:r>
              <w:t xml:space="preserve">ewnić właścicielowi, którego dotyczy nakaz sprzedaży mienia </w:t>
            </w:r>
            <w:r>
              <w:lastRenderedPageBreak/>
              <w:t>przed dokonaniem jego konfiskaty.</w:t>
            </w:r>
          </w:p>
        </w:tc>
        <w:tc>
          <w:tcPr>
            <w:tcW w:w="4876" w:type="dxa"/>
            <w:hideMark/>
          </w:tcPr>
          <w:p w:rsidR="00CA3D8B" w:rsidRPr="007F04E7" w:rsidRDefault="00DA6CAB" w:rsidP="009648E3">
            <w:pPr>
              <w:pStyle w:val="Normal6"/>
              <w:rPr>
                <w:szCs w:val="24"/>
              </w:rPr>
            </w:pPr>
            <w:r>
              <w:lastRenderedPageBreak/>
              <w:t>(34)</w:t>
            </w:r>
            <w:r>
              <w:tab/>
            </w:r>
            <w:r>
              <w:rPr>
                <w:b/>
                <w:i/>
              </w:rPr>
              <w:t>Osobę</w:t>
            </w:r>
            <w:r>
              <w:t>, której dotyczy nakaz, należy niezwłocznie powiadomić o wydaniu nakazu zabezpieczenia, nakazu konfiskaty i nakazu zastosowania środka tymczasowego w po</w:t>
            </w:r>
            <w:r>
              <w:t>staci sprzedaży. Celem powiadomienia o tych nakazach jest między innymi umożliwienie osobie, której dotyczy nakaz, zaskarżenia ich przed sądem. W powiadomieniach tych należy zatem co do zasady określić przyczynę lub przyczyny wydania takiego nakazu. Strona</w:t>
            </w:r>
            <w:r>
              <w:t>, której dotyczy nakaz, powinna mieć skuteczną możliwość zaskarżenia nakazu zabezpieczenia, nakazu konfiskaty i nakazu zastosowania środka tymczasowego w postaci sprzedaży. W przypadku nakazów konfiskaty, gdy wyczerpano wszystkie znamiona przestępstwa, lec</w:t>
            </w:r>
            <w:r>
              <w:t xml:space="preserve">z nie jest możliwe wydanie wyroku skazującego, oskarżony powinien mieć możliwość wykonania prawa do bycia wysłuchanym przed wydaniem nakazu. Tę samą możliwość należy zapewnić właścicielowi, którego dotyczy nakaz sprzedaży mienia </w:t>
            </w:r>
            <w:r>
              <w:lastRenderedPageBreak/>
              <w:t>przed dokonaniem jego konfi</w:t>
            </w:r>
            <w:r>
              <w:t>skaty.</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16</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39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(39)</w:t>
            </w:r>
            <w:r>
              <w:tab/>
              <w:t xml:space="preserve">Skuteczny system odzyskiwania wymaga </w:t>
            </w:r>
            <w:r>
              <w:t>skoordynowanych działań wielu organów – od organów ścigania, w tym organów celnych, organów podatkowych i organów odpowiedzialnych za odzyskiwanie podatków w zakresie, w jakim mają one kompetencje do odzyskiwania mienia, poprzez biura ds. odzyskiwania mien</w:t>
            </w:r>
            <w:r>
              <w:t>ia i organy sądowe, aż po instytucje zarządzające mieniem, w tym biura ds. zarządzania mieniem. Aby zapewnić skoordynowane działanie wszystkich właściwych organów, niezbędne jest opracowanie bardziej strategicznego podejścia do odzyskiwania mienia i promow</w:t>
            </w:r>
            <w:r>
              <w:t>anie ściślejszej współpracy między odpowiednimi organami, a także uzyskiwanie jasnych informacji na temat wyników odzyskiwania mienia. W tym celu państwa członkowskie powinny przyjąć krajową strategię odzyskiwania mienia kształtującą działania związane z d</w:t>
            </w:r>
            <w:r>
              <w:t>ochodzeniami finansowymi, zabezpieczaniem i konfiskatą odpowiednich narzędzi, korzyści lub mienia, zarządzaniem nimi oraz ich zbyciem, a także powinny regularnie dokonywać przeglądu tej strategii. Ponadto państwa członkowskie powinny wyposażyć właściwe org</w:t>
            </w:r>
            <w:r>
              <w:t xml:space="preserve">any w zasoby niezbędne do skutecznego wykonywania powierzonych im zadań. Właściwe organy należy rozumieć jako organy odpowiedzialne za wykonywanie zadań przewidzianych w niniejszej dyrektywie i zgodnie z krajowymi </w:t>
            </w:r>
            <w:r>
              <w:lastRenderedPageBreak/>
              <w:t>strukturami.</w:t>
            </w:r>
          </w:p>
        </w:tc>
        <w:tc>
          <w:tcPr>
            <w:tcW w:w="4876" w:type="dxa"/>
            <w:hideMark/>
          </w:tcPr>
          <w:p w:rsidR="00CA3D8B" w:rsidRPr="007F04E7" w:rsidRDefault="00DA6CAB" w:rsidP="009648E3">
            <w:pPr>
              <w:pStyle w:val="Normal6"/>
              <w:rPr>
                <w:szCs w:val="24"/>
              </w:rPr>
            </w:pPr>
            <w:r>
              <w:lastRenderedPageBreak/>
              <w:t>(39)</w:t>
            </w:r>
            <w:r>
              <w:tab/>
              <w:t>Skuteczny system odzyski</w:t>
            </w:r>
            <w:r>
              <w:t>wania wymaga skoordynowanych działań wielu organów – od organów ścigania, w tym organów celnych, organów podatkowych i organów odpowiedzialnych za odzyskiwanie podatków w zakresie, w jakim mają one kompetencje do odzyskiwania mienia, poprzez biura ds. odzy</w:t>
            </w:r>
            <w:r>
              <w:t>skiwania mienia i organy sądowe, aż po instytucje zarządzające mieniem, w tym biura ds. zarządzania mieniem. Aby zapewnić skoordynowane działanie wszystkich właściwych organów, niezbędne jest opracowanie bardziej strategicznego podejścia do odzyskiwania mi</w:t>
            </w:r>
            <w:r>
              <w:t>enia i promowanie ściślejszej współpracy między odpowiednimi organami, a także uzyskiwanie jasnych informacji na temat wyników odzyskiwania mienia. W tym celu państwa członkowskie powinny przyjąć krajową strategię odzyskiwania mienia kształtującą działania</w:t>
            </w:r>
            <w:r>
              <w:t xml:space="preserve"> związane z dochodzeniami finansowymi, zabezpieczaniem i konfiskatą odpowiednich narzędzi, korzyści lub mienia, zarządzaniem nimi oraz ich zbyciem, a także powinny regularnie dokonywać przeglądu tej strategii. </w:t>
            </w:r>
            <w:r>
              <w:rPr>
                <w:b/>
                <w:i/>
              </w:rPr>
              <w:t>Strategie krajowe powinny zawierać omówienie r</w:t>
            </w:r>
            <w:r>
              <w:rPr>
                <w:b/>
                <w:i/>
              </w:rPr>
              <w:t>ól i obowiązków wszystkich właściwych organów zaangażowanych w odzyskiwanie i konfiskatę mienia oraz zarządzanie nim, a także poszczególnych mechanizmów współpracy między tymi organami.</w:t>
            </w:r>
            <w:r>
              <w:t xml:space="preserve"> Ponadto państwa członkowskie powinny </w:t>
            </w:r>
            <w:r>
              <w:lastRenderedPageBreak/>
              <w:t>wyposażyć właściwe organy w zasob</w:t>
            </w:r>
            <w:r>
              <w:t xml:space="preserve">y </w:t>
            </w:r>
            <w:r>
              <w:rPr>
                <w:b/>
                <w:i/>
              </w:rPr>
              <w:t>i środki prawne</w:t>
            </w:r>
            <w:r>
              <w:t xml:space="preserve"> niezbędne do skutecznego wykonywania powierzonych im zadań. Właściwe organy należy rozumieć jako organy odpowiedzialne za wykonywanie zadań przewidzianych w niniejszej dyrektywie i zgodnie z krajowymi strukturami.</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w:t>
      </w:r>
      <w:r w:rsidRPr="007F04E7">
        <w:rPr>
          <w:rStyle w:val="HideTWBExt"/>
          <w:noProof w:val="0"/>
          <w:lang w:val="en-GB"/>
        </w:rPr>
        <w:t>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17</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41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(41)</w:t>
            </w:r>
            <w:r>
              <w:tab/>
            </w:r>
            <w:r>
              <w:t>W celu zapewnienia spójnego podejścia do gromadzenia danych statystycznych wśród państw członkowskich należy przekazać Komisji uprawnienia do przyjęcia zgodnie z art. 290 TFUE aktów uzupełniających niniejszą dyrektywę przez wprowadzenie bardziej szczegółow</w:t>
            </w:r>
            <w:r>
              <w:t xml:space="preserve">ych zasad dotyczących informacji, które należy gromadzić, </w:t>
            </w:r>
            <w:r>
              <w:rPr>
                <w:b/>
                <w:i/>
              </w:rPr>
              <w:t>oraz</w:t>
            </w:r>
            <w:r>
              <w:t xml:space="preserve"> metodyki gromadzenia danych </w:t>
            </w:r>
            <w:r>
              <w:rPr>
                <w:b/>
                <w:i/>
              </w:rPr>
              <w:t>statystycznych</w:t>
            </w:r>
            <w:r>
              <w:t>.</w:t>
            </w:r>
          </w:p>
        </w:tc>
        <w:tc>
          <w:tcPr>
            <w:tcW w:w="4876" w:type="dxa"/>
            <w:hideMark/>
          </w:tcPr>
          <w:p w:rsidR="00CA3D8B" w:rsidRPr="007F04E7" w:rsidRDefault="00DA6CAB" w:rsidP="009648E3">
            <w:pPr>
              <w:pStyle w:val="Normal6"/>
              <w:rPr>
                <w:szCs w:val="24"/>
              </w:rPr>
            </w:pPr>
            <w:r>
              <w:t>(41)</w:t>
            </w:r>
            <w:r>
              <w:tab/>
              <w:t>W celu zapewnienia spójnego podejścia do gromadzenia danych statystycznych wśród państw członkowskich</w:t>
            </w:r>
            <w:r>
              <w:rPr>
                <w:b/>
                <w:i/>
              </w:rPr>
              <w:t xml:space="preserve"> powinny one uwzględnić, w odniesieniu do w</w:t>
            </w:r>
            <w:r>
              <w:rPr>
                <w:b/>
                <w:i/>
              </w:rPr>
              <w:t>szystkich przestępstw, przynajmniej liczbę wykonanych nakazów zabezpieczenia, liczbę wykonanych nakazów konfiskaty, wartość zabezpieczonego mienia, wartość odzyskanego mienia, liczbę wniosków o wydanie nakazu zabezpieczenia, który ma zostać wykonany w inny</w:t>
            </w:r>
            <w:r>
              <w:rPr>
                <w:b/>
                <w:i/>
              </w:rPr>
              <w:t>m państwie członkowskim, liczbę wniosków o wydanie nakazu konfiskaty, który ma zostać wykonany w innym państwie członkowskim, wartość mienia odzyskanego na skutek konfiskaty w innym państwie członkowskim, wartość mienia przeznaczonego do ponownego wykorzys</w:t>
            </w:r>
            <w:r>
              <w:rPr>
                <w:b/>
                <w:i/>
              </w:rPr>
              <w:t xml:space="preserve">tania w celu ścigania przestępstw, zapobiegania przestępstwom lub do celów społecznych, liczbę przypadków, w których wydano nakaz konfiskaty, w stosunku do liczby wyroków skazujących za popełnienie przestępstw objętych niniejszą dyrektywą, liczbę wniosków </w:t>
            </w:r>
            <w:r>
              <w:rPr>
                <w:b/>
                <w:i/>
              </w:rPr>
              <w:t xml:space="preserve">o wydanie nakazu zabezpieczenia lub nakazu konfiskaty, które to wnioski zostały odrzucone przez </w:t>
            </w:r>
            <w:r>
              <w:rPr>
                <w:b/>
                <w:i/>
              </w:rPr>
              <w:lastRenderedPageBreak/>
              <w:t>sąd, sposób wykorzystania skonfiskowanego mienia oraz czas realizacji procedur przydziału skonfiskowanego mienia.</w:t>
            </w:r>
            <w:r>
              <w:t xml:space="preserve"> Należy przekazać Komisji uprawnienia do przyję</w:t>
            </w:r>
            <w:r>
              <w:t xml:space="preserve">cia zgodnie z art. 290 TFUE aktów uzupełniających niniejszą dyrektywę przez wprowadzenie bardziej szczegółowych zasad dotyczących informacji, które należy gromadzić, metodyki gromadzenia </w:t>
            </w:r>
            <w:r>
              <w:rPr>
                <w:b/>
                <w:i/>
              </w:rPr>
              <w:t>i przekazywania</w:t>
            </w:r>
            <w:r>
              <w:t xml:space="preserve"> danych </w:t>
            </w:r>
            <w:r>
              <w:rPr>
                <w:b/>
                <w:i/>
              </w:rPr>
              <w:t>do Komisji</w:t>
            </w:r>
            <w:r>
              <w:t>.</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w:t>
      </w:r>
      <w:r>
        <w:rPr>
          <w:rStyle w:val="HideTWBExt"/>
          <w:lang w:val="en-US"/>
        </w:rPr>
        <w: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18</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6C5B12" w:rsidRDefault="00DA6CAB" w:rsidP="00CA3D8B">
      <w:pPr>
        <w:pStyle w:val="NormalBold"/>
      </w:pPr>
      <w:r>
        <w:rPr>
          <w:rStyle w:val="HideTWBExt"/>
          <w:b w:val="0"/>
          <w:lang w:val="en-US"/>
        </w:rPr>
        <w:t>&lt;Article&gt;</w:t>
      </w:r>
      <w:r>
        <w:t>Motyw 43 a (nowy)</w:t>
      </w:r>
      <w:r>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6C5B12" w:rsidRDefault="00CA3D8B" w:rsidP="009648E3">
            <w:pPr>
              <w:keepNext/>
              <w:rPr>
                <w:lang w:val="en-US"/>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(43a)</w:t>
            </w:r>
            <w:r>
              <w:rPr>
                <w:b/>
                <w:i/>
              </w:rPr>
              <w:tab/>
              <w:t xml:space="preserve">W celu zapewnienia Komisji doradztwa w zakresie wdrażania środków </w:t>
            </w:r>
            <w:r>
              <w:rPr>
                <w:b/>
                <w:i/>
              </w:rPr>
              <w:t>przewidzianych w niniejszej dyrektywie, wymiany informacji na temat skuteczności i efektywności współpracy z państwami trzecimi oraz analizy krajowych strategii odzyskiwania mienia przyjętych przez państwa członkowskie w celu określenia najlepszych praktyk</w:t>
            </w:r>
            <w:r>
              <w:rPr>
                <w:b/>
                <w:i/>
              </w:rPr>
              <w:t xml:space="preserve"> należy ustanowić pod egidą Komisji platformę ds. odzyskiwania i konfiskaty mienia („platforma”). W skład platformy powinni wejść przedstawiciele biur ds. odzyskiwania mienia i biur ds. zarządzania mieniem, a przewodniczyć jej powinien przedstawiciel Komis</w:t>
            </w:r>
            <w:r>
              <w:rPr>
                <w:b/>
                <w:i/>
              </w:rPr>
              <w:t>ji. Należy przewidzieć możliwość zapraszania do udziału w posiedzeniach platformy przedstawicieli Europolu, Eurojustu i Prokuratury Europejskiej.</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lastRenderedPageBreak/>
        <w:t>&lt;Amend&gt;</w:t>
      </w:r>
      <w:r>
        <w:t>Poprawka</w:t>
      </w:r>
      <w:r>
        <w:tab/>
      </w:r>
      <w:r>
        <w:tab/>
      </w:r>
      <w:r>
        <w:rPr>
          <w:rStyle w:val="HideTWBExt"/>
          <w:b w:val="0"/>
          <w:lang w:val="pt-PT"/>
        </w:rPr>
        <w:t>&lt;NumAm&gt;</w:t>
      </w:r>
      <w:r>
        <w:t>19</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 xml:space="preserve">Wniosek dotyczący </w:t>
      </w:r>
      <w:r>
        <w:t>dyrektywy</w:t>
      </w:r>
      <w:r>
        <w:rPr>
          <w:rStyle w:val="HideTWBExt"/>
          <w:b w:val="0"/>
          <w:lang w:val="pt-PT"/>
        </w:rPr>
        <w:t>&lt;/DocAmend&gt;</w:t>
      </w:r>
    </w:p>
    <w:p w:rsidR="00CA3D8B" w:rsidRPr="007F04E7" w:rsidRDefault="00DA6CAB" w:rsidP="00CA3D8B">
      <w:pPr>
        <w:pStyle w:val="NormalBold"/>
      </w:pPr>
      <w:r>
        <w:rPr>
          <w:rStyle w:val="HideTWBExt"/>
          <w:b w:val="0"/>
        </w:rPr>
        <w:t>&lt;Article&gt;</w:t>
      </w:r>
      <w:r>
        <w:t>Motyw 45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(45)</w:t>
            </w:r>
            <w:r>
              <w:tab/>
              <w:t>Biura ds. odzyskiwania mienia powinny również ściśle współpracować z organami i agencjami UE, w tym z Europolem</w:t>
            </w:r>
            <w:r>
              <w:rPr>
                <w:b/>
                <w:i/>
              </w:rPr>
              <w:t>, Eurojustem</w:t>
            </w:r>
            <w:r>
              <w:t xml:space="preserve"> i Prokuraturą Europejską, zgodnie </w:t>
            </w:r>
            <w:r>
              <w:t xml:space="preserve">z ich odpowiednimi mandatami, w zakresie niezbędnym do śledzenia i identyfikowania mienia w toku postępowań transgranicznych wspieranych przez Europol </w:t>
            </w:r>
            <w:r>
              <w:rPr>
                <w:b/>
                <w:i/>
              </w:rPr>
              <w:t>lub Eurojust</w:t>
            </w:r>
            <w:r>
              <w:t xml:space="preserve"> lub w toku postępowań prowadzonych przez Prokuraturę Europejską. Biura ds. odzyskiwania mien</w:t>
            </w:r>
            <w:r>
              <w:t xml:space="preserve">ia powinny również współpracować z Europolem </w:t>
            </w:r>
            <w:r>
              <w:rPr>
                <w:b/>
                <w:i/>
              </w:rPr>
              <w:t>i Eurojustem</w:t>
            </w:r>
            <w:r>
              <w:t xml:space="preserve"> zgodnie </w:t>
            </w:r>
            <w:r>
              <w:rPr>
                <w:b/>
                <w:i/>
              </w:rPr>
              <w:t>ze swoimi odpowiednimi mandatami</w:t>
            </w:r>
            <w:r>
              <w:t xml:space="preserve"> w zakresie, w jakim jest to niezbędne do śledzenia i identyfikacji mienia w celu zapobiegania przestępstwom związanym z naruszeniem unijnych środków ogranicz</w:t>
            </w:r>
            <w:r>
              <w:t>ających, wykrywania tych przestępstw lub prowadzenia dochodzeń w ich sprawie.</w:t>
            </w:r>
          </w:p>
        </w:tc>
        <w:tc>
          <w:tcPr>
            <w:tcW w:w="4876" w:type="dxa"/>
            <w:hideMark/>
          </w:tcPr>
          <w:p w:rsidR="00CA3D8B" w:rsidRPr="007F04E7" w:rsidRDefault="00DA6CAB" w:rsidP="009648E3">
            <w:pPr>
              <w:pStyle w:val="Normal6"/>
              <w:rPr>
                <w:szCs w:val="24"/>
              </w:rPr>
            </w:pPr>
            <w:r>
              <w:t>(45)</w:t>
            </w:r>
            <w:r>
              <w:tab/>
              <w:t xml:space="preserve">Biura ds. odzyskiwania mienia powinny również ściśle współpracować z organami i agencjami UE, w tym z Europolem i Prokuraturą Europejską, zgodnie z ich odpowiednimi </w:t>
            </w:r>
            <w:r>
              <w:t>mandatami, w zakresie niezbędnym do śledzenia i identyfikowania mienia w toku postępowań transgranicznych wspieranych przez Europol lub w toku postępowań prowadzonych przez Prokuraturę Europejską. Biura ds. odzyskiwania mienia powinny również współpracować</w:t>
            </w:r>
            <w:r>
              <w:t xml:space="preserve"> z Europolem zgodnie </w:t>
            </w:r>
            <w:r>
              <w:rPr>
                <w:b/>
                <w:i/>
              </w:rPr>
              <w:t>z jego mandatem</w:t>
            </w:r>
            <w:r>
              <w:t xml:space="preserve"> w zakresie, w jakim jest to niezbędne do śledzenia i identyfikacji mienia w celu zapobiegania przestępstwom związanym z naruszeniem unijnych środków ograniczających, wykrywania tych przestępstw lub prowadzenia dochodzeń</w:t>
            </w:r>
            <w:r>
              <w:t xml:space="preserve"> w ich sprawie.</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20</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6C5B12" w:rsidRDefault="00DA6CAB" w:rsidP="00CA3D8B">
      <w:pPr>
        <w:pStyle w:val="NormalBold"/>
      </w:pPr>
      <w:r>
        <w:rPr>
          <w:rStyle w:val="HideTWBExt"/>
          <w:b w:val="0"/>
          <w:lang w:val="en-US"/>
        </w:rPr>
        <w:t>&lt;Article&gt;</w:t>
      </w:r>
      <w:r>
        <w:t>Motyw 45 a (nowy)</w:t>
      </w:r>
      <w:r>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6C5B12" w:rsidRDefault="00CA3D8B" w:rsidP="009648E3">
            <w:pPr>
              <w:keepNext/>
              <w:rPr>
                <w:lang w:val="en-US"/>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(45a)</w:t>
            </w:r>
            <w:r>
              <w:rPr>
                <w:b/>
                <w:i/>
              </w:rPr>
              <w:tab/>
              <w:t xml:space="preserve">Zgodnie ze swoim mandatem </w:t>
            </w:r>
            <w:r>
              <w:rPr>
                <w:b/>
                <w:i/>
              </w:rPr>
              <w:t>Eurojust powinien wspierać organy krajowe na wszystkich etapach procesu odzyskiwania mienia, począwszy od śledzenia i identyfikacji, przez zabezpieczenie i konfiskatę mienia oraz zarządzanie nim, aż po jego zbywanie. Biura ds. odzyskiwania mienia oraz biur</w:t>
            </w:r>
            <w:r>
              <w:rPr>
                <w:b/>
                <w:i/>
              </w:rPr>
              <w:t xml:space="preserve">a ds. zarządzania mieniem powinny ściśle </w:t>
            </w:r>
            <w:r>
              <w:rPr>
                <w:b/>
                <w:i/>
              </w:rPr>
              <w:lastRenderedPageBreak/>
              <w:t>współpracować z Eurojustem, aby ułatwić cały proces odzyskiwania mienia. Współpraca ta obejmuje śledzenie i identyfikację narzędzi, korzyści lub mienia, które mogą stać się lub są przedmiotem nakazu zabezpieczenia l</w:t>
            </w:r>
            <w:r>
              <w:rPr>
                <w:b/>
                <w:i/>
              </w:rPr>
              <w:t xml:space="preserve">ub nakazu konfiskaty wydanego przez właściwy organ w toku ścigania karnego, oraz późniejsze zbycie, w tym prowadzenie dochodzeń w sprawie przestępstw związanych z naruszeniem unijnych środków ograniczających oraz ściganie takich przestępstw. </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w:t>
      </w:r>
      <w:r w:rsidRPr="007F04E7">
        <w:rPr>
          <w:rStyle w:val="HideTWBExt"/>
          <w:noProof w:val="0"/>
          <w:lang w:val="en-GB"/>
        </w:rPr>
        <w:t>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21</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47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(47)</w:t>
            </w:r>
            <w:r>
              <w:tab/>
              <w:t xml:space="preserve">Ponieważ cel niniejszej dyrektywy, a mianowicie ułatwienie </w:t>
            </w:r>
            <w:r>
              <w:t>konfiskaty mienia w </w:t>
            </w:r>
            <w:r>
              <w:rPr>
                <w:b/>
                <w:i/>
              </w:rPr>
              <w:t>sprawach karnych</w:t>
            </w:r>
            <w:r>
              <w:t xml:space="preserve">, nie może zostać osiągnięty w sposób wystarczający przez państwa członkowskie, natomiast możliwe jest jego lepsze osiągnięcie na poziomie Unii, może ona podjąć działania zgodne z zasadą pomocniczości określoną w art. 5 </w:t>
            </w:r>
            <w:r>
              <w:t>Traktatu o Unii Europejskiej (TUE). Zgodnie z zasadą proporcjonalności, określoną w tym artykule, niniejsza dyrektywa nie wykracza poza to, co jest konieczne do osiągnięcia tego celu.</w:t>
            </w:r>
          </w:p>
        </w:tc>
        <w:tc>
          <w:tcPr>
            <w:tcW w:w="4876" w:type="dxa"/>
            <w:hideMark/>
          </w:tcPr>
          <w:p w:rsidR="00CA3D8B" w:rsidRPr="007F04E7" w:rsidRDefault="00DA6CAB" w:rsidP="009648E3">
            <w:pPr>
              <w:pStyle w:val="Normal6"/>
              <w:rPr>
                <w:szCs w:val="24"/>
              </w:rPr>
            </w:pPr>
            <w:r>
              <w:t>(47)</w:t>
            </w:r>
            <w:r>
              <w:tab/>
              <w:t>Ponieważ cel niniejszej dyrektywy, a mianowicie ułatwienie konfiska</w:t>
            </w:r>
            <w:r>
              <w:t>ty mienia w </w:t>
            </w:r>
            <w:r>
              <w:rPr>
                <w:b/>
                <w:i/>
              </w:rPr>
              <w:t>ramach ścigania karnego</w:t>
            </w:r>
            <w:r>
              <w:t>, nie może zostać osiągnięty w sposób wystarczający przez państwa członkowskie, natomiast możliwe jest jego lepsze osiągnięcie na poziomie Unii, może ona podjąć działania zgodne z zasadą pomocniczości określoną w art. 5 T</w:t>
            </w:r>
            <w:r>
              <w:t>raktatu o Unii Europejskiej (TUE). Zgodnie z zasadą proporcjonalności, określoną w tym artykule, niniejsza dyrektywa nie wykracza poza to, co jest konieczne do osiągnięcia tego celu.</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22</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Motyw 51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(51)</w:t>
            </w:r>
            <w:r>
              <w:tab/>
            </w:r>
            <w:r>
              <w:t xml:space="preserve">Zgodnie z art. 42 rozporządzenia (UE) 2018/1725 skonsultowano się z Europejskim Inspektorem Ochrony Danych, który wydał opinię </w:t>
            </w:r>
            <w:r>
              <w:rPr>
                <w:b/>
                <w:i/>
              </w:rPr>
              <w:t>XX/XX/20XX</w:t>
            </w:r>
            <w:r>
              <w:t>.</w:t>
            </w:r>
          </w:p>
        </w:tc>
        <w:tc>
          <w:tcPr>
            <w:tcW w:w="4876" w:type="dxa"/>
            <w:hideMark/>
          </w:tcPr>
          <w:p w:rsidR="00CA3D8B" w:rsidRPr="007F04E7" w:rsidRDefault="00DA6CAB" w:rsidP="009648E3">
            <w:pPr>
              <w:pStyle w:val="Normal6"/>
              <w:rPr>
                <w:szCs w:val="24"/>
              </w:rPr>
            </w:pPr>
            <w:r>
              <w:t>(51)</w:t>
            </w:r>
            <w:r>
              <w:tab/>
              <w:t>Zgodnie z art. 42 rozporządzenia (UE) 2018/1725 skonsultowano się z Europejskim Inspektorem Ochrony Danych, któr</w:t>
            </w:r>
            <w:r>
              <w:t xml:space="preserve">y wydał opinię </w:t>
            </w:r>
            <w:r>
              <w:rPr>
                <w:b/>
                <w:i/>
              </w:rPr>
              <w:t>w dniu 19 lipca 2022 r</w:t>
            </w:r>
            <w:r>
              <w: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23</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 – ustęp 2 – litera j a (nowa)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 xml:space="preserve">Tekst proponowany przez </w:t>
            </w:r>
            <w:r>
              <w:t>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ja)</w:t>
            </w:r>
            <w:r>
              <w:rPr>
                <w:b/>
                <w:i/>
              </w:rPr>
              <w:tab/>
              <w:t>nielegalnego handlu materiałami jądrowymi lub radioaktywnymi;</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24</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 xml:space="preserve">Artykuł 2 – ustęp 2 – litera j b </w:t>
      </w:r>
      <w:r>
        <w:t>(nowa)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jb)</w:t>
            </w:r>
            <w:r>
              <w:rPr>
                <w:b/>
                <w:i/>
              </w:rPr>
              <w:tab/>
              <w:t>przestępstw podlegających jurysdykcji Międzynarodowego Trybunału Karnego;</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25</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 – ustęp 2 – litera j c (nowa)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jc)</w:t>
            </w:r>
            <w:r>
              <w:rPr>
                <w:b/>
                <w:i/>
              </w:rPr>
              <w:tab/>
              <w:t>bezprawnego zajęcia samolotu lub statku;</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26</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 xml:space="preserve">Wniosek </w:t>
      </w:r>
      <w:r>
        <w:t>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 – ustęp 2 – litera j d (nowa)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jd)</w:t>
            </w:r>
            <w:r>
              <w:rPr>
                <w:b/>
                <w:i/>
              </w:rPr>
              <w:tab/>
              <w:t>sabotażu;</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t>&lt;Amend&gt;</w:t>
      </w:r>
      <w:r>
        <w:t>Poprawka</w:t>
      </w:r>
      <w:r>
        <w:tab/>
      </w:r>
      <w:r>
        <w:tab/>
      </w:r>
      <w:r>
        <w:rPr>
          <w:rStyle w:val="HideTWBExt"/>
          <w:b w:val="0"/>
          <w:lang w:val="en-GB"/>
        </w:rPr>
        <w:t>&lt;NumAm&gt;</w:t>
      </w:r>
      <w:r>
        <w:t>27</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 xml:space="preserve">Wniosek dotyczący </w:t>
      </w:r>
      <w:r>
        <w:t>dyrektywy</w:t>
      </w:r>
      <w:r>
        <w:rPr>
          <w:rStyle w:val="HideTWBExt"/>
          <w:b w:val="0"/>
          <w:lang w:val="en-US"/>
        </w:rPr>
        <w:t>&lt;/DocAmend&gt;</w:t>
      </w:r>
    </w:p>
    <w:p w:rsidR="00CA3D8B" w:rsidRPr="007F04E7" w:rsidRDefault="00DA6CAB" w:rsidP="00CA3D8B">
      <w:pPr>
        <w:pStyle w:val="NormalBold"/>
      </w:pPr>
      <w:r>
        <w:rPr>
          <w:rStyle w:val="HideTWBExt"/>
          <w:b w:val="0"/>
          <w:lang w:val="fr-FR"/>
        </w:rPr>
        <w:t>&lt;Article&gt;</w:t>
      </w:r>
      <w:r>
        <w:t>Artykuł 3 – ustęp 1 – punkt 2</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w:t>
            </w:r>
            <w:r>
              <w:tab/>
              <w:t>„mienie” oznacza mienie każdego rodzaju, materialne lub niematerialne, ruchome lub nieruchome, oraz dokumenty lub instrumenty prawne potwie</w:t>
            </w:r>
            <w:r>
              <w:t>rdzające prawo do takiego mienia lub prawo z nim związane;</w:t>
            </w:r>
          </w:p>
        </w:tc>
        <w:tc>
          <w:tcPr>
            <w:tcW w:w="4876" w:type="dxa"/>
            <w:hideMark/>
          </w:tcPr>
          <w:p w:rsidR="00CA3D8B" w:rsidRPr="007F04E7" w:rsidRDefault="00DA6CAB" w:rsidP="009648E3">
            <w:pPr>
              <w:pStyle w:val="Normal6"/>
              <w:rPr>
                <w:szCs w:val="24"/>
              </w:rPr>
            </w:pPr>
            <w:r>
              <w:t>2)</w:t>
            </w:r>
            <w:r>
              <w:tab/>
              <w:t xml:space="preserve">„mienie” oznacza mienie każdego rodzaju, materialne lub niematerialne, ruchome lub nieruchome, oraz dokumenty lub instrumenty prawne </w:t>
            </w:r>
            <w:r>
              <w:rPr>
                <w:b/>
                <w:i/>
              </w:rPr>
              <w:t>niezależnie od ich postaci</w:t>
            </w:r>
            <w:r>
              <w:t xml:space="preserve"> potwierdzające prawo do takiego mi</w:t>
            </w:r>
            <w:r>
              <w:t>enia lub prawo z nim związane;</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28</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3 – ustęp 1 – punkt 10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AA7DD9" w:rsidRDefault="00DA6CAB" w:rsidP="009648E3">
            <w:pPr>
              <w:pStyle w:val="Normal6"/>
              <w:rPr>
                <w:b/>
                <w:i/>
              </w:rPr>
            </w:pPr>
            <w:r>
              <w:rPr>
                <w:b/>
                <w:i/>
              </w:rPr>
              <w:t>10a)</w:t>
            </w:r>
            <w:r>
              <w:rPr>
                <w:b/>
                <w:i/>
              </w:rPr>
              <w:tab/>
              <w:t xml:space="preserve">„osoba, której dotyczy nakaz” </w:t>
            </w:r>
            <w:r>
              <w:rPr>
                <w:b/>
                <w:i/>
              </w:rPr>
              <w:lastRenderedPageBreak/>
              <w:t>oznacza: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a)</w:t>
            </w:r>
            <w:r>
              <w:rPr>
                <w:b/>
                <w:i/>
              </w:rPr>
              <w:tab/>
              <w:t>osobę fizyczną lub prawną, względem której wydano nakaz zabezpieczenia lub nakaz konfiskaty;</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b)</w:t>
            </w:r>
            <w:r>
              <w:rPr>
                <w:b/>
                <w:i/>
              </w:rPr>
              <w:tab/>
              <w:t xml:space="preserve">osobę fizyczną lub prawną, która jest właścicielem mienia będącego przedmiotem nakazu </w:t>
            </w:r>
            <w:r>
              <w:rPr>
                <w:b/>
                <w:i/>
              </w:rPr>
              <w:t xml:space="preserve">zabezpieczenia lub nakazu konfiskaty; lub </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c)</w:t>
            </w:r>
            <w:r>
              <w:rPr>
                <w:b/>
                <w:i/>
              </w:rPr>
              <w:tab/>
              <w:t xml:space="preserve">osobę trzecią, której prawa w odniesieniu do mienia będącego przedmiotem nakazu zabezpieczenia lub konfiskaty są bezpośrednio naruszone przez ten nakaz; </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29</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4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w:t>
            </w:r>
            <w:r>
              <w:tab/>
            </w:r>
            <w:r>
              <w:t xml:space="preserve">W celu ułatwienia współpracy transgranicznej państwa członkowskie wprowadzają środki umożliwiające szybkie śledzenie i szybką identyfikację narzędzi i korzyści lub mienia, które mogą stać się lub są przedmiotem nakazu zabezpieczenia lub konfiskaty w toku </w:t>
            </w:r>
            <w:r>
              <w:rPr>
                <w:b/>
                <w:i/>
              </w:rPr>
              <w:t>p</w:t>
            </w:r>
            <w:r>
              <w:rPr>
                <w:b/>
                <w:i/>
              </w:rPr>
              <w:t>ostępowania karnego</w:t>
            </w:r>
            <w:r>
              <w:t>.</w:t>
            </w:r>
          </w:p>
        </w:tc>
        <w:tc>
          <w:tcPr>
            <w:tcW w:w="4876" w:type="dxa"/>
            <w:hideMark/>
          </w:tcPr>
          <w:p w:rsidR="00CA3D8B" w:rsidRPr="007F04E7" w:rsidRDefault="00DA6CAB" w:rsidP="009648E3">
            <w:pPr>
              <w:pStyle w:val="Normal6"/>
              <w:rPr>
                <w:szCs w:val="24"/>
              </w:rPr>
            </w:pPr>
            <w:r>
              <w:t>1.</w:t>
            </w:r>
            <w:r>
              <w:tab/>
              <w:t>W celu ułatwienia współpracy transgranicznej państwa członkowskie wprowadzają środki umożliwiające szybkie śledzenie i szybką identyfikację narzędzi i korzyści lub mienia, które mogą stać się lub są przedmiotem nakazu zabezpieczenia</w:t>
            </w:r>
            <w:r>
              <w:t xml:space="preserve"> lub konfiskaty w toku </w:t>
            </w:r>
            <w:r>
              <w:rPr>
                <w:b/>
                <w:i/>
              </w:rPr>
              <w:t>ścigania karnego</w:t>
            </w:r>
            <w:r>
              <w: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30</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5 – ustęp 2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2a.</w:t>
            </w:r>
            <w:r>
              <w:rPr>
                <w:b/>
                <w:i/>
              </w:rPr>
              <w:tab/>
              <w:t xml:space="preserve">Aby wykonać zadania zgodnie z ust. 2 lit. b), biura ds. odzyskiwania mienia mają prawo zwrócić się do </w:t>
            </w:r>
            <w:r>
              <w:rPr>
                <w:b/>
                <w:i/>
              </w:rPr>
              <w:lastRenderedPageBreak/>
              <w:t xml:space="preserve">odpowiednich właściwych organów o podjęcie niezbędnych środków umożliwiających śledzenie i identyfikację narzędzi, korzyści lub mienia. </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31</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5 – ustęp 4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4a.</w:t>
            </w:r>
            <w:r>
              <w:rPr>
                <w:b/>
                <w:i/>
              </w:rPr>
              <w:tab/>
              <w:t xml:space="preserve">Państwa członkowskie rozważają ze </w:t>
            </w:r>
            <w:r>
              <w:rPr>
                <w:b/>
                <w:i/>
              </w:rPr>
              <w:t xml:space="preserve">szczególną uwagą możliwość powierzenia biurom ds. odzyskiwania mienia zadań określonych w art. 21 ust. 2. </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32</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 xml:space="preserve">Artykuł 6 – </w:t>
      </w:r>
      <w:r>
        <w:t>ustęp 1 – wprowadzenie</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w:t>
            </w:r>
            <w:r>
              <w:tab/>
              <w:t xml:space="preserve">Do celów wykonywania zadań przewidzianych w art. 5 państwa członkowskie zapewniają, aby biura ds. odzyskiwania mienia miały </w:t>
            </w:r>
            <w:r>
              <w:rPr>
                <w:b/>
                <w:i/>
              </w:rPr>
              <w:t>natychmiastowy i bezpośredni</w:t>
            </w:r>
            <w:r>
              <w:t xml:space="preserve"> dostęp do </w:t>
            </w:r>
            <w:r>
              <w:rPr>
                <w:b/>
                <w:i/>
              </w:rPr>
              <w:t>następujących</w:t>
            </w:r>
            <w:r>
              <w:t xml:space="preserve"> informacji w zakresie, w jakim </w:t>
            </w:r>
            <w:r>
              <w:rPr>
                <w:b/>
                <w:i/>
              </w:rPr>
              <w:t>informacje te są</w:t>
            </w:r>
            <w:r>
              <w:t xml:space="preserve"> niezbędne do śledzenia i identyfikacji </w:t>
            </w:r>
            <w:r>
              <w:rPr>
                <w:b/>
                <w:i/>
              </w:rPr>
              <w:t xml:space="preserve">korzyści, </w:t>
            </w:r>
            <w:r>
              <w:t>narzędzi i mienia:</w:t>
            </w:r>
          </w:p>
        </w:tc>
        <w:tc>
          <w:tcPr>
            <w:tcW w:w="4876" w:type="dxa"/>
            <w:hideMark/>
          </w:tcPr>
          <w:p w:rsidR="00CA3D8B" w:rsidRPr="007F04E7" w:rsidRDefault="00DA6CAB" w:rsidP="009648E3">
            <w:pPr>
              <w:pStyle w:val="Normal6"/>
              <w:rPr>
                <w:szCs w:val="24"/>
              </w:rPr>
            </w:pPr>
            <w:r>
              <w:t>1.</w:t>
            </w:r>
            <w:r>
              <w:tab/>
              <w:t xml:space="preserve">Do celów wykonywania zadań przewidzianych w art. 5 państwa członkowskie zapewniają, aby biura ds. odzyskiwania mienia miały </w:t>
            </w:r>
            <w:r>
              <w:rPr>
                <w:b/>
                <w:i/>
              </w:rPr>
              <w:t>odpowiedni</w:t>
            </w:r>
            <w:r>
              <w:t xml:space="preserve"> d</w:t>
            </w:r>
            <w:r>
              <w:t xml:space="preserve">ostęp do </w:t>
            </w:r>
            <w:r>
              <w:rPr>
                <w:b/>
                <w:i/>
              </w:rPr>
              <w:t>wszelkich</w:t>
            </w:r>
            <w:r>
              <w:t xml:space="preserve"> informacji w zakresie, w jakim </w:t>
            </w:r>
            <w:r>
              <w:rPr>
                <w:b/>
                <w:i/>
              </w:rPr>
              <w:t>jest to</w:t>
            </w:r>
            <w:r>
              <w:t xml:space="preserve"> niezbędne do śledzenia i identyfikacji narzędzi</w:t>
            </w:r>
            <w:r>
              <w:rPr>
                <w:b/>
                <w:i/>
              </w:rPr>
              <w:t>,</w:t>
            </w:r>
            <w:r>
              <w:t xml:space="preserve"> </w:t>
            </w:r>
            <w:r>
              <w:rPr>
                <w:b/>
                <w:i/>
              </w:rPr>
              <w:t>korzyści</w:t>
            </w:r>
            <w:r>
              <w:t xml:space="preserve"> i mienia</w:t>
            </w:r>
            <w:r>
              <w:rPr>
                <w:b/>
                <w:i/>
              </w:rPr>
              <w:t>. Dostęp ten obejmuje w szczególności</w:t>
            </w:r>
            <w:r>
              <w: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lastRenderedPageBreak/>
        <w:t>&lt;Amend&gt;</w:t>
      </w:r>
      <w:r>
        <w:t>Poprawka</w:t>
      </w:r>
      <w:r>
        <w:tab/>
      </w:r>
      <w:r>
        <w:tab/>
      </w:r>
      <w:r>
        <w:rPr>
          <w:rStyle w:val="HideTWBExt"/>
          <w:b w:val="0"/>
          <w:lang w:val="en-GB"/>
        </w:rPr>
        <w:t>&lt;NumAm&gt;</w:t>
      </w:r>
      <w:r>
        <w:t>33</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6C5B12" w:rsidRDefault="00DA6CAB" w:rsidP="00CA3D8B">
      <w:pPr>
        <w:pStyle w:val="NormalBold"/>
      </w:pPr>
      <w:r>
        <w:rPr>
          <w:rStyle w:val="HideTWBExt"/>
          <w:b w:val="0"/>
          <w:lang w:val="en-US"/>
        </w:rPr>
        <w:t>&lt;Article&gt;</w:t>
      </w:r>
      <w:r>
        <w:t>Artykuł 6 – ustęp 1 – litera a</w:t>
      </w:r>
      <w:r>
        <w:rPr>
          <w:rStyle w:val="HideTWBExt"/>
          <w:b w:val="0"/>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6C5B12" w:rsidRDefault="00CA3D8B" w:rsidP="009648E3">
            <w:pPr>
              <w:keepNext/>
              <w:rPr>
                <w:lang w:val="en-US"/>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a)</w:t>
            </w:r>
            <w:r>
              <w:tab/>
              <w:t>danych podatkowych, w tym danych będących w posiadaniu organów podatkowych i skarbowych;</w:t>
            </w:r>
          </w:p>
        </w:tc>
        <w:tc>
          <w:tcPr>
            <w:tcW w:w="4876" w:type="dxa"/>
            <w:hideMark/>
          </w:tcPr>
          <w:p w:rsidR="00CA3D8B" w:rsidRPr="007F04E7" w:rsidRDefault="00DA6CAB" w:rsidP="009648E3">
            <w:pPr>
              <w:pStyle w:val="Normal6"/>
              <w:rPr>
                <w:szCs w:val="24"/>
              </w:rPr>
            </w:pPr>
            <w:r>
              <w:t>a)</w:t>
            </w:r>
            <w:r>
              <w:tab/>
            </w:r>
            <w:r>
              <w:rPr>
                <w:b/>
                <w:i/>
              </w:rPr>
              <w:t>natychmiastowy i bezpośredni</w:t>
            </w:r>
            <w:r>
              <w:rPr>
                <w:b/>
                <w:i/>
              </w:rPr>
              <w:t xml:space="preserve"> dostęp do:</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(i) </w:t>
            </w:r>
            <w:r>
              <w:tab/>
              <w:t>danych podatkowych, w tym danych będących w posiadaniu organów podatkowych i skarbowych;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(ii) </w:t>
            </w:r>
            <w:r>
              <w:tab/>
            </w:r>
            <w:r>
              <w:rPr>
                <w:b/>
                <w:i/>
              </w:rPr>
              <w:t>krajowych rejestrów nieruchomości lub elektronicznych systemów wyszukiwania danych oraz rejestrów gruntów i katastralnych;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(iii)</w:t>
            </w:r>
            <w:r>
              <w:tab/>
            </w:r>
            <w:r>
              <w:rPr>
                <w:b/>
                <w:i/>
              </w:rPr>
              <w:t xml:space="preserve"> krajowyc</w:t>
            </w:r>
            <w:r>
              <w:rPr>
                <w:b/>
                <w:i/>
              </w:rPr>
              <w:t>h rejestrów obywatelstwa i ewidencji ludności prowadzonych w odniesieniu do osób fizycznych;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(iv) </w:t>
            </w:r>
            <w:r>
              <w:tab/>
            </w:r>
            <w:r>
              <w:rPr>
                <w:b/>
                <w:i/>
              </w:rPr>
              <w:t>krajowych rejestrów pojazdów silnikowych, statków powietrznych i jednostek pływających;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(v) </w:t>
            </w:r>
            <w:r>
              <w:tab/>
            </w:r>
            <w:r>
              <w:rPr>
                <w:b/>
                <w:i/>
              </w:rPr>
              <w:t xml:space="preserve">baz danych dotyczących działalności gospodarczej, w tym </w:t>
            </w:r>
            <w:r>
              <w:rPr>
                <w:b/>
                <w:i/>
              </w:rPr>
              <w:t>rejestrów działalności gospodarczej i spółek;</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(vi) </w:t>
            </w:r>
            <w:r>
              <w:tab/>
            </w:r>
            <w:r>
              <w:rPr>
                <w:b/>
                <w:i/>
              </w:rPr>
              <w:t>krajowych rejestrów beneficjentów rzeczywistych;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(vii)</w:t>
            </w:r>
            <w:r>
              <w:tab/>
            </w:r>
            <w:r>
              <w:rPr>
                <w:b/>
                <w:i/>
              </w:rPr>
              <w:t xml:space="preserve"> danych dostępnych za pośrednictwem integracji rejestrów beneficjentów rzeczywistych zgodnie z [art. 12 wniosku dotyczącego dyrektywy Parlamentu </w:t>
            </w:r>
            <w:r>
              <w:rPr>
                <w:b/>
                <w:i/>
              </w:rPr>
              <w:t>Europejskiego i Rady w sprawie mechanizmów, które państwa członkowskie powinny wprowadzić, mających na celu zapobieganie wykorzystywaniu systemu finansowego do prania pieniędzy lub finansowania terroryzmu oraz uchylającej dyrektywę (UE) 2015/849, COM(2021)</w:t>
            </w:r>
            <w:r>
              <w:rPr>
                <w:b/>
                <w:i/>
              </w:rPr>
              <w:t xml:space="preserve"> 423];</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(viii)</w:t>
            </w:r>
            <w:r>
              <w:tab/>
            </w:r>
            <w:r>
              <w:rPr>
                <w:b/>
                <w:i/>
              </w:rPr>
              <w:t xml:space="preserve"> krajowych rejestrów zabezpieczenia społecznego; oraz</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(ix) </w:t>
            </w:r>
            <w:r>
              <w:tab/>
            </w:r>
            <w:r>
              <w:rPr>
                <w:b/>
                <w:i/>
              </w:rPr>
              <w:t>rejestrów rachunków bankowych, w tym informacji o elektronicznych transferach środków pieniężnych.</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34</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6 – ustęp 1 – litera b</w:t>
      </w:r>
      <w:r>
        <w:rPr>
          <w:rStyle w:val="HideTWBExt"/>
          <w:b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b)</w:t>
            </w:r>
            <w:r>
              <w:tab/>
            </w:r>
            <w:r>
              <w:rPr>
                <w:b/>
                <w:i/>
              </w:rPr>
              <w:t>krajowych rejestrów nieruchomości lub elektronicznych systemów wyszukiwania danych oraz rejestrów gruntów i ka</w:t>
            </w:r>
            <w:r>
              <w:rPr>
                <w:b/>
                <w:i/>
              </w:rPr>
              <w:t>tastralnych;</w:t>
            </w:r>
          </w:p>
        </w:tc>
        <w:tc>
          <w:tcPr>
            <w:tcW w:w="4876" w:type="dxa"/>
            <w:hideMark/>
          </w:tcPr>
          <w:p w:rsidR="00CA3D8B" w:rsidRPr="007F04E7" w:rsidRDefault="00DA6CAB" w:rsidP="009648E3">
            <w:pPr>
              <w:pStyle w:val="Normal6"/>
              <w:rPr>
                <w:szCs w:val="24"/>
              </w:rPr>
            </w:pPr>
            <w:r>
              <w:t>b)</w:t>
            </w:r>
            <w:r>
              <w:tab/>
            </w:r>
            <w:r>
              <w:rPr>
                <w:b/>
                <w:i/>
              </w:rPr>
              <w:t>bezpośredni lub pośredni dostęp do:</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(i)</w:t>
            </w:r>
            <w:r>
              <w:rPr>
                <w:b/>
                <w:i/>
              </w:rPr>
              <w:tab/>
              <w:t>informacji na temat kredytów hipotecznych i pożyczek;</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(ii)</w:t>
            </w:r>
            <w:r>
              <w:rPr>
                <w:b/>
                <w:i/>
              </w:rPr>
              <w:tab/>
              <w:t>informacji zawartych w krajowych bazach danych dotyczących wymiany walut;</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(iii)</w:t>
            </w:r>
            <w:r>
              <w:rPr>
                <w:b/>
                <w:i/>
              </w:rPr>
              <w:tab/>
              <w:t>informacji o papierach wartościowych;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(iv)</w:t>
            </w:r>
            <w:r>
              <w:rPr>
                <w:b/>
                <w:i/>
              </w:rPr>
              <w:tab/>
              <w:t xml:space="preserve">danych </w:t>
            </w:r>
            <w:r>
              <w:rPr>
                <w:b/>
                <w:i/>
              </w:rPr>
              <w:t>celnych, w tym informacji dotyczących transgranicznych fizycznych transferów środków pieniężnych;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(v)</w:t>
            </w:r>
            <w:r>
              <w:rPr>
                <w:b/>
                <w:i/>
              </w:rPr>
              <w:tab/>
              <w:t>informacji będących w posiadaniu sądów gospodarczych;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(vi)</w:t>
            </w:r>
            <w:r>
              <w:rPr>
                <w:b/>
                <w:i/>
              </w:rPr>
              <w:tab/>
              <w:t>informacji na temat rocznych sprawozdań finansowych spółek;</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tcPr>
          <w:p w:rsidR="00CA3D8B" w:rsidRPr="007F04E7" w:rsidRDefault="00DA6CAB" w:rsidP="009648E3">
            <w:pPr>
              <w:pStyle w:val="Normal6"/>
              <w:rPr>
                <w:b/>
                <w:i/>
              </w:rPr>
            </w:pPr>
            <w:r>
              <w:rPr>
                <w:b/>
                <w:i/>
              </w:rPr>
              <w:t>(vii)</w:t>
            </w:r>
            <w:r>
              <w:rPr>
                <w:b/>
                <w:i/>
              </w:rPr>
              <w:tab/>
              <w:t>odpowiednich informacji</w:t>
            </w:r>
            <w:r>
              <w:rPr>
                <w:b/>
                <w:i/>
              </w:rPr>
              <w:t xml:space="preserve"> będących w posiadaniu właściwych organów do celów zapobiegania przestępczości, wykrywania, lub ścigania przestępstw lub prowadzenia dochodzeń w ich sprawie.</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35</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 xml:space="preserve">Wniosek </w:t>
      </w:r>
      <w:r>
        <w:t>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6 – ustęp 1 – litera c</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rPr>
                <w:b/>
                <w:i/>
              </w:rPr>
              <w:t>c)</w:t>
            </w:r>
            <w:r>
              <w:rPr>
                <w:b/>
                <w:i/>
              </w:rPr>
              <w:tab/>
              <w:t>krajowych rejestrów obywatelstwa i ewidencji ludności prowadzonych w odniesieniu do osób fizycznych;</w:t>
            </w:r>
          </w:p>
        </w:tc>
        <w:tc>
          <w:tcPr>
            <w:tcW w:w="4876" w:type="dxa"/>
            <w:hideMark/>
          </w:tcPr>
          <w:p w:rsidR="00CA3D8B" w:rsidRPr="007F04E7" w:rsidRDefault="00DA6CAB" w:rsidP="009648E3">
            <w:pPr>
              <w:pStyle w:val="Normal6"/>
              <w:rPr>
                <w:szCs w:val="24"/>
              </w:rPr>
            </w:pPr>
            <w:r>
              <w:rPr>
                <w:b/>
                <w:i/>
              </w:rPr>
              <w:t>skreśla się</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t>&lt;Amend&gt;</w:t>
      </w:r>
      <w:r>
        <w:t>Poprawka</w:t>
      </w:r>
      <w:r>
        <w:tab/>
      </w:r>
      <w:r>
        <w:tab/>
      </w:r>
      <w:r>
        <w:rPr>
          <w:rStyle w:val="HideTWBExt"/>
          <w:b w:val="0"/>
          <w:lang w:val="en-GB"/>
        </w:rPr>
        <w:t>&lt;NumAm&gt;</w:t>
      </w:r>
      <w:r>
        <w:t>36</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7F04E7" w:rsidRDefault="00DA6CAB" w:rsidP="00CA3D8B">
      <w:pPr>
        <w:pStyle w:val="NormalBold"/>
      </w:pPr>
      <w:r>
        <w:rPr>
          <w:rStyle w:val="HideTWBExt"/>
          <w:b w:val="0"/>
          <w:lang w:val="fr-FR"/>
        </w:rPr>
        <w:t>&lt;Article&gt;</w:t>
      </w:r>
      <w:r>
        <w:t>Artykuł 6 – ustęp 1 – litera 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rPr>
                <w:b/>
                <w:i/>
              </w:rPr>
              <w:t>d)</w:t>
            </w:r>
            <w:r>
              <w:rPr>
                <w:b/>
                <w:i/>
              </w:rPr>
              <w:tab/>
              <w:t xml:space="preserve">krajowych rejestrów pojazdów silnikowych, </w:t>
            </w:r>
            <w:r>
              <w:rPr>
                <w:b/>
                <w:i/>
              </w:rPr>
              <w:t>statków powietrznych i jednostek pływających;</w:t>
            </w:r>
          </w:p>
        </w:tc>
        <w:tc>
          <w:tcPr>
            <w:tcW w:w="4876" w:type="dxa"/>
            <w:hideMark/>
          </w:tcPr>
          <w:p w:rsidR="00CA3D8B" w:rsidRPr="007F04E7" w:rsidRDefault="00DA6CAB" w:rsidP="009648E3">
            <w:pPr>
              <w:pStyle w:val="Normal6"/>
              <w:rPr>
                <w:szCs w:val="24"/>
              </w:rPr>
            </w:pPr>
            <w:r>
              <w:rPr>
                <w:b/>
                <w:i/>
              </w:rPr>
              <w:t>skreśla się</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A80126"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37</w:t>
      </w:r>
      <w:r>
        <w:rPr>
          <w:rStyle w:val="HideTWBExt"/>
          <w:b w:val="0"/>
          <w:lang w:val="pt-PT"/>
        </w:rPr>
        <w:t>&lt;/NumAm&gt;</w:t>
      </w:r>
    </w:p>
    <w:p w:rsidR="00CA3D8B" w:rsidRPr="00A80126"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6 – ustęp 1 – litera e</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 xml:space="preserve">Tekst proponowany </w:t>
            </w:r>
            <w:r>
              <w:t>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rPr>
                <w:b/>
                <w:i/>
              </w:rPr>
              <w:t>e)</w:t>
            </w:r>
            <w:r>
              <w:rPr>
                <w:b/>
                <w:i/>
              </w:rPr>
              <w:tab/>
              <w:t>baz danych dotyczących działalności gospodarczej, w tym rejestrów działalności gospodarczej i spółek;</w:t>
            </w:r>
          </w:p>
        </w:tc>
        <w:tc>
          <w:tcPr>
            <w:tcW w:w="4876" w:type="dxa"/>
            <w:hideMark/>
          </w:tcPr>
          <w:p w:rsidR="00CA3D8B" w:rsidRPr="007F04E7" w:rsidRDefault="00DA6CAB" w:rsidP="009648E3">
            <w:pPr>
              <w:pStyle w:val="Normal6"/>
              <w:rPr>
                <w:szCs w:val="24"/>
              </w:rPr>
            </w:pPr>
            <w:r>
              <w:rPr>
                <w:b/>
                <w:i/>
              </w:rPr>
              <w:t>skreśla się</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t>&lt;Amend&gt;</w:t>
      </w:r>
      <w:r>
        <w:t>Poprawka</w:t>
      </w:r>
      <w:r>
        <w:tab/>
      </w:r>
      <w:r>
        <w:tab/>
      </w:r>
      <w:r>
        <w:rPr>
          <w:rStyle w:val="HideTWBExt"/>
          <w:b w:val="0"/>
          <w:lang w:val="en-GB"/>
        </w:rPr>
        <w:t>&lt;NumAm&gt;</w:t>
      </w:r>
      <w:r>
        <w:t>38</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7F04E7" w:rsidRDefault="00DA6CAB" w:rsidP="00CA3D8B">
      <w:pPr>
        <w:pStyle w:val="NormalBold"/>
      </w:pPr>
      <w:r>
        <w:rPr>
          <w:rStyle w:val="HideTWBExt"/>
          <w:b w:val="0"/>
          <w:lang w:val="fr-FR"/>
        </w:rPr>
        <w:t>&lt;Article&gt;</w:t>
      </w:r>
      <w:r>
        <w:t>Artykuł 6 – ustęp 1 – litera f</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rPr>
                <w:b/>
                <w:i/>
              </w:rPr>
              <w:t>f)</w:t>
            </w:r>
            <w:r>
              <w:rPr>
                <w:b/>
                <w:i/>
              </w:rPr>
              <w:tab/>
              <w:t xml:space="preserve">krajowych rejestrów </w:t>
            </w:r>
            <w:r>
              <w:rPr>
                <w:b/>
                <w:i/>
              </w:rPr>
              <w:lastRenderedPageBreak/>
              <w:t>zabezpieczenia społecznego;</w:t>
            </w:r>
          </w:p>
        </w:tc>
        <w:tc>
          <w:tcPr>
            <w:tcW w:w="4876" w:type="dxa"/>
            <w:hideMark/>
          </w:tcPr>
          <w:p w:rsidR="00CA3D8B" w:rsidRPr="007F04E7" w:rsidRDefault="00DA6CAB" w:rsidP="009648E3">
            <w:pPr>
              <w:pStyle w:val="Normal6"/>
              <w:rPr>
                <w:szCs w:val="24"/>
              </w:rPr>
            </w:pPr>
            <w:r>
              <w:rPr>
                <w:b/>
                <w:i/>
              </w:rPr>
              <w:lastRenderedPageBreak/>
              <w:t>skreśla się</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t>&lt;Amend&gt;</w:t>
      </w:r>
      <w:r>
        <w:t>Poprawka</w:t>
      </w:r>
      <w:r>
        <w:tab/>
      </w:r>
      <w:r>
        <w:tab/>
      </w:r>
      <w:r>
        <w:rPr>
          <w:rStyle w:val="HideTWBExt"/>
          <w:b w:val="0"/>
          <w:lang w:val="en-GB"/>
        </w:rPr>
        <w:t>&lt;NumAm&gt;</w:t>
      </w:r>
      <w:r>
        <w:t>39</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7F04E7" w:rsidRDefault="00DA6CAB" w:rsidP="00CA3D8B">
      <w:pPr>
        <w:pStyle w:val="NormalBold"/>
      </w:pPr>
      <w:r>
        <w:rPr>
          <w:rStyle w:val="HideTWBExt"/>
          <w:b w:val="0"/>
          <w:lang w:val="fr-FR"/>
        </w:rPr>
        <w:t>&lt;Article&gt;</w:t>
      </w:r>
      <w:r>
        <w:t>Artykuł 6 – ustęp 1 – litera g</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rPr>
                <w:b/>
                <w:i/>
              </w:rPr>
              <w:t>g)</w:t>
            </w:r>
            <w:r>
              <w:rPr>
                <w:b/>
                <w:i/>
              </w:rPr>
              <w:tab/>
              <w:t xml:space="preserve">odpowiednich informacji będących w posiadaniu właściwych organów do celów zapobiegania przestępczości, wykrywania, lub </w:t>
            </w:r>
            <w:r>
              <w:rPr>
                <w:b/>
                <w:i/>
              </w:rPr>
              <w:t>ścigania przestępstw lub prowadzenia dochodzeń w ich sprawie.</w:t>
            </w:r>
          </w:p>
        </w:tc>
        <w:tc>
          <w:tcPr>
            <w:tcW w:w="4876" w:type="dxa"/>
            <w:hideMark/>
          </w:tcPr>
          <w:p w:rsidR="00CA3D8B" w:rsidRPr="007F04E7" w:rsidRDefault="00DA6CAB" w:rsidP="009648E3">
            <w:pPr>
              <w:pStyle w:val="Normal6"/>
              <w:rPr>
                <w:szCs w:val="24"/>
              </w:rPr>
            </w:pPr>
            <w:r>
              <w:rPr>
                <w:b/>
                <w:i/>
              </w:rPr>
              <w:t>skreśla się</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t>&lt;Amend&gt;</w:t>
      </w:r>
      <w:r>
        <w:t>Poprawka</w:t>
      </w:r>
      <w:r>
        <w:tab/>
      </w:r>
      <w:r>
        <w:tab/>
      </w:r>
      <w:r>
        <w:rPr>
          <w:rStyle w:val="HideTWBExt"/>
          <w:b w:val="0"/>
          <w:lang w:val="en-GB"/>
        </w:rPr>
        <w:t>&lt;NumAm&gt;</w:t>
      </w:r>
      <w:r>
        <w:t>40</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7F04E7" w:rsidRDefault="00DA6CAB" w:rsidP="00CA3D8B">
      <w:pPr>
        <w:pStyle w:val="NormalBold"/>
      </w:pPr>
      <w:r>
        <w:rPr>
          <w:rStyle w:val="HideTWBExt"/>
          <w:b w:val="0"/>
        </w:rPr>
        <w:t>&lt;Article&gt;</w:t>
      </w:r>
      <w:r>
        <w:t>Artykuł 6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 xml:space="preserve">Tekst </w:t>
            </w:r>
            <w:r>
              <w:t>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w:t>
            </w:r>
            <w:r>
              <w:tab/>
              <w:t xml:space="preserve">W przypadku gdy informacje, o których mowa w ust. 1, nie są przechowywane w bazach danych lub rejestrach, państwa członkowskie wprowadzają środki niezbędne do zapewnienia, aby biura ds. odzyskiwania mienia mogły </w:t>
            </w:r>
            <w:r>
              <w:t>szybko uzyskać te informacje w inny sposób.</w:t>
            </w:r>
          </w:p>
        </w:tc>
        <w:tc>
          <w:tcPr>
            <w:tcW w:w="4876" w:type="dxa"/>
            <w:hideMark/>
          </w:tcPr>
          <w:p w:rsidR="00CA3D8B" w:rsidRPr="007F04E7" w:rsidRDefault="00DA6CAB" w:rsidP="009648E3">
            <w:pPr>
              <w:pStyle w:val="Normal6"/>
              <w:rPr>
                <w:szCs w:val="24"/>
              </w:rPr>
            </w:pPr>
            <w:r>
              <w:t>2.</w:t>
            </w:r>
            <w:r>
              <w:tab/>
              <w:t>W przypadku gdy informacje, o których mowa w ust. 1, nie są przechowywane w bazach danych lub rejestrach, państwa członkowskie wprowadzają środki niezbędne do zapewnienia, aby biura ds. odzyskiwania mienia mog</w:t>
            </w:r>
            <w:r>
              <w:t xml:space="preserve">ły szybko uzyskać te informacje w inny sposób. </w:t>
            </w:r>
            <w:r>
              <w:rPr>
                <w:b/>
                <w:i/>
              </w:rPr>
              <w:t>W przypadku gdy urząd ds. odzyskiwania mienia zwraca się o udostępnienie informacji, do których nie ma bezpośredniego dostępu, organ, do którego skierowano wniosek o udzielenie informacji, odpowiada na wniosek</w:t>
            </w:r>
            <w:r>
              <w:rPr>
                <w:b/>
                <w:i/>
              </w:rPr>
              <w:t xml:space="preserve"> w odpowiednio krótkim czasie.</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lastRenderedPageBreak/>
        <w:t>&lt;Amend&gt;</w:t>
      </w:r>
      <w:r>
        <w:t>Poprawka</w:t>
      </w:r>
      <w:r>
        <w:tab/>
      </w:r>
      <w:r>
        <w:tab/>
      </w:r>
      <w:r>
        <w:rPr>
          <w:rStyle w:val="HideTWBExt"/>
          <w:b w:val="0"/>
          <w:lang w:val="pt-PT"/>
        </w:rPr>
        <w:t>&lt;NumAm&gt;</w:t>
      </w:r>
      <w:r>
        <w:t>41</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6 – ustęp 2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2a.</w:t>
            </w:r>
            <w:r>
              <w:rPr>
                <w:b/>
                <w:i/>
              </w:rPr>
              <w:tab/>
            </w:r>
            <w:r>
              <w:rPr>
                <w:b/>
                <w:i/>
              </w:rPr>
              <w:t>Komisja może przyjąć akty delegowane, zgodnie z art. 30, określające specyfikację standardowego szablonu wniosków o udzielenie informacji, o których mowa w ust. 1 lit. b) niniejszego artykułu.</w:t>
            </w:r>
          </w:p>
        </w:tc>
      </w:tr>
    </w:tbl>
    <w:p w:rsidR="00CA3D8B" w:rsidRPr="007F04E7" w:rsidRDefault="00DA6CAB" w:rsidP="00CA3D8B">
      <w:pPr>
        <w:pStyle w:val="Olang"/>
        <w:rPr>
          <w:lang w:val="en-GB"/>
        </w:rPr>
      </w:pPr>
      <w:r w:rsidRPr="007F04E7">
        <w:rPr>
          <w:lang w:val="en-GB"/>
        </w:rPr>
        <w:t xml:space="preserve">Or. </w:t>
      </w:r>
      <w:r w:rsidRPr="007F04E7">
        <w:rPr>
          <w:rStyle w:val="HideTWBExt"/>
          <w:lang w:val="en-GB"/>
        </w:rPr>
        <w:t>&lt;Original&gt;</w:t>
      </w:r>
      <w:r w:rsidRPr="007F04E7">
        <w:rPr>
          <w:rStyle w:val="HideTWBInt"/>
          <w:lang w:val="en-GB"/>
        </w:rPr>
        <w:t>{EN}</w:t>
      </w:r>
      <w:r w:rsidRPr="007F04E7">
        <w:rPr>
          <w:lang w:val="en-GB"/>
        </w:rPr>
        <w:t>en</w:t>
      </w:r>
      <w:r w:rsidRPr="007F04E7">
        <w:rPr>
          <w:rStyle w:val="HideTWBExt"/>
          <w:lang w:val="en-GB"/>
        </w:rPr>
        <w:t>&lt;/Original&gt;</w:t>
      </w:r>
    </w:p>
    <w:p w:rsidR="00CA3D8B" w:rsidRPr="006C5B12" w:rsidRDefault="00DA6CAB" w:rsidP="00CA3D8B">
      <w:pPr>
        <w:rPr>
          <w:szCs w:val="24"/>
        </w:rPr>
      </w:pPr>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42</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9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5.</w:t>
            </w:r>
            <w:r>
              <w:tab/>
              <w:t xml:space="preserve">Państwa członkowskie zapewniają, aby biura ds. odzyskiwania mienia miały bezpośredni dostęp do systemu </w:t>
            </w:r>
            <w:r>
              <w:t xml:space="preserve">SIENA </w:t>
            </w:r>
            <w:r>
              <w:rPr>
                <w:b/>
                <w:i/>
              </w:rPr>
              <w:t>i wykorzystywały go do celów wymiany informacji, o której mowa w niniejszym artykule</w:t>
            </w:r>
            <w:r>
              <w:t>.</w:t>
            </w:r>
          </w:p>
        </w:tc>
        <w:tc>
          <w:tcPr>
            <w:tcW w:w="4876" w:type="dxa"/>
            <w:hideMark/>
          </w:tcPr>
          <w:p w:rsidR="00CA3D8B" w:rsidRPr="007F04E7" w:rsidRDefault="00DA6CAB" w:rsidP="009648E3">
            <w:pPr>
              <w:pStyle w:val="Normal6"/>
              <w:rPr>
                <w:szCs w:val="24"/>
              </w:rPr>
            </w:pPr>
            <w:r>
              <w:t>5.</w:t>
            </w:r>
            <w:r>
              <w:tab/>
            </w:r>
            <w:r>
              <w:rPr>
                <w:b/>
                <w:i/>
              </w:rPr>
              <w:t>Wymiana informacji na mocy niniejszego artykułu odbywa się za pośrednictwem systemu SIENA.</w:t>
            </w:r>
            <w:r>
              <w:t xml:space="preserve"> Państwa członkowskie zapewniają, aby </w:t>
            </w:r>
            <w:r>
              <w:rPr>
                <w:b/>
                <w:i/>
              </w:rPr>
              <w:t>ich</w:t>
            </w:r>
            <w:r>
              <w:t xml:space="preserve"> biura ds. odzyskiwania mienia</w:t>
            </w:r>
            <w:r>
              <w:t xml:space="preserve"> miały bezpośredni dostęp do systemu SIENA.</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43</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11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w:t>
            </w:r>
            <w:r>
              <w:tab/>
              <w:t>Państwa członkowskie wprowadzają niezbędne środki, aby umożliwić zabezpieczenie mienia niezbędne do przeprowadzenia jego ewentualnej konfiskaty na podstawie art. 12.</w:t>
            </w:r>
          </w:p>
        </w:tc>
        <w:tc>
          <w:tcPr>
            <w:tcW w:w="4876" w:type="dxa"/>
            <w:hideMark/>
          </w:tcPr>
          <w:p w:rsidR="00CA3D8B" w:rsidRPr="007F04E7" w:rsidRDefault="00DA6CAB" w:rsidP="009648E3">
            <w:pPr>
              <w:pStyle w:val="Normal6"/>
              <w:rPr>
                <w:szCs w:val="24"/>
              </w:rPr>
            </w:pPr>
            <w:r>
              <w:t>1.</w:t>
            </w:r>
            <w:r>
              <w:tab/>
              <w:t>Państwa członkowskie wprowadzają niezbędne środki, aby umożliwić zabezpieczenie mienia</w:t>
            </w:r>
            <w:r>
              <w:t xml:space="preserve"> niezbędne do przeprowadzenia jego ewentualnej konfiskaty na podstawie art. 12. </w:t>
            </w:r>
            <w:r>
              <w:rPr>
                <w:b/>
                <w:i/>
              </w:rPr>
              <w:t xml:space="preserve">Środki zabezpieczające obejmują </w:t>
            </w:r>
            <w:r>
              <w:rPr>
                <w:b/>
                <w:i/>
              </w:rPr>
              <w:lastRenderedPageBreak/>
              <w:t>nakazy zabezpieczenia oraz niezwłoczne działanie w postaci tymczasowych, pilnych środków zabezpieczających.</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w:t>
      </w:r>
      <w:r>
        <w:rPr>
          <w:rStyle w:val="HideTWBExt"/>
          <w:lang w:val="en-US"/>
        </w:rPr>
        <w:t>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44</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11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w:t>
            </w:r>
            <w:r>
              <w:tab/>
            </w:r>
            <w:r>
              <w:rPr>
                <w:b/>
                <w:i/>
              </w:rPr>
              <w:t>Środki zabezpieczające obejmują</w:t>
            </w:r>
            <w:r>
              <w:t xml:space="preserve"> </w:t>
            </w:r>
            <w:r>
              <w:rPr>
                <w:b/>
                <w:i/>
              </w:rPr>
              <w:t>niezwłoczne działanie, które</w:t>
            </w:r>
            <w:r>
              <w:t xml:space="preserve"> w razie konieczności należy podjąć w celu zabezpieczenia mienia.</w:t>
            </w:r>
          </w:p>
        </w:tc>
        <w:tc>
          <w:tcPr>
            <w:tcW w:w="4876" w:type="dxa"/>
            <w:hideMark/>
          </w:tcPr>
          <w:p w:rsidR="00CA3D8B" w:rsidRPr="007F04E7" w:rsidRDefault="00DA6CAB" w:rsidP="009648E3">
            <w:pPr>
              <w:pStyle w:val="Normal6"/>
              <w:rPr>
                <w:szCs w:val="24"/>
              </w:rPr>
            </w:pPr>
            <w:r>
              <w:t>2.</w:t>
            </w:r>
            <w:r>
              <w:tab/>
              <w:t xml:space="preserve">W razie konieczności należy podjąć </w:t>
            </w:r>
            <w:r>
              <w:rPr>
                <w:b/>
                <w:i/>
              </w:rPr>
              <w:t>niezwłoczne działanie</w:t>
            </w:r>
            <w:r>
              <w:t xml:space="preserve"> w celu zabezpieczenia mienia </w:t>
            </w:r>
            <w:r>
              <w:rPr>
                <w:b/>
                <w:i/>
              </w:rPr>
              <w:t>w postaci tymczasowych, pilnych środków zabezpieczających w trybie pilnym</w:t>
            </w:r>
            <w:r>
              <w: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45</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13 - ustęp 1 – akapit 1</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 xml:space="preserve">Państwa członkowskie wprowadzają niezbędne środki w celu umożliwienia konfiskaty korzyści lub innego mienia </w:t>
            </w:r>
            <w:r>
              <w:rPr>
                <w:b/>
                <w:i/>
              </w:rPr>
              <w:t>o</w:t>
            </w:r>
            <w:r>
              <w:t> równoważnej wartości, jeżeli takie korzyści lub inne mienie podejrzany lub oskarżony przekazał, bezpośrednio lub pośrednio, osobom trzecim lub jeż</w:t>
            </w:r>
            <w:r>
              <w:t>eli osoby trzecie nabyły je od podejrzanego lub oskarżonego.</w:t>
            </w:r>
          </w:p>
        </w:tc>
        <w:tc>
          <w:tcPr>
            <w:tcW w:w="4876" w:type="dxa"/>
            <w:hideMark/>
          </w:tcPr>
          <w:p w:rsidR="00CA3D8B" w:rsidRPr="007F04E7" w:rsidRDefault="00DA6CAB" w:rsidP="009648E3">
            <w:pPr>
              <w:pStyle w:val="Normal6"/>
              <w:rPr>
                <w:szCs w:val="24"/>
              </w:rPr>
            </w:pPr>
            <w:r>
              <w:t xml:space="preserve">Państwa członkowskie wprowadzają niezbędne środki w celu umożliwienia konfiskaty korzyści lub innego mienia </w:t>
            </w:r>
            <w:r>
              <w:rPr>
                <w:b/>
                <w:i/>
              </w:rPr>
              <w:t>do</w:t>
            </w:r>
            <w:r>
              <w:t xml:space="preserve"> równoważnej </w:t>
            </w:r>
            <w:r>
              <w:rPr>
                <w:b/>
                <w:i/>
              </w:rPr>
              <w:t>im</w:t>
            </w:r>
            <w:r>
              <w:t xml:space="preserve"> wartości, jeżeli takie korzyści lub inne mienie podejrzany lub oskarż</w:t>
            </w:r>
            <w:r>
              <w:t xml:space="preserve">ony przekazał, bezpośrednio lub pośrednio, osobom trzecim lub jeżeli osoby trzecie nabyły je od podejrzanego lub oskarżonego. </w:t>
            </w:r>
            <w:r>
              <w:rPr>
                <w:b/>
                <w:i/>
              </w:rPr>
              <w:t>Konfiskata tych korzyści lub innego mienia jest możliwa, jeżeli w oparciu o konkretne fakty i okoliczności sąd krajowy ustalił, że</w:t>
            </w:r>
            <w:r>
              <w:rPr>
                <w:b/>
                <w:i/>
              </w:rPr>
              <w:t xml:space="preserve"> te osoby trzecie wiedziały lub można zakładać, że wiedziały, że celem przekazania lub nabycia było uniknięcie konfiskaty lub że przekazane mienie było bezpośrednio lub pośrednio powiązane z działalnością </w:t>
            </w:r>
            <w:r>
              <w:rPr>
                <w:b/>
                <w:i/>
              </w:rPr>
              <w:lastRenderedPageBreak/>
              <w:t xml:space="preserve">przestępczą. Do takich faktów i okoliczności można </w:t>
            </w:r>
            <w:r>
              <w:rPr>
                <w:b/>
                <w:i/>
              </w:rPr>
              <w:t>zaliczyć przekazanie lub pozyskanie mienia nieodpłatnie lub w zamian za kwotę nieproporcjonalną do jego wartości rynkowej.</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46</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13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rPr>
                <w:b/>
                <w:i/>
              </w:rPr>
              <w:t>2.</w:t>
            </w:r>
            <w:r>
              <w:rPr>
                <w:b/>
                <w:i/>
              </w:rPr>
              <w:tab/>
              <w:t>Przepis ust. 1 nie wpływa na prawa osób trzecich działających w dobrej wierze.</w:t>
            </w:r>
          </w:p>
        </w:tc>
        <w:tc>
          <w:tcPr>
            <w:tcW w:w="4876" w:type="dxa"/>
            <w:hideMark/>
          </w:tcPr>
          <w:p w:rsidR="00CA3D8B" w:rsidRPr="007F04E7" w:rsidRDefault="00DA6CAB" w:rsidP="009648E3">
            <w:pPr>
              <w:pStyle w:val="Normal6"/>
              <w:rPr>
                <w:szCs w:val="24"/>
              </w:rPr>
            </w:pPr>
            <w:r>
              <w:rPr>
                <w:b/>
                <w:i/>
              </w:rPr>
              <w:t>skreśla się</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t>&lt;Amend&gt;</w:t>
      </w:r>
      <w:r>
        <w:t>Poprawka</w:t>
      </w:r>
      <w:r>
        <w:tab/>
      </w:r>
      <w:r>
        <w:tab/>
      </w:r>
      <w:r>
        <w:rPr>
          <w:rStyle w:val="HideTWBExt"/>
          <w:b w:val="0"/>
          <w:lang w:val="en-GB"/>
        </w:rPr>
        <w:t>&lt;NumAm&gt;</w:t>
      </w:r>
      <w:r>
        <w:t>47</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7F04E7" w:rsidRDefault="00DA6CAB" w:rsidP="00CA3D8B">
      <w:pPr>
        <w:pStyle w:val="NormalBold"/>
      </w:pPr>
      <w:r>
        <w:rPr>
          <w:rStyle w:val="HideTWBExt"/>
          <w:b w:val="0"/>
          <w:lang w:val="fr-FR"/>
        </w:rPr>
        <w:t>&lt;Article&gt;</w:t>
      </w:r>
      <w:r>
        <w:t>Artykuł 15 – ustęp 1 – litera f</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f)</w:t>
            </w:r>
            <w:r>
              <w:tab/>
              <w:t xml:space="preserve">upływ terminów przewidzianych w prawie krajowym, </w:t>
            </w:r>
            <w:r>
              <w:rPr>
                <w:b/>
                <w:i/>
              </w:rPr>
              <w:t>gdy</w:t>
            </w:r>
            <w:r>
              <w:t xml:space="preserve"> takie terminy nie są </w:t>
            </w:r>
            <w:r>
              <w:rPr>
                <w:b/>
                <w:i/>
              </w:rPr>
              <w:t>wystarczająco długie, aby umożliwić</w:t>
            </w:r>
            <w:r>
              <w:rPr>
                <w:b/>
                <w:i/>
              </w:rPr>
              <w:t xml:space="preserve"> skuteczne prowadzenie dochodzenia w sprawie określonych przestępstw i ich ściganie</w:t>
            </w:r>
            <w:r>
              <w:t>.</w:t>
            </w:r>
          </w:p>
        </w:tc>
        <w:tc>
          <w:tcPr>
            <w:tcW w:w="4876" w:type="dxa"/>
            <w:hideMark/>
          </w:tcPr>
          <w:p w:rsidR="00CA3D8B" w:rsidRPr="007F04E7" w:rsidRDefault="00DA6CAB" w:rsidP="009648E3">
            <w:pPr>
              <w:pStyle w:val="Normal6"/>
              <w:rPr>
                <w:szCs w:val="24"/>
              </w:rPr>
            </w:pPr>
            <w:r>
              <w:t>f)</w:t>
            </w:r>
            <w:r>
              <w:tab/>
              <w:t xml:space="preserve">upływ terminów przewidzianych w prawie krajowym, </w:t>
            </w:r>
            <w:r>
              <w:rPr>
                <w:b/>
                <w:i/>
              </w:rPr>
              <w:t>o ile</w:t>
            </w:r>
            <w:r>
              <w:t xml:space="preserve"> takie terminy nie są </w:t>
            </w:r>
            <w:r>
              <w:rPr>
                <w:b/>
                <w:i/>
              </w:rPr>
              <w:t>dłuższe niż 15 lat</w:t>
            </w:r>
            <w:r>
              <w: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48</w:t>
      </w:r>
      <w:r>
        <w:rPr>
          <w:rStyle w:val="HideTWBExt"/>
          <w:b w:val="0"/>
          <w:lang w:val="pt-PT"/>
        </w:rPr>
        <w:t>&lt;/Nu</w:t>
      </w:r>
      <w:r>
        <w:rPr>
          <w:rStyle w:val="HideTWBExt"/>
          <w:b w:val="0"/>
          <w:lang w:val="pt-PT"/>
        </w:rPr>
        <w:t>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15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w:t>
            </w:r>
            <w:r>
              <w:tab/>
              <w:t xml:space="preserve">Konfiskata bez uprzedniego wyroku skazującego jest możliwa wyłącznie w przypadku przestępstw, które mogą być </w:t>
            </w:r>
            <w:r>
              <w:t>źródłem – w sposób bezpośredni lub pośredni – znacznych korzyści majątkowych, i wyłącznie wówczas, gdy sąd krajowy jest przekonany, że wyczerpane są wszystkie znamiona przestępstwa.</w:t>
            </w:r>
          </w:p>
        </w:tc>
        <w:tc>
          <w:tcPr>
            <w:tcW w:w="4876" w:type="dxa"/>
            <w:hideMark/>
          </w:tcPr>
          <w:p w:rsidR="00CA3D8B" w:rsidRPr="007F04E7" w:rsidRDefault="00DA6CAB" w:rsidP="009648E3">
            <w:pPr>
              <w:pStyle w:val="Normal6"/>
              <w:rPr>
                <w:szCs w:val="24"/>
              </w:rPr>
            </w:pPr>
            <w:r>
              <w:t>2.</w:t>
            </w:r>
            <w:r>
              <w:tab/>
              <w:t>Konfiskata bez uprzedniego wyroku skazującego jest możliwa wyłącznie w </w:t>
            </w:r>
            <w:r>
              <w:t>przypadku przestępstw, które mogą być źródłem – w sposób bezpośredni lub pośredni – znacznych korzyści majątkowych, i wyłącznie wówczas, gdy sąd krajowy jest przekonany</w:t>
            </w:r>
            <w:r>
              <w:rPr>
                <w:b/>
                <w:i/>
              </w:rPr>
              <w:t>, na podstawie dostępnych informacji</w:t>
            </w:r>
            <w:r>
              <w:t xml:space="preserve">, że wyczerpane są wszystkie znamiona przestępstwa </w:t>
            </w:r>
            <w:r>
              <w:rPr>
                <w:b/>
                <w:i/>
              </w:rPr>
              <w:t>o</w:t>
            </w:r>
            <w:r>
              <w:rPr>
                <w:b/>
                <w:i/>
              </w:rPr>
              <w:t>raz że narzędzia, korzyści lub mienie, które mają zostać skonfiskowane, pochodzą z danego zachowania przestępczego lub są z nim bezpośrednio lub pośrednio związane</w:t>
            </w:r>
            <w:r>
              <w: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49</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16 – ustęp 1 – wprowadzenie</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w:t>
            </w:r>
            <w:r>
              <w:tab/>
              <w:t>Państwa członkowskie wprowadzają niezbędne środki w celu umożliwienia konfiskaty mienia, w przypadku gdy nie jest m</w:t>
            </w:r>
            <w:r>
              <w:t xml:space="preserve">ożliwa konfiskata na podstawie art. 12–15 i gdy </w:t>
            </w:r>
            <w:r>
              <w:rPr>
                <w:b/>
                <w:i/>
              </w:rPr>
              <w:t>spełnione są następujące warunki:</w:t>
            </w:r>
          </w:p>
        </w:tc>
        <w:tc>
          <w:tcPr>
            <w:tcW w:w="4876" w:type="dxa"/>
            <w:hideMark/>
          </w:tcPr>
          <w:p w:rsidR="00CA3D8B" w:rsidRPr="007F04E7" w:rsidRDefault="00DA6CAB" w:rsidP="009648E3">
            <w:pPr>
              <w:pStyle w:val="Normal6"/>
              <w:rPr>
                <w:szCs w:val="24"/>
              </w:rPr>
            </w:pPr>
            <w:r>
              <w:t>1.</w:t>
            </w:r>
            <w:r>
              <w:tab/>
              <w:t xml:space="preserve">Państwa członkowskie wprowadzają niezbędne środki w celu umożliwienia konfiskaty mienia, w przypadku gdy nie jest możliwa konfiskata na podstawie art. 12–15 i gdy </w:t>
            </w:r>
            <w:r>
              <w:rPr>
                <w:b/>
                <w:i/>
              </w:rPr>
              <w:t>sąd kraj</w:t>
            </w:r>
            <w:r>
              <w:rPr>
                <w:b/>
                <w:i/>
              </w:rPr>
              <w:t>owy jest przekonany, że zabezpieczone mienie pochodzi z przestępstwa, które może przynieść, bezpośrednio lub pośrednio, znaczne korzyści majątkowe i które zostało popełnione w ramach organizacji przestępczej</w:t>
            </w:r>
            <w:r>
              <w:t>.</w:t>
            </w:r>
            <w:r>
              <w:rPr>
                <w:b/>
                <w:i/>
              </w:rPr>
              <w:t xml:space="preserve"> W celu ustalenia, czy zabezpieczone mienie poch</w:t>
            </w:r>
            <w:r>
              <w:rPr>
                <w:b/>
                <w:i/>
              </w:rPr>
              <w:t>odzi z przestępstwa, państwa członkowskie muszą uwzględnić wszystkie okoliczności sprawy, w tym konkretne fakty i dostępne dowody, jak na przykład fakt, że wartość mienia jest rażąco nieproporcjonalna w stosunku do legalnego dochodu właściciela takiego mie</w:t>
            </w:r>
            <w:r>
              <w:rPr>
                <w:b/>
                <w:i/>
              </w:rPr>
              <w:t>nia.</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50</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17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rPr>
                <w:b/>
                <w:i/>
              </w:rPr>
              <w:t>2.</w:t>
            </w:r>
            <w:r>
              <w:rPr>
                <w:b/>
                <w:i/>
              </w:rPr>
              <w:tab/>
              <w:t xml:space="preserve">Państwa członkowskie rozważają </w:t>
            </w:r>
            <w:r>
              <w:rPr>
                <w:b/>
                <w:i/>
              </w:rPr>
              <w:t>zasadność wprowadzenia środków, które umożliwiają wykorzystanie skonfiskowanego mienia w interesie publicznym lub do celów społecznych.</w:t>
            </w:r>
          </w:p>
        </w:tc>
        <w:tc>
          <w:tcPr>
            <w:tcW w:w="4876" w:type="dxa"/>
            <w:hideMark/>
          </w:tcPr>
          <w:p w:rsidR="00CA3D8B" w:rsidRPr="007F04E7" w:rsidRDefault="00DA6CAB" w:rsidP="009648E3">
            <w:pPr>
              <w:pStyle w:val="Normal6"/>
              <w:rPr>
                <w:szCs w:val="24"/>
              </w:rPr>
            </w:pPr>
            <w:r>
              <w:rPr>
                <w:b/>
                <w:i/>
              </w:rPr>
              <w:t>skreśla się</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t>&lt;Amend&gt;</w:t>
      </w:r>
      <w:r>
        <w:t>Poprawka</w:t>
      </w:r>
      <w:r>
        <w:tab/>
      </w:r>
      <w:r>
        <w:tab/>
      </w:r>
      <w:r>
        <w:rPr>
          <w:rStyle w:val="HideTWBExt"/>
          <w:b w:val="0"/>
          <w:lang w:val="en-GB"/>
        </w:rPr>
        <w:t>&lt;NumAm&gt;</w:t>
      </w:r>
      <w:r>
        <w:t>51</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 xml:space="preserve">Wniosek dotyczący </w:t>
      </w:r>
      <w:r>
        <w:t>dyrektywy</w:t>
      </w:r>
      <w:r>
        <w:rPr>
          <w:rStyle w:val="HideTWBExt"/>
          <w:b w:val="0"/>
          <w:lang w:val="en-US"/>
        </w:rPr>
        <w:t>&lt;/DocAmend&gt;</w:t>
      </w:r>
    </w:p>
    <w:p w:rsidR="00CA3D8B" w:rsidRPr="007F04E7" w:rsidRDefault="00DA6CAB" w:rsidP="00CA3D8B">
      <w:pPr>
        <w:pStyle w:val="NormalBold"/>
      </w:pPr>
      <w:r>
        <w:rPr>
          <w:rStyle w:val="HideTWBExt"/>
          <w:b w:val="0"/>
          <w:lang w:val="fr-FR"/>
        </w:rPr>
        <w:t>&lt;Article&gt;</w:t>
      </w:r>
      <w:r>
        <w:t>Artykuł 17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jc w:val="center"/>
              <w:rPr>
                <w:szCs w:val="24"/>
              </w:rPr>
            </w:pPr>
            <w:r>
              <w:rPr>
                <w:b/>
                <w:i/>
              </w:rPr>
              <w:t>Artykuł 17a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jc w:val="center"/>
              <w:rPr>
                <w:szCs w:val="24"/>
              </w:rPr>
            </w:pPr>
            <w:r>
              <w:rPr>
                <w:b/>
                <w:i/>
              </w:rPr>
              <w:t>Dalsze wykorzystanie skonfiskowanego mienia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1.</w:t>
            </w:r>
            <w:r>
              <w:rPr>
                <w:b/>
                <w:i/>
              </w:rPr>
              <w:tab/>
              <w:t xml:space="preserve">Państwa członkowskie wprowadzają niezbędne środki, które umożliwiają wykorzystanie </w:t>
            </w:r>
            <w:r>
              <w:rPr>
                <w:b/>
                <w:i/>
              </w:rPr>
              <w:t>skonfiskowanego mienia w interesie publicznym lub do celów społecznych. Mienie takie może być zatrzymane jako mienie państwowe na użytek wymiaru sprawiedliwości, organów ścigania, służb cywilnych lub do celów gospodarczych lub też przekazane władzom lokaln</w:t>
            </w:r>
            <w:r>
              <w:rPr>
                <w:b/>
                <w:i/>
              </w:rPr>
              <w:t>ym lub regionalnym odpowiedzialnym za obszar, na którym znajduje się mienie, z przeznaczeniem na cele instytucjonalne, społeczne lub gospodarcze, w tym na rzecz organizacji prowadzących działalność w interesie społecznym.</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w:t>
            </w:r>
            <w:r>
              <w:rPr>
                <w:b/>
                <w:i/>
              </w:rPr>
              <w:tab/>
              <w:t>W przypadku gdy skonfiskowane</w:t>
            </w:r>
            <w:r>
              <w:rPr>
                <w:b/>
                <w:i/>
              </w:rPr>
              <w:t xml:space="preserve"> </w:t>
            </w:r>
            <w:r>
              <w:rPr>
                <w:b/>
                <w:i/>
              </w:rPr>
              <w:lastRenderedPageBreak/>
              <w:t>mienie pochodzi z państwa trzeciego, państwa członkowskie podejmują wszelkie stosowne środki celem zwrócenia tego mienia do państwa trzeciego. Obowiązek ten nie narusza możliwości zatrzymania części mienia na pokrycie kosztów związanych ze śledzeniem i id</w:t>
            </w:r>
            <w:r>
              <w:rPr>
                <w:b/>
                <w:i/>
              </w:rPr>
              <w:t>entyfikacją lub z zarządzaniem bezpośrednio związanym z tym mieniem.</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52</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18 – tytuł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 xml:space="preserve">Tekst proponowany </w:t>
            </w:r>
            <w:r>
              <w:t>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Zaspakajanie roszczeń ofiar przestępstwa</w:t>
            </w:r>
          </w:p>
        </w:tc>
        <w:tc>
          <w:tcPr>
            <w:tcW w:w="4876" w:type="dxa"/>
            <w:hideMark/>
          </w:tcPr>
          <w:p w:rsidR="00CA3D8B" w:rsidRPr="007F04E7" w:rsidRDefault="00DA6CAB" w:rsidP="009648E3">
            <w:pPr>
              <w:pStyle w:val="Normal6"/>
              <w:rPr>
                <w:szCs w:val="24"/>
              </w:rPr>
            </w:pPr>
            <w:r>
              <w:t xml:space="preserve">Zaspakajanie roszczeń ofiar przestępstwa </w:t>
            </w:r>
            <w:r>
              <w:rPr>
                <w:b/>
                <w:i/>
              </w:rPr>
              <w:t>i naprawianie wyrządzonych im szkód</w:t>
            </w:r>
          </w:p>
        </w:tc>
      </w:tr>
    </w:tbl>
    <w:p w:rsidR="00CA3D8B" w:rsidRPr="007F04E7" w:rsidRDefault="00DA6CAB" w:rsidP="00CA3D8B">
      <w:pPr>
        <w:pStyle w:val="Olang"/>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t>&lt;Amend&gt;</w:t>
      </w:r>
      <w:r>
        <w:t>Poprawka</w:t>
      </w:r>
      <w:r>
        <w:tab/>
      </w:r>
      <w:r>
        <w:tab/>
      </w:r>
      <w:r>
        <w:rPr>
          <w:rStyle w:val="HideTWBExt"/>
          <w:b w:val="0"/>
          <w:lang w:val="en-GB"/>
        </w:rPr>
        <w:t>&lt;NumAm&gt;</w:t>
      </w:r>
      <w:r>
        <w:t>53</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7F04E7" w:rsidRDefault="00DA6CAB" w:rsidP="00CA3D8B">
      <w:pPr>
        <w:pStyle w:val="NormalBold"/>
      </w:pPr>
      <w:r>
        <w:rPr>
          <w:rStyle w:val="HideTWBExt"/>
          <w:b w:val="0"/>
        </w:rPr>
        <w:t>&lt;Article&gt;</w:t>
      </w:r>
      <w:r>
        <w:t>Artykuł 18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Jeżeli w związku z popełnieniem przestępstwa ofiary przestępstwa zgłaszają roszczenia w stosunku do osoby, która objęta jest przewidzianym w niniejszej dyrektywie środkiem dotyczącym konfiskaty, państwa członkowskie wprowadzają niezbędne środki w celu zape</w:t>
            </w:r>
            <w:r>
              <w:t xml:space="preserve">wnienia, aby </w:t>
            </w:r>
            <w:r>
              <w:rPr>
                <w:b/>
                <w:i/>
              </w:rPr>
              <w:t>środek dotyczący</w:t>
            </w:r>
            <w:r>
              <w:t xml:space="preserve"> konfiskaty </w:t>
            </w:r>
            <w:r>
              <w:rPr>
                <w:b/>
                <w:i/>
              </w:rPr>
              <w:t>nie miał wpływu na prawa</w:t>
            </w:r>
            <w:r>
              <w:t xml:space="preserve"> ofiar </w:t>
            </w:r>
            <w:r>
              <w:rPr>
                <w:b/>
                <w:i/>
              </w:rPr>
              <w:t>przestępstwa do uzyskania zaspokojenia ich roszczeń</w:t>
            </w:r>
            <w:r>
              <w:t>.</w:t>
            </w:r>
          </w:p>
        </w:tc>
        <w:tc>
          <w:tcPr>
            <w:tcW w:w="4876" w:type="dxa"/>
            <w:hideMark/>
          </w:tcPr>
          <w:p w:rsidR="00CA3D8B" w:rsidRPr="007F04E7" w:rsidRDefault="00DA6CAB" w:rsidP="009648E3">
            <w:pPr>
              <w:pStyle w:val="Normal6"/>
              <w:rPr>
                <w:szCs w:val="24"/>
              </w:rPr>
            </w:pPr>
            <w:r>
              <w:t>Jeżeli w związku z popełnieniem przestępstwa ofiary przestępstwa zgłaszają roszczenia w stosunku do osoby, która objęta jest przewi</w:t>
            </w:r>
            <w:r>
              <w:t xml:space="preserve">dzianym w niniejszej dyrektywie środkiem dotyczącym konfiskaty, państwa członkowskie wprowadzają </w:t>
            </w:r>
            <w:r>
              <w:rPr>
                <w:b/>
                <w:i/>
              </w:rPr>
              <w:t>w trybie pilnym</w:t>
            </w:r>
            <w:r>
              <w:t xml:space="preserve"> niezbędne środki w celu zapewnienia, aby </w:t>
            </w:r>
            <w:r>
              <w:rPr>
                <w:b/>
                <w:i/>
              </w:rPr>
              <w:t>przed zastosowaniem ostatecznego środka dotyczącego</w:t>
            </w:r>
            <w:r>
              <w:t xml:space="preserve"> konfiskaty </w:t>
            </w:r>
            <w:r>
              <w:rPr>
                <w:b/>
                <w:i/>
              </w:rPr>
              <w:t>uwzględniono roszczenia</w:t>
            </w:r>
            <w:r>
              <w:t xml:space="preserve"> ofiar </w:t>
            </w:r>
            <w:r>
              <w:rPr>
                <w:b/>
                <w:i/>
              </w:rPr>
              <w:t>o odszkod</w:t>
            </w:r>
            <w:r>
              <w:rPr>
                <w:b/>
                <w:i/>
              </w:rPr>
              <w:t>owanie. Państwo członkowskie zwraca szczególną uwagę na roszczenia ofiary w przypadku spraw transgranicznych</w:t>
            </w:r>
            <w:r>
              <w:t>.</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54</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 xml:space="preserve">Artykuł 18 </w:t>
      </w:r>
      <w:r>
        <w:t>– akapit 1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W przypadku gdy w wyniku przestępstwa ofiara jest uprawniona do zwrotu mienia podlegającego konfiskacie, państwa członkowskie, o ile jest to możliwe i traktując tę kwestię priorytet</w:t>
            </w:r>
            <w:r>
              <w:rPr>
                <w:b/>
                <w:i/>
              </w:rPr>
              <w:t>owo, podejmują środki niezbędne do zwrotu tego mienia ofierze przestępstwa.</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55</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18 – akapit 1 b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Jeżeli nie jest możliwy zwrot mienia ofierze przestępstwa zgodnie z akapitem drugim, zaś w wyniku konfiskaty lub zastosowania środka tymczasowego w postaci sprzedaży w odniesieniu do tego mienia uzyskano aktywa </w:t>
            </w:r>
            <w:r>
              <w:rPr>
                <w:b/>
                <w:i/>
              </w:rPr>
              <w:t>finansowe, aktywa te przekazuje się ofierze przestępstwa tytułem zwrotu mienia.</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56</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19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 xml:space="preserve">Tekst </w:t>
            </w:r>
            <w:r>
              <w:t>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w:t>
            </w:r>
            <w:r>
              <w:tab/>
              <w:t>Państwa członkowskie zapewniają, aby przed wydaniem nakazu zabezpieczenia w rozumieniu art. 11 ust. 1 właściwe organy odpowiedzialne za zarządzanie mieniem zabezpieczonym i mieniem skonfiskowanym dokonały oceny kosztó</w:t>
            </w:r>
            <w:r>
              <w:t>w, jakie mogą zostać poniesione w związku z zarządzaniem mieniem, które może zostać zabezpieczone, w celu zachowania i optymalizacji wartości tego mienia do czasu jego zbycia.</w:t>
            </w:r>
          </w:p>
        </w:tc>
        <w:tc>
          <w:tcPr>
            <w:tcW w:w="4876" w:type="dxa"/>
            <w:hideMark/>
          </w:tcPr>
          <w:p w:rsidR="00CA3D8B" w:rsidRPr="007F04E7" w:rsidRDefault="00DA6CAB" w:rsidP="009648E3">
            <w:pPr>
              <w:pStyle w:val="Normal6"/>
              <w:rPr>
                <w:szCs w:val="24"/>
              </w:rPr>
            </w:pPr>
            <w:r>
              <w:t>2.</w:t>
            </w:r>
            <w:r>
              <w:tab/>
              <w:t>Państwa członkowskie zapewniają, aby przed wydaniem nakazu zabezpieczenia w r</w:t>
            </w:r>
            <w:r>
              <w:t>ozumieniu art. 11 ust. 1 właściwe organy odpowiedzialne za zarządzanie mieniem zabezpieczonym i mieniem skonfiskowanym dokonały oceny kosztów, jakie mogą zostać poniesione w związku z zarządzaniem mieniem, które może zostać zabezpieczone, w celu zachowania</w:t>
            </w:r>
            <w:r>
              <w:t xml:space="preserve"> i optymalizacji wartości tego mienia do czasu jego zbycia</w:t>
            </w:r>
            <w:r>
              <w:rPr>
                <w:b/>
                <w:i/>
              </w:rPr>
              <w:t>, chyba że pilny charakter sprawy wymaga odstąpienia od takiej oceny</w:t>
            </w:r>
            <w:r>
              <w:t xml:space="preserve">. </w:t>
            </w:r>
            <w:r>
              <w:rPr>
                <w:b/>
                <w:i/>
              </w:rPr>
              <w:t>Każda decyzja właściwych organów o rezygnacji z takiej oceny wymaga należytego uzasadnienia.</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w:t>
      </w:r>
      <w:r>
        <w:rPr>
          <w:rStyle w:val="HideTWBExt"/>
          <w:lang w:val="en-US"/>
        </w:rPr>
        <w: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57</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20 – ustęp 1 – litera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a)</w:t>
            </w:r>
            <w:r>
              <w:tab/>
              <w:t xml:space="preserve">mienie podlegające zabezpieczeniu jest łatwo psujące się lub </w:t>
            </w:r>
            <w:r>
              <w:rPr>
                <w:b/>
                <w:i/>
              </w:rPr>
              <w:t>szybko</w:t>
            </w:r>
            <w:r>
              <w:t xml:space="preserve"> się amortyzuje;</w:t>
            </w:r>
          </w:p>
        </w:tc>
        <w:tc>
          <w:tcPr>
            <w:tcW w:w="4876" w:type="dxa"/>
            <w:hideMark/>
          </w:tcPr>
          <w:p w:rsidR="00CA3D8B" w:rsidRPr="007F04E7" w:rsidRDefault="00DA6CAB" w:rsidP="009648E3">
            <w:pPr>
              <w:pStyle w:val="Normal6"/>
              <w:rPr>
                <w:szCs w:val="24"/>
              </w:rPr>
            </w:pPr>
            <w:r>
              <w:t>a)</w:t>
            </w:r>
            <w:r>
              <w:tab/>
              <w:t>mienie podlegające zabezpieczeniu jest łatwo psujące się lub się amortyzuje;</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58</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20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w:t>
            </w:r>
            <w:r>
              <w:tab/>
              <w:t xml:space="preserve">Państwa członkowskie przyjmują środki niezbędne do zapewnienia, by przy wydawaniu nakazu zastosowania środka </w:t>
            </w:r>
            <w:r>
              <w:lastRenderedPageBreak/>
              <w:t>tymczasowego w postaci sprzedaży uwzględniane były interesy właściciela mienia, w tym to,</w:t>
            </w:r>
            <w:r>
              <w:t xml:space="preserve"> czy mienie, które ma zostać sprzedane, jest łatwo zastępowalne. Z wyjątkiem przypadków ucieczki, państwa członkowskie zapewniają, aby właściciel mienia, które może być przedmiotem środka tymczasowego w postaci sprzedaży, został powiadomiony o sprzedaży i </w:t>
            </w:r>
            <w:r>
              <w:t>wysłuchany przed jej dokonaniem. Właścicielowi należy umożliwić zwrócenie się o sprzedaż mienia.</w:t>
            </w:r>
          </w:p>
        </w:tc>
        <w:tc>
          <w:tcPr>
            <w:tcW w:w="4876" w:type="dxa"/>
            <w:hideMark/>
          </w:tcPr>
          <w:p w:rsidR="00CA3D8B" w:rsidRPr="007F04E7" w:rsidRDefault="00DA6CAB" w:rsidP="009648E3">
            <w:pPr>
              <w:pStyle w:val="Normal6"/>
              <w:rPr>
                <w:szCs w:val="24"/>
              </w:rPr>
            </w:pPr>
            <w:r>
              <w:lastRenderedPageBreak/>
              <w:t>2.</w:t>
            </w:r>
            <w:r>
              <w:tab/>
              <w:t xml:space="preserve">Państwa członkowskie przyjmują środki niezbędne do zapewnienia, by przy wydawaniu nakazu zastosowania środka </w:t>
            </w:r>
            <w:r>
              <w:lastRenderedPageBreak/>
              <w:t>tymczasowego w postaci sprzedaży uwzględniane b</w:t>
            </w:r>
            <w:r>
              <w:t>yły interesy właściciela mienia, w tym to, czy mienie, które ma zostać sprzedane, jest łatwo zastępowalne. Z wyjątkiem przypadków ucieczki, państwa członkowskie zapewniają, aby właściciel mienia, które może być przedmiotem środka tymczasowego w postaci spr</w:t>
            </w:r>
            <w:r>
              <w:t>zedaży, został powiadomiony o sprzedaży i</w:t>
            </w:r>
            <w:r>
              <w:rPr>
                <w:b/>
                <w:i/>
              </w:rPr>
              <w:t>, w razie potrzeby,</w:t>
            </w:r>
            <w:r>
              <w:t xml:space="preserve"> wysłuchany przed jej dokonaniem. Właścicielowi należy umożliwić zwrócenie się o sprzedaż mienia.</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59</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 xml:space="preserve">Wniosek </w:t>
      </w:r>
      <w:r>
        <w:t>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21 – ustęp 2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2a.</w:t>
            </w:r>
            <w:r>
              <w:rPr>
                <w:b/>
                <w:i/>
              </w:rPr>
              <w:tab/>
              <w:t xml:space="preserve">Państwa członkowskie rozważają ze szczególną uwagą możliwość powierzenia biurom ds. zarządzania mieniem zadań przewidzianych </w:t>
            </w:r>
            <w:r>
              <w:rPr>
                <w:b/>
                <w:i/>
              </w:rPr>
              <w:t>w art. 5 ust. 2.</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60</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23 – ustęp 4 – akapit 2</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 xml:space="preserve">W przypadku nakazów konfiskaty określonych w art. 13, okoliczność taka obejmuje fakty i okoliczności, na których oparto twierdzenie, że osoba trzecia wiedziała lub </w:t>
            </w:r>
            <w:r>
              <w:rPr>
                <w:b/>
                <w:i/>
              </w:rPr>
              <w:t>powinna była wiedzieć,</w:t>
            </w:r>
            <w:r>
              <w:t xml:space="preserve"> że celem przekazania lub nabycia było uniknięcie konfiskaty.</w:t>
            </w:r>
          </w:p>
        </w:tc>
        <w:tc>
          <w:tcPr>
            <w:tcW w:w="4876" w:type="dxa"/>
            <w:hideMark/>
          </w:tcPr>
          <w:p w:rsidR="00CA3D8B" w:rsidRPr="007F04E7" w:rsidRDefault="00DA6CAB" w:rsidP="009648E3">
            <w:pPr>
              <w:pStyle w:val="Normal6"/>
              <w:rPr>
                <w:szCs w:val="24"/>
              </w:rPr>
            </w:pPr>
            <w:r>
              <w:t>W przypa</w:t>
            </w:r>
            <w:r>
              <w:t xml:space="preserve">dku nakazów konfiskaty określonych w art. 13, okoliczność taka obejmuje fakty i okoliczności, na których oparto twierdzenie, że osoba trzecia wiedziała lub </w:t>
            </w:r>
            <w:r>
              <w:rPr>
                <w:b/>
                <w:i/>
              </w:rPr>
              <w:t>można zakładać, że wiedziała – na podstawie konkretnych faktów i okoliczności –</w:t>
            </w:r>
            <w:r>
              <w:t xml:space="preserve"> że celem </w:t>
            </w:r>
            <w:r>
              <w:lastRenderedPageBreak/>
              <w:t>przekazania</w:t>
            </w:r>
            <w:r>
              <w:t xml:space="preserve"> lub nabycia było uniknięcie konfiskaty </w:t>
            </w:r>
            <w:r>
              <w:rPr>
                <w:b/>
                <w:i/>
              </w:rPr>
              <w:t>lub że przekazane mienie było bezpośrednio lub pośrednio powiązane z działalnością przestępczą</w:t>
            </w:r>
            <w:r>
              <w:t xml:space="preserve">. </w:t>
            </w:r>
            <w:r>
              <w:rPr>
                <w:b/>
                <w:i/>
              </w:rPr>
              <w:t>Takie fakty i okoliczności mogą obejmować sytuację, w której przekazanie lub pozyskanie zostało dokonane nieodpłatnie lu</w:t>
            </w:r>
            <w:r>
              <w:rPr>
                <w:b/>
                <w:i/>
              </w:rPr>
              <w:t>b w zamian za kwotę nieproporcjonalną do wartości rynkowej.</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61</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23 – ustęp 4 – akapit 3</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w:t>
            </w:r>
            <w:r>
              <w:t xml:space="preserve">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W przypadku nakazów konfiskaty określonych w art. 14 i 16 okoliczności takie obejmują konkretne fakty i dostępne dowody, na podstawie których dane mienie uznano za mienie pochodzące z działalności przestępczej.</w:t>
            </w:r>
          </w:p>
        </w:tc>
        <w:tc>
          <w:tcPr>
            <w:tcW w:w="4876" w:type="dxa"/>
            <w:hideMark/>
          </w:tcPr>
          <w:p w:rsidR="00CA3D8B" w:rsidRPr="007F04E7" w:rsidRDefault="00DA6CAB" w:rsidP="009648E3">
            <w:pPr>
              <w:pStyle w:val="Normal6"/>
              <w:rPr>
                <w:szCs w:val="24"/>
              </w:rPr>
            </w:pPr>
            <w:r>
              <w:t xml:space="preserve">W przypadku nakazów </w:t>
            </w:r>
            <w:r>
              <w:t xml:space="preserve">konfiskaty określonych w art. 14 i 16 okoliczności takie obejmują konkretne fakty i dostępne dowody, na podstawie których dane mienie uznano za mienie pochodzące </w:t>
            </w:r>
            <w:r>
              <w:rPr>
                <w:b/>
                <w:i/>
              </w:rPr>
              <w:t>bezpośrednio lub pośrednio</w:t>
            </w:r>
            <w:r>
              <w:t xml:space="preserve"> z działalności przestępczej.</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w:t>
      </w:r>
      <w:r>
        <w:rPr>
          <w:rStyle w:val="HideTWBExt"/>
          <w:lang w:val="en-US"/>
        </w:rPr>
        <w:t>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62</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24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w:t>
            </w:r>
            <w:r>
              <w:tab/>
            </w:r>
            <w:r>
              <w:t xml:space="preserve">Państwa członkowskie przyjmują krajową strategię odzyskiwania mienia do dnia [jeden rok od wejścia w życie niniejszej dyrektywy] i aktualizują ją w regularnych odstępach czasu nieprzekraczających </w:t>
            </w:r>
            <w:r>
              <w:rPr>
                <w:b/>
                <w:i/>
              </w:rPr>
              <w:t>pięciu</w:t>
            </w:r>
            <w:r>
              <w:t xml:space="preserve"> lat.</w:t>
            </w:r>
          </w:p>
        </w:tc>
        <w:tc>
          <w:tcPr>
            <w:tcW w:w="4876" w:type="dxa"/>
            <w:hideMark/>
          </w:tcPr>
          <w:p w:rsidR="00CA3D8B" w:rsidRPr="007F04E7" w:rsidRDefault="00DA6CAB" w:rsidP="009648E3">
            <w:pPr>
              <w:pStyle w:val="Normal6"/>
              <w:rPr>
                <w:szCs w:val="24"/>
              </w:rPr>
            </w:pPr>
            <w:r>
              <w:t>1.</w:t>
            </w:r>
            <w:r>
              <w:tab/>
              <w:t>Państwa członkowskie przyjmują krajową strate</w:t>
            </w:r>
            <w:r>
              <w:t xml:space="preserve">gię odzyskiwania mienia do dnia [jeden rok od wejścia w życie niniejszej dyrektywy] i aktualizują ją w regularnych odstępach czasu nieprzekraczających </w:t>
            </w:r>
            <w:r>
              <w:rPr>
                <w:b/>
                <w:i/>
              </w:rPr>
              <w:t>trzech</w:t>
            </w:r>
            <w:r>
              <w:t xml:space="preserve"> lat.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lastRenderedPageBreak/>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63</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w:t>
      </w:r>
      <w:r>
        <w:t>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24 – ustęp 2 – akapit 1 – litera 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a)</w:t>
            </w:r>
            <w:r>
              <w:tab/>
              <w:t xml:space="preserve">cele strategiczne, priorytety i środki służące wzmocnieniu starań wszystkich właściwych organów krajowych </w:t>
            </w:r>
            <w:r>
              <w:t>zaangażowanych w odzyskiwanie mienia zgodnie z niniejszą dyrektywą;</w:t>
            </w:r>
          </w:p>
        </w:tc>
        <w:tc>
          <w:tcPr>
            <w:tcW w:w="4876" w:type="dxa"/>
            <w:hideMark/>
          </w:tcPr>
          <w:p w:rsidR="00CA3D8B" w:rsidRPr="007F04E7" w:rsidRDefault="00DA6CAB" w:rsidP="009648E3">
            <w:pPr>
              <w:pStyle w:val="Normal6"/>
              <w:rPr>
                <w:szCs w:val="24"/>
              </w:rPr>
            </w:pPr>
            <w:r>
              <w:t>a)</w:t>
            </w:r>
            <w:r>
              <w:tab/>
              <w:t xml:space="preserve">cele strategiczne, priorytety i środki służące wzmocnieniu starań wszystkich właściwych organów krajowych zaangażowanych w odzyskiwanie mienia </w:t>
            </w:r>
            <w:r>
              <w:rPr>
                <w:b/>
                <w:i/>
              </w:rPr>
              <w:t>i zarządzanie nim</w:t>
            </w:r>
            <w:r>
              <w:t xml:space="preserve"> zgodnie z niniejszą dyre</w:t>
            </w:r>
            <w:r>
              <w:t>ktywą;</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64</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24 – ustęp 2 – akapit 1 – litera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b)</w:t>
            </w:r>
            <w:r>
              <w:tab/>
            </w:r>
            <w:r>
              <w:t xml:space="preserve">ramy zarządzania służące osiągnięciu celów i priorytetów strategicznych, w tym </w:t>
            </w:r>
            <w:r>
              <w:rPr>
                <w:b/>
                <w:i/>
              </w:rPr>
              <w:t>opis ról i obowiązków wszystkich właściwych organów oraz mechanizmów</w:t>
            </w:r>
            <w:r>
              <w:t xml:space="preserve"> współpracy;</w:t>
            </w:r>
          </w:p>
        </w:tc>
        <w:tc>
          <w:tcPr>
            <w:tcW w:w="4876" w:type="dxa"/>
            <w:hideMark/>
          </w:tcPr>
          <w:p w:rsidR="00CA3D8B" w:rsidRPr="007F04E7" w:rsidRDefault="00DA6CAB" w:rsidP="009648E3">
            <w:pPr>
              <w:pStyle w:val="Normal6"/>
              <w:rPr>
                <w:szCs w:val="24"/>
              </w:rPr>
            </w:pPr>
            <w:r>
              <w:t>b)</w:t>
            </w:r>
            <w:r>
              <w:tab/>
              <w:t xml:space="preserve">ramy zarządzania służące osiągnięciu celów i priorytetów strategicznych, w tym </w:t>
            </w:r>
            <w:r>
              <w:rPr>
                <w:b/>
                <w:i/>
              </w:rPr>
              <w:t>skutecznej</w:t>
            </w:r>
            <w:r>
              <w:t xml:space="preserve"> wsp</w:t>
            </w:r>
            <w:r>
              <w:t xml:space="preserve">ółpracy </w:t>
            </w:r>
            <w:r>
              <w:rPr>
                <w:b/>
                <w:i/>
              </w:rPr>
              <w:t>między biurami ds. odzyskiwania mienia a jednostkami analityki finansowej</w:t>
            </w:r>
            <w:r>
              <w:t>;</w:t>
            </w:r>
            <w:r>
              <w:rPr>
                <w:b/>
                <w:i/>
              </w:rPr>
              <w:t xml:space="preserve"> </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65</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 xml:space="preserve">Artykuł 24 – ustęp 2 – akapit 1 – </w:t>
      </w:r>
      <w:r>
        <w:t>litera 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d)</w:t>
            </w:r>
            <w:r>
              <w:tab/>
              <w:t>zasoby udostępniane właściwym organom</w:t>
            </w:r>
            <w:r>
              <w:rPr>
                <w:b/>
                <w:i/>
              </w:rPr>
              <w:t>, w tym szkolenia</w:t>
            </w:r>
            <w:r>
              <w:t>;</w:t>
            </w:r>
          </w:p>
        </w:tc>
        <w:tc>
          <w:tcPr>
            <w:tcW w:w="4876" w:type="dxa"/>
            <w:hideMark/>
          </w:tcPr>
          <w:p w:rsidR="00CA3D8B" w:rsidRPr="007F04E7" w:rsidRDefault="00DA6CAB" w:rsidP="009648E3">
            <w:pPr>
              <w:pStyle w:val="Normal6"/>
              <w:rPr>
                <w:szCs w:val="24"/>
              </w:rPr>
            </w:pPr>
            <w:r>
              <w:t>d)</w:t>
            </w:r>
            <w:r>
              <w:tab/>
            </w:r>
            <w:r>
              <w:rPr>
                <w:b/>
                <w:i/>
              </w:rPr>
              <w:t>odpowiednie</w:t>
            </w:r>
            <w:r>
              <w:t xml:space="preserve"> zasoby </w:t>
            </w:r>
            <w:r>
              <w:rPr>
                <w:b/>
                <w:i/>
              </w:rPr>
              <w:t>finansowe, właściwe szkolenia i odpowiednie możliwości prawne</w:t>
            </w:r>
            <w:r>
              <w:t xml:space="preserve"> udostępniane właściwym organom;</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rStyle w:val="HideTWBInt"/>
          <w:noProof w:val="0"/>
          <w:lang w:val="en-GB"/>
        </w:rPr>
        <w:t>}</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A80126"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66</w:t>
      </w:r>
      <w:r>
        <w:rPr>
          <w:rStyle w:val="HideTWBExt"/>
          <w:b w:val="0"/>
          <w:lang w:val="pt-PT"/>
        </w:rPr>
        <w:t>&lt;/NumAm&gt;</w:t>
      </w:r>
    </w:p>
    <w:p w:rsidR="00CA3D8B" w:rsidRPr="00A80126"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A80126" w:rsidRDefault="00DA6CAB" w:rsidP="00CA3D8B">
      <w:pPr>
        <w:pStyle w:val="NormalBold"/>
      </w:pPr>
      <w:r>
        <w:rPr>
          <w:rStyle w:val="HideTWBExt"/>
          <w:b w:val="0"/>
          <w:lang w:val="fr-BE"/>
        </w:rPr>
        <w:t>&lt;Article&gt;</w:t>
      </w:r>
      <w:r>
        <w:t>Artykuł 24 – ustęp 2 – akapit 1 – litera e a (nowa)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A80126" w:rsidRDefault="00CA3D8B" w:rsidP="009648E3">
            <w:pPr>
              <w:keepNext/>
              <w:rPr>
                <w:lang w:val="fr-BE"/>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ea)</w:t>
            </w:r>
            <w:r>
              <w:rPr>
                <w:b/>
                <w:i/>
              </w:rPr>
              <w:tab/>
              <w:t xml:space="preserve">odwołanie się do możliwości </w:t>
            </w:r>
            <w:r>
              <w:rPr>
                <w:b/>
                <w:i/>
              </w:rPr>
              <w:t>wykorzystania zabezpieczonego i skonfiskowanego mienia w interesie publicznym lub do celów społecznych.</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67</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 xml:space="preserve">Artykuł 24 – </w:t>
      </w:r>
      <w:r>
        <w:t>ustęp 2 – akapit 2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b/>
                <w:i/>
                <w:szCs w:val="24"/>
              </w:rPr>
            </w:pPr>
            <w:r>
              <w:rPr>
                <w:b/>
                <w:i/>
              </w:rPr>
              <w:t xml:space="preserve">W celach określonych w akapicie pierwszym lit. b) państwa członkowskie dokonują również odpowiedniej oceny możliwości i potencjalnych korzyści wynikających z połączenia ich </w:t>
            </w:r>
            <w:r>
              <w:rPr>
                <w:b/>
                <w:i/>
              </w:rPr>
              <w:t xml:space="preserve">biur ds. odzyskiwania mienia oraz biur ds. zarządzania mieniem w jedną strukturę prawną i organizacyjną. </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68</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 xml:space="preserve">Artykuł 26 – </w:t>
      </w:r>
      <w:r>
        <w:t>ustęp 3 – litera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b)</w:t>
            </w:r>
            <w:r>
              <w:tab/>
              <w:t xml:space="preserve">szacunkowa lub rzeczywista wartość mienia w chwili jego </w:t>
            </w:r>
            <w:r>
              <w:lastRenderedPageBreak/>
              <w:t>zabezpieczenia</w:t>
            </w:r>
            <w:r>
              <w:rPr>
                <w:b/>
                <w:i/>
              </w:rPr>
              <w:t>, konfiskaty i zbycia</w:t>
            </w:r>
            <w:r>
              <w:t>;</w:t>
            </w:r>
          </w:p>
        </w:tc>
        <w:tc>
          <w:tcPr>
            <w:tcW w:w="4876" w:type="dxa"/>
            <w:hideMark/>
          </w:tcPr>
          <w:p w:rsidR="00CA3D8B" w:rsidRPr="007F04E7" w:rsidRDefault="00DA6CAB" w:rsidP="009648E3">
            <w:pPr>
              <w:pStyle w:val="Normal6"/>
              <w:rPr>
                <w:szCs w:val="24"/>
              </w:rPr>
            </w:pPr>
            <w:r>
              <w:lastRenderedPageBreak/>
              <w:t>b)</w:t>
            </w:r>
            <w:r>
              <w:tab/>
              <w:t xml:space="preserve">szacunkowa lub rzeczywista wartość mienia w chwili jego </w:t>
            </w:r>
            <w:r>
              <w:lastRenderedPageBreak/>
              <w:t>zabezpieczenia;</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69</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26 – ustęp 5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5a.</w:t>
            </w:r>
            <w:r>
              <w:rPr>
                <w:b/>
                <w:i/>
              </w:rPr>
              <w:tab/>
              <w:t xml:space="preserve">Państwa członkowskie wyznaczają </w:t>
            </w:r>
            <w:r>
              <w:rPr>
                <w:b/>
                <w:i/>
              </w:rPr>
              <w:t>właściwy organ lub właściwe organy odpowiedzialne za zarządzanie centralnymi rejestrami. Organy te uznaje się za administratora w rozumieniu art. 3 pkt 8 dyrektywy (UE) 2016/680.</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70</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27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w:t>
            </w:r>
            <w:r>
              <w:tab/>
              <w:t>Państwa członkowskie gromadzą i przechowują na szczeblu centralnym kompleksowe statystyki dotyczące środków wprowadzonyc</w:t>
            </w:r>
            <w:r>
              <w:t>h na podstawie niniejszej dyrektywy.</w:t>
            </w:r>
          </w:p>
        </w:tc>
        <w:tc>
          <w:tcPr>
            <w:tcW w:w="4876" w:type="dxa"/>
            <w:hideMark/>
          </w:tcPr>
          <w:p w:rsidR="00CA3D8B" w:rsidRPr="007F04E7" w:rsidRDefault="00DA6CAB" w:rsidP="009648E3">
            <w:pPr>
              <w:pStyle w:val="Normal6"/>
              <w:rPr>
                <w:szCs w:val="24"/>
              </w:rPr>
            </w:pPr>
            <w:r>
              <w:t>1.</w:t>
            </w:r>
            <w:r>
              <w:tab/>
              <w:t xml:space="preserve">Państwa członkowskie </w:t>
            </w:r>
            <w:r>
              <w:rPr>
                <w:b/>
                <w:i/>
              </w:rPr>
              <w:t>systematycznie</w:t>
            </w:r>
            <w:r>
              <w:t xml:space="preserve"> gromadzą </w:t>
            </w:r>
            <w:r>
              <w:rPr>
                <w:b/>
                <w:i/>
              </w:rPr>
              <w:t>od odpowiednich organów</w:t>
            </w:r>
            <w:r>
              <w:t xml:space="preserve"> i przechowują na szczeblu centralnym kompleksowe statystyki dotyczące środków wprowadzonych na podstawie niniejszej dyrektywy </w:t>
            </w:r>
            <w:r>
              <w:rPr>
                <w:b/>
                <w:i/>
              </w:rPr>
              <w:t>do celów przeglądu sk</w:t>
            </w:r>
            <w:r>
              <w:rPr>
                <w:b/>
                <w:i/>
              </w:rPr>
              <w:t>uteczności swoich systemów konfiskaty</w:t>
            </w:r>
            <w:r>
              <w:t>.</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71</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27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w:t>
            </w:r>
            <w:r>
              <w:tab/>
            </w:r>
            <w:r>
              <w:t>Państwa członkowskie zapewniają, aby dane statystyczne, o których mowa w ust. 1, gromadzono zgodnie z kalendarzem i przekazywano co roku Komisji do dnia [1 września] następnego roku.</w:t>
            </w:r>
          </w:p>
        </w:tc>
        <w:tc>
          <w:tcPr>
            <w:tcW w:w="4876" w:type="dxa"/>
            <w:hideMark/>
          </w:tcPr>
          <w:p w:rsidR="00CA3D8B" w:rsidRPr="007F04E7" w:rsidRDefault="00DA6CAB" w:rsidP="009648E3">
            <w:pPr>
              <w:pStyle w:val="Normal6"/>
              <w:rPr>
                <w:szCs w:val="24"/>
              </w:rPr>
            </w:pPr>
            <w:r>
              <w:t>2.</w:t>
            </w:r>
            <w:r>
              <w:tab/>
              <w:t>Państwa członkowskie zapewniają, aby dane statystyczne, o których mowa</w:t>
            </w:r>
            <w:r>
              <w:t xml:space="preserve"> w ust. 1, gromadzono zgodnie z kalendarzem i przekazywano co roku Komisji do dnia [1 września] następnego roku. </w:t>
            </w:r>
            <w:r>
              <w:rPr>
                <w:b/>
                <w:i/>
              </w:rPr>
              <w:t>Zebrane statystyki co roku przesyłane są Komisji i powinny one zawierać następujące informacje w odniesieniu do wszystkich przestępstw:</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a) </w:t>
            </w:r>
            <w:r>
              <w:tab/>
            </w:r>
            <w:r>
              <w:rPr>
                <w:b/>
                <w:i/>
              </w:rPr>
              <w:t>l</w:t>
            </w:r>
            <w:r>
              <w:rPr>
                <w:b/>
                <w:i/>
              </w:rPr>
              <w:t>iczbę wykonanych nakazów zabezpieczenia;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b)</w:t>
            </w:r>
            <w:r>
              <w:tab/>
            </w:r>
            <w:r>
              <w:rPr>
                <w:b/>
                <w:i/>
              </w:rPr>
              <w:t xml:space="preserve"> liczbę wykonanych nakazów konfiskaty;</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c) </w:t>
            </w:r>
            <w:r>
              <w:tab/>
            </w:r>
            <w:r>
              <w:rPr>
                <w:b/>
                <w:i/>
              </w:rPr>
              <w:t>wartość zabezpieczonego mienia;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d) </w:t>
            </w:r>
            <w:r>
              <w:tab/>
            </w:r>
            <w:r>
              <w:rPr>
                <w:b/>
                <w:i/>
              </w:rPr>
              <w:t>wartość odzyskanego mienia;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e)</w:t>
            </w:r>
            <w:r>
              <w:tab/>
            </w:r>
            <w:r>
              <w:rPr>
                <w:b/>
                <w:i/>
              </w:rPr>
              <w:t xml:space="preserve"> liczbę wniosków o wydanie nakazu zabezpieczenia, który ma zostać wykonany w innym państwie cz</w:t>
            </w:r>
            <w:r>
              <w:rPr>
                <w:b/>
                <w:i/>
              </w:rPr>
              <w:t>łonkowskim;</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f) </w:t>
            </w:r>
            <w:r>
              <w:tab/>
            </w:r>
            <w:r>
              <w:rPr>
                <w:b/>
                <w:i/>
              </w:rPr>
              <w:t>liczbę wniosków o wydanie nakazu konfiskaty, który ma zostać wykonany w innym państwie członkowskim;</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g) </w:t>
            </w:r>
            <w:r>
              <w:tab/>
            </w:r>
            <w:r>
              <w:rPr>
                <w:b/>
                <w:i/>
              </w:rPr>
              <w:t>wartość mienia odzyskanego na skutek konfiskaty w innym państwie członkowskim;</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h) </w:t>
            </w:r>
            <w:r>
              <w:tab/>
            </w:r>
            <w:r>
              <w:rPr>
                <w:b/>
                <w:i/>
              </w:rPr>
              <w:t xml:space="preserve">wartość mienia przeznaczonego do ponownego </w:t>
            </w:r>
            <w:r>
              <w:rPr>
                <w:b/>
                <w:i/>
              </w:rPr>
              <w:t>wykorzystania w celu ścigania przestępstw, zapobiegania przestępstwom lub do celów społecznych;</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i) </w:t>
            </w:r>
            <w:r>
              <w:tab/>
            </w:r>
            <w:r>
              <w:rPr>
                <w:b/>
                <w:i/>
              </w:rPr>
              <w:t>liczbę przypadków, w których wydano nakaz konfiskaty, w stosunku do liczby wyroków skazujących za popełnienie przestępstw objętych niniejszą dyrektywą;</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j) </w:t>
            </w:r>
            <w:r>
              <w:tab/>
            </w:r>
            <w:r>
              <w:rPr>
                <w:b/>
                <w:i/>
              </w:rPr>
              <w:t>liczbę wniosków o wydanie nakazu zabezpieczenia lub nakazu konfiskaty, które to wnioski zostały odrzucone przez sąd;</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k)</w:t>
            </w:r>
            <w:r>
              <w:tab/>
            </w:r>
            <w:r>
              <w:rPr>
                <w:b/>
                <w:i/>
              </w:rPr>
              <w:t xml:space="preserve"> sposób wykorzystania skonfiskowanego mienia; oraz</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l) </w:t>
            </w:r>
            <w:r>
              <w:tab/>
            </w:r>
            <w:r>
              <w:rPr>
                <w:b/>
                <w:i/>
              </w:rPr>
              <w:t>czas realizacji procedur przydziału skonfiskowanego mienia.</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w:t>
      </w:r>
      <w:r w:rsidRPr="007F04E7">
        <w:rPr>
          <w:rStyle w:val="HideTWBExt"/>
          <w:noProof w:val="0"/>
          <w:lang w:val="en-GB"/>
        </w:rPr>
        <w:t>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72</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27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jc w:val="center"/>
              <w:rPr>
                <w:szCs w:val="24"/>
              </w:rPr>
            </w:pPr>
            <w:r>
              <w:rPr>
                <w:b/>
                <w:i/>
              </w:rPr>
              <w:t>Artykuł 27a (nowy)</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jc w:val="center"/>
              <w:rPr>
                <w:szCs w:val="24"/>
              </w:rPr>
            </w:pPr>
            <w:r>
              <w:rPr>
                <w:b/>
                <w:i/>
              </w:rPr>
              <w:t xml:space="preserve">Platforma ds. odzyskiwania </w:t>
            </w:r>
            <w:r>
              <w:rPr>
                <w:b/>
                <w:i/>
              </w:rPr>
              <w:t>i konfiskaty mienia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Platforma ds. odzyskiwania i konfiskaty mienia („platforma”) zostaje ustanowiona pod egidą Komisji. W skład platformy wchodzą przedstawiciele biur ds. odzyskiwania mienia i biur ds. zarządzania mieniem, a przewodniczy jej przedstawici</w:t>
            </w:r>
            <w:r>
              <w:rPr>
                <w:b/>
                <w:i/>
              </w:rPr>
              <w:t>el Komisji. Posiedzenia platformy odbywają się cyklicznie.</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Platforma: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a)</w:t>
            </w:r>
            <w:r>
              <w:tab/>
            </w:r>
            <w:r>
              <w:rPr>
                <w:b/>
                <w:i/>
              </w:rPr>
              <w:t xml:space="preserve"> doradza Komisji w zakresie wdrażania środków przewidzianych w niniejszej dyrektywie;</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b) </w:t>
            </w:r>
            <w:r>
              <w:tab/>
            </w:r>
            <w:r>
              <w:rPr>
                <w:b/>
                <w:i/>
              </w:rPr>
              <w:t>wymienia informacje na temat skuteczności i efektywności współpracy z państwami trzecim</w:t>
            </w:r>
            <w:r>
              <w:rPr>
                <w:b/>
                <w:i/>
              </w:rPr>
              <w:t>i;</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 xml:space="preserve">c) </w:t>
            </w:r>
            <w:r>
              <w:tab/>
            </w:r>
            <w:r>
              <w:rPr>
                <w:b/>
                <w:i/>
              </w:rPr>
              <w:t>analizuje krajowe strategie odzyskiwania mienia przyjęte przez państwa członkowskie zgodnie z art. 24 celem określenia najlepszych praktyk.</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Do udziału w posiedzeniach platformy mogą być zapraszani przedstawiciele Europolu, Eurojustu i Prokuratur</w:t>
            </w:r>
            <w:r>
              <w:rPr>
                <w:b/>
                <w:i/>
              </w:rPr>
              <w:t>y Europejskiej.</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pPr>
        <w:pStyle w:val="AmCrossRef"/>
      </w:pPr>
      <w:r>
        <w:t>(Artykuł 27a (nowy) należy dodać w rozdziale VII przed art. 28).</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en-GB"/>
        </w:rPr>
        <w:lastRenderedPageBreak/>
        <w:t>&lt;Amend&gt;</w:t>
      </w:r>
      <w:r>
        <w:t>Poprawka</w:t>
      </w:r>
      <w:r>
        <w:tab/>
      </w:r>
      <w:r>
        <w:tab/>
      </w:r>
      <w:r>
        <w:rPr>
          <w:rStyle w:val="HideTWBExt"/>
          <w:b w:val="0"/>
          <w:lang w:val="en-GB"/>
        </w:rPr>
        <w:t>&lt;NumAm&gt;</w:t>
      </w:r>
      <w:r>
        <w:t>73</w:t>
      </w:r>
      <w:r>
        <w:rPr>
          <w:rStyle w:val="HideTWBExt"/>
          <w:b w:val="0"/>
          <w:lang w:val="en-GB"/>
        </w:rPr>
        <w:t>&lt;/NumAm&gt;</w:t>
      </w:r>
    </w:p>
    <w:p w:rsidR="00CA3D8B" w:rsidRPr="006C5B12" w:rsidRDefault="00DA6CAB" w:rsidP="00CA3D8B">
      <w:pPr>
        <w:pStyle w:val="NormalBold12b"/>
        <w:keepNext/>
      </w:pPr>
      <w:r>
        <w:rPr>
          <w:rStyle w:val="HideTWBExt"/>
          <w:b w:val="0"/>
          <w:lang w:val="en-US"/>
        </w:rPr>
        <w:t>&lt;DocAmend&gt;</w:t>
      </w:r>
      <w:r>
        <w:t>Wniosek dotyczący dyrektywy</w:t>
      </w:r>
      <w:r>
        <w:rPr>
          <w:rStyle w:val="HideTWBExt"/>
          <w:b w:val="0"/>
          <w:lang w:val="en-US"/>
        </w:rPr>
        <w:t>&lt;/DocAmend&gt;</w:t>
      </w:r>
    </w:p>
    <w:p w:rsidR="00CA3D8B" w:rsidRPr="007F04E7" w:rsidRDefault="00DA6CAB" w:rsidP="00CA3D8B">
      <w:pPr>
        <w:pStyle w:val="NormalBold"/>
      </w:pPr>
      <w:r>
        <w:rPr>
          <w:rStyle w:val="HideTWBExt"/>
          <w:b w:val="0"/>
        </w:rPr>
        <w:t>&lt;Article&gt;</w:t>
      </w:r>
      <w:r>
        <w:t>Artykuł 28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 xml:space="preserve">Tekst </w:t>
            </w:r>
            <w:r>
              <w:t>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2.</w:t>
            </w:r>
            <w:r>
              <w:tab/>
              <w:t xml:space="preserve">Biura ds. odzyskiwania mienia współpracują z Europolem </w:t>
            </w:r>
            <w:r>
              <w:rPr>
                <w:b/>
                <w:i/>
              </w:rPr>
              <w:t>i Eurojustem, zgodnie z obszarami ich kompetencji,</w:t>
            </w:r>
            <w:r>
              <w:t xml:space="preserve"> w celu ułatwienia identyfikacji narzędzi i korzyści lub mienia, które mogą stać się lub są przedmiotem nakazu zabezpieczenia lub nakazu konfiskaty wydanego przez właściwy organ w toku </w:t>
            </w:r>
            <w:r>
              <w:rPr>
                <w:b/>
                <w:i/>
              </w:rPr>
              <w:t>postępowania</w:t>
            </w:r>
            <w:r>
              <w:t xml:space="preserve"> karnego, oraz w stosownych przypadkach w celu zapobiegania</w:t>
            </w:r>
            <w:r>
              <w:t xml:space="preserve"> przestępstwom związanym z naruszeniem unijnych środków ograniczających, wykrywania ich lub prowadzenia dochodzeń w ich sprawie.</w:t>
            </w:r>
          </w:p>
        </w:tc>
        <w:tc>
          <w:tcPr>
            <w:tcW w:w="4876" w:type="dxa"/>
            <w:hideMark/>
          </w:tcPr>
          <w:p w:rsidR="00CA3D8B" w:rsidRPr="007F04E7" w:rsidRDefault="00DA6CAB" w:rsidP="009648E3">
            <w:pPr>
              <w:pStyle w:val="Normal6"/>
              <w:rPr>
                <w:szCs w:val="24"/>
              </w:rPr>
            </w:pPr>
            <w:r>
              <w:t>2.</w:t>
            </w:r>
            <w:r>
              <w:tab/>
              <w:t>Biura ds. odzyskiwania mienia współpracują z Europolem w celu ułatwienia identyfikacji narzędzi i korzyści lub mienia, które</w:t>
            </w:r>
            <w:r>
              <w:t xml:space="preserve"> mogą stać się lub są przedmiotem nakazu zabezpieczenia lub nakazu konfiskaty wydanego przez właściwy organ w toku </w:t>
            </w:r>
            <w:r>
              <w:rPr>
                <w:b/>
                <w:i/>
              </w:rPr>
              <w:t>ścigania</w:t>
            </w:r>
            <w:r>
              <w:t xml:space="preserve"> karnego, oraz w stosownych przypadkach w celu zapobiegania przestępstwom związanym z naruszeniem unijnych środków ograniczających, w</w:t>
            </w:r>
            <w:r>
              <w:t>ykrywania ich lub prowadzenia dochodzeń w ich sprawie.</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74</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lang w:val="fr-FR"/>
        </w:rPr>
        <w:t>&lt;Article&gt;</w:t>
      </w:r>
      <w:r>
        <w:t>Artykuł 28 – ustęp 2 a (nowy)</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rPr>
                <w:lang w:val="fr-FR"/>
              </w:rPr>
            </w:pPr>
          </w:p>
        </w:tc>
      </w:tr>
      <w:tr w:rsidR="00AB1A16" w:rsidTr="009648E3">
        <w:trPr>
          <w:jc w:val="center"/>
        </w:trPr>
        <w:tc>
          <w:tcPr>
            <w:tcW w:w="4876" w:type="dxa"/>
            <w:hideMark/>
          </w:tcPr>
          <w:p w:rsidR="00CA3D8B" w:rsidRPr="007F04E7" w:rsidRDefault="00DA6CAB" w:rsidP="009648E3">
            <w:pPr>
              <w:pStyle w:val="ColumnHeading"/>
              <w:keepNext/>
            </w:pPr>
            <w:r>
              <w:t xml:space="preserve">Tekst proponowany przez </w:t>
            </w:r>
            <w:r>
              <w:t>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tcPr>
          <w:p w:rsidR="00CA3D8B" w:rsidRPr="007F04E7" w:rsidRDefault="00CA3D8B" w:rsidP="009648E3">
            <w:pPr>
              <w:pStyle w:val="Normal6"/>
              <w:rPr>
                <w:lang w:val="en-GB"/>
              </w:rPr>
            </w:pPr>
          </w:p>
        </w:tc>
        <w:tc>
          <w:tcPr>
            <w:tcW w:w="4876" w:type="dxa"/>
            <w:hideMark/>
          </w:tcPr>
          <w:p w:rsidR="00CA3D8B" w:rsidRPr="007F04E7" w:rsidRDefault="00DA6CAB" w:rsidP="009648E3">
            <w:pPr>
              <w:pStyle w:val="Normal6"/>
              <w:rPr>
                <w:szCs w:val="24"/>
              </w:rPr>
            </w:pPr>
            <w:r>
              <w:rPr>
                <w:b/>
                <w:i/>
              </w:rPr>
              <w:t>2a.</w:t>
            </w:r>
            <w:r>
              <w:rPr>
                <w:b/>
                <w:i/>
              </w:rPr>
              <w:tab/>
              <w:t xml:space="preserve">Biura ds. odzyskiwania mienia i biura ds. zarządzania mieniem ściśle współpracują z Eurojustem, aby ułatwić proces odzyskiwania mienia, zgodnie z mandatem Eurojustu, między innymi w zakresie śledzenia i identyfikacji narzędzi, </w:t>
            </w:r>
            <w:r>
              <w:rPr>
                <w:b/>
                <w:i/>
              </w:rPr>
              <w:t>korzyści lub mienia, które mogą stać się lub są przedmiotem nakazu zabezpieczenia lub nakazu konfiskaty wydanego przez właściwy organ w toku ścigania karnego, oraz późniejszego ich zbycia, między innymi w toku prowadzenia dochodzeń w sprawie przestępstw zw</w:t>
            </w:r>
            <w:r>
              <w:rPr>
                <w:b/>
                <w:i/>
              </w:rPr>
              <w:t>iązanych z naruszeniem unijnych środków ograniczających oraz ścigania takich przestępstw.</w:t>
            </w:r>
          </w:p>
        </w:tc>
      </w:tr>
    </w:tbl>
    <w:p w:rsidR="00CA3D8B" w:rsidRPr="007F04E7" w:rsidRDefault="00DA6CAB" w:rsidP="00CA3D8B">
      <w:pPr>
        <w:pStyle w:val="Olang"/>
        <w:rPr>
          <w:lang w:val="en-GB"/>
        </w:rPr>
      </w:pPr>
      <w:r w:rsidRPr="007F04E7">
        <w:rPr>
          <w:noProof w:val="0"/>
          <w:lang w:val="en-GB"/>
        </w:rPr>
        <w:lastRenderedPageBreak/>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6C5B12" w:rsidRDefault="00DA6CAB" w:rsidP="00CA3D8B">
      <w:r>
        <w:rPr>
          <w:rStyle w:val="HideTWBExt"/>
          <w:lang w:val="en-US"/>
        </w:rPr>
        <w:t>&lt;/Amend&gt;</w:t>
      </w:r>
    </w:p>
    <w:p w:rsidR="00CA3D8B" w:rsidRPr="007F04E7" w:rsidRDefault="00DA6CAB" w:rsidP="00CA3D8B">
      <w:pPr>
        <w:pStyle w:val="AMNumberTabs0"/>
        <w:keepNext/>
      </w:pPr>
      <w:r>
        <w:rPr>
          <w:rStyle w:val="HideTWBExt"/>
          <w:b w:val="0"/>
          <w:lang w:val="pt-PT"/>
        </w:rPr>
        <w:t>&lt;Amend&gt;</w:t>
      </w:r>
      <w:r>
        <w:t>Poprawka</w:t>
      </w:r>
      <w:r>
        <w:tab/>
      </w:r>
      <w:r>
        <w:tab/>
      </w:r>
      <w:r>
        <w:rPr>
          <w:rStyle w:val="HideTWBExt"/>
          <w:b w:val="0"/>
          <w:lang w:val="pt-PT"/>
        </w:rPr>
        <w:t>&lt;NumAm&gt;</w:t>
      </w:r>
      <w:r>
        <w:t>75</w:t>
      </w:r>
      <w:r>
        <w:rPr>
          <w:rStyle w:val="HideTWBExt"/>
          <w:b w:val="0"/>
          <w:lang w:val="pt-PT"/>
        </w:rPr>
        <w:t>&lt;/NumAm&gt;</w:t>
      </w:r>
    </w:p>
    <w:p w:rsidR="00CA3D8B" w:rsidRPr="007F04E7" w:rsidRDefault="00DA6CAB" w:rsidP="00CA3D8B">
      <w:pPr>
        <w:pStyle w:val="NormalBold12b"/>
        <w:keepNext/>
      </w:pPr>
      <w:r>
        <w:rPr>
          <w:rStyle w:val="HideTWBExt"/>
          <w:b w:val="0"/>
          <w:lang w:val="pt-PT"/>
        </w:rPr>
        <w:t>&lt;DocAmend&gt;</w:t>
      </w:r>
      <w:r>
        <w:t>Wniosek dotyczący dyrektywy</w:t>
      </w:r>
      <w:r>
        <w:rPr>
          <w:rStyle w:val="HideTWBExt"/>
          <w:b w:val="0"/>
          <w:lang w:val="pt-PT"/>
        </w:rPr>
        <w:t>&lt;/DocAmend&gt;</w:t>
      </w:r>
    </w:p>
    <w:p w:rsidR="00CA3D8B" w:rsidRPr="007F04E7" w:rsidRDefault="00DA6CAB" w:rsidP="00CA3D8B">
      <w:pPr>
        <w:pStyle w:val="NormalBold"/>
      </w:pPr>
      <w:r>
        <w:rPr>
          <w:rStyle w:val="HideTWBExt"/>
          <w:b w:val="0"/>
        </w:rPr>
        <w:t>&lt;Article&gt;</w:t>
      </w:r>
      <w:r>
        <w:t>Artykuł 33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16" w:rsidTr="009648E3">
        <w:trPr>
          <w:jc w:val="center"/>
        </w:trPr>
        <w:tc>
          <w:tcPr>
            <w:tcW w:w="9752" w:type="dxa"/>
            <w:gridSpan w:val="2"/>
          </w:tcPr>
          <w:p w:rsidR="00CA3D8B" w:rsidRPr="007F04E7" w:rsidRDefault="00CA3D8B" w:rsidP="009648E3">
            <w:pPr>
              <w:keepNext/>
            </w:pPr>
          </w:p>
        </w:tc>
      </w:tr>
      <w:tr w:rsidR="00AB1A16" w:rsidTr="009648E3">
        <w:trPr>
          <w:jc w:val="center"/>
        </w:trPr>
        <w:tc>
          <w:tcPr>
            <w:tcW w:w="4876" w:type="dxa"/>
            <w:hideMark/>
          </w:tcPr>
          <w:p w:rsidR="00CA3D8B" w:rsidRPr="007F04E7" w:rsidRDefault="00DA6CAB" w:rsidP="009648E3">
            <w:pPr>
              <w:pStyle w:val="ColumnHeading"/>
              <w:keepNext/>
            </w:pPr>
            <w:r>
              <w:t>Tekst proponowany przez Komisję</w:t>
            </w:r>
          </w:p>
        </w:tc>
        <w:tc>
          <w:tcPr>
            <w:tcW w:w="4876" w:type="dxa"/>
            <w:hideMark/>
          </w:tcPr>
          <w:p w:rsidR="00CA3D8B" w:rsidRPr="007F04E7" w:rsidRDefault="00DA6CAB" w:rsidP="009648E3">
            <w:pPr>
              <w:pStyle w:val="ColumnHeading"/>
              <w:keepNext/>
            </w:pPr>
            <w:r>
              <w:t>Poprawka</w:t>
            </w:r>
          </w:p>
        </w:tc>
      </w:tr>
      <w:tr w:rsidR="00AB1A16" w:rsidTr="009648E3">
        <w:trPr>
          <w:jc w:val="center"/>
        </w:trPr>
        <w:tc>
          <w:tcPr>
            <w:tcW w:w="4876" w:type="dxa"/>
            <w:hideMark/>
          </w:tcPr>
          <w:p w:rsidR="00CA3D8B" w:rsidRPr="007F04E7" w:rsidRDefault="00DA6CAB" w:rsidP="009648E3">
            <w:pPr>
              <w:pStyle w:val="Normal6"/>
            </w:pPr>
            <w:r>
              <w:t>1.</w:t>
            </w:r>
            <w:r>
              <w:tab/>
              <w:t>Do dnia [data wejścia w życie +3 lata] r. Komisja składa Parlamentowi Europejskiemu i Radzie sprawozdanie, w którym ocenia wykonanie niniejszej dyrektywy.</w:t>
            </w:r>
          </w:p>
        </w:tc>
        <w:tc>
          <w:tcPr>
            <w:tcW w:w="4876" w:type="dxa"/>
            <w:hideMark/>
          </w:tcPr>
          <w:p w:rsidR="00CA3D8B" w:rsidRPr="007F04E7" w:rsidRDefault="00DA6CAB" w:rsidP="009648E3">
            <w:pPr>
              <w:pStyle w:val="Normal6"/>
              <w:rPr>
                <w:szCs w:val="24"/>
              </w:rPr>
            </w:pPr>
            <w:r>
              <w:t>1.</w:t>
            </w:r>
            <w:r>
              <w:tab/>
              <w:t>Do dnia [data wejścia w życie +3 lata] r. Komisja s</w:t>
            </w:r>
            <w:r>
              <w:t>kłada Parlamentowi Europejskiemu i Radzie sprawozdanie, w którym ocenia wykonanie niniejszej dyrektywy.</w:t>
            </w:r>
            <w:r>
              <w:rPr>
                <w:b/>
                <w:i/>
              </w:rPr>
              <w:t xml:space="preserve"> Sprawozdanie zawiera szczegółową ocenę możliwości i korzyści wynikających z połączenia centralnych rejestrów, o których mowa w art. 26, za pośrednictwem</w:t>
            </w:r>
            <w:r>
              <w:rPr>
                <w:b/>
                <w:i/>
              </w:rPr>
              <w:t xml:space="preserve"> jednego punktu dostępu umożliwiającego biurom ds. odzyskiwania mienia bezpośrednie i natychmiastowe przeszukiwanie danych zawartych w tych rejestrach, z zachowaniem odpowiednich zabezpieczeń.</w:t>
            </w:r>
          </w:p>
        </w:tc>
      </w:tr>
    </w:tbl>
    <w:p w:rsidR="00CA3D8B" w:rsidRPr="007F04E7" w:rsidRDefault="00DA6CAB" w:rsidP="00CA3D8B">
      <w:pPr>
        <w:pStyle w:val="Olang"/>
        <w:rPr>
          <w:lang w:val="en-GB"/>
        </w:rPr>
      </w:pPr>
      <w:r w:rsidRPr="007F04E7">
        <w:rPr>
          <w:noProof w:val="0"/>
          <w:lang w:val="en-GB"/>
        </w:rPr>
        <w:t xml:space="preserve">Or. </w:t>
      </w:r>
      <w:r w:rsidRPr="007F04E7">
        <w:rPr>
          <w:rStyle w:val="HideTWBExt"/>
          <w:noProof w:val="0"/>
          <w:lang w:val="en-GB"/>
        </w:rPr>
        <w:t>&lt;Original&gt;</w:t>
      </w:r>
      <w:r w:rsidRPr="007F04E7">
        <w:rPr>
          <w:rStyle w:val="HideTWBInt"/>
          <w:noProof w:val="0"/>
          <w:lang w:val="en-GB"/>
        </w:rPr>
        <w:t>{EN}</w:t>
      </w:r>
      <w:r w:rsidRPr="007F04E7">
        <w:rPr>
          <w:noProof w:val="0"/>
          <w:lang w:val="en-GB"/>
        </w:rPr>
        <w:t>en</w:t>
      </w:r>
      <w:r w:rsidRPr="007F04E7">
        <w:rPr>
          <w:rStyle w:val="HideTWBExt"/>
          <w:noProof w:val="0"/>
          <w:lang w:val="en-GB"/>
        </w:rPr>
        <w:t>&lt;/Original&gt;</w:t>
      </w:r>
    </w:p>
    <w:p w:rsidR="00CA3D8B" w:rsidRPr="00AA7DD9" w:rsidRDefault="00DA6CAB" w:rsidP="00CA3D8B">
      <w:r>
        <w:rPr>
          <w:rStyle w:val="HideTWBExt"/>
        </w:rPr>
        <w:t>&lt;/Amend&gt;&lt;/RepeatBlock-Amend&gt;</w:t>
      </w:r>
    </w:p>
    <w:p w:rsidR="00CA3D8B" w:rsidRPr="00CA3D8B" w:rsidRDefault="00CA3D8B" w:rsidP="00CA3D8B">
      <w:pPr>
        <w:pStyle w:val="NormalHanging12a"/>
        <w:rPr>
          <w:lang w:val="en-US"/>
        </w:rPr>
      </w:pPr>
    </w:p>
    <w:sectPr w:rsidR="00CA3D8B" w:rsidRPr="00CA3D8B"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A6CAB">
      <w:r>
        <w:separator/>
      </w:r>
    </w:p>
  </w:endnote>
  <w:endnote w:type="continuationSeparator" w:id="0">
    <w:p w:rsidR="00000000" w:rsidRDefault="00DA6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6C5B12" w:rsidRDefault="00DA6CAB" w:rsidP="00F07062">
    <w:pPr>
      <w:pStyle w:val="EPFooter"/>
      <w:rPr>
        <w:lang w:val="en-US"/>
      </w:rPr>
    </w:pPr>
    <w:r w:rsidRPr="006C5B12">
      <w:rPr>
        <w:lang w:val="en-US"/>
      </w:rPr>
      <w:t>PE</w:t>
    </w:r>
    <w:r w:rsidRPr="006C5B12">
      <w:rPr>
        <w:rStyle w:val="HideTWBExt"/>
        <w:lang w:val="en-US"/>
      </w:rPr>
      <w:t>&lt;NoPE&gt;</w:t>
    </w:r>
    <w:r w:rsidR="00EC1AEB" w:rsidRPr="006C5B12">
      <w:rPr>
        <w:lang w:val="en-US"/>
      </w:rPr>
      <w:t>742.501</w:t>
    </w:r>
    <w:r w:rsidRPr="006C5B12">
      <w:rPr>
        <w:rStyle w:val="HideTWBExt"/>
        <w:lang w:val="en-US"/>
      </w:rPr>
      <w:t>&lt;/NoPE&gt;&lt;Version&gt;</w:t>
    </w:r>
    <w:r w:rsidR="0005384F" w:rsidRPr="006C5B12">
      <w:rPr>
        <w:lang w:val="en-US"/>
      </w:rPr>
      <w:t>v</w:t>
    </w:r>
    <w:r w:rsidR="00EC1AEB" w:rsidRPr="006C5B12">
      <w:rPr>
        <w:lang w:val="en-US"/>
      </w:rPr>
      <w:t>01-00</w:t>
    </w:r>
    <w:r w:rsidRPr="006C5B12">
      <w:rPr>
        <w:rStyle w:val="HideTWBExt"/>
        <w:lang w:val="en-US"/>
      </w:rPr>
      <w:t>&lt;/Version&gt;</w:t>
    </w:r>
    <w:r w:rsidRPr="006C5B12">
      <w:rPr>
        <w:lang w:val="en-US"/>
      </w:rPr>
      <w:tab/>
    </w:r>
    <w:r w:rsidR="00914537" w:rsidRPr="0005384F">
      <w:fldChar w:fldCharType="begin"/>
    </w:r>
    <w:r w:rsidR="00914537" w:rsidRPr="006C5B12">
      <w:rPr>
        <w:lang w:val="en-US"/>
      </w:rPr>
      <w:instrText xml:space="preserve"> PAGE </w:instrText>
    </w:r>
    <w:r w:rsidR="00914537" w:rsidRPr="0005384F">
      <w:fldChar w:fldCharType="separate"/>
    </w:r>
    <w:r>
      <w:rPr>
        <w:noProof/>
        <w:lang w:val="en-US"/>
      </w:rPr>
      <w:t>2</w:t>
    </w:r>
    <w:r w:rsidR="00914537" w:rsidRPr="0005384F">
      <w:fldChar w:fldCharType="end"/>
    </w:r>
    <w:r w:rsidR="00914537" w:rsidRPr="006C5B12">
      <w:rPr>
        <w:lang w:val="en-US"/>
      </w:rPr>
      <w:t>/</w:t>
    </w:r>
    <w:r w:rsidR="00914537" w:rsidRPr="0005384F">
      <w:rPr>
        <w:rStyle w:val="PageNumber"/>
      </w:rPr>
      <w:fldChar w:fldCharType="begin"/>
    </w:r>
    <w:r w:rsidR="00914537" w:rsidRPr="006C5B12">
      <w:rPr>
        <w:rStyle w:val="PageNumber"/>
        <w:lang w:val="en-US"/>
      </w:rPr>
      <w:instrText xml:space="preserve"> NUMPAGES </w:instrText>
    </w:r>
    <w:r w:rsidR="00914537" w:rsidRPr="0005384F">
      <w:rPr>
        <w:rStyle w:val="PageNumber"/>
      </w:rPr>
      <w:fldChar w:fldCharType="separate"/>
    </w:r>
    <w:r>
      <w:rPr>
        <w:rStyle w:val="PageNumber"/>
        <w:noProof/>
        <w:lang w:val="en-US"/>
      </w:rPr>
      <w:t>51</w:t>
    </w:r>
    <w:r w:rsidR="00914537" w:rsidRPr="0005384F">
      <w:rPr>
        <w:rStyle w:val="PageNumber"/>
      </w:rPr>
      <w:fldChar w:fldCharType="end"/>
    </w:r>
    <w:r w:rsidRPr="006C5B12">
      <w:rPr>
        <w:lang w:val="en-US"/>
      </w:rPr>
      <w:tab/>
    </w:r>
    <w:r w:rsidRPr="006C5B12">
      <w:rPr>
        <w:rStyle w:val="HideTWBExt"/>
        <w:lang w:val="en-US"/>
      </w:rPr>
      <w:t>&lt;PathFdR&gt;</w:t>
    </w:r>
    <w:r w:rsidR="00EC1AEB" w:rsidRPr="006C5B12">
      <w:rPr>
        <w:lang w:val="en-US"/>
      </w:rPr>
      <w:t>PR\1272739PL.docx</w:t>
    </w:r>
    <w:r w:rsidRPr="006C5B12">
      <w:rPr>
        <w:rStyle w:val="HideTWBExt"/>
        <w:lang w:val="en-US"/>
      </w:rPr>
      <w:t>&lt;/PathFdR&gt;</w:t>
    </w:r>
  </w:p>
  <w:p w:rsidR="00FB52FE" w:rsidRPr="0005384F" w:rsidRDefault="00DA6CAB">
    <w:pPr>
      <w:pStyle w:val="EPFooter2"/>
    </w:pPr>
    <w:r w:rsidRPr="0005384F">
      <w:fldChar w:fldCharType="begin"/>
    </w:r>
    <w:r w:rsidRPr="0005384F">
      <w:instrText xml:space="preserve"> DOCPROPERTY "&lt;Extension&gt;" </w:instrText>
    </w:r>
    <w:r w:rsidRPr="0005384F">
      <w:fldChar w:fldCharType="separate"/>
    </w:r>
    <w:r>
      <w:t>PL</w:t>
    </w:r>
    <w:r w:rsidRPr="0005384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6C5B12" w:rsidRDefault="00DA6CAB" w:rsidP="00F07062">
    <w:pPr>
      <w:pStyle w:val="EPFooter"/>
      <w:rPr>
        <w:lang w:val="en-US"/>
      </w:rPr>
    </w:pPr>
    <w:r w:rsidRPr="006C5B12">
      <w:rPr>
        <w:rStyle w:val="HideTWBExt"/>
        <w:lang w:val="en-US"/>
      </w:rPr>
      <w:t>&lt;PathFdR&gt;</w:t>
    </w:r>
    <w:r w:rsidR="00EC1AEB" w:rsidRPr="006C5B12">
      <w:rPr>
        <w:lang w:val="en-US"/>
      </w:rPr>
      <w:t>PR\1272739PL.docx</w:t>
    </w:r>
    <w:r w:rsidRPr="006C5B12">
      <w:rPr>
        <w:rStyle w:val="HideTWBExt"/>
        <w:lang w:val="en-US"/>
      </w:rPr>
      <w:t>&lt;/PathFdR&gt;</w:t>
    </w:r>
    <w:r w:rsidRPr="006C5B12">
      <w:rPr>
        <w:lang w:val="en-US"/>
      </w:rPr>
      <w:tab/>
    </w:r>
    <w:r w:rsidR="00914537" w:rsidRPr="0005384F">
      <w:fldChar w:fldCharType="begin"/>
    </w:r>
    <w:r w:rsidR="00914537" w:rsidRPr="006C5B12">
      <w:rPr>
        <w:lang w:val="en-US"/>
      </w:rPr>
      <w:instrText xml:space="preserve"> PAGE </w:instrText>
    </w:r>
    <w:r w:rsidR="00914537" w:rsidRPr="0005384F">
      <w:fldChar w:fldCharType="separate"/>
    </w:r>
    <w:r>
      <w:rPr>
        <w:noProof/>
        <w:lang w:val="en-US"/>
      </w:rPr>
      <w:t>51</w:t>
    </w:r>
    <w:r w:rsidR="00914537" w:rsidRPr="0005384F">
      <w:fldChar w:fldCharType="end"/>
    </w:r>
    <w:r w:rsidR="00914537" w:rsidRPr="006C5B12">
      <w:rPr>
        <w:lang w:val="en-US"/>
      </w:rPr>
      <w:t>/</w:t>
    </w:r>
    <w:r w:rsidR="00914537" w:rsidRPr="0005384F">
      <w:rPr>
        <w:rStyle w:val="PageNumber"/>
      </w:rPr>
      <w:fldChar w:fldCharType="begin"/>
    </w:r>
    <w:r w:rsidR="00914537" w:rsidRPr="006C5B12">
      <w:rPr>
        <w:rStyle w:val="PageNumber"/>
        <w:lang w:val="en-US"/>
      </w:rPr>
      <w:instrText xml:space="preserve"> NUMPAGES </w:instrText>
    </w:r>
    <w:r w:rsidR="00914537" w:rsidRPr="0005384F">
      <w:rPr>
        <w:rStyle w:val="PageNumber"/>
      </w:rPr>
      <w:fldChar w:fldCharType="separate"/>
    </w:r>
    <w:r>
      <w:rPr>
        <w:rStyle w:val="PageNumber"/>
        <w:noProof/>
        <w:lang w:val="en-US"/>
      </w:rPr>
      <w:t>51</w:t>
    </w:r>
    <w:r w:rsidR="00914537" w:rsidRPr="0005384F">
      <w:rPr>
        <w:rStyle w:val="PageNumber"/>
      </w:rPr>
      <w:fldChar w:fldCharType="end"/>
    </w:r>
    <w:r w:rsidRPr="006C5B12">
      <w:rPr>
        <w:lang w:val="en-US"/>
      </w:rPr>
      <w:tab/>
      <w:t>PE</w:t>
    </w:r>
    <w:r w:rsidRPr="006C5B12">
      <w:rPr>
        <w:rStyle w:val="HideTWBExt"/>
        <w:lang w:val="en-US"/>
      </w:rPr>
      <w:t>&lt;NoPE&gt;</w:t>
    </w:r>
    <w:r w:rsidR="00EC1AEB" w:rsidRPr="006C5B12">
      <w:rPr>
        <w:lang w:val="en-US"/>
      </w:rPr>
      <w:t>742.501</w:t>
    </w:r>
    <w:r w:rsidRPr="006C5B12">
      <w:rPr>
        <w:rStyle w:val="HideTWBExt"/>
        <w:lang w:val="en-US"/>
      </w:rPr>
      <w:t>&lt;/NoPE&gt;&lt;Version&gt;</w:t>
    </w:r>
    <w:r w:rsidR="0005384F" w:rsidRPr="006C5B12">
      <w:rPr>
        <w:lang w:val="en-US"/>
      </w:rPr>
      <w:t>v</w:t>
    </w:r>
    <w:r w:rsidR="00EC1AEB" w:rsidRPr="006C5B12">
      <w:rPr>
        <w:lang w:val="en-US"/>
      </w:rPr>
      <w:t>01-00</w:t>
    </w:r>
    <w:r w:rsidRPr="006C5B12">
      <w:rPr>
        <w:rStyle w:val="HideTWBExt"/>
        <w:lang w:val="en-US"/>
      </w:rPr>
      <w:t>&lt;/Version&gt;</w:t>
    </w:r>
  </w:p>
  <w:p w:rsidR="00FB52FE" w:rsidRPr="0005384F" w:rsidRDefault="00DA6CAB">
    <w:pPr>
      <w:pStyle w:val="EPFooter2"/>
    </w:pPr>
    <w:r w:rsidRPr="006C5B12">
      <w:rPr>
        <w:lang w:val="en-US"/>
      </w:rPr>
      <w:tab/>
    </w:r>
    <w:r w:rsidRPr="006C5B12">
      <w:rPr>
        <w:lang w:val="en-US"/>
      </w:rPr>
      <w:tab/>
    </w:r>
    <w:fldSimple w:instr=" DOCPROPERTY &quot;&lt;Extension&gt;&quot; ">
      <w:r>
        <w:t>PL</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6C5B12" w:rsidRDefault="00DA6CAB" w:rsidP="00F07062">
    <w:pPr>
      <w:pStyle w:val="EPFooter"/>
      <w:rPr>
        <w:lang w:val="en-US"/>
      </w:rPr>
    </w:pPr>
    <w:r w:rsidRPr="006C5B12">
      <w:rPr>
        <w:rStyle w:val="HideTWBExt"/>
        <w:lang w:val="en-US"/>
      </w:rPr>
      <w:t>&lt;PathFdR&gt;</w:t>
    </w:r>
    <w:r w:rsidR="006451C6" w:rsidRPr="006C5B12">
      <w:rPr>
        <w:lang w:val="en-US"/>
      </w:rPr>
      <w:t>PR\1272739PL.docx</w:t>
    </w:r>
    <w:r w:rsidRPr="006C5B12">
      <w:rPr>
        <w:rStyle w:val="HideTWBExt"/>
        <w:lang w:val="en-US"/>
      </w:rPr>
      <w:t>&lt;/PathFdR&gt;</w:t>
    </w:r>
    <w:r w:rsidRPr="006C5B12">
      <w:rPr>
        <w:lang w:val="en-US"/>
      </w:rPr>
      <w:tab/>
    </w:r>
    <w:r w:rsidRPr="006C5B12">
      <w:rPr>
        <w:lang w:val="en-US"/>
      </w:rPr>
      <w:tab/>
      <w:t>PE</w:t>
    </w:r>
    <w:r w:rsidRPr="006C5B12">
      <w:rPr>
        <w:rStyle w:val="HideTWBExt"/>
        <w:lang w:val="en-US"/>
      </w:rPr>
      <w:t>&lt;NoPE&gt;</w:t>
    </w:r>
    <w:r w:rsidR="006451C6" w:rsidRPr="006C5B12">
      <w:rPr>
        <w:lang w:val="en-US"/>
      </w:rPr>
      <w:t>742.501</w:t>
    </w:r>
    <w:r w:rsidRPr="006C5B12">
      <w:rPr>
        <w:rStyle w:val="HideTWBExt"/>
        <w:lang w:val="en-US"/>
      </w:rPr>
      <w:t>&lt;/NoPE&gt;&lt;Version&gt;</w:t>
    </w:r>
    <w:r w:rsidR="0005384F" w:rsidRPr="006C5B12">
      <w:rPr>
        <w:lang w:val="en-US"/>
      </w:rPr>
      <w:t>v</w:t>
    </w:r>
    <w:r w:rsidR="006451C6" w:rsidRPr="006C5B12">
      <w:rPr>
        <w:lang w:val="en-US"/>
      </w:rPr>
      <w:t>01-00</w:t>
    </w:r>
    <w:r w:rsidRPr="006C5B12">
      <w:rPr>
        <w:rStyle w:val="HideTWBExt"/>
        <w:lang w:val="en-US"/>
      </w:rPr>
      <w:t>&lt;/Version&gt;</w:t>
    </w:r>
  </w:p>
  <w:p w:rsidR="00FB52FE" w:rsidRPr="0005384F" w:rsidRDefault="00DA6CAB" w:rsidP="00461601">
    <w:pPr>
      <w:pStyle w:val="EPFooter2"/>
      <w:tabs>
        <w:tab w:val="clear" w:pos="4535"/>
        <w:tab w:val="center" w:pos="4536"/>
      </w:tabs>
    </w:pPr>
    <w:r w:rsidRPr="0005384F">
      <w:fldChar w:fldCharType="begin"/>
    </w:r>
    <w:r w:rsidRPr="0005384F">
      <w:instrText xml:space="preserve"> DOCPROPERTY "&lt;Extension&gt;" </w:instrText>
    </w:r>
    <w:r w:rsidRPr="0005384F">
      <w:fldChar w:fldCharType="separate"/>
    </w:r>
    <w:r>
      <w:t>PL</w:t>
    </w:r>
    <w:r w:rsidRPr="0005384F">
      <w:fldChar w:fldCharType="end"/>
    </w:r>
    <w:r w:rsidRPr="0005384F">
      <w:tab/>
    </w:r>
    <w:r w:rsidR="006451C6">
      <w:rPr>
        <w:b w:val="0"/>
        <w:i/>
        <w:color w:val="C0C0C0"/>
        <w:sz w:val="22"/>
        <w:szCs w:val="22"/>
      </w:rPr>
      <w:t>Zjednoczona w różnorodności</w:t>
    </w:r>
    <w:r w:rsidRPr="0005384F">
      <w:tab/>
    </w:r>
    <w:r w:rsidRPr="0005384F">
      <w:fldChar w:fldCharType="begin"/>
    </w:r>
    <w:r w:rsidRPr="0005384F">
      <w:instrText xml:space="preserve"> DOCPROPERTY "&lt;Extension&gt;" </w:instrText>
    </w:r>
    <w:r w:rsidRPr="0005384F">
      <w:fldChar w:fldCharType="separate"/>
    </w:r>
    <w:r>
      <w:t>PL</w:t>
    </w:r>
    <w:r w:rsidRPr="0005384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84F" w:rsidRPr="0005384F" w:rsidRDefault="00DA6CAB">
      <w:r w:rsidRPr="0005384F">
        <w:separator/>
      </w:r>
    </w:p>
  </w:footnote>
  <w:footnote w:type="continuationSeparator" w:id="0">
    <w:p w:rsidR="0005384F" w:rsidRPr="0005384F" w:rsidRDefault="00DA6CAB">
      <w:r w:rsidRPr="0005384F">
        <w:continuationSeparator/>
      </w:r>
    </w:p>
  </w:footnote>
  <w:footnote w:id="1">
    <w:p w:rsidR="00CA3D8B" w:rsidRPr="007F04E7" w:rsidRDefault="00DA6CAB" w:rsidP="00CA3D8B">
      <w:pPr>
        <w:pStyle w:val="FootnoteText"/>
      </w:pPr>
      <w:r>
        <w:rPr>
          <w:rStyle w:val="FootnoteReference"/>
        </w:rPr>
        <w:footnoteRef/>
      </w:r>
      <w:r>
        <w:t xml:space="preserve"> Dotychczas nieopublikowana w Dzienniku Urzędowym.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AEB" w:rsidRDefault="00EC1A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AEB" w:rsidRDefault="00EC1A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AEB" w:rsidRDefault="00EC1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LW_DocType" w:val="PR_COD_1AMCOM"/>
    <w:docVar w:name="OTHERSTATMNU" w:val=" 4"/>
    <w:docVar w:name="PARLIAMENTSMNU" w:val=" 2"/>
    <w:docVar w:name="RepeatBlock-AmendPL" w:val="{\rtf1\adeflang1025\ansi\ansicpg1250\uc1\adeff0\deff0\stshfdbch0\stshfloch0\stshfhich0\stshfbi0\deflang1045\deflangfe1045\themelang2057\themelangfe0\themelangcs1108{\fonttbl{\f0\fbidi \froman\fcharset238\fprq2{\*\panose 02020603050405020304}Times New Roman;}{\f1\fbidi \fswiss\fcharset238\fprq2{\*\panose 020b0604020202020204}Arial;}_x000d__x000a_{\f34\fbidi \froman\fcharset238\fprq2{\*\panose 02040503050406030204}Cambria Math;}{\flomajor\f31500\fbidi \froman\fcharset238\fprq2{\*\panose 02020603050405020304}Times New Roman;}_x000d__x000a_{\fdbmajor\f31501\fbidi \froman\fcharset238\fprq2{\*\panose 02020603050405020304}Times New Roman;}{\fhimajor\f31502\fbidi \fswiss\fcharset238\fprq2{\*\panose 020f0302020204030204}Calibri Light;}{\fbimajor\f31503\fbidi \fswiss\fcharset222\fprq2 DokChampa;}_x000d__x000a_{\flominor\f31504\fbidi \froman\fcharset238\fprq2{\*\panose 02020603050405020304}Times New Roman;}{\fdbminor\f31505\fbidi \froman\fcharset238\fprq2{\*\panose 02020603050405020304}Times New Roman;}_x000d__x000a_{\fhiminor\f31506\fbidi \fswiss\fcharset238\fprq2{\*\panose 020f0502020204030204}Calibri;}{\fbiminor\f31507\fbidi \fswiss\fcharset222\fprq2 DokChampa;}{\f1213\fbidi \froman\fcharset0\fprq2 Times New Roman;}_x000d__x000a_{\f1212\fbidi \froman\fcharset204\fprq2 Times New Roman Cyr;}{\f1214\fbidi \froman\fcharset161\fprq2 Times New Roman Greek;}{\f1215\fbidi \froman\fcharset162\fprq2 Times New Roman Tur;}{\f1216\fbidi \froman\fcharset177\fprq2 Times New Roman (Hebrew);}_x000d__x000a_{\f1217\fbidi \froman\fcharset178\fprq2 Times New Roman (Arabic);}{\f1218\fbidi \froman\fcharset186\fprq2 Times New Roman Baltic;}{\f1219\fbidi \froman\fcharset163\fprq2 Times New Roman (Vietnamese);}{\f1223\fbidi \fswiss\fcharset0\fprq2 Arial;}_x000d__x000a_{\f1222\fbidi \fswiss\fcharset204\fprq2 Arial Cyr;}{\f1224\fbidi \fswiss\fcharset161\fprq2 Arial Greek;}{\f1225\fbidi \fswiss\fcharset162\fprq2 Arial Tur;}{\f1226\fbidi \fswiss\fcharset177\fprq2 Arial (Hebrew);}_x000d__x000a_{\f1227\fbidi \fswiss\fcharset178\fprq2 Arial (Arabic);}{\f1228\fbidi \fswiss\fcharset186\fprq2 Arial Baltic;}{\f1229\fbidi \fswiss\fcharset163\fprq2 Arial (Vietnamese);}{\f1553\fbidi \froman\fcharset0\fprq2 Cambria Math;}_x000d__x000a_{\f1552\fbidi \froman\fcharset204\fprq2 Cambria Math Cyr;}{\f1554\fbidi \froman\fcharset161\fprq2 Cambria Math Greek;}{\f1555\fbidi \froman\fcharset162\fprq2 Cambria Math Tur;}{\f1558\fbidi \froman\fcharset186\fprq2 Cambria Math Baltic;}_x000d__x000a_{\f1559\fbidi \froman\fcharset163\fprq2 Cambria Math (Vietnamese);}{\flomajor\f31510\fbidi \froman\fcharset0\fprq2 Times New Roman;}{\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roman\fcharset0\fprq2 Times New Roman;}{\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30\fbidi \fswiss\fcharset0\fprq2 Calibri Light;}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50\fbidi \froman\fcharset0\fprq2 Times New Roman;}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60\fbidi \froman\fcharset0\fprq2 Times New Roman;}{\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70\fbidi \fswiss\fcharset0\fprq2 Calibri;}{\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Nag\'b3\'f3wek 1 Znak;}{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656642 HideTWBExt;}{\*\cs18 \additive \v\f1\fs20\cf15 _x000d__x000a_\spriority0 \styrsid13656642 HideTWBInt;}{\s19\ql \li0\ri0\sa120\nowidctlpar\wrapdefault\aspalpha\aspnum\faauto\adjustright\rin0\lin0\itap0 \rtlch\fcs1 \af0\afs20\alang1025 \ltrch\fcs0 \fs24\lang1045\langfe2057\cgrid\langnp1045\langfenp2057 _x000d__x000a_\sbasedon0 \snext19 \spriority0 \styrsid13656642 Normal6a;}{\s20\ql \li0\ri0\nowidctlpar\wrapdefault\aspalpha\aspnum\faauto\adjustright\rin0\lin0\itap0 \rtlch\fcs1 \af0\afs20\alang1025 \ltrch\fcs0 \b\fs24\lang1045\langfe2057\cgrid\langnp1045\langfenp2057 _x000d__x000a_\sbasedon0 \snext20 \spriority0 \styrsid13656642 NormalBold;}{\s21\ql \li0\ri0\sa240\nowidctlpar\wrapdefault\aspalpha\aspnum\faauto\adjustright\rin0\lin0\itap0 \rtlch\fcs1 \af0\afs20\alang1025 \ltrch\fcs0 _x000d__x000a_\i\fs24\lang1045\langfe2057\cgrid\langnp1045\langfenp2057 \sbasedon0 \snext21 \spriority0 \styrsid13656642 AmJustText;}{\s22\qc \li0\ri0\sb240\sa240\nowidctlpar\wrapdefault\aspalpha\aspnum\faauto\adjustright\rin0\lin0\itap0 \rtlch\fcs1 _x000d__x000a_\af0\afs20\alang1025 \ltrch\fcs0 \i\fs24\lang1045\langfe2057\cgrid\langnp1045\langfenp2057 \sbasedon0 \snext22 \spriority0 \styrsid13656642 AmCrossRef;}{_x000d__x000a_\s23\qc \li0\ri0\sb240\sa240\keepn\nowidctlpar\wrapdefault\aspalpha\aspnum\faauto\adjustright\rin0\lin0\itap0 \rtlch\fcs1 \af0\afs20\alang1025 \ltrch\fcs0 \i\fs24\lang1045\langfe2057\cgrid\langnp1045\langfenp2057 _x000d__x000a_\sbasedon0 \snext21 \spriority0 \styrsid13656642 AmJustTitle;}{\s24\qr \li0\ri0\sb240\sa240\nowidctlpar\wrapdefault\aspalpha\aspnum\faauto\adjustright\rin0\lin0\itap0 \rtlch\fcs1 \af0\afs20\alang1025 \ltrch\fcs0 _x000d__x000a_\fs24\lang1045\langfe2057\cgrid\langnp1045\langfenp2057 \sbasedon0 \snext24 \spriority0 \styrsid13656642 AmOrLang;}{\s25\qc \li0\ri0\sa240\nowidctlpar\wrapdefault\aspalpha\aspnum\faauto\adjustright\rin0\lin0\itap0 \rtlch\fcs1 \af0\afs20\alang1025 _x000d__x000a_\ltrch\fcs0 \i\fs24\lang1045\langfe2057\cgrid\langnp1045\langfenp2057 \sbasedon0 \snext25 \spriority0 \styrsid1365664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5\langfe2057\cgrid\langnp1045\langfenp2057 \sbasedon0 \snext26 \spriority0 \styrsid13656642 AmNumberTabs;}{\s27\ql \li0\ri0\sb240\nowidctlpar\wrapdefault\aspalpha\aspnum\faauto\adjustright\rin0\lin0\itap0 \rtlch\fcs1 _x000d__x000a_\af0\afs20\alang1025 \ltrch\fcs0 \b\fs24\lang1045\langfe2057\cgrid\langnp1045\langfenp2057 \sbasedon0 \snext27 \spriority0 \styrsid13656642 NormalBold12b;}}{\*\rsidtbl \rsid24658\rsid223860\rsid735077\rsid1718133\rsid2892074\rsid3565327\rsid4666813_x000d__x000a_\rsid5776455\rsid6641733\rsid7823322\rsid9636012\rsid10377208\rsid11215221\rsid11549030\rsid12154954\rsid13656642\rsid14382809\rsid14424199\rsid15204470\rsid15285974\rsid15950462\rsid16324206\rsid16662270}{\mmathPr\mmathFont34\mbrkBin0\mbrkBinSub0_x000d__x000a_\msmallFrac0\mdispDef1\mlMargin0\mrMargin0\mdefJc1\mwrapIndent1440\mintLim0\mnaryLim1}{\info{\author dell}{\operator dell}{\creatim\yr2023\mo2\dy15\hr10\min12}{\revtim\yr2023\mo2\dy15\hr10\min12}{\version1}{\edmins0}{\nofpages1}{\nofwords135}_x000d__x000a_{\nofchars565}{\nofcharsws584}{\vern6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6642\newtblstyruls\nogrowautofit\usenormstyforlist\noindnmbrts\felnbrelev\nocxsptable\indrlsweleven\noafcnsttbl\afelev\utinl\hwelev\spltpgpar\notcvasp\notbrkcnstfrctbl\notvatxbx\krnprsnet\cachedcolbal _x000d__x000a_\nouicompat \fet0{\*\wgrffmtfilter 013f}\nofeaturethrottle1\ilfomacatclnup0{\*\template C:\\Users\\dell\\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5776455 \chftnsep _x000d__x000a_\par }}{\*\ftnsepc \ltrpar \pard\plain \ltrpar\ql \li0\ri0\widctlpar\wrapdefault\aspalpha\aspnum\faauto\adjustright\rin0\lin0\itap0 \rtlch\fcs1 \af0\afs20\alang1025 \ltrch\fcs0 \fs24\lang2057\langfe2057\cgrid\langnp2057\langfenp2057 {\rtlch\fcs1 \af0 _x000d__x000a_\ltrch\fcs0 \insrsid5776455 \chftnsepc _x000d__x000a_\par }}{\*\aftnsep \ltrpar \pard\plain \ltrpar\ql \li0\ri0\widctlpar\wrapdefault\aspalpha\aspnum\faauto\adjustright\rin0\lin0\itap0 \rtlch\fcs1 \af0\afs20\alang1025 \ltrch\fcs0 \fs24\lang2057\langfe2057\cgrid\langnp2057\langfenp2057 {\rtlch\fcs1 \af0 _x000d__x000a_\ltrch\fcs0 \insrsid5776455 \chftnsep _x000d__x000a_\par }}{\*\aftnsepc \ltrpar \pard\plain \ltrpar\ql \li0\ri0\widctlpar\wrapdefault\aspalpha\aspnum\faauto\adjustright\rin0\lin0\itap0 \rtlch\fcs1 \af0\afs20\alang1025 \ltrch\fcs0 \fs24\lang2057\langfe2057\cgrid\langnp2057\langfenp2057 {\rtlch\fcs1 \af0 _x000d__x000a_\ltrch\fcs0 \insrsid57764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45\langfe2057\cgrid\langnp1045\langfenp2057 {\rtlch\fcs1 \af0 \ltrch\fcs0 \cs17\b0\v\fs20\cf9\lang1024\langfe1024\loch\af1\hich\af1\dbch\af31501\noproof\insrsid13656642\charrsid13716182 {\*\bkmkstart restart}_x000d__x000a_\hich\af1\dbch\af31501\loch\f1 &lt;Amend&gt;}{\rtlch\fcs1 \af0 \ltrch\fcs0 \insrsid13656642\charrsid13716182 Poprawka\tab \tab }{\rtlch\fcs1 \af0 \ltrch\fcs0 _x000d__x000a_\cs17\b0\v\fs20\cf9\lang1024\langfe1024\loch\af1\hich\af1\dbch\af31501\noproof\insrsid13656642\charrsid13716182 \hich\af1\dbch\af31501\loch\f1 &lt;NumAm&gt;}{\rtlch\fcs1 \af0 \ltrch\fcs0 \insrsid13656642\charrsid13716182 #}{\rtlch\fcs1 \af1 \ltrch\fcs0 _x000d__x000a_\cs18\v\f1\fs20\cf15\insrsid13656642\charrsid13716182 ENMIENDA@NRAM@}{\rtlch\fcs1 \af0 \ltrch\fcs0 \insrsid13656642\charrsid13716182 #}{\rtlch\fcs1 \af0 \ltrch\fcs0 _x000d__x000a_\cs17\b0\v\fs20\cf9\lang1024\langfe1024\loch\af1\hich\af1\dbch\af31501\noproof\insrsid13656642\charrsid13716182 \hich\af1\dbch\af31501\loch\f1 &lt;/NumAm&gt;}{\rtlch\fcs1 \af0 \ltrch\fcs0 \insrsid13656642\charrsid13716182 _x000d__x000a_\par }\pard\plain \ltrpar\s27\ql \li0\ri0\sb240\keepn\nowidctlpar\wrapdefault\aspalpha\aspnum\faauto\adjustright\rin0\lin0\itap0\pararsid2173828 \rtlch\fcs1 \af0\afs20\alang1025 \ltrch\fcs0 \b\fs24\lang1045\langfe2057\cgrid\langnp1045\langfenp2057 {_x000d__x000a_\rtlch\fcs1 \af0 \ltrch\fcs0 \cs17\b0\v\fs20\cf9\lang1024\langfe1024\loch\af1\hich\af1\dbch\af31501\noproof\insrsid13656642\charrsid13716182 \hich\af1\dbch\af31501\loch\f1 &lt;DocAmend&gt;}{\rtlch\fcs1 \af0 \ltrch\fcs0 \insrsid13656642\charrsid13716182 _x000d__x000a_Wniosek dotycz\'b9cy #}{\rtlch\fcs1 \af1 \ltrch\fcs0 \cs18\v\f1\fs20\cf15\insrsid13656642\charrsid13716182 MNU[DOC1][DOC2][DOC3]@DOCMSG@DOCMNU}{\rtlch\fcs1 \af0 \ltrch\fcs0 \insrsid13656642\charrsid13716182 ##}{\rtlch\fcs1 \af1 \ltrch\fcs0 _x000d__x000a_\cs18\v\f1\fs20\cf15\insrsid13656642\charrsid13716182 MNU[AMACTYES][NOTAPP]@CHOICE@AMACTMNU}{\rtlch\fcs1 \af0 \ltrch\fcs0 \insrsid13656642\charrsid13716182 #}{\rtlch\fcs1 \af0 \ltrch\fcs0 _x000d__x000a_\cs17\b0\v\fs20\cf9\lang1024\langfe1024\loch\af1\hich\af1\dbch\af31501\noproof\insrsid13656642\charrsid13716182 \hich\af1\dbch\af31501\loch\f1 &lt;/DocAmend&gt;}{\rtlch\fcs1 \af0 \ltrch\fcs0 \insrsid13656642\charrsid13716182 _x000d__x000a_\par }\pard\plain \ltrpar\s20\ql \li0\ri0\keepn\nowidctlpar\wrapdefault\aspalpha\aspnum\faauto\adjustright\rin0\lin0\itap0\pararsid14315216 \rtlch\fcs1 \af0\afs20\alang1025 \ltrch\fcs0 \b\fs24\lang1045\langfe2057\cgrid\langnp1045\langfenp2057 {\rtlch\fcs1 _x000d__x000a_\af0 \ltrch\fcs0 \cs17\b0\v\fs20\cf9\lang1024\langfe1024\loch\af1\hich\af1\dbch\af31501\noproof\insrsid13656642\charrsid13716182 \hich\af1\dbch\af31501\loch\f1 &lt;Article&gt;}{\rtlch\fcs1 \af0 \ltrch\fcs0 \insrsid13656642\charrsid13716182 #}{\rtlch\fcs1 \af1 _x000d__x000a_\ltrch\fcs0 \cs18\v\f1\fs20\cf15\insrsid13656642\charrsid13716182 MNU[AMACTPARTYES][AMACTPARTNO]@CHOICE@AMACTMNU}{\rtlch\fcs1 \af0 \ltrch\fcs0 \insrsid13656642\charrsid13716182 #}{\rtlch\fcs1 \af0 \ltrch\fcs0 _x000d__x000a_\cs17\b0\v\fs20\cf9\lang1024\langfe1024\loch\af1\hich\af1\dbch\af31501\noproof\insrsid13656642\charrsid13716182 \hich\af1\dbch\af31501\loch\f1 &lt;/Article&gt;}{\rtlch\fcs1 \af0 \ltrch\fcs0 \insrsid13656642\charrsid13716182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45\insrsid13656642\charrsid13716182 \hich\af1\dbch\af31501\loch\f1 &lt;DocAmend2&gt;&lt;OptDel&gt;}{\rtlch\fcs1 \af0 \ltrch\fcs0 _x000d__x000a_\lang1045\langfe2057\langnp1045\insrsid13656642\charrsid13716182 #}{\rtlch\fcs1 \af1 \ltrch\fcs0 \cs18\v\f1\fs20\cf15\lang1045\langfe2057\langnp1045\insrsid13656642\charrsid13716182 MNU[OPTNRACTYES][NOTAPP]@CHOICE@AMACTMNU}{\rtlch\fcs1 \af0 \ltrch\fcs0 _x000d__x000a_\lang1045\langfe2057\langnp1045\insrsid13656642\charrsid13716182 #}{\rtlch\fcs1 \af0 \ltrch\fcs0 \cs17\v\fs20\cf9\lang1024\langfe1024\loch\af1\hich\af1\dbch\af31501\noproof\langnp1045\insrsid13656642\charrsid13716182 \hich\af1\dbch\af31501\loch\f1 _x000d__x000a_&lt;/OptDel&gt;&lt;/DocAmend2&gt;}{\rtlch\fcs1 \af0 \ltrch\fcs0 \lang1045\langfe2057\langnp1045\insrsid13656642\charrsid13716182 _x000d__x000a_\par }\pard \ltrpar\ql \li0\ri0\widctlpar\wrapdefault\aspalpha\aspnum\faauto\adjustright\rin0\lin0\itap0\pararsid2517430 {\rtlch\fcs1 \af0 \ltrch\fcs0 _x000d__x000a_\cs17\v\fs20\cf9\lang1024\langfe1024\loch\af1\hich\af1\dbch\af31501\noproof\langnp1045\insrsid13656642\charrsid13716182 \hich\af1\dbch\af31501\loch\f1 &lt;Article2&gt;&lt;OptDel&gt;}{\rtlch\fcs1 \af0 \ltrch\fcs0 _x000d__x000a_\lang1045\langfe2057\langnp1045\insrsid13656642\charrsid13716182 #}{\rtlch\fcs1 \af1 \ltrch\fcs0 \cs18\v\f1\fs20\cf15\lang1045\langfe2057\langnp1045\insrsid13656642\charrsid13716182 MNU[OPTACTPARTYES][NOTAPP]@CHOICE@AMACTMNU}{\rtlch\fcs1 \af0 \ltrch\fcs0 _x000d__x000a_\lang1045\langfe2057\langnp1045\insrsid13656642\charrsid13716182 #}{\rtlch\fcs1 \af0 \ltrch\fcs0 \cs17\v\fs20\cf9\lang1024\langfe1024\loch\af1\hich\af1\dbch\af31501\noproof\langnp1045\insrsid13656642\charrsid13716182 \hich\af1\dbch\af31501\loch\f1 _x000d__x000a_&lt;/OptDel&gt;&lt;/Article2&gt;}{\rtlch\fcs1 \af0 \ltrch\fcs0 \lang1045\langfe2057\langnp1045\insrsid13656642\charrsid13716182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45\langfe2057\langnp1045\insrsid13656642\charrsid13716182 \cell }\pard\plain \ltrpar_x000d__x000a_\ql \li0\ri0\widctlpar\intbl\wrapdefault\aspalpha\aspnum\faauto\adjustright\rin0\lin0 \rtlch\fcs1 \af0\afs20\alang1025 \ltrch\fcs0 \fs24\lang2057\langfe2057\cgrid\langnp2057\langfenp2057 {\rtlch\fcs1 \af0 \ltrch\fcs0 _x000d__x000a_\lang1045\langfe2057\langnp1045\insrsid13656642\charrsid13716182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5\langfe2057\cgrid\langnp1045\langfenp2057 {\rtlch\fcs1 \af0 \ltrch\fcs0 _x000d__x000a_\insrsid13656642\charrsid13716182 #}{\rtlch\fcs1 \af1 \ltrch\fcs0 \cs18\v\f1\fs20\cf15\insrsid13656642\charrsid13716182 MNU[OPTLEFTAMACT][LEFTPROP]@CHOICE@AMACTMNU}{\rtlch\fcs1 \af0 \ltrch\fcs0 \insrsid13656642\charrsid13716182 #\cell Poprawka\cell _x000d__x000a_}\pard\plain \ltrpar\ql \li0\ri0\widctlpar\intbl\wrapdefault\aspalpha\aspnum\faauto\adjustright\rin0\lin0 \rtlch\fcs1 \af0\afs20\alang1025 \ltrch\fcs0 \fs24\lang2057\langfe2057\cgrid\langnp2057\langfenp2057 {\rtlch\fcs1 \af0 \ltrch\fcs0 _x000d__x000a_\lang1045\langfe2057\langnp1045\insrsid13656642\charrsid13716182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45\langfe2057\cgrid\langnp1045\langfenp2057 {\rtlch\fcs1 \af0 \ltrch\fcs0 \insrsid13656642\charrsid13716182 ##\cell ##}{\rtlch\fcs1 \af0\afs24 \ltrch\fcs0 \insrsid13656642\charrsid13716182 \cell }\pard\plain \ltrpar_x000d__x000a_\ql \li0\ri0\widctlpar\intbl\wrapdefault\aspalpha\aspnum\faauto\adjustright\rin0\lin0 \rtlch\fcs1 \af0\afs20\alang1025 \ltrch\fcs0 \fs24\lang2057\langfe2057\cgrid\langnp2057\langfenp2057 {\rtlch\fcs1 \af0 \ltrch\fcs0 _x000d__x000a_\lang1045\langfe2057\langnp1045\insrsid13656642\charrsid13716182 \trowd \lastrow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2517430 \rtlch\fcs1 \af0\afs20\alang1025 \ltrch\fcs0 _x000d__x000a_\fs24\lang1045\langfe2057\cgrid\langnp1045\langfenp2057 {\rtlch\fcs1 \af0 \ltrch\fcs0 \insrsid13656642\charrsid13716182 Or. }{\rtlch\fcs1 \af0 \ltrch\fcs0 _x000d__x000a_\cs17\v\fs20\cf9\lang1024\langfe1024\loch\af1\hich\af1\dbch\af31501\noproof\insrsid13656642\charrsid13716182 \hich\af1\dbch\af31501\loch\f1 &lt;Original&gt;}{\rtlch\fcs1 \af0 \ltrch\fcs0 \insrsid13656642\charrsid13716182 #}{\rtlch\fcs1 \af1 \ltrch\fcs0 _x000d__x000a_\cs18\v\f1\fs20\cf15\insrsid13656642\charrsid13716182 MNU[ORLANGONE][ORLANGMORE]@CHOICE@ORLANGMNU}{\rtlch\fcs1 \af0 \ltrch\fcs0 \insrsid13656642\charrsid13716182 #}{\rtlch\fcs1 \af0 \ltrch\fcs0 _x000d__x000a_\cs17\v\fs20\cf9\lang1024\langfe1024\loch\af1\hich\af1\dbch\af31501\noproof\insrsid13656642\charrsid13716182 \hich\af1\dbch\af31501\loch\f1 &lt;/Original&gt;}{\rtlch\fcs1 \af0 \ltrch\fcs0 \insrsid13656642\charrsid13716182 _x000d__x000a_\par }\pard\plain \ltrpar\s22\qc \li0\ri0\sb240\sa240\nowidctlpar\wrapdefault\aspalpha\aspnum\faauto\adjustright\rin0\lin0\itap0\pararsid2517430 \rtlch\fcs1 \af0\afs20\alang1025 \ltrch\fcs0 \i\fs24\lang1045\langfe2057\cgrid\langnp1045\langfenp2057 {_x000d__x000a_\rtlch\fcs1 \af0 \ltrch\fcs0 \cs17\i0\v\fs20\cf9\lang1024\langfe1024\loch\af1\hich\af1\dbch\af31501\noproof\insrsid13656642\charrsid13716182 \hich\af1\dbch\af31501\loch\f1 &lt;OptDel&gt;}{\rtlch\fcs1 \af0 \ltrch\fcs0 \insrsid13656642\charrsid13716182 #}{_x000d__x000a_\rtlch\fcs1 \af1 \ltrch\fcs0 \cs18\v\f1\fs20\cf15\insrsid13656642\charrsid13716182 MNU[CROSSREFNO][CROSSREFYES]@CHOICE@}{\rtlch\fcs1 \af0 \ltrch\fcs0 \insrsid13656642\charrsid13716182 #}{\rtlch\fcs1 \af0 \ltrch\fcs0 _x000d__x000a_\cs17\i0\v\fs20\cf9\lang1024\langfe1024\loch\af1\hich\af1\dbch\af31501\noproof\insrsid13656642\charrsid13716182 \hich\af1\dbch\af31501\loch\f1 &lt;/OptDel&gt;}{\rtlch\fcs1 \af0 \ltrch\fcs0 \insrsid13656642\charrsid13716182 _x000d__x000a_\par }\pard\plain \ltrpar\s23\qc \li0\ri0\sb240\sa240\keepn\nowidctlpar\wrapdefault\aspalpha\aspnum\faauto\adjustright\rin0\lin0\itap0\pararsid2517430 \rtlch\fcs1 \af0\afs20\alang1025 \ltrch\fcs0 \i\fs24\lang1045\langfe2057\cgrid\langnp1045\langfenp2057 {_x000d__x000a_\rtlch\fcs1 \af0 \ltrch\fcs0 \cs17\i0\v\fs20\cf9\lang1024\langfe1024\loch\af1\hich\af1\dbch\af31501\noproof\insrsid13656642\charrsid13716182 \hich\af1\dbch\af31501\loch\f1 &lt;TitreJust&gt;}{\rtlch\fcs1 \af0 \ltrch\fcs0 \insrsid13656642\charrsid13716182 _x000d__x000a_Uzasadnienie}{\rtlch\fcs1 \af0 \ltrch\fcs0 \cs17\i0\v\fs20\cf9\lang1024\langfe1024\loch\af1\hich\af1\dbch\af31501\noproof\insrsid13656642\charrsid13716182 \hich\af1\dbch\af31501\loch\f1 &lt;/TitreJust&gt;}{\rtlch\fcs1 \af0 \ltrch\fcs0 _x000d__x000a_\insrsid13656642\charrsid13716182 _x000d__x000a_\par }\pard\plain \ltrpar\s21\ql \li0\ri0\sa240\nowidctlpar\wrapdefault\aspalpha\aspnum\faauto\adjustright\rin0\lin0\itap0\pararsid2517430 \rtlch\fcs1 \af0\afs20\alang1025 \ltrch\fcs0 \i\fs24\lang1045\langfe2057\cgrid\langnp1045\langfenp2057 {\rtlch\fcs1 \af0 _x000d__x000a_\ltrch\fcs0 \cs17\i0\v\fs20\cf9\lang1024\langfe1024\loch\af1\hich\af1\dbch\af31501\noproof\insrsid13656642\charrsid13716182 \hich\af1\dbch\af31501\loch\f1 &lt;OptDelPrev&gt;}{\rtlch\fcs1 \af0 \ltrch\fcs0 \insrsid13656642\charrsid13716182 #}{\rtlch\fcs1 \af1 _x000d__x000a_\ltrch\fcs0 \cs18\v\f1\fs20\cf15\insrsid13656642\charrsid13716182 MNU[TEXTJUSTYES][TEXTJUSTNO]@CHOICE@}{\rtlch\fcs1 \af0 \ltrch\fcs0 \insrsid13656642\charrsid13716182 #}{\rtlch\fcs1 \af0 \ltrch\fcs0 _x000d__x000a_\cs17\i0\v\fs20\cf9\lang1024\langfe1024\loch\af1\hich\af1\dbch\af31501\noproof\insrsid13656642\charrsid13716182 \hich\af1\dbch\af31501\loch\f1 &lt;/OptDelPrev&gt;}{\rtlch\fcs1 \af0 \ltrch\fcs0 \insrsid13656642\charrsid1371618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5\insrsid13656642\charrsid1371618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Keyboard;\lsdsemihidden1 \lsdunhideused1 \lsdlocked0 annotation subject;_x000d__x000a_\lsdsemihidden1 \lsdunhideused1 \lsdlocked0 No List;\lsdsemihidden1 \lsdunhideused1 \lsdlocked0 Outline List 1;\lsdsemihidden1 \lsdunhideused1 \lsdlocked0 Outline List 2;\lsdsemihidden1 \lsdunhideused1 \lsdlocked0 Outline List 3;_x000d__x000a_\lsdsemihidden1 \lsdunhideused1 \lsdlocked0 Table Simple 1;\lsdsemihidden1 \lsdunhideused1 \lsdlocked0 Table Simple 2;\lsdsemihidden1 \lsdunhideused1 \lsdlocked0 Table Simple 3;\lsdsemihidden1 \lsdunhideused1 \lsdlocked0 Table Classic 1;_x000d__x000a_\lsdsemihidden1 \lsdunhideused1 \lsdlocked0 Table Classic 2;\lsdsemihidden1 \lsdunhideused1 \lsdlocked0 Table Classic 3;\lsdsemihidden1 \lsdunhideused1 \lsdlocked0 Table Classic 4;\lsdsemihidden1 \lsdunhideused1 \lsdlocked0 Table Colorful 1;_x000d__x000a_\lsdsemihidden1 \lsdunhideused1 \lsdlocked0 Table Colorful 2;\lsdsemihidden1 \lsdunhideused1 \lsdlocked0 Table Colorful 3;\lsdsemihidden1 \lsdunhideused1 \lsdlocked0 Table Columns 1;\lsdsemihidden1 \lsdunhideused1 \lsdlocked0 Table Columns 2;_x000d__x000a_\lsdsemihidden1 \lsdunhideused1 \lsdlocked0 Table Columns 3;\lsdsemihidden1 \lsdunhideused1 \lsdlocked0 Table Columns 4;\lsdsemihidden1 \lsdunhideused1 \lsdlocked0 Table Columns 5;\lsdsemihidden1 \lsdunhideused1 \lsdlocked0 Table Grid 1;_x000d__x000a_\lsdsemihidden1 \lsdunhideused1 \lsdlocked0 Table Grid 2;\lsdsemihidden1 \lsdunhideused1 \lsdlocked0 Table Grid 3;\lsdsemihidden1 \lsdunhideused1 \lsdlocked0 Table Grid 4;\lsdsemihidden1 \lsdunhideused1 \lsdlocked0 Table Grid 5;_x000d__x000a_\lsdsemihidden1 \lsdunhideused1 \lsdlocked0 Table Grid 6;\lsdsemihidden1 \lsdunhideused1 \lsdlocked0 Table Grid 7;\lsdsemihidden1 \lsdunhideused1 \lsdlocked0 Table Grid 8;\lsdsemihidden1 \lsdunhideused1 \lsdlocked0 Table List 1;_x000d__x000a_\lsdsemihidden1 \lsdunhideused1 \lsdlocked0 Table List 2;\lsdsemihidden1 \lsdunhideused1 \lsdlocked0 Table List 3;\lsdsemihidden1 \lsdunhideused1 \lsdlocked0 Table List 4;\lsdsemihidden1 \lsdunhideused1 \lsdlocked0 Table List 5;_x000d__x000a_\lsdsemihidden1 \lsdunhideused1 \lsdlocked0 Table List 6;\lsdsemihidden1 \lsdunhideused1 \lsdlocked0 Table List 7;\lsdsemihidden1 \lsdunhideused1 \lsdlocked0 Table List 8;\lsdsemihidden1 \lsdunhideused1 \lsdlocked0 Table 3D effects 1;_x000d__x000a_\lsdsemihidden1 \lsdunhideused1 \lsdlocked0 Table 3D effects 2;\lsdsemihidden1 \lsdunhideused1 \lsdlocked0 Table 3D effects 3;\lsdsemihidden1 \lsdunhideused1 \lsdlocked0 Table Contemporary;\lsdsemihidden1 \lsdunhideused1 \lsdlocked0 Table Elegant;_x000d__x000a_\lsdsemihidden1 \lsdunhideused1 \lsdlocked0 Table Professional;\lsdsemihidden1 \lsdunhideused1 \lsdlocked0 Table Subtle 2;\lsdsemihidden1 \lsdunhideused1 \lsdlocked0 Table Web 1;\lsdsemihidden1 \lsdunhideused1 \lsdlocked0 Balloon Text;_x000d__x000a_\lsdsemihidden1 \lsdunhideused1 \lsdlocked0 Table Theme;\lsdsemihidden1 \lsdpriority99 \lsdlocked0 Placeholder Text;\lsdqformat1 \lsdpriority1 \lsdlocked0 No Spacing;\lsdpriority60 \lsdlocked0 Light Shading;\lsdpriority61 \lsdlocked0 Light List;_x000d__x000a_\lsdpriority62 \lsdlocked0 Light Grid;\lsdpriority63 \lsdlocked0 Medium Shading 1;\lsdpriority64 \lsdlocked0 Medium Shading 2;\lsdpriority65 \lsdlocked0 Medium List 1;\lsdpriority66 \lsdlocked0 Medium List 2;\lsdpriority67 \lsdlocked0 Medium Grid 1;_x000d__x000a_\lsdpriority68 \lsdlocked0 Medium Grid 2;\lsdpriority69 \lsdlocked0 Medium Grid 3;\lsdpriority70 \lsdlocked0 Dark List;\lsdpriority71 \lsdlocked0 Colorful Shading;\lsdpriority72 \lsdlocked0 Colorful List;\lsdpriority73 \lsdlocked0 Colorful Grid;_x000d__x000a_\lsdpriority60 \lsdlocked0 Light Shading Accent 1;\lsdpriority61 \lsdlocked0 Light List Accent 1;\lsdpriority62 \lsdlocked0 Light Grid Accent 1;\lsdpriority63 \lsdlocked0 Medium Shading 1 Accent 1;\lsdpriority64 \lsdlocked0 Medium Shading 2 Accent 1;_x000d__x000a_\lsdpriority65 \lsdlocked0 Medium List 1 Accent 1;\lsdsemihidden1 \lsdpriority99 \lsdlocked0 Revision;\lsdqformat1 \lsdpriority34 \lsdlocked0 List Paragraph;\lsdqformat1 \lsdpriority29 \lsdlocked0 Quote;_x000d__x000a_\lsdqformat1 \lsdpriority30 \lsdlocked0 Intense Quote;\lsdpriority66 \lsdlocked0 Medium List 2 Accent 1;\lsdpriority67 \lsdlocked0 Medium Grid 1 Accent 1;\lsdpriority68 \lsdlocked0 Medium Grid 2 Accent 1;\lsdpriority69 \lsdlocked0 Medium Grid 3 Accent 1;_x000d__x000a_\lsdpriority70 \lsdlocked0 Dark List Accent 1;\lsdpriority71 \lsdlocked0 Colorful Shading Accent 1;\lsdpriority72 \lsdlocked0 Colorful List Accent 1;\lsdpriority73 \lsdlocked0 Colorful Grid Accent 1;\lsdpriority60 \lsdlocked0 Light Shading Accent 2;_x000d__x000a_\lsdpriority61 \lsdlocked0 Light List Accent 2;\lsdpriority62 \lsdlocked0 Light Grid Accent 2;\lsdpriority63 \lsdlocked0 Medium Shading 1 Accent 2;\lsdpriority64 \lsdlocked0 Medium Shading 2 Accent 2;\lsdpriority65 \lsdlocked0 Medium List 1 Accent 2;_x000d__x000a_\lsdpriority66 \lsdlocked0 Medium List 2 Accent 2;\lsdpriority67 \lsdlocked0 Medium Grid 1 Accent 2;\lsdpriority68 \lsdlocked0 Medium Grid 2 Accent 2;\lsdpriority69 \lsdlocked0 Medium Grid 3 Accent 2;\lsdpriority70 \lsdlocked0 Dark List Accent 2;_x000d__x000a_\lsdpriority71 \lsdlocked0 Colorful Shading Accent 2;\lsdpriority72 \lsdlocked0 Colorful List Accent 2;\lsdpriority73 \lsdlocked0 Colorful Grid Accent 2;\lsdpriority60 \lsdlocked0 Light Shading Accent 3;\lsdpriority61 \lsdlocked0 Light List Accent 3;_x000d__x000a_\lsdpriority62 \lsdlocked0 Light Grid Accent 3;\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e_x000d__x000a_1da61d41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2"/>
    <w:docVar w:name="TXTAUTHOR" w:val="Loránt Vincze"/>
    <w:docVar w:name="TXTLANGUE" w:val="PL"/>
    <w:docVar w:name="TXTLANGUEMIN" w:val="pl"/>
    <w:docVar w:name="TXTNRC" w:val="0186/2022"/>
    <w:docVar w:name="TXTNRCOD" w:val="2022/0167"/>
    <w:docVar w:name="TXTNRCOM" w:val="(2022)0245"/>
    <w:docVar w:name="TXTNRPE" w:val="742.501"/>
    <w:docVar w:name="TXTPEorAP" w:val="PE"/>
    <w:docVar w:name="TXTROUTE" w:val="PR\1272739PL.docx"/>
    <w:docVar w:name="TXTTITLE" w:val="xxxx"/>
    <w:docVar w:name="TXTVERSION" w:val="01-00"/>
  </w:docVars>
  <w:rsids>
    <w:rsidRoot w:val="0005384F"/>
    <w:rsid w:val="00011AAB"/>
    <w:rsid w:val="00012351"/>
    <w:rsid w:val="000139E5"/>
    <w:rsid w:val="0005384F"/>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334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451C6"/>
    <w:rsid w:val="0069092A"/>
    <w:rsid w:val="006A2F5D"/>
    <w:rsid w:val="006C5B12"/>
    <w:rsid w:val="006F7907"/>
    <w:rsid w:val="00743189"/>
    <w:rsid w:val="00743D33"/>
    <w:rsid w:val="007848C2"/>
    <w:rsid w:val="007932B3"/>
    <w:rsid w:val="00793EA9"/>
    <w:rsid w:val="007D6F68"/>
    <w:rsid w:val="007F04E7"/>
    <w:rsid w:val="00817843"/>
    <w:rsid w:val="00823E6B"/>
    <w:rsid w:val="00826780"/>
    <w:rsid w:val="00837CCD"/>
    <w:rsid w:val="008633CC"/>
    <w:rsid w:val="00865190"/>
    <w:rsid w:val="008719B9"/>
    <w:rsid w:val="00894923"/>
    <w:rsid w:val="00894ECE"/>
    <w:rsid w:val="00896BB4"/>
    <w:rsid w:val="008A7FB8"/>
    <w:rsid w:val="008C50CF"/>
    <w:rsid w:val="009022B8"/>
    <w:rsid w:val="00914537"/>
    <w:rsid w:val="00917CC4"/>
    <w:rsid w:val="009648E3"/>
    <w:rsid w:val="009763DA"/>
    <w:rsid w:val="009975B3"/>
    <w:rsid w:val="009A216D"/>
    <w:rsid w:val="009B4B93"/>
    <w:rsid w:val="009F24BE"/>
    <w:rsid w:val="009F6C2F"/>
    <w:rsid w:val="009F767A"/>
    <w:rsid w:val="00A22533"/>
    <w:rsid w:val="00A26F46"/>
    <w:rsid w:val="00A34FD3"/>
    <w:rsid w:val="00A36929"/>
    <w:rsid w:val="00A50548"/>
    <w:rsid w:val="00A60EE7"/>
    <w:rsid w:val="00A80126"/>
    <w:rsid w:val="00A910C9"/>
    <w:rsid w:val="00AA35B0"/>
    <w:rsid w:val="00AA7DD9"/>
    <w:rsid w:val="00AB1A16"/>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A3D8B"/>
    <w:rsid w:val="00CF60C8"/>
    <w:rsid w:val="00D30DE2"/>
    <w:rsid w:val="00D32924"/>
    <w:rsid w:val="00D503A3"/>
    <w:rsid w:val="00DA6CAB"/>
    <w:rsid w:val="00DA6ED0"/>
    <w:rsid w:val="00DC5011"/>
    <w:rsid w:val="00E171B6"/>
    <w:rsid w:val="00E72695"/>
    <w:rsid w:val="00EB1753"/>
    <w:rsid w:val="00EB6CFF"/>
    <w:rsid w:val="00EC1AEB"/>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CC2172-74BC-489E-8A63-F33180714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EC1AEB"/>
    <w:pPr>
      <w:tabs>
        <w:tab w:val="right" w:pos="454"/>
        <w:tab w:val="left" w:pos="737"/>
      </w:tabs>
      <w:ind w:left="737" w:hanging="737"/>
    </w:pPr>
    <w:rPr>
      <w:snapToGrid w:val="0"/>
      <w:sz w:val="18"/>
      <w:lang w:eastAsia="en-US"/>
    </w:rPr>
  </w:style>
  <w:style w:type="paragraph" w:customStyle="1" w:styleId="Lgendetitre">
    <w:name w:val="Légende titre"/>
    <w:basedOn w:val="Normal"/>
    <w:rsid w:val="00EC1AEB"/>
    <w:pPr>
      <w:spacing w:before="240" w:after="240"/>
    </w:pPr>
    <w:rPr>
      <w:b/>
      <w:i/>
      <w:snapToGrid w:val="0"/>
      <w:lang w:eastAsia="en-US"/>
    </w:rPr>
  </w:style>
  <w:style w:type="paragraph" w:customStyle="1" w:styleId="Lgendestandard">
    <w:name w:val="Légende standard"/>
    <w:basedOn w:val="Normal"/>
    <w:rsid w:val="00EC1AEB"/>
    <w:rPr>
      <w:sz w:val="18"/>
    </w:rPr>
  </w:style>
  <w:style w:type="paragraph" w:styleId="FootnoteText">
    <w:name w:val="footnote text"/>
    <w:basedOn w:val="Normal"/>
    <w:link w:val="FootnoteTextChar"/>
    <w:rsid w:val="00CA3D8B"/>
    <w:rPr>
      <w:sz w:val="20"/>
    </w:rPr>
  </w:style>
  <w:style w:type="character" w:customStyle="1" w:styleId="FootnoteTextChar">
    <w:name w:val="Footnote Text Char"/>
    <w:basedOn w:val="DefaultParagraphFont"/>
    <w:link w:val="FootnoteText"/>
    <w:rsid w:val="00CA3D8B"/>
  </w:style>
  <w:style w:type="character" w:styleId="FootnoteReference">
    <w:name w:val="footnote reference"/>
    <w:basedOn w:val="DefaultParagraphFont"/>
    <w:rsid w:val="00CA3D8B"/>
    <w:rPr>
      <w:vertAlign w:val="superscript"/>
    </w:rPr>
  </w:style>
  <w:style w:type="character" w:customStyle="1" w:styleId="NormalBoldChar">
    <w:name w:val="NormalBold Char"/>
    <w:basedOn w:val="DefaultParagraphFont"/>
    <w:link w:val="NormalBold"/>
    <w:locked/>
    <w:rsid w:val="00CA3D8B"/>
    <w:rPr>
      <w:b/>
      <w:sz w:val="24"/>
      <w:lang w:val="pl-PL"/>
    </w:rPr>
  </w:style>
  <w:style w:type="character" w:customStyle="1" w:styleId="FooterChar">
    <w:name w:val="Footer Char"/>
    <w:basedOn w:val="DefaultParagraphFont"/>
    <w:link w:val="Footer"/>
    <w:semiHidden/>
    <w:rsid w:val="00CA3D8B"/>
    <w:rPr>
      <w:sz w:val="22"/>
    </w:rPr>
  </w:style>
  <w:style w:type="paragraph" w:styleId="Footer">
    <w:name w:val="footer"/>
    <w:link w:val="FooterChar"/>
    <w:semiHidden/>
    <w:unhideWhenUsed/>
    <w:rsid w:val="00CA3D8B"/>
    <w:pPr>
      <w:tabs>
        <w:tab w:val="center" w:pos="4536"/>
        <w:tab w:val="right" w:pos="9072"/>
      </w:tabs>
      <w:spacing w:before="240" w:after="240" w:line="220" w:lineRule="auto"/>
    </w:pPr>
    <w:rPr>
      <w:sz w:val="22"/>
    </w:rPr>
  </w:style>
  <w:style w:type="character" w:customStyle="1" w:styleId="StopkaZnak1">
    <w:name w:val="Stopka Znak1"/>
    <w:basedOn w:val="DefaultParagraphFont"/>
    <w:semiHidden/>
    <w:rsid w:val="00CA3D8B"/>
    <w:rPr>
      <w:sz w:val="24"/>
      <w:lang w:val="pl-PL"/>
    </w:rPr>
  </w:style>
  <w:style w:type="character" w:customStyle="1" w:styleId="Normal12Char">
    <w:name w:val="Normal12 Char"/>
    <w:basedOn w:val="DefaultParagraphFont"/>
    <w:link w:val="Normal12"/>
    <w:locked/>
    <w:rsid w:val="00CA3D8B"/>
    <w:rPr>
      <w:noProof/>
      <w:sz w:val="24"/>
    </w:rPr>
  </w:style>
  <w:style w:type="paragraph" w:customStyle="1" w:styleId="Normal12">
    <w:name w:val="Normal12"/>
    <w:basedOn w:val="Normal"/>
    <w:link w:val="Normal12Char"/>
    <w:rsid w:val="00CA3D8B"/>
    <w:pPr>
      <w:spacing w:after="240"/>
    </w:pPr>
    <w:rPr>
      <w:noProof/>
    </w:rPr>
  </w:style>
  <w:style w:type="character" w:customStyle="1" w:styleId="Normal6Char">
    <w:name w:val="Normal6 Char"/>
    <w:basedOn w:val="DefaultParagraphFont"/>
    <w:link w:val="Normal6"/>
    <w:locked/>
    <w:rsid w:val="00CA3D8B"/>
    <w:rPr>
      <w:sz w:val="24"/>
      <w:lang w:val="pl-PL"/>
    </w:rPr>
  </w:style>
  <w:style w:type="paragraph" w:customStyle="1" w:styleId="Normal6">
    <w:name w:val="Normal6"/>
    <w:basedOn w:val="Normal"/>
    <w:link w:val="Normal6Char"/>
    <w:rsid w:val="00CA3D8B"/>
    <w:pPr>
      <w:spacing w:after="120"/>
    </w:pPr>
  </w:style>
  <w:style w:type="paragraph" w:customStyle="1" w:styleId="Normal12Italic">
    <w:name w:val="Normal12Italic"/>
    <w:basedOn w:val="Normal12"/>
    <w:rsid w:val="00CA3D8B"/>
    <w:rPr>
      <w:i/>
    </w:rPr>
  </w:style>
  <w:style w:type="paragraph" w:customStyle="1" w:styleId="Footer2">
    <w:name w:val="Footer2"/>
    <w:basedOn w:val="Normal12"/>
    <w:rsid w:val="00CA3D8B"/>
    <w:pPr>
      <w:tabs>
        <w:tab w:val="center" w:pos="4535"/>
        <w:tab w:val="right" w:pos="9923"/>
      </w:tabs>
      <w:spacing w:line="480" w:lineRule="auto"/>
      <w:ind w:left="-851"/>
    </w:pPr>
    <w:rPr>
      <w:rFonts w:ascii="Arial" w:cs="Arial"/>
      <w:b/>
      <w:sz w:val="48"/>
    </w:rPr>
  </w:style>
  <w:style w:type="paragraph" w:customStyle="1" w:styleId="EntPE">
    <w:name w:val="EntPE"/>
    <w:basedOn w:val="Normal12"/>
    <w:rsid w:val="00CA3D8B"/>
    <w:pPr>
      <w:jc w:val="center"/>
    </w:pPr>
    <w:rPr>
      <w:noProof w:val="0"/>
      <w:sz w:val="56"/>
    </w:rPr>
  </w:style>
  <w:style w:type="paragraph" w:customStyle="1" w:styleId="AMNumberTabs0">
    <w:name w:val="AMNumberTabs"/>
    <w:basedOn w:val="Normal"/>
    <w:rsid w:val="00CA3D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A3D8B"/>
    <w:pPr>
      <w:spacing w:after="240"/>
      <w:jc w:val="center"/>
    </w:pPr>
    <w:rPr>
      <w:i/>
    </w:rPr>
  </w:style>
  <w:style w:type="paragraph" w:customStyle="1" w:styleId="Olang">
    <w:name w:val="Olang"/>
    <w:basedOn w:val="Normal"/>
    <w:rsid w:val="00CA3D8B"/>
    <w:pPr>
      <w:spacing w:before="240" w:after="240"/>
      <w:jc w:val="right"/>
    </w:pPr>
    <w:rPr>
      <w:noProof/>
      <w:szCs w:val="24"/>
    </w:rPr>
  </w:style>
  <w:style w:type="character" w:styleId="CommentReference">
    <w:name w:val="annotation reference"/>
    <w:basedOn w:val="DefaultParagraphFont"/>
    <w:rsid w:val="00CA3D8B"/>
    <w:rPr>
      <w:sz w:val="16"/>
      <w:szCs w:val="16"/>
    </w:rPr>
  </w:style>
  <w:style w:type="paragraph" w:styleId="CommentText">
    <w:name w:val="annotation text"/>
    <w:basedOn w:val="Normal"/>
    <w:link w:val="CommentTextChar"/>
    <w:rsid w:val="00CA3D8B"/>
    <w:rPr>
      <w:sz w:val="20"/>
    </w:rPr>
  </w:style>
  <w:style w:type="character" w:customStyle="1" w:styleId="CommentTextChar">
    <w:name w:val="Comment Text Char"/>
    <w:basedOn w:val="DefaultParagraphFont"/>
    <w:link w:val="CommentText"/>
    <w:rsid w:val="00CA3D8B"/>
  </w:style>
  <w:style w:type="paragraph" w:styleId="CommentSubject">
    <w:name w:val="annotation subject"/>
    <w:basedOn w:val="CommentText"/>
    <w:next w:val="CommentText"/>
    <w:link w:val="CommentSubjectChar"/>
    <w:semiHidden/>
    <w:unhideWhenUsed/>
    <w:rsid w:val="00CA3D8B"/>
    <w:rPr>
      <w:b/>
      <w:bCs/>
    </w:rPr>
  </w:style>
  <w:style w:type="character" w:customStyle="1" w:styleId="CommentSubjectChar">
    <w:name w:val="Comment Subject Char"/>
    <w:basedOn w:val="CommentTextChar"/>
    <w:link w:val="CommentSubject"/>
    <w:semiHidden/>
    <w:rsid w:val="00CA3D8B"/>
    <w:rPr>
      <w:b/>
      <w:bCs/>
    </w:rPr>
  </w:style>
  <w:style w:type="paragraph" w:styleId="BalloonText">
    <w:name w:val="Balloon Text"/>
    <w:basedOn w:val="Normal"/>
    <w:link w:val="BalloonTextChar"/>
    <w:semiHidden/>
    <w:unhideWhenUsed/>
    <w:rsid w:val="00CA3D8B"/>
    <w:rPr>
      <w:rFonts w:ascii="Segoe UI" w:hAnsi="Segoe UI" w:cs="Segoe UI"/>
      <w:sz w:val="18"/>
      <w:szCs w:val="18"/>
    </w:rPr>
  </w:style>
  <w:style w:type="character" w:customStyle="1" w:styleId="BalloonTextChar">
    <w:name w:val="Balloon Text Char"/>
    <w:basedOn w:val="DefaultParagraphFont"/>
    <w:link w:val="BalloonText"/>
    <w:semiHidden/>
    <w:rsid w:val="00CA3D8B"/>
    <w:rPr>
      <w:rFonts w:ascii="Segoe UI" w:hAnsi="Segoe UI" w:cs="Segoe UI"/>
      <w:sz w:val="18"/>
      <w:szCs w:val="18"/>
    </w:rPr>
  </w:style>
  <w:style w:type="paragraph" w:customStyle="1" w:styleId="msonormal0">
    <w:name w:val="msonormal"/>
    <w:basedOn w:val="Normal"/>
    <w:rsid w:val="00CA3D8B"/>
    <w:pPr>
      <w:widowControl/>
      <w:spacing w:before="100" w:beforeAutospacing="1" w:after="100" w:afterAutospacing="1"/>
    </w:pPr>
    <w:rPr>
      <w:szCs w:val="24"/>
    </w:rPr>
  </w:style>
  <w:style w:type="paragraph" w:customStyle="1" w:styleId="CommitteeAM">
    <w:name w:val="CommitteeAM"/>
    <w:basedOn w:val="Normal"/>
    <w:rsid w:val="00CA3D8B"/>
    <w:pPr>
      <w:spacing w:before="240" w:after="600"/>
      <w:jc w:val="center"/>
    </w:pPr>
    <w:rPr>
      <w:i/>
    </w:rPr>
  </w:style>
  <w:style w:type="paragraph" w:customStyle="1" w:styleId="ZDateAM">
    <w:name w:val="ZDateAM"/>
    <w:basedOn w:val="Normal"/>
    <w:rsid w:val="00CA3D8B"/>
    <w:pPr>
      <w:tabs>
        <w:tab w:val="right" w:pos="9356"/>
      </w:tabs>
      <w:spacing w:after="480"/>
    </w:pPr>
    <w:rPr>
      <w:noProof/>
    </w:rPr>
  </w:style>
  <w:style w:type="paragraph" w:customStyle="1" w:styleId="ProjRap">
    <w:name w:val="ProjRap"/>
    <w:basedOn w:val="Normal"/>
    <w:rsid w:val="00CA3D8B"/>
    <w:pPr>
      <w:tabs>
        <w:tab w:val="right" w:pos="9356"/>
      </w:tabs>
    </w:pPr>
    <w:rPr>
      <w:b/>
      <w:noProof/>
    </w:rPr>
  </w:style>
  <w:style w:type="paragraph" w:customStyle="1" w:styleId="PELeft">
    <w:name w:val="PELeft"/>
    <w:basedOn w:val="Normal"/>
    <w:rsid w:val="00CA3D8B"/>
    <w:pPr>
      <w:spacing w:before="40" w:after="40"/>
    </w:pPr>
    <w:rPr>
      <w:rFonts w:ascii="Arial" w:hAnsi="Arial" w:cs="Arial"/>
      <w:sz w:val="22"/>
      <w:szCs w:val="22"/>
    </w:rPr>
  </w:style>
  <w:style w:type="paragraph" w:customStyle="1" w:styleId="PERight">
    <w:name w:val="PERight"/>
    <w:basedOn w:val="Normal"/>
    <w:next w:val="Normal"/>
    <w:rsid w:val="00CA3D8B"/>
    <w:pPr>
      <w:jc w:val="right"/>
    </w:pPr>
    <w:rPr>
      <w:rFonts w:ascii="Arial" w:hAnsi="Arial" w:cs="Arial"/>
      <w:sz w:val="22"/>
      <w:szCs w:val="22"/>
    </w:rPr>
  </w:style>
  <w:style w:type="paragraph" w:customStyle="1" w:styleId="JustificationTitle">
    <w:name w:val="JustificationTitle"/>
    <w:basedOn w:val="Normal"/>
    <w:next w:val="Normal12"/>
    <w:rsid w:val="00CA3D8B"/>
    <w:pPr>
      <w:keepNext/>
      <w:spacing w:before="240" w:after="240"/>
      <w:jc w:val="center"/>
    </w:pPr>
    <w:rPr>
      <w:i/>
      <w:noProof/>
    </w:rPr>
  </w:style>
  <w:style w:type="paragraph" w:customStyle="1" w:styleId="CrossRef">
    <w:name w:val="CrossRef"/>
    <w:basedOn w:val="Normal"/>
    <w:rsid w:val="00CA3D8B"/>
    <w:pPr>
      <w:spacing w:before="240"/>
      <w:jc w:val="center"/>
    </w:pPr>
    <w:rPr>
      <w:i/>
    </w:rPr>
  </w:style>
  <w:style w:type="character" w:customStyle="1" w:styleId="Footer2Middle">
    <w:name w:val="Footer2Middle"/>
    <w:rsid w:val="00CA3D8B"/>
    <w:rPr>
      <w:rFonts w:ascii="Arial" w:hAnsi="Arial" w:cs="Arial" w:hint="default"/>
      <w:b w:val="0"/>
      <w:bCs w:val="0"/>
      <w:i/>
      <w:iCs w:val="0"/>
      <w:color w:val="C0C0C0"/>
      <w:sz w:val="22"/>
    </w:rPr>
  </w:style>
  <w:style w:type="character" w:styleId="Emphasis">
    <w:name w:val="Emphasis"/>
    <w:basedOn w:val="DefaultParagraphFont"/>
    <w:uiPriority w:val="20"/>
    <w:qFormat/>
    <w:rsid w:val="00CA3D8B"/>
    <w:rPr>
      <w:i/>
      <w:iCs/>
    </w:rPr>
  </w:style>
  <w:style w:type="character" w:styleId="Hyperlink">
    <w:name w:val="Hyperlink"/>
    <w:basedOn w:val="DefaultParagraphFont"/>
    <w:rsid w:val="00CA3D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48F1F-2BCE-49CA-94C5-EEBB99556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11685</Words>
  <Characters>78293</Characters>
  <Application>Microsoft Office Word</Application>
  <DocSecurity>0</DocSecurity>
  <Lines>3131</Lines>
  <Paragraphs>856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PR_COD_1amCom</vt:lpstr>
      <vt:lpstr>PR_COD_1amCom</vt:lpstr>
    </vt:vector>
  </TitlesOfParts>
  <Company/>
  <LinksUpToDate>false</LinksUpToDate>
  <CharactersWithSpaces>89122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dell</dc:creator>
  <cp:lastModifiedBy>KLIMKOWSKI Andrzej</cp:lastModifiedBy>
  <cp:revision>2</cp:revision>
  <cp:lastPrinted>2004-11-04T09:41:00Z</cp:lastPrinted>
  <dcterms:created xsi:type="dcterms:W3CDTF">2023-02-28T10:20:00Z</dcterms:created>
  <dcterms:modified xsi:type="dcterms:W3CDTF">2023-02-28T10:20:00Z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1272739</vt:lpwstr>
  </property>
  <property fmtid="{D5CDD505-2E9C-101B-9397-08002B2CF9AE}" pid="4" name="&lt;Model&gt;">
    <vt:lpwstr>PR_COD_1amCom</vt:lpwstr>
  </property>
  <property fmtid="{D5CDD505-2E9C-101B-9397-08002B2CF9AE}" pid="5" name="&lt;ModelCod&gt;">
    <vt:lpwstr>C:\Users\dell\AppData\Local\DocEP\DOCS\PR\PR_Leg\COD\COD_1st\PR_COD_1amCom.dotx(17/04/2020 18:27:08)</vt:lpwstr>
  </property>
  <property fmtid="{D5CDD505-2E9C-101B-9397-08002B2CF9AE}" pid="6" name="&lt;ModelTra&gt;">
    <vt:lpwstr>C:\Users\dell\AppData\Local\DocEP\TRANSFIL\PL\PR_COD_1amCom.PL(29/06/2022 09:25:16)</vt:lpwstr>
  </property>
  <property fmtid="{D5CDD505-2E9C-101B-9397-08002B2CF9AE}" pid="7" name="&lt;Type&gt;">
    <vt:lpwstr>PR</vt:lpwstr>
  </property>
  <property fmtid="{D5CDD505-2E9C-101B-9397-08002B2CF9AE}" pid="8" name="Created with">
    <vt:lpwstr>9.14.0 Build [20221101]</vt:lpwstr>
  </property>
  <property fmtid="{D5CDD505-2E9C-101B-9397-08002B2CF9AE}" pid="9" name="FooterPath">
    <vt:lpwstr>PR\1272739PL.docx</vt:lpwstr>
  </property>
  <property fmtid="{D5CDD505-2E9C-101B-9397-08002B2CF9AE}" pid="10" name="LastEdited with">
    <vt:lpwstr>9.14.0 Build [20221101]</vt:lpwstr>
  </property>
  <property fmtid="{D5CDD505-2E9C-101B-9397-08002B2CF9AE}" pid="11" name="PE number">
    <vt:lpwstr>742.501</vt:lpwstr>
  </property>
  <property fmtid="{D5CDD505-2E9C-101B-9397-08002B2CF9AE}" pid="12" name="SDLStudio">
    <vt:lpwstr/>
  </property>
  <property fmtid="{D5CDD505-2E9C-101B-9397-08002B2CF9AE}" pid="13" name="Bookout">
    <vt:lpwstr>OK - 2023/02/28 11:20</vt:lpwstr>
  </property>
</Properties>
</file>