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637D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DB2452" w:rsidRDefault="002E6AC5" w:rsidP="00C85D0F">
            <w:pPr>
              <w:pStyle w:val="EPName"/>
            </w:pPr>
            <w:r>
              <w:t>Parlament Ewropew</w:t>
            </w:r>
          </w:p>
          <w:p w:rsidR="00B13D6F" w:rsidRPr="00DB2452" w:rsidRDefault="002E6AC5" w:rsidP="00DB2452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DB2452" w:rsidRDefault="002E6AC5" w:rsidP="00C85D0F">
            <w:pPr>
              <w:pStyle w:val="EPLogo"/>
            </w:pPr>
            <w:r w:rsidRPr="00DB24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DB2452" w:rsidRDefault="00461601" w:rsidP="00461601">
      <w:pPr>
        <w:pStyle w:val="LineTop"/>
      </w:pPr>
    </w:p>
    <w:p w:rsidR="00461601" w:rsidRPr="00DB2452" w:rsidRDefault="002E6AC5" w:rsidP="00461601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461601" w:rsidRPr="00DB2452" w:rsidRDefault="00461601" w:rsidP="00461601">
      <w:pPr>
        <w:pStyle w:val="LineBottom"/>
      </w:pPr>
    </w:p>
    <w:p w:rsidR="00793EA9" w:rsidRPr="00DB2452" w:rsidRDefault="002E6AC5">
      <w:pPr>
        <w:pStyle w:val="CoverReference"/>
      </w:pPr>
      <w:r>
        <w:rPr>
          <w:rStyle w:val="HideTWBExt"/>
          <w:b w:val="0"/>
        </w:rPr>
        <w:t>&lt;RefProc&gt;</w:t>
      </w:r>
      <w:r>
        <w:t>2022/0398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793EA9" w:rsidRPr="00DB2452" w:rsidRDefault="002E6AC5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{02/05/2023}</w:t>
      </w:r>
      <w:r>
        <w:t>2.5.2023</w:t>
      </w:r>
      <w:r>
        <w:rPr>
          <w:rStyle w:val="HideTWBExt"/>
        </w:rPr>
        <w:t>&lt;/Date&gt;</w:t>
      </w:r>
    </w:p>
    <w:p w:rsidR="00793EA9" w:rsidRPr="00DB2452" w:rsidRDefault="002E6AC5">
      <w:pPr>
        <w:pStyle w:val="CoverDocType"/>
      </w:pPr>
      <w:r>
        <w:rPr>
          <w:rStyle w:val="HideTWBExt"/>
          <w:b w:val="0"/>
        </w:rPr>
        <w:t>&lt;RefProcLect&gt;</w:t>
      </w:r>
      <w:r>
        <w:t>***I</w:t>
      </w:r>
      <w:r>
        <w:rPr>
          <w:rStyle w:val="HideTWBExt"/>
          <w:b w:val="0"/>
        </w:rPr>
        <w:t>&lt;/RefProcLect&gt;</w:t>
      </w:r>
    </w:p>
    <w:p w:rsidR="00793EA9" w:rsidRPr="00DB2452" w:rsidRDefault="002E6AC5">
      <w:pPr>
        <w:pStyle w:val="CoverDocType24a"/>
      </w:pPr>
      <w:r>
        <w:rPr>
          <w:rStyle w:val="HideTWBExt"/>
          <w:b w:val="0"/>
        </w:rPr>
        <w:t>&lt;TitreType&gt;</w:t>
      </w:r>
      <w:r>
        <w:t>ABBOZZ TA’ RAPPORT</w:t>
      </w:r>
      <w:r>
        <w:rPr>
          <w:rStyle w:val="HideTWBExt"/>
          <w:b w:val="0"/>
        </w:rPr>
        <w:t>&lt;/TitreType&gt;</w:t>
      </w:r>
    </w:p>
    <w:p w:rsidR="00DB2452" w:rsidRPr="00DB2452" w:rsidRDefault="002E6AC5" w:rsidP="00DB2452">
      <w:pPr>
        <w:pStyle w:val="CoverNormal"/>
      </w:pPr>
      <w:r>
        <w:rPr>
          <w:rStyle w:val="HideTWBExt"/>
        </w:rPr>
        <w:t>&lt;Titre&gt;</w:t>
      </w:r>
      <w:r>
        <w:t>dwar il-proposta għal direttiva tal-Parlament Ewropew u tal-Kunsill dwar id-definizzjoni ta’ reati kriminali u ta’ pieni għall-ksur ta’ miżuri restrittivi tal-Unjoni</w:t>
      </w:r>
      <w:r>
        <w:rPr>
          <w:rStyle w:val="HideTWBExt"/>
        </w:rPr>
        <w:t>&lt;/Titre&gt;</w:t>
      </w:r>
    </w:p>
    <w:p w:rsidR="00793EA9" w:rsidRPr="00DB2452" w:rsidRDefault="002E6AC5" w:rsidP="00DB2452">
      <w:pPr>
        <w:pStyle w:val="CoverNormal24a"/>
      </w:pPr>
      <w:r>
        <w:rPr>
          <w:rStyle w:val="HideTWBExt"/>
        </w:rPr>
        <w:t>&lt;DocRef&gt;</w:t>
      </w:r>
      <w:r>
        <w:t>(COM(2022)0684 – C9</w:t>
      </w:r>
      <w:r>
        <w:noBreakHyphen/>
        <w:t>0401/</w:t>
      </w:r>
      <w:r>
        <w:t>2022 – 2022/0398(COD))</w:t>
      </w:r>
      <w:r>
        <w:rPr>
          <w:rStyle w:val="HideTWBExt"/>
        </w:rPr>
        <w:t>&lt;/DocRef&gt;</w:t>
      </w:r>
    </w:p>
    <w:p w:rsidR="00793EA9" w:rsidRPr="00DB2452" w:rsidRDefault="002E6AC5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:rsidR="00793EA9" w:rsidRPr="00DB2452" w:rsidRDefault="002E6AC5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Sophia in ’t Veld</w:t>
      </w:r>
      <w:r>
        <w:rPr>
          <w:rStyle w:val="HideTWBExt"/>
        </w:rPr>
        <w:t>&lt;/Depute&gt;</w:t>
      </w:r>
    </w:p>
    <w:p w:rsidR="001C5B44" w:rsidRPr="00DB2452" w:rsidRDefault="001C5B44" w:rsidP="001C5B44">
      <w:pPr>
        <w:pStyle w:val="CoverNormal"/>
      </w:pPr>
    </w:p>
    <w:p w:rsidR="00DB2452" w:rsidRPr="00DB2452" w:rsidRDefault="002E6AC5" w:rsidP="00894923">
      <w:r>
        <w:br w:type="page"/>
      </w:r>
      <w:r w:rsidR="00E35220">
        <w:lastRenderedPageBreak/>
        <w:fldChar w:fldCharType="begin"/>
      </w:r>
      <w:r>
        <w:instrText xml:space="preserve"> TITLE  \* MERGEFORMAT </w:instrText>
      </w:r>
      <w:r w:rsidR="00E35220">
        <w:fldChar w:fldCharType="separate"/>
      </w:r>
      <w:r>
        <w:t>PR_COD_1amCom</w:t>
      </w:r>
      <w:r w:rsidR="00E35220">
        <w:fldChar w:fldCharType="end"/>
      </w:r>
    </w:p>
    <w:p w:rsidR="00DB2452" w:rsidRPr="00DB2452" w:rsidRDefault="00DB2452" w:rsidP="00894923"/>
    <w:p w:rsidR="00DB2452" w:rsidRPr="00DB2452" w:rsidRDefault="00DB2452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5637D7">
        <w:tc>
          <w:tcPr>
            <w:tcW w:w="5811" w:type="dxa"/>
          </w:tcPr>
          <w:p w:rsidR="00DB2452" w:rsidRPr="00DB2452" w:rsidRDefault="002E6AC5" w:rsidP="00894923">
            <w:pPr>
              <w:pStyle w:val="Lgendetitre"/>
            </w:pPr>
            <w:r>
              <w:t>Tifsira tas-simboli użati</w:t>
            </w:r>
          </w:p>
        </w:tc>
      </w:tr>
      <w:tr w:rsidR="005637D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DB2452" w:rsidRPr="00DB2452" w:rsidRDefault="002E6AC5" w:rsidP="001A03FF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 xml:space="preserve">Proċedura ta’ </w:t>
            </w:r>
            <w:r>
              <w:t>konsultazzjoni</w:t>
            </w:r>
          </w:p>
          <w:p w:rsidR="00DB2452" w:rsidRPr="00DB2452" w:rsidRDefault="002E6AC5" w:rsidP="001A03FF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:rsidR="00DB2452" w:rsidRPr="00DB2452" w:rsidRDefault="002E6AC5" w:rsidP="001A03FF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DB2452" w:rsidRPr="00DB2452" w:rsidRDefault="002E6AC5" w:rsidP="001A03FF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:rsidR="00DB2452" w:rsidRPr="00DB2452" w:rsidRDefault="002E6AC5" w:rsidP="001A03FF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:rsidR="00DB2452" w:rsidRPr="00DB2452" w:rsidRDefault="00DB2452" w:rsidP="001A03FF">
            <w:pPr>
              <w:pStyle w:val="Lgendestandard"/>
            </w:pPr>
          </w:p>
          <w:p w:rsidR="00DB2452" w:rsidRPr="00DB2452" w:rsidRDefault="002E6AC5" w:rsidP="001A03FF">
            <w:pPr>
              <w:pStyle w:val="Lgendestandard"/>
            </w:pPr>
            <w:r>
              <w:t>(It-tip ta’ proċedura jiddependi mill-b</w:t>
            </w:r>
            <w:r>
              <w:t>ażi ġuridika proposta mill-abbozz ta’ att.)</w:t>
            </w:r>
          </w:p>
          <w:p w:rsidR="00DB2452" w:rsidRPr="00DB2452" w:rsidRDefault="00DB2452" w:rsidP="007F43F3">
            <w:pPr>
              <w:pStyle w:val="Lgendestandard"/>
            </w:pPr>
          </w:p>
        </w:tc>
      </w:tr>
    </w:tbl>
    <w:p w:rsidR="00DB2452" w:rsidRPr="00DB2452" w:rsidRDefault="00DB2452" w:rsidP="00894923"/>
    <w:p w:rsidR="00DB2452" w:rsidRPr="00DB2452" w:rsidRDefault="00DB2452" w:rsidP="00894923"/>
    <w:p w:rsidR="00DB2452" w:rsidRPr="00DB2452" w:rsidRDefault="00DB2452" w:rsidP="00894923"/>
    <w:p w:rsidR="00DB2452" w:rsidRPr="00DB2452" w:rsidRDefault="00DB2452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5637D7">
        <w:tc>
          <w:tcPr>
            <w:tcW w:w="5811" w:type="dxa"/>
          </w:tcPr>
          <w:p w:rsidR="00DB2452" w:rsidRPr="00DB2452" w:rsidRDefault="002E6AC5" w:rsidP="00894923">
            <w:pPr>
              <w:pStyle w:val="Lgendetitre"/>
            </w:pPr>
            <w:r>
              <w:t>Emendi għal abbozz ta’ att</w:t>
            </w:r>
          </w:p>
        </w:tc>
      </w:tr>
      <w:tr w:rsidR="005637D7" w:rsidTr="0094769F">
        <w:trPr>
          <w:trHeight w:val="4638"/>
        </w:trPr>
        <w:tc>
          <w:tcPr>
            <w:tcW w:w="5811" w:type="dxa"/>
          </w:tcPr>
          <w:p w:rsidR="00DB2452" w:rsidRPr="00DB2452" w:rsidRDefault="002E6AC5" w:rsidP="007F43F3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DB2452" w:rsidRPr="00DB2452" w:rsidRDefault="00DB2452" w:rsidP="007F43F3">
            <w:pPr>
              <w:pStyle w:val="Lgendestandard"/>
              <w:rPr>
                <w:szCs w:val="24"/>
              </w:rPr>
            </w:pPr>
          </w:p>
          <w:p w:rsidR="00DB2452" w:rsidRPr="00DB2452" w:rsidRDefault="002E6AC5" w:rsidP="007F43F3">
            <w:pPr>
              <w:pStyle w:val="Lgendestandard"/>
              <w:rPr>
                <w:szCs w:val="24"/>
              </w:rPr>
            </w:pPr>
            <w:r>
              <w:t>It-tħassir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tax-xellug. Is-sostituzzjoni hija indikata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fiż-żewġ kolonni. It-test ġdid huwa indikat permezz tat-tipa</w:t>
            </w:r>
            <w:r>
              <w:rPr>
                <w:b/>
                <w:i/>
              </w:rPr>
              <w:t xml:space="preserve"> korsiva u grassa</w:t>
            </w:r>
            <w:r>
              <w:t xml:space="preserve"> fil-kolonna tal-lemin.</w:t>
            </w:r>
          </w:p>
          <w:p w:rsidR="00DB2452" w:rsidRPr="00DB2452" w:rsidRDefault="00DB2452" w:rsidP="007F43F3">
            <w:pPr>
              <w:pStyle w:val="Lgendestandard"/>
              <w:rPr>
                <w:szCs w:val="24"/>
              </w:rPr>
            </w:pPr>
          </w:p>
          <w:p w:rsidR="00DB2452" w:rsidRPr="00DB2452" w:rsidRDefault="002E6AC5" w:rsidP="007F43F3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jidentifikaw il-parti tat-test ikkonċernata fl-abbozz ta’ att inkwistjoni. Meta </w:t>
            </w:r>
            <w:r>
              <w:t xml:space="preserve">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:rsidR="00DB2452" w:rsidRPr="00DB2452" w:rsidRDefault="00DB2452" w:rsidP="007F43F3">
            <w:pPr>
              <w:pStyle w:val="Lgendestandard"/>
              <w:rPr>
                <w:szCs w:val="24"/>
              </w:rPr>
            </w:pPr>
          </w:p>
          <w:p w:rsidR="00DB2452" w:rsidRPr="00DB2452" w:rsidRDefault="002E6AC5" w:rsidP="007F43F3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</w:t>
            </w:r>
            <w:r>
              <w:rPr>
                <w:b/>
              </w:rPr>
              <w:t>ħdu l-forma ta’ test konsolidat</w:t>
            </w:r>
          </w:p>
          <w:p w:rsidR="00DB2452" w:rsidRPr="00DB2452" w:rsidRDefault="00DB2452" w:rsidP="007F43F3">
            <w:pPr>
              <w:pStyle w:val="Lgendestandard"/>
              <w:rPr>
                <w:szCs w:val="24"/>
              </w:rPr>
            </w:pPr>
          </w:p>
          <w:p w:rsidR="00DB2452" w:rsidRPr="00DB2452" w:rsidRDefault="002E6AC5" w:rsidP="007F43F3">
            <w:pPr>
              <w:pStyle w:val="Lgendestandard"/>
              <w:rPr>
                <w:szCs w:val="24"/>
              </w:rPr>
            </w:pPr>
            <w:r>
              <w:t>Il-partijiet ġodda tat-test huma indikati permezz tat-tipa</w:t>
            </w:r>
            <w:r>
              <w:rPr>
                <w:b/>
                <w:i/>
              </w:rPr>
              <w:t xml:space="preserve"> korsiva u grassa.</w:t>
            </w:r>
            <w:r>
              <w:t xml:space="preserve"> Il-partijiet imħassra tat-test huma indikati permezz tas-simbolu ▌ jew huma ingassati. Is-sostituzzjoni tintwera billi jiġi indikat permezz tat-ti</w:t>
            </w:r>
            <w:r>
              <w:t>pa</w:t>
            </w:r>
            <w:r>
              <w:rPr>
                <w:b/>
                <w:i/>
              </w:rPr>
              <w:t xml:space="preserve"> korsiva u grassa</w:t>
            </w:r>
            <w:r>
              <w:t xml:space="preserve"> t-test il-ġdid u billi jitħassar jew jiġi ingassat it-test sostitwit. </w:t>
            </w:r>
          </w:p>
          <w:p w:rsidR="00DB2452" w:rsidRPr="00DB2452" w:rsidRDefault="002E6AC5" w:rsidP="007F43F3">
            <w:pPr>
              <w:pStyle w:val="Lgendestandard"/>
            </w:pPr>
            <w:r>
              <w:tab/>
              <w:t>Bħala eċċezzjoni, it-tibdil ta’ natura strettament teknika magħmul mis-servizzi fil-preparazzjoni tat-test finali mhuwiex indikat.</w:t>
            </w:r>
          </w:p>
          <w:p w:rsidR="00DB2452" w:rsidRPr="00DB2452" w:rsidRDefault="00DB2452" w:rsidP="0069092A">
            <w:pPr>
              <w:pStyle w:val="Lgendestandard"/>
            </w:pPr>
          </w:p>
        </w:tc>
      </w:tr>
    </w:tbl>
    <w:p w:rsidR="00DB2452" w:rsidRPr="00DB2452" w:rsidRDefault="00DB2452" w:rsidP="00894923"/>
    <w:p w:rsidR="00793EA9" w:rsidRPr="00DB2452" w:rsidRDefault="00793EA9" w:rsidP="00012351">
      <w:pPr>
        <w:widowControl/>
        <w:tabs>
          <w:tab w:val="center" w:pos="4677"/>
        </w:tabs>
      </w:pPr>
    </w:p>
    <w:p w:rsidR="00793EA9" w:rsidRPr="00DB2452" w:rsidRDefault="002E6AC5">
      <w:pPr>
        <w:pStyle w:val="TOCHeading"/>
      </w:pPr>
      <w:r>
        <w:br w:type="page"/>
      </w:r>
      <w:r>
        <w:lastRenderedPageBreak/>
        <w:t>WERREJ</w:t>
      </w:r>
    </w:p>
    <w:p w:rsidR="00793EA9" w:rsidRPr="00DB2452" w:rsidRDefault="002E6AC5">
      <w:pPr>
        <w:pStyle w:val="TOCPage"/>
      </w:pPr>
      <w:r>
        <w:t>Paġna</w:t>
      </w:r>
    </w:p>
    <w:p w:rsidR="002E6AC5" w:rsidRDefault="002E6AC5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DB2452">
        <w:rPr>
          <w:b/>
        </w:rPr>
        <w:fldChar w:fldCharType="begin"/>
      </w:r>
      <w:r w:rsidRPr="00DB2452">
        <w:rPr>
          <w:b/>
        </w:rPr>
        <w:instrText xml:space="preserve"> TOC \t "PageHe</w:instrText>
      </w:r>
      <w:r w:rsidRPr="00DB2452">
        <w:rPr>
          <w:b/>
        </w:rPr>
        <w:instrText>ading</w:instrText>
      </w:r>
      <w:r w:rsidR="00DB2452" w:rsidRPr="00DB2452">
        <w:rPr>
          <w:b/>
        </w:rPr>
        <w:instrText>;</w:instrText>
      </w:r>
      <w:r w:rsidRPr="00DB2452">
        <w:rPr>
          <w:b/>
        </w:rPr>
        <w:instrText xml:space="preserve">1" </w:instrText>
      </w:r>
      <w:r w:rsidRPr="00DB2452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_Toc135042731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346B0" w:rsidRPr="00DB2452" w:rsidRDefault="002E6AC5" w:rsidP="00C23324">
      <w:r w:rsidRPr="00DB2452">
        <w:rPr>
          <w:b/>
        </w:rPr>
        <w:fldChar w:fldCharType="end"/>
      </w:r>
    </w:p>
    <w:p w:rsidR="00793EA9" w:rsidRPr="00DB2452" w:rsidRDefault="002E6AC5">
      <w:pPr>
        <w:pStyle w:val="PageHeading"/>
      </w:pPr>
      <w:bookmarkStart w:id="0" w:name="_GoBack"/>
      <w:bookmarkEnd w:id="0"/>
      <w:r>
        <w:br w:type="page"/>
      </w:r>
      <w:r>
        <w:lastRenderedPageBreak/>
        <w:br w:type="page"/>
      </w:r>
      <w:bookmarkStart w:id="1" w:name="_Toc135042731"/>
      <w:r>
        <w:lastRenderedPageBreak/>
        <w:t>ABBOZZ TA’ RIŻOLUZZJONI LEĠIŻLATTIVA TAL-PARLAMENT EWROPEW</w:t>
      </w:r>
      <w:bookmarkEnd w:id="1"/>
    </w:p>
    <w:p w:rsidR="00DB2452" w:rsidRPr="00DB2452" w:rsidRDefault="002E6AC5" w:rsidP="00DB2452">
      <w:pPr>
        <w:pStyle w:val="NormalBold"/>
      </w:pPr>
      <w:r>
        <w:t xml:space="preserve">dwar il-proposta għal </w:t>
      </w:r>
      <w:r>
        <w:t>direttiva tal-Parlament Ewropew u tal-Kunsill dwar id-definizzjoni ta’ reati kriminali u ta’ pieni għall-ksur ta’ miżuri restrittivi tal-Unjoni</w:t>
      </w:r>
    </w:p>
    <w:p w:rsidR="00793EA9" w:rsidRPr="00DB2452" w:rsidRDefault="002E6AC5" w:rsidP="00DB2452">
      <w:pPr>
        <w:pStyle w:val="NormalBold12a"/>
      </w:pPr>
      <w:r>
        <w:t>(COM(0022)0684 – C9</w:t>
      </w:r>
      <w:r>
        <w:noBreakHyphen/>
        <w:t>0401/2022 – 2022/0398(COD))</w:t>
      </w:r>
    </w:p>
    <w:p w:rsidR="00793EA9" w:rsidRPr="00DB2452" w:rsidRDefault="002E6AC5" w:rsidP="00A910C9">
      <w:pPr>
        <w:pStyle w:val="NormalBold"/>
      </w:pPr>
      <w:r>
        <w:t>(Proċedura leġiżlattiva ordinarja: l-ewwel qari)</w:t>
      </w:r>
    </w:p>
    <w:p w:rsidR="00793EA9" w:rsidRPr="00DB2452" w:rsidRDefault="002E6AC5" w:rsidP="00A910C9">
      <w:pPr>
        <w:pStyle w:val="EPComma"/>
      </w:pPr>
      <w:r>
        <w:rPr>
          <w:i/>
        </w:rPr>
        <w:t>Il-Parlament Ew</w:t>
      </w:r>
      <w:r>
        <w:rPr>
          <w:i/>
        </w:rPr>
        <w:t>ropew</w:t>
      </w:r>
      <w:r>
        <w:t>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kkunsidra l-proposta tal-Kummissjoni lill-Parlament Ewropew u lill-Kunsill (COM(0022)0684),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kkunsidra l-Artikolu 294(2) u l-Artikolu 83(1) tat-Trattat dwar il-Funzjonament tal-Unjoni Ewropea, skont liema artikoli l-Kummissjoni pp</w:t>
      </w:r>
      <w:r>
        <w:t>reżentat il-proposta lill-Parlament (C9</w:t>
      </w:r>
      <w:r>
        <w:noBreakHyphen/>
        <w:t>0401/2022),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kkunsidra l-opinjoni tal-Kumitat Ekonomiku u Soċjali Ewropew tat-23 ta’ Marzu 2023</w:t>
      </w:r>
      <w:r>
        <w:rPr>
          <w:rStyle w:val="FootnoteReference"/>
        </w:rPr>
        <w:footnoteReference w:id="1"/>
      </w:r>
      <w:r>
        <w:t>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</w:t>
      </w:r>
      <w:r>
        <w:t>a l-Artikolu 59 tar-Regoli ta’ Proċedura tiegħu,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kkunsidra l-opinjoni tal-Kumitat għall-Baġits,</w:t>
      </w:r>
    </w:p>
    <w:p w:rsidR="00DB2452" w:rsidRPr="00DB2452" w:rsidRDefault="002E6AC5" w:rsidP="00DB2452">
      <w:pPr>
        <w:pStyle w:val="NormalHanging12a"/>
      </w:pPr>
      <w:r>
        <w:t>–</w:t>
      </w:r>
      <w:r>
        <w:tab/>
        <w:t>wara li kkunsidra r-rapport tal-Kumitat għal-Libertajiet Ċivili, il-Ġustizzja u l-Intern (A9</w:t>
      </w:r>
      <w:r>
        <w:noBreakHyphen/>
        <w:t>0000/2023),</w:t>
      </w:r>
    </w:p>
    <w:p w:rsidR="00DB2452" w:rsidRPr="00DB2452" w:rsidRDefault="002E6AC5" w:rsidP="00DB2452">
      <w:pPr>
        <w:pStyle w:val="NormalHanging12a"/>
      </w:pPr>
      <w:r>
        <w:t>1.</w:t>
      </w:r>
      <w:r>
        <w:tab/>
        <w:t>Jadotta l-pożizzjoni fl-ewwel qari li ti</w:t>
      </w:r>
      <w:r>
        <w:t>dher hawn taħt;</w:t>
      </w:r>
    </w:p>
    <w:p w:rsidR="00DB2452" w:rsidRPr="00DB2452" w:rsidRDefault="002E6AC5" w:rsidP="00DB2452">
      <w:pPr>
        <w:pStyle w:val="NormalHanging12a"/>
      </w:pPr>
      <w:r>
        <w:t xml:space="preserve">2. </w:t>
      </w:r>
      <w:r>
        <w:tab/>
        <w:t xml:space="preserve">Jitlob lill-Kummissjoni terġa’ tirreferi l-kwistjoni lill-Parlament jekk tibdel il-proposta tagħha, temendaha b’mod sustanzjali jew ikollha l-ħsieb li temendaha b’mod sustanzjali; </w:t>
      </w:r>
    </w:p>
    <w:p w:rsidR="00DB2452" w:rsidRPr="00DB2452" w:rsidRDefault="002E6AC5" w:rsidP="00DB2452">
      <w:pPr>
        <w:pStyle w:val="NormalHanging12a"/>
      </w:pPr>
      <w:r>
        <w:t xml:space="preserve">3. </w:t>
      </w:r>
      <w:r>
        <w:tab/>
        <w:t>Jagħti istruzzjonijiet lill-President tiegħu biex t</w:t>
      </w:r>
      <w:r>
        <w:t>għaddi l-pożizzjoni tal-Parlament lill-Kunsill u lill-Kummissjoni kif ukoll lill-parlamenti nazzjonali.</w:t>
      </w:r>
    </w:p>
    <w:p w:rsidR="00DB2452" w:rsidRPr="00DB2452" w:rsidRDefault="00DB2452" w:rsidP="00DB2452">
      <w:pPr>
        <w:pStyle w:val="NormalHanging12a"/>
      </w:pP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&lt;RepeatBlock-Amend&gt;&lt;Amend&gt;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Premessa 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(4)</w:t>
            </w:r>
            <w:r>
              <w:tab/>
              <w:t>L-applikazzjoni effettiva tal-miżuri restrittivi tal-Unjoni titlob definizzjonijiet kriminali komuni ta’ mġiba li tikser il-miżuri restrittivi tal-Unjoni. L-Istati Membri jenħtieġ li jiżguraw li din l-imġiba tikkostitwixxi reat</w:t>
            </w:r>
            <w:r>
              <w:t xml:space="preserve"> kriminali meta jitwettaq b’intenzjoni kif ukoll b’negliġenza </w:t>
            </w:r>
            <w:r>
              <w:rPr>
                <w:b/>
                <w:bCs/>
                <w:i/>
                <w:iCs/>
              </w:rPr>
              <w:t>serja</w:t>
            </w:r>
            <w:r>
              <w:t>, f’każ li l-persuna fiżika jew ġuridika tkun taf jew kellha tkun taf, li l-imġiba tagħha tikser il-miżuri restrittivi tal-Unjoni.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(4)</w:t>
            </w:r>
            <w:r>
              <w:tab/>
              <w:t>L-applikazzjoni effettiva tal-miżuri restrittivi tal-U</w:t>
            </w:r>
            <w:r>
              <w:t>njoni titlob definizzjonijiet kriminali komuni ta’ mġiba li tikser il-miżuri restrittivi tal-Unjoni. L-Istati Membri jenħtieġ li jiżguraw li din l-imġiba tikkostitwixxi reat kriminali meta jitwettaq b’intenzjoni kif ukoll b’negliġenza, f’każ li l-persuna f</w:t>
            </w:r>
            <w:r>
              <w:t>iżika jew ġuridika tkun taf jew kellha tkun taf, li l-imġiba tagħha tikser il-miżuri restrittivi tal-Unjoni.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Premessa 7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(7)</w:t>
            </w:r>
            <w:r>
              <w:tab/>
              <w:t xml:space="preserve">Jenħtieġ li l-professjonisti legali, kif definiti mill-Istati Membri, ikunu soġġetti għal din id-Direttiva, inkluż l-obbligu li jirrapportaw il-ksur tal-miżuri restrittivi tal-Unjoni, meta jipprovdu </w:t>
            </w:r>
            <w:r>
              <w:t>servizzi fil-kuntest ta’ attivitajiet professjonali, bħal servizzi legali, finanzjarji u kummerċjali. L-esperjenza turi li hemm riskju ċar li s-servizzi ta’ dawk il-professjonisti legali jintużaw ħażin għall-fini ta’ ksur tal-miżuri restrittivi tal-Unjoni.</w:t>
            </w:r>
            <w:r>
              <w:t xml:space="preserve"> Madankollu, jenħtieġ li jkun hemm eżenzjonijiet minn kwalunkwe obbligu li tiġi rrapportata informazzjoni li tinkiseb b’rabta stretta ma’ proċedimenti ġudizzjarji, amministrattivi jew arbitrali, kemm jekk qabel, matul jew wara l-proċedimenti ġudizzjarji, j</w:t>
            </w:r>
            <w:r>
              <w:t>ew matul l-aċċertar tal-pożizzjoni legali ta’ klijent. Għalhekk, jenħtieġ li l-parir legali f’dawk iċ-ċirkostanzi jibqa’ soġġett għall-obbligu tas-segretezza professjonali, ħlief meta l-professjonist legali jkun qed jieħu sehem fil-ksur tal-miżuri restritt</w:t>
            </w:r>
            <w:r>
              <w:t xml:space="preserve">ivi tal-Unjoni, il-parir legali jiġi pprovdut għall-finijiet ta’ </w:t>
            </w:r>
            <w:r>
              <w:lastRenderedPageBreak/>
              <w:t>ksur tal-miżuri restrittivi tal-Unjoni, jew il-professjonist legali jkun jaf li l-klijent qiegħed ifittex parir legali għall-finijiet ta’ ksur tal-miżuri restrittivi tal-Unjoni. L-għarfien ji</w:t>
            </w:r>
            <w:r>
              <w:t>sta’ jiġu dedott minn ċirkostanzi fattwali u oġġettivi.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lastRenderedPageBreak/>
              <w:t>(7)</w:t>
            </w:r>
            <w:r>
              <w:tab/>
              <w:t>Jenħtieġ li l-professjonisti legali, kif definiti mill-Istati Membri, ikunu soġġetti għal din id-Direttiva, inkluż l-obbligu li jirrapportaw il-ksur tal-miżuri restrittivi tal-Unjoni, meta jipprov</w:t>
            </w:r>
            <w:r>
              <w:t>du servizzi fil-kuntest ta’ attivitajiet professjonali, bħal servizzi legali, finanzjarji u kummerċjali. L-esperjenza turi li hemm riskju ċar li s-servizzi ta’ dawk il-professjonisti legali jintużaw ħażin għall-fini ta’ ksur tal-miżuri restrittivi tal-Unjo</w:t>
            </w:r>
            <w:r>
              <w:t>ni. Madankollu, jenħtieġ li jkun hemm eżenzjonijiet minn kwalunkwe obbligu li tiġi rrapportata informazzjoni li tinkiseb b’rabta stretta ma’ proċedimenti ġudizzjarji, amministrattivi jew arbitrali, kemm jekk qabel, matul jew wara l-proċedimenti ġudizzjarji</w:t>
            </w:r>
            <w:r>
              <w:t>, jew matul l-aċċertar tal-pożizzjoni legali ta’ klijent. Għalhekk, jenħtieġ li l-parir legali f’dawk iċ-ċirkostanzi jibqa’ soġġett għall-obbligu tas-segretezza professjonali, ħlief meta l-professjonist legali jkun qed jieħu sehem fil-ksur tal-miżuri restr</w:t>
            </w:r>
            <w:r>
              <w:t xml:space="preserve">ittivi tal-Unjoni, il-parir legali jiġi pprovdut għall-finijiet ta’ </w:t>
            </w:r>
            <w:r>
              <w:lastRenderedPageBreak/>
              <w:t xml:space="preserve">ksur tal-miżuri restrittivi tal-Unjoni, jew il-professjonist legali jkun jaf </w:t>
            </w:r>
            <w:r>
              <w:rPr>
                <w:b/>
                <w:bCs/>
                <w:i/>
                <w:iCs/>
              </w:rPr>
              <w:t>jew ikollu raġunijiet biex jemmen</w:t>
            </w:r>
            <w:r>
              <w:t xml:space="preserve"> li l-klijent qiegħed ifittex parir legali għall-finijiet ta’ ksur tal-miżuri </w:t>
            </w:r>
            <w:r>
              <w:t>restrittivi tal-Unjoni. L-għarfien jista’ jiġu dedott minn ċirkostanzi fattwali u oġġettivi.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Premessa 11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(11)</w:t>
            </w:r>
            <w:r>
              <w:tab/>
              <w:t>Minħabba li l-persuni ġuridiċi huma wkoll soġġetti għal miżuri restrittivi tal-Unjoni, jenħtieġ li l-persuni ġuridiċi jinżammu responsabbli b’mod kriminali wkoll għal reati relatati mal-ksur tal-miżuri restrittivi tal-</w:t>
            </w:r>
            <w:r>
              <w:t>Unjoni skont din id-Direttiva. L-Istati Membri li l-liġi nazzjonali tagħhom ma tipprevedix ir-responsabbiltà kriminali tal-persuni ġuridiċi jenħtieġ li jiżguraw li s-sistemi ta’ sanzjonar amministrattivi tagħhom jipprevedu tipi u livelli ta’</w:t>
            </w:r>
            <w:r>
              <w:rPr>
                <w:b/>
                <w:bCs/>
                <w:i/>
                <w:iCs/>
              </w:rPr>
              <w:t xml:space="preserve"> pieni</w:t>
            </w:r>
            <w:r>
              <w:t xml:space="preserve"> effettiv</w:t>
            </w:r>
            <w:r>
              <w:t>i, dissważivi u proporzjonati.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(11)</w:t>
            </w:r>
            <w:r>
              <w:tab/>
              <w:t>Minħabba li l-persuni ġuridiċi huma wkoll soġġetti għal miżuri restrittivi tal-Unjoni, jenħtieġ li l-persuni ġuridiċi jinżammu responsabbli b’mod kriminali wkoll għal reati relatati mal-ksur tal-miżuri restrittivi tal-Un</w:t>
            </w:r>
            <w:r>
              <w:t>joni skont din id-Direttiva. L-Istati Membri li l-liġi nazzjonali tagħhom ma tipprevedix ir-responsabbiltà kriminali tal-persuni ġuridiċi jenħtieġ li jiżguraw li s-sistemi ta’ sanzjonar amministrattivi tagħhom jipprevedu tipi u livelli ta’</w:t>
            </w:r>
            <w:r>
              <w:rPr>
                <w:b/>
                <w:bCs/>
                <w:i/>
                <w:iCs/>
              </w:rPr>
              <w:t xml:space="preserve"> sanzjonijiet</w:t>
            </w:r>
            <w:r>
              <w:t xml:space="preserve"> eff</w:t>
            </w:r>
            <w:r>
              <w:t>ettivi, dissważivi u proporzjonati.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Premessa 12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(12)</w:t>
            </w:r>
            <w:r>
              <w:tab/>
              <w:t xml:space="preserve">Jenħtieġ li jitrawmu </w:t>
            </w:r>
            <w:r>
              <w:t>approssimazzjoni u effettività ulterjuri tal-livelli ta’ pieni imposti fil-prattika permezz ta’ ċirkostanzi aggravanti komuni li jirriflettu s-severità tar-reat imwettaq. Il-</w:t>
            </w:r>
            <w:r>
              <w:lastRenderedPageBreak/>
              <w:t>kunċett ta’ ċirkostanzi aggravanti għandu jinftiehem jew bħala fatti li jippermett</w:t>
            </w:r>
            <w:r>
              <w:t>u lill-imħallef nazzjonali jew lill-qorti jagħtu sentenza ogħla għall-istess reat minn dik riċevuta mingħajr dawn il-fatti, jew bħala l-possibbiltà li jinżammu diversi reati b’mod kumulattiv sabiex jiżdied il-livell tal-piena. L-Istati Membri jenħtieġ li j</w:t>
            </w:r>
            <w:r>
              <w:t xml:space="preserve">ipprevedu l-possibbiltà ta’ </w:t>
            </w:r>
            <w:r>
              <w:rPr>
                <w:b/>
                <w:bCs/>
                <w:i/>
                <w:iCs/>
              </w:rPr>
              <w:t>mill-inqas waħda minn dawn iċ-ċirkostanzi</w:t>
            </w:r>
            <w:r>
              <w:t xml:space="preserve"> aggravanti f’konformità mar-regoli applikabbli stabbiliti mis-sistema legali tagħhom dwar ċirkostanzi aggravanti. Fi kwalunkwe każ, jenħtieġ li jibqa’ fid-diskrezzjoni tal-imħallef jew t</w:t>
            </w:r>
            <w:r>
              <w:t>al-qorti li jiddetermina jekk għandhiex tiżdied is-sentenza, filwaqt li jitqiesu ċ-ċirkostanzi kollha tal-kawża individwali.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lastRenderedPageBreak/>
              <w:t>(12)</w:t>
            </w:r>
            <w:r>
              <w:tab/>
              <w:t>Jenħtieġ li jitrawmu approssimazzjoni u effettività ulterjuri tal-livelli ta’ pieni imposti fil-prattika permezz ta’ ċirkostan</w:t>
            </w:r>
            <w:r>
              <w:t>zi aggravanti komuni li jirriflettu s-severità tar-reat imwettaq. Il-</w:t>
            </w:r>
            <w:r>
              <w:lastRenderedPageBreak/>
              <w:t>kunċett ta’ ċirkostanzi aggravanti għandu jinftiehem jew bħala fatti li jippermettu lill-imħallef nazzjonali jew lill-qorti jagħtu sentenza ogħla għall-istess reat minn dik riċevuta mingħ</w:t>
            </w:r>
            <w:r>
              <w:t xml:space="preserve">ajr dawn il-fatti, jew bħala l-possibbiltà li jinżammu diversi reati b’mod kumulattiv sabiex jiżdied il-livell tal-piena. L-Istati Membri jenħtieġ li jipprevedu l-possibbiltà ta’ </w:t>
            </w:r>
            <w:r>
              <w:rPr>
                <w:b/>
                <w:bCs/>
                <w:i/>
                <w:iCs/>
              </w:rPr>
              <w:t>ċirkostanzi</w:t>
            </w:r>
            <w:r>
              <w:t xml:space="preserve"> aggravanti f’konformità mar-regoli applikabbli stabbiliti mis-sis</w:t>
            </w:r>
            <w:r>
              <w:t>tema legali tagħhom dwar ċirkostanzi aggravanti. Fi kwalunkwe każ, jenħtieġ li jibqa’ fid-diskrezzjoni tal-imħallef jew tal-qorti li jiddetermina jekk għandhiex tiżdied is-sentenza, filwaqt li jitqiesu ċ-ċirkostanzi kollha tal-kawża individwali.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</w:t>
      </w:r>
      <w:r w:rsidRPr="00DB2452">
        <w:rPr>
          <w:rStyle w:val="HideTWBExt"/>
          <w:noProof w:val="0"/>
        </w:rPr>
        <w:t>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Premessa 19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(19)</w:t>
            </w:r>
            <w:r>
              <w:tab/>
              <w:t xml:space="preserve">Sabiex jiġu żgurati l-investigazzjoni u l-prosekuzzjoni effettivi ta’ </w:t>
            </w:r>
            <w:r>
              <w:t>ksur tal-miżuri restrittivi tal-Unjoni, jenħtieġ li l-awtoritajiet kompetenti tal-Istati Membri jikkooperaw permezz tal-Europol, il-Eurojust u l-Uffiċċju tal-Prosekutur Pubbliku Ewropew (UPPE) u magħhom. Dawn l-awtoritajiet kompetenti jenħtieġ ukoll li jik</w:t>
            </w:r>
            <w:r>
              <w:t>kondividu informazzjoni bejniethom u mal-Kummissjoni dwar kwistjonijiet prattiċi.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(19)</w:t>
            </w:r>
            <w:r>
              <w:tab/>
              <w:t>Sabiex jiġu żgurati l-investigazzjoni u l-prosekuzzjoni effettivi ta’ ksur tal-miżuri restrittivi tal-Unjoni, jenħtieġ li l-awtoritajiet kompetenti tal-Istati Membri jik</w:t>
            </w:r>
            <w:r>
              <w:t xml:space="preserve">kooperaw permezz tal-Europol, il-Eurojust u l-Uffiċċju tal-Prosekutur Pubbliku Ewropew (UPPE) u magħhom. Dawn l-awtoritajiet kompetenti jenħtieġ ukoll li jikkondividu informazzjoni bejniethom u mal-Kummissjoni dwar kwistjonijiet prattiċi. </w:t>
            </w:r>
            <w:r>
              <w:rPr>
                <w:b/>
                <w:i/>
              </w:rPr>
              <w:t>Għall-finijiet ta</w:t>
            </w:r>
            <w:r>
              <w:rPr>
                <w:b/>
                <w:i/>
              </w:rPr>
              <w:t>’ din id-Direttiva, u minkejja estensjoni possibbli tal-kompetenza tal-UPPE, l-istituzzjonijiet, il-korpi, l-uffiċċji u l-aġenziji tal-Unjoni u l-awtoritajiet tal-Istati Membri li jipparteċipaw f’kooperazzjoni msaħħa dwar l-istabbiliment tal-UPPE, jenħtieġ</w:t>
            </w:r>
            <w:r>
              <w:rPr>
                <w:b/>
                <w:i/>
              </w:rPr>
              <w:t xml:space="preserve"> li jikkooperaw mill-qrib mal-livelli ċentrali </w:t>
            </w:r>
            <w:r>
              <w:rPr>
                <w:b/>
                <w:i/>
              </w:rPr>
              <w:lastRenderedPageBreak/>
              <w:t>u deċentralizzati tal-UPPE. Jenħtieġ li, b’mod partikolari, jissodisfaw l-obbligi ta’ rapportar skont ir-Regolament (UE) 2017/1939, inkluż fejn l-UPPE jkun kompetenti fir-rigward ta’ reati kriminali għall-ksur</w:t>
            </w:r>
            <w:r>
              <w:rPr>
                <w:b/>
                <w:i/>
              </w:rPr>
              <w:t xml:space="preserve"> ta’ miżuri restrittivi tal-Unjoni minħabba li jikkostitwixxu reati rigward il-parteċipazzjoni f’organizzazzjoni kriminali jew reati kriminali marbuta b’mod inseparabbli mar-reati msemmija fl-Artikolu 22(2) u (3) tar-Regolament (UE) 2017/1939.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2 – titolu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Kamp ta’ applikazzjoni</w:t>
            </w:r>
            <w:r>
              <w:rPr>
                <w:b/>
                <w:bCs/>
                <w:i/>
                <w:iCs/>
              </w:rPr>
              <w:t xml:space="preserve"> u definizzjonijiet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 xml:space="preserve">Kamp ta’ </w:t>
            </w:r>
            <w:r>
              <w:t>applikazzjoni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DB2452" w:rsidRPr="00DB2452" w:rsidRDefault="002E6AC5" w:rsidP="00DB2452">
      <w:pPr>
        <w:pStyle w:val="Normal12Italic"/>
        <w:rPr>
          <w:noProof w:val="0"/>
        </w:rPr>
      </w:pPr>
      <w:r>
        <w:t>Artikoli separati għall-kamp ta’ applikazzjoni u d-definizzjonijiet.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2a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 2a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Definizzjonijiet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Ġustifikazzjoni</w:t>
      </w:r>
      <w:r>
        <w:rPr>
          <w:rStyle w:val="HideTWBExt"/>
          <w:i w:val="0"/>
        </w:rPr>
        <w:t>&lt;/TitreJust&gt;</w:t>
      </w:r>
    </w:p>
    <w:p w:rsidR="00DB2452" w:rsidRPr="00DB2452" w:rsidRDefault="002E6AC5" w:rsidP="00DB2452">
      <w:pPr>
        <w:pStyle w:val="Normal12Italic"/>
        <w:rPr>
          <w:noProof w:val="0"/>
        </w:rPr>
      </w:pPr>
      <w:r>
        <w:t>Artikoli separati għall-kamp ta’ applikazzjoni u d-definizzjonijiet.</w:t>
      </w:r>
    </w:p>
    <w:p w:rsidR="00DB2452" w:rsidRPr="00DB2452" w:rsidRDefault="002E6AC5" w:rsidP="00DB2452">
      <w:r>
        <w:rPr>
          <w:rStyle w:val="HideTWBExt"/>
        </w:rPr>
        <w:lastRenderedPageBreak/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3 – paragrafu 1 – punt h – punt i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(i)</w:t>
            </w:r>
            <w:r>
              <w:tab/>
            </w:r>
            <w:r>
              <w:rPr>
                <w:b/>
                <w:bCs/>
                <w:i/>
                <w:iCs/>
              </w:rPr>
              <w:t>il-ħabi</w:t>
            </w:r>
            <w:r>
              <w:t xml:space="preserve"> ta’ fondi jew ta’ riżorsi ekonomiċi li huma proprjetà </w:t>
            </w:r>
            <w:r>
              <w:rPr>
                <w:b/>
                <w:bCs/>
                <w:i/>
                <w:iCs/>
              </w:rPr>
              <w:t>ta’persuna</w:t>
            </w:r>
            <w:r>
              <w:t xml:space="preserve">, entità jew korp deżinjati, miżmuma jew ikkontrollati minnhom , li jenħtieġ li jiġu ffriżati f’konformità ma’ miżura restrittiva tal-Unjoni, </w:t>
            </w:r>
            <w:r>
              <w:rPr>
                <w:b/>
                <w:bCs/>
                <w:i/>
                <w:iCs/>
              </w:rPr>
              <w:t>bit-trasferiment</w:t>
            </w:r>
            <w:r>
              <w:t xml:space="preserve"> ta’ dawk il-fondi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jew ta’ riżorsi ekonomiċi </w:t>
            </w:r>
            <w:r>
              <w:rPr>
                <w:b/>
                <w:bCs/>
                <w:i/>
                <w:iCs/>
              </w:rPr>
              <w:t>lil</w:t>
            </w:r>
            <w:r>
              <w:t xml:space="preserve"> parti terza;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(i)</w:t>
            </w:r>
            <w:r>
              <w:tab/>
            </w:r>
            <w:r>
              <w:rPr>
                <w:b/>
                <w:bCs/>
                <w:i/>
                <w:iCs/>
              </w:rPr>
              <w:t>il-moviment, it-trasferiment, l</w:t>
            </w:r>
            <w:r>
              <w:rPr>
                <w:b/>
                <w:bCs/>
                <w:i/>
                <w:iCs/>
              </w:rPr>
              <w:t>-alterazzjoni, l-użu, l-aċċessar, l-immaniġġjar, il-bejgħ, il-kiri ta’, jew il-kostituzzjoni ta’ garanziji fuq,</w:t>
            </w:r>
            <w:r>
              <w:t xml:space="preserve"> fondi jew ta’ riżorsi ekonomiċi li huma proprjetà </w:t>
            </w:r>
            <w:r>
              <w:rPr>
                <w:b/>
                <w:bCs/>
                <w:i/>
                <w:iCs/>
              </w:rPr>
              <w:t>ta’ persuna</w:t>
            </w:r>
            <w:r>
              <w:t>, entità jew korp deżinjati, miżmuma jew ikkontrollati minnhom, li jenħtieġ li jiġu</w:t>
            </w:r>
            <w:r>
              <w:t xml:space="preserve"> ffriżati f’konformità ma’ miżura restrittiva tal-Unjoni, </w:t>
            </w:r>
            <w:r>
              <w:rPr>
                <w:b/>
                <w:bCs/>
                <w:i/>
                <w:iCs/>
              </w:rPr>
              <w:t>b’mod li jirriżulta f’bidla fil-volum, l-ammont, il-lokazzjoni, is-sjieda, il-pussess, il-karattru jew id-destinazzjoni</w:t>
            </w:r>
            <w:r>
              <w:t xml:space="preserve"> ta’ dawk il-fondi jew ta’ riżorsi ekonomiċi </w:t>
            </w:r>
            <w:r>
              <w:rPr>
                <w:b/>
                <w:bCs/>
                <w:i/>
                <w:iCs/>
              </w:rPr>
              <w:t>jew kwalunkwe bidla oħra li tipper</w:t>
            </w:r>
            <w:r>
              <w:rPr>
                <w:b/>
                <w:bCs/>
                <w:i/>
                <w:iCs/>
              </w:rPr>
              <w:t>metti li dawk il-fondi u r-riżorsi jintużaw, inkluż minn</w:t>
            </w:r>
            <w:r>
              <w:t xml:space="preserve"> parti terza </w:t>
            </w:r>
            <w:r>
              <w:rPr>
                <w:b/>
                <w:bCs/>
                <w:i/>
                <w:iCs/>
              </w:rPr>
              <w:t>jew permezz ta’ ġestjoni tal-portafolji</w:t>
            </w:r>
            <w:r>
              <w:t>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3 – parag</w:t>
      </w:r>
      <w:r>
        <w:t>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(3)</w:t>
            </w:r>
            <w:r>
              <w:tab/>
              <w:t xml:space="preserve">L-imġiba msemmija fil-paragrafu 2, il-punti (a) sa (g) għandha tikkostitwixxi reat kriminali anke jekk titwettaq b’negliġenza </w:t>
            </w:r>
            <w:r>
              <w:rPr>
                <w:b/>
                <w:bCs/>
                <w:i/>
                <w:iCs/>
              </w:rPr>
              <w:t>serja</w:t>
            </w:r>
            <w:r>
              <w:t>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(3)</w:t>
            </w:r>
            <w:r>
              <w:tab/>
              <w:t xml:space="preserve">L-imġiba msemmija fil-paragrafu 2, il-punti (a) sa (g) </w:t>
            </w:r>
            <w:r>
              <w:t>għandha tikkostitwixxi reat kriminali anke jekk titwettaq b’negliġenza.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3 – paragrafu 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(5)</w:t>
            </w:r>
            <w:r>
              <w:tab/>
              <w:t>Xejn fil-paragrafu 2 ma għandu jinftiehem li jimponi obbligu fuq il-professjonisti legali li jirrapportaw informazzjoni li tinkiseb b’rabta stretta mal-proċedimenti ġudizzjarji, amministrattivi jew arbitrali, kemm jekk qabel, m</w:t>
            </w:r>
            <w:r>
              <w:t>atul jew wara l-proċedimenti ġudizzjarji, jew matul l-aċċertar tal-pożizzjoni legali ta’ klijent. Il-parir legali f’dawk iċ-ċirkostanzi għandu jkun protett mis-segretezza professjonali, ħlief meta l-professjonist legali jkun qed jieħu sehem fil-ksur tal-mi</w:t>
            </w:r>
            <w:r>
              <w:t>żuri restrittivi tal-Unjoni, il-parir legali jiġi pprovdut għall-finijiet ta’ ksur ta’ miżuri restrittivi tal-Unjoni, jew il-professjonist legali jkun jaf li l-klijent qed ifittex parir legali għall-finijiet ta’ ksur tal-miżuri restrittivi tal-Unjoni.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(5)</w:t>
            </w:r>
            <w:r>
              <w:tab/>
            </w:r>
            <w:r>
              <w:t xml:space="preserve">Xejn fil-paragrafu 2 ma għandu jinftiehem li jimponi obbligu fuq il-professjonisti legali li jirrapportaw informazzjoni li tinkiseb b’rabta stretta mal-proċedimenti ġudizzjarji, amministrattivi jew arbitrali, kemm jekk qabel, matul jew wara l-proċedimenti </w:t>
            </w:r>
            <w:r>
              <w:t xml:space="preserve">ġudizzjarji, jew matul l-aċċertar tal-pożizzjoni legali ta’ klijent. Il-parir legali f’dawk iċ-ċirkostanzi għandu jkun protett mis-segretezza professjonali, ħlief meta l-professjonist legali jkun qed jieħu sehem fil-ksur tal-miżuri restrittivi tal-Unjoni, </w:t>
            </w:r>
            <w:r>
              <w:t>il-parir legali jiġi pprovdut għall-finijiet ta’ ksur ta’ miżuri restrittivi tal-Unjoni, jew il-professjonist legali jkun jaf</w:t>
            </w:r>
            <w:r>
              <w:rPr>
                <w:b/>
                <w:bCs/>
                <w:i/>
                <w:iCs/>
              </w:rPr>
              <w:t xml:space="preserve"> jew ikollu raġunijiet biex jemmen</w:t>
            </w:r>
            <w:r>
              <w:t xml:space="preserve"> li l-klijent qed ifittex parir legali għall-finijiet ta’ ksur tal-miżuri restrittivi tal-Unjoni.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5 – paragrafu 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(3)</w:t>
            </w:r>
            <w:r>
              <w:tab/>
            </w:r>
            <w:r>
              <w:t xml:space="preserve">L-Istati Membri għandhom jadottaw il-miżuri neċessarji sabiex jiżguraw li r-reati kriminali msemmija </w:t>
            </w:r>
            <w:r>
              <w:rPr>
                <w:b/>
                <w:bCs/>
                <w:i/>
                <w:iCs/>
              </w:rPr>
              <w:t>fl-Artikolu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3(2), fil-punti (h)(iii), (iv) u (v),</w:t>
            </w:r>
            <w:r>
              <w:t xml:space="preserve"> ikunu punibbli b’piena massima ta’ mill-inqas </w:t>
            </w:r>
            <w:r>
              <w:rPr>
                <w:b/>
                <w:bCs/>
                <w:i/>
                <w:iCs/>
              </w:rPr>
              <w:t>sena</w:t>
            </w:r>
            <w:r>
              <w:t xml:space="preserve"> priġunerija meta jinvolvu fondi jew riżorsi ekonomiċi </w:t>
            </w:r>
            <w:r>
              <w:t>ta’ valur ta’ mill-inqas EUR 100 000. L-Istati Membri għandhom jiżguraw li l-limitu ta’ EUR 100 000 jew aktar jista’ jintlaħaq ukoll permezz ta’ serje ta’ reati marbuta msemmija fl-</w:t>
            </w:r>
            <w:r>
              <w:lastRenderedPageBreak/>
              <w:t>Artikolu 3(2)</w:t>
            </w:r>
            <w:r>
              <w:rPr>
                <w:b/>
                <w:bCs/>
                <w:i/>
                <w:iCs/>
              </w:rPr>
              <w:t>, il-punti (h)(iii), (iv) u (v),</w:t>
            </w:r>
            <w:r>
              <w:t xml:space="preserve"> meta jitwettqu mill-istess aw</w:t>
            </w:r>
            <w:r>
              <w:t>tur.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lastRenderedPageBreak/>
              <w:t>(3)</w:t>
            </w:r>
            <w:r>
              <w:tab/>
              <w:t xml:space="preserve">L-Istati Membri għandhom jadottaw il-miżuri neċessarji sabiex jiżguraw li r-reati kriminali msemmija </w:t>
            </w:r>
            <w:r>
              <w:rPr>
                <w:b/>
                <w:bCs/>
                <w:i/>
                <w:iCs/>
              </w:rPr>
              <w:t>fl-Artikoli 3 u 4</w:t>
            </w:r>
            <w:r>
              <w:t xml:space="preserve"> ikunu punibbli b’piena massima ta’ mill-inqas </w:t>
            </w:r>
            <w:r>
              <w:rPr>
                <w:b/>
                <w:bCs/>
                <w:i/>
                <w:iCs/>
              </w:rPr>
              <w:t>ħames snin</w:t>
            </w:r>
            <w:r>
              <w:t xml:space="preserve"> priġunerija meta jinvolvu fondi jew riżorsi ekonomiċi ta’ valur ta’ mil</w:t>
            </w:r>
            <w:r>
              <w:t xml:space="preserve">l-inqas EUR 100 000. L-Istati Membri għandhom jiżguraw li l-limitu ta’ EUR 100 000 jew aktar jista’ jintlaħaq ukoll permezz ta’ serje ta’ reati marbuta msemmija fl-Artikolu 3(2) meta </w:t>
            </w:r>
            <w:r>
              <w:lastRenderedPageBreak/>
              <w:t>jitwettqu mill-istess awtur.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5 – paragrafu 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i/>
              </w:rPr>
              <w:t>(4)</w:t>
            </w:r>
            <w:r>
              <w:rPr>
                <w:b/>
                <w:i/>
              </w:rPr>
              <w:tab/>
              <w:t>L-Istati Membri għandhom jadottaw il-miżuri neċessarji sabiex jiżguraw li r-reati kriminal</w:t>
            </w:r>
            <w:r>
              <w:rPr>
                <w:b/>
                <w:i/>
              </w:rPr>
              <w:t>i msemmija fl-Artikolu 3(2), fil-punti (a) sa (g), (h)(i) u (ii), u l-punt (i), huma punibbli b’piena massima ta’ mill-inqas 5 snin priġunerija meta jinvolvu fondi jew riżorsi ekonomiċi ta’ valur ta’ mill-inqas EUR 100 000. L-Istati Membri għandhom jiżgura</w:t>
            </w:r>
            <w:r>
              <w:rPr>
                <w:b/>
                <w:i/>
              </w:rPr>
              <w:t>w li l-limitu ta’ EUR 100 000 jew aktar jista’ jintlaħaq ukoll permezz ta’ sensiela ta’ reati marbuta msemmija fl-Artikolu 3(2), il-punti (a) sa (g), (h)(i) u (ii), u l-punt (i), mill-istess awtur tar-reat.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5 – paragrafu 5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(5)</w:t>
            </w:r>
            <w:r>
              <w:tab/>
              <w:t>L-Istati Membri għandhom jadottaw il-miżuri neċessarji sabiex jiżguraw li l-persu</w:t>
            </w:r>
            <w:r>
              <w:t>ni fiżiċi li jkunu wettqu r-reati msemmija fl-Artikoli 3 u 4 jistgħu jkunu soġġetti għal pieni addizzjonali. Dawk il-pieni addizzjonali għandhom jinkludu multi.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(5)</w:t>
            </w:r>
            <w:r>
              <w:tab/>
              <w:t xml:space="preserve">L-Istati Membri għandhom jadottaw il-miżuri neċessarji sabiex jiżguraw li l-persuni fiżiċi </w:t>
            </w:r>
            <w:r>
              <w:t xml:space="preserve">li jkunu wettqu r-reati msemmija fl-Artikoli 3 u 4 jistgħu jkunu soġġetti għal pieni addizzjonali. Dawk il-pieni addizzjonali għandhom jinkludu multi </w:t>
            </w:r>
            <w:r>
              <w:rPr>
                <w:b/>
                <w:bCs/>
                <w:i/>
                <w:iCs/>
              </w:rPr>
              <w:t xml:space="preserve">massimi ta’ ammont ta’ mill-inqas EUR 10 000 000 meta dawk ir-reati jinvolvu fondi jew riżorsi ekonomiċi </w:t>
            </w:r>
            <w:r>
              <w:rPr>
                <w:b/>
                <w:bCs/>
                <w:i/>
                <w:iCs/>
              </w:rPr>
              <w:lastRenderedPageBreak/>
              <w:t>b</w:t>
            </w:r>
            <w:r>
              <w:rPr>
                <w:b/>
                <w:bCs/>
                <w:i/>
                <w:iCs/>
              </w:rPr>
              <w:t>’valur ta’ mill-inqas EUR 100 000</w:t>
            </w:r>
            <w:r>
              <w:t>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7 – titolu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bCs/>
                <w:i/>
                <w:iCs/>
              </w:rPr>
              <w:t>Pieni</w:t>
            </w:r>
            <w:r>
              <w:t xml:space="preserve"> għall-persuni ġuridiċi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bCs/>
                <w:i/>
                <w:iCs/>
              </w:rPr>
              <w:t>Sanzjonijiet</w:t>
            </w:r>
            <w:r>
              <w:t xml:space="preserve"> għall-persuni ġuridiċi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1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(1)</w:t>
            </w:r>
            <w:r>
              <w:tab/>
              <w:t xml:space="preserve">L-Istati Membri għandhom jadottaw il-miżuri neċessarji sabiex jiżguraw li persuna ġuridika miżmuma responsabbli skont l-Artikolu </w:t>
            </w:r>
            <w:r>
              <w:rPr>
                <w:b/>
                <w:bCs/>
                <w:i/>
                <w:iCs/>
              </w:rPr>
              <w:t>7</w:t>
            </w:r>
            <w:r>
              <w:t xml:space="preserve"> tkun soġġetta għal </w:t>
            </w:r>
            <w:r>
              <w:rPr>
                <w:b/>
                <w:bCs/>
                <w:i/>
                <w:iCs/>
              </w:rPr>
              <w:t>pieni</w:t>
            </w:r>
            <w:r>
              <w:t xml:space="preserve"> effettivi, proporzjonati u dissważivi, li għandhom jinkludu multi kriminali jew mhux kriminali, esklużjoni mill-intitolament għal benefiċċji jew għajnuna pubbliċi, esklużjoni mill-aċċess għal finanzjament pubbliku, inklużi proċeduri ta’ offerti, għotjiet </w:t>
            </w:r>
            <w:r>
              <w:t xml:space="preserve">u konċessjonijiet u jistgħu jinkludu </w:t>
            </w:r>
            <w:r>
              <w:rPr>
                <w:b/>
                <w:bCs/>
                <w:i/>
                <w:iCs/>
              </w:rPr>
              <w:t>pieni</w:t>
            </w:r>
            <w:r>
              <w:t xml:space="preserve"> oħra, bħal: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 xml:space="preserve">L-Istati Membri għandhom jadottaw il-miżuri neċessarji sabiex jiżguraw li persuna ġuridika miżmuma responsabbli skont l-Artikolu </w:t>
            </w:r>
            <w:r>
              <w:rPr>
                <w:b/>
                <w:bCs/>
                <w:i/>
                <w:iCs/>
              </w:rPr>
              <w:t>6</w:t>
            </w:r>
            <w:r>
              <w:t xml:space="preserve"> tkun soġġetta għal </w:t>
            </w:r>
            <w:r>
              <w:rPr>
                <w:b/>
                <w:bCs/>
                <w:i/>
                <w:iCs/>
              </w:rPr>
              <w:t>sanzjonijiet</w:t>
            </w:r>
            <w:r>
              <w:t xml:space="preserve"> effettivi, proporzjonati u dissważ</w:t>
            </w:r>
            <w:r>
              <w:t>ivi, li għandhom jinkludu multi kriminali jew mhux kriminali, esklużjoni mill-intitolament għal benefiċċji jew għajnuna pubbliċi, esklużjoni mill-aċċess għal finanzjament pubbliku, inklużi proċeduri ta’ offerti, għotjiet u konċessjonijiet u jistgħu jinklud</w:t>
            </w:r>
            <w:r>
              <w:t xml:space="preserve">u </w:t>
            </w:r>
            <w:r>
              <w:rPr>
                <w:b/>
                <w:bCs/>
                <w:i/>
                <w:iCs/>
              </w:rPr>
              <w:t>sanzjonijiet</w:t>
            </w:r>
            <w:r>
              <w:t xml:space="preserve"> oħra, bħal: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7 – paragrafu 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(2)</w:t>
            </w:r>
            <w:r>
              <w:tab/>
            </w:r>
            <w:r>
              <w:t xml:space="preserve">L-Istati Membri għandhom jadottaw il-miżuri neċessarji sabiex jiżguraw li għal persuni ġuridiċi miżmuma responsabbli skont l-Artikolu </w:t>
            </w:r>
            <w:r>
              <w:rPr>
                <w:b/>
                <w:bCs/>
                <w:i/>
                <w:iCs/>
              </w:rPr>
              <w:t>7</w:t>
            </w:r>
            <w:r>
              <w:t>, ir-reati kriminali msemmija fl-Artikolu 3(2)</w:t>
            </w:r>
            <w:r>
              <w:rPr>
                <w:b/>
                <w:bCs/>
                <w:i/>
                <w:iCs/>
              </w:rPr>
              <w:t>(h) (iii) sa (v),</w:t>
            </w:r>
            <w:r>
              <w:t xml:space="preserve"> ikunu punibbli b’multi, li l-limitu massimu tagħhom ma għ</w:t>
            </w:r>
            <w:r>
              <w:t xml:space="preserve">andux ikun inqas minn </w:t>
            </w:r>
            <w:r>
              <w:rPr>
                <w:b/>
                <w:bCs/>
                <w:i/>
                <w:iCs/>
              </w:rPr>
              <w:t>1</w:t>
            </w:r>
            <w:r>
              <w:t xml:space="preserve"> % tal-fatturat globali totali tal-persuna ġuridika fis-sena tan-negozju ta’ qabel id-deċiżjoni ta’ mmultar.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>L-Istati Membri għandhom jadottaw il-miżuri neċessarji sabiex jiżguraw li għal persuni ġuridiċi miżmuma responsabbli sko</w:t>
            </w:r>
            <w:r>
              <w:t xml:space="preserve">nt l-Artikolu </w:t>
            </w:r>
            <w:r>
              <w:rPr>
                <w:b/>
                <w:bCs/>
                <w:i/>
                <w:iCs/>
              </w:rPr>
              <w:t>6</w:t>
            </w:r>
            <w:r>
              <w:t xml:space="preserve">, ir-reati kriminali msemmija fl-Artikolu 3(2) ikunu punibbli b’multi, li l-limitu massimu tagħhom ma għandux ikun inqas minn </w:t>
            </w:r>
            <w:r>
              <w:rPr>
                <w:b/>
                <w:bCs/>
                <w:i/>
                <w:iCs/>
              </w:rPr>
              <w:t>15</w:t>
            </w:r>
            <w:r>
              <w:t> % tal-fatturat globali totali tal-persuna ġuridika fis-sena tan-negozju ta’ qabel id-deċiżjoni ta’ mmultar.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>Or.</w:t>
      </w:r>
      <w:r w:rsidRPr="00DB2452">
        <w:rPr>
          <w:noProof w:val="0"/>
        </w:rPr>
        <w:t xml:space="preserve">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7 – paragrafu 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i/>
              </w:rPr>
              <w:t>(3)</w:t>
            </w:r>
            <w:r>
              <w:rPr>
                <w:b/>
                <w:i/>
              </w:rPr>
              <w:tab/>
              <w:t xml:space="preserve">L-Istati Membri għandhom jieħdu l-miżuri neċessarji </w:t>
            </w:r>
            <w:r>
              <w:rPr>
                <w:b/>
                <w:i/>
              </w:rPr>
              <w:t>sabiex jiżguraw li għal persuni ġuridiċi miżmuma responsabbli skont l-Artikolu 7, ir-reati msemmija fl-Artikolu 3(2)(a) sa (f), (h)(i) u (ii), u l-punt (i), ikunu punibbli b’multi, li l-limitu massimu tagħhom ma għandux ikun inqas minn 5 % tal-fatturat glo</w:t>
            </w:r>
            <w:r>
              <w:rPr>
                <w:b/>
                <w:i/>
              </w:rPr>
              <w:t>bali totali tal-persuna ġuridika fis-sena tan-negozju ta’ qabel id-deċiżjoni ta’ mmultar.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1 – p</w:t>
      </w:r>
      <w:r>
        <w:t>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 xml:space="preserve">Sa fejn iċ-ċirkostanzi li ġejjin ma jkunux diġà jifformaw parti mill-elementi li </w:t>
            </w:r>
            <w:r>
              <w:lastRenderedPageBreak/>
              <w:t xml:space="preserve">jikkostitwixxu r-reati kriminali msemmija fl-Artikoli 3 u 4, l-Istati Membri għandhom jieħdu l-miżuri neċessarji sabiex jiżguraw li </w:t>
            </w:r>
            <w:r>
              <w:rPr>
                <w:b/>
                <w:bCs/>
                <w:i/>
                <w:iCs/>
              </w:rPr>
              <w:t>waħda jew bosta miċ-ċirkostanzi</w:t>
            </w:r>
            <w:r>
              <w:t xml:space="preserve"> li ġejjin</w:t>
            </w:r>
            <w:r>
              <w:rPr>
                <w:b/>
                <w:bCs/>
                <w:i/>
                <w:iCs/>
              </w:rPr>
              <w:t>,</w:t>
            </w:r>
            <w:r>
              <w:t xml:space="preserve"> </w:t>
            </w:r>
            <w:r>
              <w:t>jistgħu jitqiesu bħala ċirkostanzi aggravanti: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lastRenderedPageBreak/>
              <w:t xml:space="preserve">Sa fejn iċ-ċirkostanzi li ġejjin ma jkunux diġà jifformaw parti mill-elementi li </w:t>
            </w:r>
            <w:r>
              <w:lastRenderedPageBreak/>
              <w:t>jikkostitwixxu r-reati kriminali msemmija fl-Artikoli 3 u 4, l-Istati Membri għandhom jieħdu l-miżuri neċessarji sabiex jiżguraw</w:t>
            </w:r>
            <w:r>
              <w:t xml:space="preserve"> li </w:t>
            </w:r>
            <w:r>
              <w:rPr>
                <w:b/>
                <w:bCs/>
                <w:i/>
                <w:iCs/>
              </w:rPr>
              <w:t>ċ-ċirkostanzi</w:t>
            </w:r>
            <w:r>
              <w:t xml:space="preserve"> li ġejjin jistgħu jitqiesu bħala ċirkostanzi aggravanti: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8 – paragrafu 1 – punt aa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(aa)</w:t>
            </w:r>
            <w:r>
              <w:rPr>
                <w:b/>
                <w:i/>
              </w:rPr>
              <w:tab/>
              <w:t>ir-reat kien jinvolvi l-użu ta’ dokumenti foloz jew falsifikati;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 8 – </w:t>
      </w:r>
      <w:r>
        <w:t>paragrafu 1 – punt 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(b)</w:t>
            </w:r>
            <w:r>
              <w:tab/>
              <w:t xml:space="preserve">ir-reat twettaq minn fornitur ta’ servizz professjonali bi ksur tal-obbligi professjonali </w:t>
            </w:r>
            <w:r>
              <w:rPr>
                <w:b/>
                <w:bCs/>
                <w:i/>
                <w:iCs/>
              </w:rPr>
              <w:t>tiegħu</w:t>
            </w:r>
            <w:r>
              <w:t>;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</w:r>
            <w:r>
              <w:t xml:space="preserve">ir-reat twettaq minn fornitur ta’ servizz professjonali bi ksur tal-obbligi professjonali </w:t>
            </w:r>
            <w:r>
              <w:rPr>
                <w:b/>
                <w:bCs/>
                <w:i/>
                <w:iCs/>
              </w:rPr>
              <w:t>ta’ dak il-fornitur</w:t>
            </w:r>
            <w:r>
              <w:t>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 8 – </w:t>
      </w:r>
      <w:r>
        <w:t>paragrafu 1 – punt da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(da)</w:t>
            </w:r>
            <w:r>
              <w:rPr>
                <w:b/>
                <w:i/>
              </w:rPr>
              <w:tab/>
              <w:t xml:space="preserve">ir-reat iġġenera jew kien mistenni li jiġġenera benefiċċji finanzjarji </w:t>
            </w:r>
            <w:r>
              <w:rPr>
                <w:b/>
                <w:i/>
              </w:rPr>
              <w:lastRenderedPageBreak/>
              <w:t>sostanzjali, jew evita spejjeż sostanzjali, direttament jew indirettament;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8 – paragrafu 1 – punt db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(db)</w:t>
            </w:r>
            <w:r>
              <w:rPr>
                <w:b/>
                <w:i/>
              </w:rPr>
              <w:tab/>
              <w:t xml:space="preserve">it-trasgressur ifixkel b’mod attiv l-ispezzjoni, </w:t>
            </w:r>
            <w:r>
              <w:rPr>
                <w:b/>
                <w:i/>
              </w:rPr>
              <w:t>il-kontrolli doganali jew l-attivitajiet ta’ investigazzjoni, jeqred l-evidenza, jew jintimida jew jinterferixxi ma’ xhieda jew ma’ lmentaturi;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8 – paragrafu 1 – punt db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(db)</w:t>
            </w:r>
            <w:r>
              <w:rPr>
                <w:b/>
                <w:i/>
              </w:rPr>
              <w:tab/>
              <w:t>it-trasgressur ma jipprovdix assistenza lill-awtoritajiet tal-ispezzjoni u lil awtoritajiet oħra tal-infurzar meta dan ikun meħtieġ legal</w:t>
            </w:r>
            <w:r>
              <w:rPr>
                <w:b/>
                <w:i/>
              </w:rPr>
              <w:t>ment;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8 – paragrafu 1 – punt dd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(dd)</w:t>
            </w:r>
            <w:r>
              <w:rPr>
                <w:b/>
                <w:i/>
              </w:rPr>
              <w:tab/>
              <w:t xml:space="preserve">fil-każ ta’ entitajiet </w:t>
            </w:r>
            <w:r>
              <w:rPr>
                <w:b/>
                <w:i/>
              </w:rPr>
              <w:t>ġuridiċi, ir-reat twettaq mill-maniġment superjuri, jew il-</w:t>
            </w:r>
            <w:r>
              <w:rPr>
                <w:b/>
                <w:i/>
              </w:rPr>
              <w:lastRenderedPageBreak/>
              <w:t xml:space="preserve">livell tal-maniġment superjuri kellu raġonevolment ikun jaf bir-reat imwettaq. 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12 – paragrafu 4 – punt 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(b)</w:t>
            </w:r>
            <w:r>
              <w:tab/>
              <w:t xml:space="preserve">piena ta’ priġunerija f’każ ta’ reat kriminali li huwa punibbli b’sanzjoni massima ta’ mill-inqas </w:t>
            </w:r>
            <w:r>
              <w:rPr>
                <w:b/>
                <w:bCs/>
                <w:i/>
                <w:iCs/>
              </w:rPr>
              <w:t>4</w:t>
            </w:r>
            <w:r>
              <w:t xml:space="preserve"> snin priġunerija,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</w:r>
            <w:r>
              <w:t xml:space="preserve">piena ta’ priġunerija f’każ ta’ reat kriminali li huwa punibbli b’sanzjoni massima ta’ mill-inqas </w:t>
            </w:r>
            <w:r>
              <w:rPr>
                <w:b/>
                <w:bCs/>
                <w:i/>
                <w:iCs/>
              </w:rPr>
              <w:t>ħames</w:t>
            </w:r>
            <w:r>
              <w:t xml:space="preserve"> snin priġunerija,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</w:t>
      </w:r>
      <w:r>
        <w:t>olu 13 – paragrafu 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bCs/>
                <w:i/>
                <w:iCs/>
              </w:rPr>
              <w:t>L-Istati Membri għandhom jadottaw il-miżuri neċessarji sabiex jistabbilixxu mekkaniżmi xierqa għall-koordinazzjoni</w:t>
            </w:r>
            <w:r>
              <w:t xml:space="preserve"> u l-kooperazzjoni fil-livelli strateġiċi u operazzjonali fost l-awtoritajiet kompetenti kollha tagħhom amministrattivi, tal-infurzar u ġudizzjarji.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1. </w:t>
            </w:r>
            <w:r>
              <w:tab/>
            </w:r>
            <w:r>
              <w:rPr>
                <w:b/>
                <w:bCs/>
                <w:i/>
                <w:iCs/>
              </w:rPr>
              <w:t>Kull Stat Membru għandu jistabbilixxi jew jiddeżinja unità ddedikata għall-fini tal-koordinazzjoni</w:t>
            </w:r>
            <w:r>
              <w:t xml:space="preserve"> u l-kooperazzjoni fil-livelli strateġiċi u operazzjonali fost l-awtoritajiet kompetenti kollha tagħhom amministrattivi, tal-infurzar u ġudizzjarji</w:t>
            </w:r>
            <w:r>
              <w:rPr>
                <w:b/>
                <w:bCs/>
                <w:i/>
                <w:iCs/>
              </w:rPr>
              <w:t xml:space="preserve"> fi ħdan Stat Membru</w:t>
            </w:r>
            <w:r>
              <w:t>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</w:t>
      </w:r>
      <w:r>
        <w:t>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13 – paragrafu 2 – parti introduttorja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bCs/>
                <w:i/>
                <w:iCs/>
              </w:rPr>
              <w:t>Tali mekkaniżmi għandhom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mill-inqas ikunu mmirati lejn</w:t>
            </w:r>
            <w:r>
              <w:t>: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tab/>
            </w:r>
            <w:r>
              <w:rPr>
                <w:b/>
                <w:bCs/>
                <w:i/>
                <w:iCs/>
              </w:rPr>
              <w:t xml:space="preserve">L-unitajiet iddedikati msemmija fil-paragrafu 1 għandu </w:t>
            </w:r>
            <w:r>
              <w:rPr>
                <w:b/>
                <w:bCs/>
                <w:i/>
                <w:iCs/>
              </w:rPr>
              <w:t>jkollhom il-kompiti li ġejjin</w:t>
            </w:r>
            <w:r>
              <w:t>: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13 – paragrafu 2 – punt a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(a)</w:t>
            </w:r>
            <w:r>
              <w:tab/>
            </w:r>
            <w:r>
              <w:rPr>
                <w:b/>
                <w:bCs/>
                <w:i/>
                <w:iCs/>
              </w:rPr>
              <w:t>l-iżgurar ta’</w:t>
            </w:r>
            <w:r>
              <w:t xml:space="preserve"> prijoritajiet komuni u l-fehim tar-relazzjoni bejn l-infurzar kriminali u l-infurzar amministrattiv;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(a)</w:t>
            </w:r>
            <w:r>
              <w:tab/>
            </w:r>
            <w:r>
              <w:rPr>
                <w:b/>
                <w:bCs/>
                <w:i/>
                <w:iCs/>
              </w:rPr>
              <w:t>li jiżguraw</w:t>
            </w:r>
            <w:r>
              <w:t xml:space="preserve"> prijoritajiet komuni u l-fehim tar-relazzjoni bejn l-infurzar kriminali u l-infurzar amministrattiv;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</w:t>
      </w:r>
      <w:r w:rsidRPr="00DB2452">
        <w:rPr>
          <w:rStyle w:val="HideTWBExt"/>
          <w:noProof w:val="0"/>
        </w:rPr>
        <w:t>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2– punt b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(b)</w:t>
            </w:r>
            <w:r>
              <w:tab/>
            </w:r>
            <w:r>
              <w:rPr>
                <w:b/>
                <w:bCs/>
                <w:i/>
                <w:iCs/>
              </w:rPr>
              <w:t>l-iskambju ta’</w:t>
            </w:r>
            <w:r>
              <w:t xml:space="preserve"> informazzjoni għal finijiet strateġiċi u operazzjonali;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(b)</w:t>
            </w:r>
            <w:r>
              <w:tab/>
            </w:r>
            <w:r>
              <w:rPr>
                <w:b/>
                <w:bCs/>
                <w:i/>
                <w:iCs/>
              </w:rPr>
              <w:t>li jiskambjaw</w:t>
            </w:r>
            <w:r>
              <w:t xml:space="preserve"> informazzjoni għal finijiet strateġiċi u operazzjonali;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2 – punt c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(c)</w:t>
            </w:r>
            <w:r>
              <w:tab/>
            </w:r>
            <w:r>
              <w:rPr>
                <w:b/>
                <w:bCs/>
                <w:i/>
                <w:iCs/>
              </w:rPr>
              <w:t>konsultazzjoni</w:t>
            </w:r>
            <w:r>
              <w:t xml:space="preserve"> f’investigazzjonijiet individwali;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(c)</w:t>
            </w:r>
            <w:r>
              <w:tab/>
            </w:r>
            <w:r>
              <w:rPr>
                <w:b/>
                <w:bCs/>
                <w:i/>
                <w:iCs/>
              </w:rPr>
              <w:t>li jiġu kkonsultati</w:t>
            </w:r>
            <w:r>
              <w:rPr>
                <w:b/>
                <w:bCs/>
              </w:rPr>
              <w:t xml:space="preserve"> </w:t>
            </w:r>
            <w:r>
              <w:t>f’investigazzjonijiet individwali;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2 – punt d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(d)</w:t>
            </w:r>
            <w:r>
              <w:tab/>
            </w:r>
            <w:r>
              <w:rPr>
                <w:b/>
                <w:bCs/>
                <w:i/>
                <w:iCs/>
              </w:rPr>
              <w:t>l-iskambju tal-aħjar prattiċi</w:t>
            </w:r>
            <w:r>
              <w:t>;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(d)</w:t>
            </w:r>
            <w:r>
              <w:tab/>
            </w:r>
            <w:r>
              <w:rPr>
                <w:b/>
                <w:bCs/>
                <w:i/>
                <w:iCs/>
              </w:rPr>
              <w:t>li jiskambjaw l-aħjar prattiki</w:t>
            </w:r>
            <w:r>
              <w:t>;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13 – paragrafu 2 – punt e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(e)</w:t>
            </w:r>
            <w:r>
              <w:tab/>
            </w:r>
            <w:r>
              <w:rPr>
                <w:b/>
                <w:bCs/>
                <w:i/>
                <w:iCs/>
              </w:rPr>
              <w:t>assistenza</w:t>
            </w:r>
            <w:r>
              <w:t xml:space="preserve"> lil networks ta’ prattikanti li jaħdmu fuq kwistjonijiet rilevanti għall-investigazzjoni u l-prosekuzzjoni ta’ reati relatati mal-ksur ta’ miżuri restrittivi tal-Unjoni.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(e)</w:t>
            </w:r>
            <w:r>
              <w:tab/>
            </w:r>
            <w:r>
              <w:rPr>
                <w:b/>
                <w:bCs/>
                <w:i/>
                <w:iCs/>
              </w:rPr>
              <w:t>li jassistu</w:t>
            </w:r>
            <w:r>
              <w:t xml:space="preserve"> lil networks ta’ prattikanti li jaħdmu fuq kwistjonijiet rilevanti għ</w:t>
            </w:r>
            <w:r>
              <w:t>all-investigazzjoni u l-prosekuzzjoni ta’ reati relatati mal-ksur ta’ miżuri restrittivi tal-Unjoni.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13 – paragrafu 2a</w:t>
      </w:r>
      <w:r>
        <w:t xml:space="preserve">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2a. </w:t>
            </w:r>
            <w:r>
              <w:tab/>
            </w:r>
            <w:r>
              <w:rPr>
                <w:b/>
                <w:i/>
              </w:rPr>
              <w:t xml:space="preserve">L-Istati Membri għandhom jiżguraw li l-awtoritajiet nazzjonali kompetenti jingħataw ir-riżorsi umani, tekniċi u finanzjarji, il-postijiet u l-infrastruttura meħtieġa għall-investigazzjoni u </w:t>
            </w:r>
            <w:r>
              <w:rPr>
                <w:b/>
                <w:i/>
              </w:rPr>
              <w:t>l-prosekuzzjoni effettivi tal-ksur tal-miżuri restrittivi tal-Unjoni.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16 – paragrafu 1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(1)</w:t>
            </w:r>
            <w:r>
              <w:tab/>
              <w:t xml:space="preserve">Mingħajr preġudizzju għar-regoli dwar il-kooperazzjoni transfruntiera u l-assistenza legali reċiproka fi kwistjonijiet kriminali, </w:t>
            </w:r>
            <w:r>
              <w:rPr>
                <w:b/>
                <w:bCs/>
                <w:i/>
                <w:iCs/>
              </w:rPr>
              <w:t>l-awtoritajiet</w:t>
            </w:r>
            <w:r>
              <w:t xml:space="preserve"> tal-Istati Membri, il-Eurojust, l-Uffiċċju tal-Prosekutur Pubbliku Ewropew u l-Kum</w:t>
            </w:r>
            <w:r>
              <w:t>missjoni għandhom, fil-kompetenzi rispettivi tagħhom, jikkooperaw flimkien fil-ġlieda kontra r-reati kriminali msemmijin fl-Artikoli 3 u 4. Għal dak il-għan, il-Kummissjoni, u fejn xieraq, il-Europol u l-Eurojust, għandhom jipprovdu assistenza teknika u op</w:t>
            </w:r>
            <w:r>
              <w:t>erazzjonali sabiex jiffaċilitaw il-koordinazzjoni tal-investigazzjonijiet u tal-prosekuzzjonijiet mill-awtoritajiet kompetenti.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Mingħajr preġudizzju għar-regoli dwar il-kooperazzjoni transfruntiera u l-assistenza legali reċiproka fi kwistjonijiet krimi</w:t>
            </w:r>
            <w:r>
              <w:t xml:space="preserve">nali, </w:t>
            </w:r>
            <w:r>
              <w:rPr>
                <w:b/>
                <w:bCs/>
                <w:i/>
                <w:iCs/>
              </w:rPr>
              <w:t>l-unitajiet iddedikati nazzjonali stabbiliti fl-[Artikolu 13]</w:t>
            </w:r>
            <w:r>
              <w:t xml:space="preserve"> tal-Istati Membri, il-Eurojust, l-Uffiċċju tal-Prosekutur Pubbliku Ewropew u l-Kummissjoni għandhom, fil-kompetenzi rispettivi tagħhom, </w:t>
            </w:r>
            <w:r>
              <w:rPr>
                <w:b/>
                <w:bCs/>
                <w:i/>
                <w:iCs/>
              </w:rPr>
              <w:t>jiltaqgħu regolarment f’format strutturat sabiex jik</w:t>
            </w:r>
            <w:r>
              <w:rPr>
                <w:b/>
                <w:bCs/>
                <w:i/>
                <w:iCs/>
              </w:rPr>
              <w:t>koordinaw u</w:t>
            </w:r>
            <w:r>
              <w:t xml:space="preserve"> jikkooperaw flimkien fil-ġlieda kontra r-reati kriminali msemmijin fl-Artikoli 3 u 4. Għal dak il-għan, il-Kummissjoni, u fejn xieraq, il-Europol u l-Eurojust, għandhom jipprovdu assistenza teknika u operazzjonali sabiex jiffaċilitaw il-koordin</w:t>
            </w:r>
            <w:r>
              <w:t>azzjoni tal-investigazzjonijiet u tal-prosekuzzjonijiet mill-awtoritajiet kompetenti.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16 – paragrafu 1a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(1a)</w:t>
            </w:r>
            <w:r>
              <w:rPr>
                <w:b/>
                <w:i/>
              </w:rPr>
              <w:tab/>
              <w:t xml:space="preserve">L-istituzzjonijiet, il-korpi, l-uffiċċji u l-aġenziji tal-Unjoni u l-awtoritajiet tal-Istati Membri li jipparteċipaw f’kooperazzjoni msaħħa dwar l-istabbiliment tal-UPPE għandhom, mingħajr dewmien </w:t>
            </w:r>
            <w:r>
              <w:rPr>
                <w:b/>
                <w:i/>
              </w:rPr>
              <w:t xml:space="preserve">bla bżonn, jirrapportaw lill-UPPE kwalunkwe mġiba </w:t>
            </w:r>
            <w:r>
              <w:rPr>
                <w:b/>
                <w:i/>
              </w:rPr>
              <w:lastRenderedPageBreak/>
              <w:t>kriminali li fir-rigward tagħha huwa jista’ jeżerċita l-kompetenza tiegħu f’konformità mal-Artikolu 22 u mal-Artikolu 25(2) u (3) tar-Regolament (UE) 2017/1939.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18a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 18a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Statistika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1. </w:t>
            </w:r>
            <w:r>
              <w:tab/>
            </w:r>
            <w:r>
              <w:rPr>
                <w:b/>
                <w:i/>
              </w:rPr>
              <w:t xml:space="preserve">L-Istati Membri għandhom jiġbru u jżommu statistika komprensiva </w:t>
            </w:r>
            <w:r>
              <w:rPr>
                <w:b/>
                <w:i/>
              </w:rPr>
              <w:t>fil-livell ċentrali dwar il-miżuri meħuda skont din id-Direttiva.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tab/>
            </w:r>
            <w:r>
              <w:rPr>
                <w:b/>
                <w:i/>
              </w:rPr>
              <w:t>Mingħajr preġudizzju għall-obbligi ta’ rapportar stabbiliti f’atti legali oħra tal-Unjoni, l-Istati Membri għandhom, fuq bażi annwali, sa Settembru tas-sena ta’ wara, jissottomettu lil</w:t>
            </w:r>
            <w:r>
              <w:rPr>
                <w:b/>
                <w:i/>
              </w:rPr>
              <w:t>l-Kummissjoni l-istatistika li ġejja dwar ir-reati kriminali msemmija fl-Artikoli 3 u 4, speċifikati skont it-tip ta’ miżura restrittiva tal-Unjoni: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(a) </w:t>
            </w:r>
            <w:r>
              <w:tab/>
            </w:r>
            <w:r>
              <w:rPr>
                <w:b/>
                <w:i/>
              </w:rPr>
              <w:t>l-għadd ta’ proċedimenti kriminali mibdija;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(b) </w:t>
            </w:r>
            <w:r>
              <w:tab/>
            </w:r>
            <w:r>
              <w:rPr>
                <w:b/>
                <w:i/>
              </w:rPr>
              <w:t>l-għadd ta’ proċedimenti kriminali miċħuda;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(c)</w:t>
            </w:r>
            <w:r>
              <w:rPr>
                <w:b/>
                <w:i/>
              </w:rPr>
              <w:t xml:space="preserve"> </w:t>
            </w:r>
            <w:r>
              <w:tab/>
            </w:r>
            <w:r>
              <w:rPr>
                <w:b/>
                <w:i/>
              </w:rPr>
              <w:t>l-għadd ta’ proċedimenti kriminali li rriżultaw f’liberazzjoni;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(d) </w:t>
            </w:r>
            <w:r>
              <w:tab/>
            </w:r>
            <w:r>
              <w:rPr>
                <w:b/>
                <w:i/>
              </w:rPr>
              <w:t>l-għadd ta’ proċedimenti kriminali li rriżultaw f’kundanna;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(e) </w:t>
            </w:r>
            <w:r>
              <w:tab/>
            </w:r>
            <w:r>
              <w:rPr>
                <w:b/>
                <w:i/>
              </w:rPr>
              <w:t>l-għadd ta’ proċedimenti kriminali li huma pendenti;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(f) </w:t>
            </w:r>
            <w:r>
              <w:tab/>
            </w:r>
            <w:r>
              <w:rPr>
                <w:b/>
                <w:i/>
              </w:rPr>
              <w:t>it-tul medju tal-proċedimenti kriminali;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(g) </w:t>
            </w:r>
            <w:r>
              <w:tab/>
            </w:r>
            <w:r>
              <w:rPr>
                <w:b/>
                <w:i/>
              </w:rPr>
              <w:t>il-valur</w:t>
            </w:r>
            <w:r>
              <w:rPr>
                <w:b/>
                <w:i/>
              </w:rPr>
              <w:t xml:space="preserve"> tal-fondi u r-riżorsi ekonomiċi ffriżati;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(h) </w:t>
            </w:r>
            <w:r>
              <w:tab/>
            </w:r>
            <w:r>
              <w:rPr>
                <w:b/>
                <w:i/>
              </w:rPr>
              <w:t>il-valur tal-fondi u r-riżorsi ekonomiċi sekwestrati.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L-istatistika li trid tiġi sottomessa għandha tinkludi wkoll it-tipi u l-livelli ta’ pieni u sanzjonijiet imposti għall-ksur tal-miżuri restrittivi ta</w:t>
            </w:r>
            <w:r>
              <w:rPr>
                <w:b/>
                <w:i/>
              </w:rPr>
              <w:t>l-Unjoni.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3. </w:t>
            </w:r>
            <w:r>
              <w:tab/>
            </w:r>
            <w:r>
              <w:rPr>
                <w:b/>
                <w:i/>
              </w:rPr>
              <w:t>Il-Kummissjoni għandha s-setgħa li tadotta atti delegati f’konformità mal-[Artikolu 18b] li jikkonċernaw l-istabbiliment ta’ regoli dettaljati dwar l-informazzjoni li għandha tinġabar u dwar il-metodoloġija għall-ġbir tal-istatistika msemmi</w:t>
            </w:r>
            <w:r>
              <w:rPr>
                <w:b/>
                <w:i/>
              </w:rPr>
              <w:t>ja fil-paragrafu 2 ta’ dan l-Artikolu u l-arranġamenti għat-trażmissjoni tagħha lill-Kummissjoni.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4. </w:t>
            </w:r>
            <w:r>
              <w:tab/>
            </w:r>
            <w:r>
              <w:rPr>
                <w:b/>
                <w:i/>
              </w:rPr>
              <w:t>Il-Kummissjoni għandha tagħmel din l-istatistika disponibbli pubblikament fuq bażi annwali.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 18b (ġdid)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Artikolu 18b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jc w:val="center"/>
              <w:rPr>
                <w:szCs w:val="24"/>
              </w:rPr>
            </w:pPr>
            <w:r>
              <w:rPr>
                <w:b/>
                <w:i/>
              </w:rPr>
              <w:t>Eżerċizzju tad-delega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1. </w:t>
            </w:r>
            <w:r>
              <w:tab/>
            </w:r>
            <w:r>
              <w:rPr>
                <w:b/>
                <w:i/>
              </w:rPr>
              <w:t xml:space="preserve">Is-setgħa ta’ adozzjoni ta’ atti delegati hija mogħtija </w:t>
            </w:r>
            <w:r>
              <w:rPr>
                <w:b/>
                <w:i/>
              </w:rPr>
              <w:t>lill-Kummissjoni suġġett għall-kondizzjonijiet stabbiliti f’dan l-Artikolu.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2. </w:t>
            </w:r>
            <w:r>
              <w:tab/>
            </w:r>
            <w:r>
              <w:rPr>
                <w:b/>
                <w:i/>
              </w:rPr>
              <w:t>Is-setgħa ta’ adozzjoni ta’ atti delegati msemmija fl-[Artikolu 18a] għandha tingħata lill-Kummissjoni għal perjodu ta’ żmien indeterminat minn [id-data tad-dħul fis-seħħ ta’</w:t>
            </w:r>
            <w:r>
              <w:rPr>
                <w:b/>
                <w:i/>
              </w:rPr>
              <w:t xml:space="preserve"> din id-Direttiva].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3. </w:t>
            </w:r>
            <w:r>
              <w:tab/>
            </w:r>
            <w:r>
              <w:rPr>
                <w:b/>
                <w:i/>
              </w:rPr>
              <w:t>Id-delega ta’ setgħa msemmija fl-</w:t>
            </w:r>
            <w:r>
              <w:rPr>
                <w:b/>
                <w:i/>
              </w:rPr>
              <w:lastRenderedPageBreak/>
              <w:t>[Artikolu 18a] tista’ tiġi revokata fi kwalunkwe mument mill-Parlament Ewropew jew mill-Kunsill. Deċiżjoni li tirrevoka għandha ttemm id-delega ta’ setgħa speċifikata f’dik id-deċiżjoni. Għandha ss</w:t>
            </w:r>
            <w:r>
              <w:rPr>
                <w:b/>
                <w:i/>
              </w:rPr>
              <w:t>ir effettiva fil-jum wara l-pubblikazzjoni tad-deċiżjoni f’Il-Ġurnal Uffiċjali tal-Unjoni Ewropea jew f’data aktar tard speċifikata fih. Ma għandha taffettwa l-validità tal-ebda att delegat li jkun diġà fis-seħħ.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4. </w:t>
            </w:r>
            <w:r>
              <w:tab/>
            </w:r>
            <w:r>
              <w:rPr>
                <w:b/>
                <w:i/>
              </w:rPr>
              <w:t>Qabel ma tadotta att delegat, il-Kumm</w:t>
            </w:r>
            <w:r>
              <w:rPr>
                <w:b/>
                <w:i/>
              </w:rPr>
              <w:t>issjoni għandha tikkonsulta esperti nnominati minn kull Stat Membru skont il-prinċipji stipulati fil-Ftehim Interistituzzjonali tat-13 ta’ April 2016 dwar it-Tfassil Aħjar tal-Liġijiet.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5. </w:t>
            </w:r>
            <w:r>
              <w:tab/>
            </w:r>
            <w:r>
              <w:rPr>
                <w:b/>
                <w:i/>
              </w:rPr>
              <w:t>Hekk kif tadotta att delegat, il-Kummissjoni għandha tinnotifika</w:t>
            </w:r>
            <w:r>
              <w:rPr>
                <w:b/>
                <w:i/>
              </w:rPr>
              <w:t xml:space="preserve">h simultanjament lill-Parlament Ewropew u lill-Kunsill. 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</w:tcPr>
          <w:p w:rsidR="00DB2452" w:rsidRPr="00DB2452" w:rsidRDefault="00DB2452" w:rsidP="008125A9">
            <w:pPr>
              <w:pStyle w:val="Normal6"/>
            </w:pPr>
          </w:p>
        </w:tc>
        <w:tc>
          <w:tcPr>
            <w:tcW w:w="4876" w:type="dxa"/>
          </w:tcPr>
          <w:p w:rsidR="00DB2452" w:rsidRPr="00DB2452" w:rsidRDefault="002E6AC5" w:rsidP="008125A9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6. </w:t>
            </w:r>
            <w:r>
              <w:tab/>
            </w:r>
            <w:r>
              <w:rPr>
                <w:b/>
                <w:i/>
              </w:rPr>
              <w:t xml:space="preserve">Att delegat adottat skont l-[Artikolu 18a] għandu jidħol fis-seħħ biss jekk ma tiġix espressa oġġezzjoni mill-Parlament Ewropew jew mill-Kunsill fi żmien [xahrejn] min-notifika ta’ dak l-att </w:t>
            </w:r>
            <w:r>
              <w:rPr>
                <w:b/>
                <w:i/>
              </w:rPr>
              <w:t>lill-Parlament Ewropew u lill-Kunsill jew jekk, qabel ma jiskadi dak il-perjodu, il-Parlament Ewropew u l-Kunsill ikunu t-tnejn infurmaw lill-Kummissjoni li mhumiex sejrin joġġezzjonaw. Dak il-perjodu għandu jiġi estiż b’[xahrejn] fuq inizjattiva tal-Parla</w:t>
            </w:r>
            <w:r>
              <w:rPr>
                <w:b/>
                <w:i/>
              </w:rPr>
              <w:t>ment Ewropew jew tal-Kunsill.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19 – paragrafu 2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i/>
              </w:rPr>
              <w:t>(2)</w:t>
            </w:r>
            <w:r>
              <w:rPr>
                <w:b/>
                <w:i/>
              </w:rPr>
              <w:tab/>
              <w:t xml:space="preserve">Mingħajr </w:t>
            </w:r>
            <w:r>
              <w:rPr>
                <w:b/>
                <w:i/>
              </w:rPr>
              <w:t xml:space="preserve">preġudizzju għall-obbligi ta’ rapportar stabbiliti f’atti legali </w:t>
            </w:r>
            <w:r>
              <w:rPr>
                <w:b/>
                <w:i/>
              </w:rPr>
              <w:lastRenderedPageBreak/>
              <w:t>oħra tal-Unjoni, l-Istati Membri għandhom, fuq bażi annwali, jissottomettu l-istatistika li ġejja dwar ir-reati kriminali msemmija fl-Artikoli 3 u 4 lill-Kummissjoni: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lastRenderedPageBreak/>
              <w:t>imħassar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i/>
              </w:rPr>
              <w:t>(a)</w:t>
            </w:r>
            <w:r>
              <w:rPr>
                <w:b/>
                <w:i/>
              </w:rPr>
              <w:tab/>
              <w:t>l-għadd ta</w:t>
            </w:r>
            <w:r>
              <w:rPr>
                <w:b/>
                <w:i/>
              </w:rPr>
              <w:t>’proċedimenti kriminali mibdija, miċħuda, li rriżultaw f’liberazzjoni, li rriżultaw f’kundanna u li huma pendenti;</w:t>
            </w:r>
          </w:p>
        </w:tc>
        <w:tc>
          <w:tcPr>
            <w:tcW w:w="4876" w:type="dxa"/>
          </w:tcPr>
          <w:p w:rsidR="00DB2452" w:rsidRPr="00DB2452" w:rsidRDefault="00DB2452" w:rsidP="008125A9">
            <w:pPr>
              <w:pStyle w:val="Normal6"/>
              <w:rPr>
                <w:szCs w:val="24"/>
              </w:rPr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i/>
              </w:rPr>
              <w:t>(b)</w:t>
            </w:r>
            <w:r>
              <w:rPr>
                <w:b/>
                <w:i/>
              </w:rPr>
              <w:tab/>
              <w:t>it-tipi u l-livelli ta’ pieni imposti għall-ksur tal-miżuri restrittivi tal-Unjoni.</w:t>
            </w:r>
          </w:p>
        </w:tc>
        <w:tc>
          <w:tcPr>
            <w:tcW w:w="4876" w:type="dxa"/>
          </w:tcPr>
          <w:p w:rsidR="00DB2452" w:rsidRPr="00DB2452" w:rsidRDefault="00DB2452" w:rsidP="008125A9">
            <w:pPr>
              <w:pStyle w:val="Normal6"/>
              <w:rPr>
                <w:szCs w:val="24"/>
              </w:rPr>
            </w:pP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pPr>
        <w:pStyle w:val="JustificationTitle"/>
        <w:rPr>
          <w:noProof w:val="0"/>
        </w:rPr>
      </w:pPr>
      <w:r>
        <w:rPr>
          <w:rStyle w:val="HideTWBExt"/>
          <w:i w:val="0"/>
        </w:rPr>
        <w:t>&lt;TitreJust&gt;</w:t>
      </w:r>
      <w:r>
        <w:t>Ġustif</w:t>
      </w:r>
      <w:r>
        <w:t>ikazzjoni</w:t>
      </w:r>
      <w:r>
        <w:rPr>
          <w:rStyle w:val="HideTWBExt"/>
          <w:i w:val="0"/>
        </w:rPr>
        <w:t>&lt;/TitreJust&gt;</w:t>
      </w:r>
    </w:p>
    <w:p w:rsidR="00DB2452" w:rsidRPr="00DB2452" w:rsidRDefault="002E6AC5" w:rsidP="00DB2452">
      <w:pPr>
        <w:pStyle w:val="Normal12Italic"/>
        <w:rPr>
          <w:noProof w:val="0"/>
        </w:rPr>
      </w:pPr>
      <w:r>
        <w:t>Inkluża f’artikolu separat dwar l-istatistika.</w:t>
      </w:r>
    </w:p>
    <w:p w:rsidR="00DB2452" w:rsidRPr="00DB2452" w:rsidRDefault="002E6AC5" w:rsidP="00DB2452">
      <w:r>
        <w:rPr>
          <w:rStyle w:val="HideTWBExt"/>
        </w:rPr>
        <w:t>&lt;/Amend&gt;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19 – paragrafu 3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rPr>
                <w:b/>
                <w:i/>
              </w:rPr>
              <w:t>(3)</w:t>
            </w:r>
            <w:r>
              <w:rPr>
                <w:b/>
                <w:i/>
              </w:rPr>
              <w:tab/>
              <w:t xml:space="preserve">L-Istati </w:t>
            </w:r>
            <w:r>
              <w:rPr>
                <w:b/>
                <w:i/>
              </w:rPr>
              <w:t>Membri għandhom jippreżentaw id-data statistika msemmija fil-paragrafu 2 lill-Kummissjoni bl-użu tal-għodod ta’ rapportar iddedikati stabbiliti mill-Kummissjoni għar-rapportar fil-qasam tal-miżuri restrittivi.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imħassar</w:t>
            </w:r>
          </w:p>
        </w:tc>
      </w:tr>
    </w:tbl>
    <w:p w:rsidR="00DB2452" w:rsidRPr="00DB2452" w:rsidRDefault="002E6AC5" w:rsidP="00DB2452">
      <w:pPr>
        <w:pStyle w:val="Olang"/>
        <w:rPr>
          <w:rStyle w:val="HideTWBExt"/>
        </w:rPr>
      </w:pPr>
      <w:r w:rsidRPr="00DB2452">
        <w:rPr>
          <w:noProof w:val="0"/>
        </w:rPr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</w:p>
    <w:p w:rsidR="00DB2452" w:rsidRPr="00DB2452" w:rsidRDefault="002E6AC5" w:rsidP="00DB2452">
      <w:r>
        <w:rPr>
          <w:rStyle w:val="HideTWBExt"/>
        </w:rPr>
        <w:t>&lt;/Am</w:t>
      </w:r>
      <w:r>
        <w:rPr>
          <w:rStyle w:val="HideTWBExt"/>
        </w:rPr>
        <w:t>end&gt;</w:t>
      </w:r>
    </w:p>
    <w:p w:rsidR="00DB2452" w:rsidRPr="00DB2452" w:rsidRDefault="002E6AC5" w:rsidP="00DB2452">
      <w:pPr>
        <w:pStyle w:val="AMNumberTabs0"/>
        <w:keepNext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&lt;/NumAm&gt;</w:t>
      </w:r>
    </w:p>
    <w:p w:rsidR="00DB2452" w:rsidRPr="00DB2452" w:rsidRDefault="002E6AC5" w:rsidP="00DB245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Proposta għal direttiva</w:t>
      </w:r>
      <w:r>
        <w:rPr>
          <w:rStyle w:val="HideTWBExt"/>
          <w:b w:val="0"/>
        </w:rPr>
        <w:t>&lt;/DocAmend&gt;</w:t>
      </w:r>
    </w:p>
    <w:p w:rsidR="00DB2452" w:rsidRPr="00DB2452" w:rsidRDefault="002E6AC5" w:rsidP="00DB2452">
      <w:pPr>
        <w:pStyle w:val="NormalBold"/>
      </w:pPr>
      <w:r>
        <w:rPr>
          <w:rStyle w:val="HideTWBExt"/>
          <w:b w:val="0"/>
        </w:rPr>
        <w:t>&lt;Article&gt;</w:t>
      </w:r>
      <w:r>
        <w:t>Artikolu 19 – paragrafu 4</w:t>
      </w:r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637D7" w:rsidTr="008125A9">
        <w:trPr>
          <w:jc w:val="center"/>
        </w:trPr>
        <w:tc>
          <w:tcPr>
            <w:tcW w:w="9752" w:type="dxa"/>
            <w:gridSpan w:val="2"/>
          </w:tcPr>
          <w:p w:rsidR="00DB2452" w:rsidRPr="00DB2452" w:rsidRDefault="00DB2452" w:rsidP="008125A9">
            <w:pPr>
              <w:keepNext/>
            </w:pP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ColumnHeading"/>
              <w:keepNext/>
            </w:pPr>
            <w:r>
              <w:t>Emenda</w:t>
            </w:r>
          </w:p>
        </w:tc>
      </w:tr>
      <w:tr w:rsidR="005637D7" w:rsidTr="008125A9">
        <w:trPr>
          <w:jc w:val="center"/>
        </w:trPr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</w:pPr>
            <w:r>
              <w:t>(4)</w:t>
            </w:r>
            <w:r>
              <w:tab/>
              <w:t xml:space="preserve">Sa [OP- jekk jogħġbok daħħal id-data - 5 snin wara li jgħaddi l-perjodu ta’ </w:t>
            </w:r>
            <w:r>
              <w:t>traspożizzjoni], il-Kummissjoni għandha twettaq evalwazzjoni tal-impatt ta’ din id-Direttiva u tippreżenta rapport lill-</w:t>
            </w:r>
            <w:r>
              <w:lastRenderedPageBreak/>
              <w:t>Parlament Ewropew u lill-Kunsill. L-Istati Membri għandhom jipprovdu l-informazzjoni meħtieġa lill-Kummissjoni għat-tħejjija ta’ dak ir-</w:t>
            </w:r>
            <w:r>
              <w:t>rapport.</w:t>
            </w:r>
          </w:p>
        </w:tc>
        <w:tc>
          <w:tcPr>
            <w:tcW w:w="4876" w:type="dxa"/>
            <w:hideMark/>
          </w:tcPr>
          <w:p w:rsidR="00DB2452" w:rsidRPr="00DB2452" w:rsidRDefault="002E6AC5" w:rsidP="008125A9">
            <w:pPr>
              <w:pStyle w:val="Normal6"/>
              <w:rPr>
                <w:szCs w:val="24"/>
              </w:rPr>
            </w:pPr>
            <w:r>
              <w:lastRenderedPageBreak/>
              <w:t>(4)</w:t>
            </w:r>
            <w:r>
              <w:tab/>
              <w:t>Sa [OP- jekk jogħġbok daħħal id-data - 5 snin wara li jgħaddi l-perjodu ta’ traspożizzjoni], il-Kummissjoni għandha twettaq evalwazzjoni tal-impatt ta’ din id-Direttiva</w:t>
            </w:r>
            <w:r>
              <w:rPr>
                <w:b/>
                <w:bCs/>
                <w:i/>
                <w:iCs/>
              </w:rPr>
              <w:t xml:space="preserve">, filwaqt li tqis l-istatistika </w:t>
            </w:r>
            <w:r>
              <w:rPr>
                <w:b/>
                <w:bCs/>
                <w:i/>
                <w:iCs/>
              </w:rPr>
              <w:lastRenderedPageBreak/>
              <w:t>annwali pprovduta mill-Istati Membri,</w:t>
            </w:r>
            <w:r>
              <w:t xml:space="preserve"> u tip</w:t>
            </w:r>
            <w:r>
              <w:t>preżenta rapport lill-Parlament Ewropew u lill-Kunsill</w:t>
            </w:r>
            <w:r>
              <w:rPr>
                <w:b/>
                <w:bCs/>
                <w:i/>
                <w:iCs/>
              </w:rPr>
              <w:t>, li għandu jsir pubbliku</w:t>
            </w:r>
            <w:r>
              <w:t xml:space="preserve">. L-Istati Membri għandhom jipprovdu l-informazzjoni meħtieġa lill-Kummissjoni għat-tħejjija ta’ dak ir-rapport. </w:t>
            </w:r>
            <w:r>
              <w:rPr>
                <w:b/>
                <w:bCs/>
                <w:i/>
                <w:iCs/>
              </w:rPr>
              <w:t>Abbażi ta’ dik l-evalwazzjoni, il-Kummissjoni għandha tiddeċiedi</w:t>
            </w:r>
            <w:r>
              <w:rPr>
                <w:b/>
                <w:bCs/>
                <w:i/>
                <w:iCs/>
              </w:rPr>
              <w:t xml:space="preserve"> dwar l-azzjonijiet ta’ segwitu xierqa, inkluża, jekk tkun meħtieġa, proposta leġiżlattiva.</w:t>
            </w:r>
          </w:p>
        </w:tc>
      </w:tr>
    </w:tbl>
    <w:p w:rsidR="00DB2452" w:rsidRPr="00DB2452" w:rsidRDefault="002E6AC5" w:rsidP="00DB2452">
      <w:pPr>
        <w:pStyle w:val="Olang"/>
      </w:pPr>
      <w:r w:rsidRPr="00DB2452">
        <w:rPr>
          <w:noProof w:val="0"/>
        </w:rPr>
        <w:lastRenderedPageBreak/>
        <w:t xml:space="preserve">Or. </w:t>
      </w:r>
      <w:r w:rsidRPr="00DB2452">
        <w:rPr>
          <w:rStyle w:val="HideTWBExt"/>
          <w:noProof w:val="0"/>
        </w:rPr>
        <w:t>&lt;Original&gt;</w:t>
      </w:r>
      <w:r w:rsidRPr="00DB2452">
        <w:rPr>
          <w:rStyle w:val="HideTWBInt"/>
          <w:noProof w:val="0"/>
        </w:rPr>
        <w:t>{EN}</w:t>
      </w:r>
      <w:r w:rsidRPr="00DB2452">
        <w:rPr>
          <w:noProof w:val="0"/>
        </w:rPr>
        <w:t>en</w:t>
      </w:r>
      <w:r w:rsidRPr="00DB2452">
        <w:rPr>
          <w:rStyle w:val="HideTWBExt"/>
          <w:noProof w:val="0"/>
        </w:rPr>
        <w:t>&lt;/Original&gt;</w:t>
      </w:r>
      <w:bookmarkStart w:id="2" w:name="restart"/>
      <w:r w:rsidRPr="00DB2452">
        <w:rPr>
          <w:rStyle w:val="HideTWBExt"/>
          <w:noProof w:val="0"/>
        </w:rPr>
        <w:t>&lt;/Amend&gt;</w:t>
      </w:r>
      <w:bookmarkEnd w:id="2"/>
      <w:r w:rsidRPr="00DB2452">
        <w:rPr>
          <w:rStyle w:val="HideTWBExt"/>
          <w:noProof w:val="0"/>
        </w:rPr>
        <w:t>&lt;/RepeatBlock-Amend&gt;</w:t>
      </w:r>
    </w:p>
    <w:p w:rsidR="002669B6" w:rsidRPr="00DB2452" w:rsidRDefault="002669B6" w:rsidP="00DB2452">
      <w:pPr>
        <w:pStyle w:val="NormalHanging12a"/>
      </w:pPr>
    </w:p>
    <w:sectPr w:rsidR="002669B6" w:rsidRPr="00DB2452" w:rsidSect="00DB24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6AC5">
      <w:r>
        <w:separator/>
      </w:r>
    </w:p>
  </w:endnote>
  <w:endnote w:type="continuationSeparator" w:id="0">
    <w:p w:rsidR="00000000" w:rsidRDefault="002E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452" w:rsidRPr="00DB2452" w:rsidRDefault="002E6AC5" w:rsidP="00DB2452">
    <w:pPr>
      <w:pStyle w:val="EPFooter"/>
    </w:pPr>
    <w:r w:rsidRPr="00DB2452">
      <w:t>PE</w:t>
    </w:r>
    <w:r w:rsidRPr="00DB2452">
      <w:rPr>
        <w:rStyle w:val="HideTWBExt"/>
      </w:rPr>
      <w:t>&lt;NoPE&gt;</w:t>
    </w:r>
    <w:r w:rsidRPr="00DB2452">
      <w:t>746.946</w:t>
    </w:r>
    <w:r w:rsidRPr="00DB2452">
      <w:rPr>
        <w:rStyle w:val="HideTWBExt"/>
      </w:rPr>
      <w:t>&lt;/NoPE&gt;&lt;Version&gt;</w:t>
    </w:r>
    <w:r w:rsidRPr="00DB2452">
      <w:t>v01-00</w:t>
    </w:r>
    <w:r w:rsidRPr="00DB2452">
      <w:rPr>
        <w:rStyle w:val="HideTWBExt"/>
      </w:rPr>
      <w:t>&lt;/Version&gt;</w:t>
    </w:r>
    <w:r w:rsidRPr="00DB2452">
      <w:tab/>
    </w:r>
    <w:r w:rsidRPr="00DB2452">
      <w:fldChar w:fldCharType="begin"/>
    </w:r>
    <w:r w:rsidRPr="00DB2452">
      <w:instrText xml:space="preserve"> PAGE  \* MERGEFORMAT </w:instrText>
    </w:r>
    <w:r w:rsidRPr="00DB2452">
      <w:fldChar w:fldCharType="separate"/>
    </w:r>
    <w:r>
      <w:rPr>
        <w:noProof/>
      </w:rPr>
      <w:t>4</w:t>
    </w:r>
    <w:r w:rsidRPr="00DB2452">
      <w:fldChar w:fldCharType="end"/>
    </w:r>
    <w:r w:rsidRPr="00DB2452">
      <w:t>/</w:t>
    </w:r>
    <w:r w:rsidR="00E35220">
      <w:fldChar w:fldCharType="begin"/>
    </w:r>
    <w:r>
      <w:instrText xml:space="preserve"> NUMPAGES  \* MERGEFORMAT </w:instrText>
    </w:r>
    <w:r w:rsidR="00E35220">
      <w:fldChar w:fldCharType="separate"/>
    </w:r>
    <w:r>
      <w:rPr>
        <w:noProof/>
      </w:rPr>
      <w:t>25</w:t>
    </w:r>
    <w:r w:rsidR="00E35220">
      <w:rPr>
        <w:noProof/>
      </w:rPr>
      <w:fldChar w:fldCharType="end"/>
    </w:r>
    <w:r w:rsidRPr="00DB2452">
      <w:tab/>
    </w:r>
    <w:r w:rsidRPr="00DB2452">
      <w:rPr>
        <w:rStyle w:val="HideTWBExt"/>
      </w:rPr>
      <w:t>&lt;PathFdR&gt;</w:t>
    </w:r>
    <w:r w:rsidRPr="00DB2452">
      <w:t>PR\1277982MT.docx</w:t>
    </w:r>
    <w:r w:rsidRPr="00DB2452">
      <w:rPr>
        <w:rStyle w:val="HideTWBExt"/>
      </w:rPr>
      <w:t>&lt;/PathFdR&gt;</w:t>
    </w:r>
  </w:p>
  <w:p w:rsidR="00FB52FE" w:rsidRPr="00DB2452" w:rsidRDefault="002E6AC5" w:rsidP="00DB2452">
    <w:pPr>
      <w:pStyle w:val="EPFooter2"/>
    </w:pPr>
    <w:r w:rsidRPr="00DB245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452" w:rsidRPr="00DB2452" w:rsidRDefault="002E6AC5" w:rsidP="00DB2452">
    <w:pPr>
      <w:pStyle w:val="EPFooter"/>
    </w:pPr>
    <w:r w:rsidRPr="00DB2452">
      <w:rPr>
        <w:rStyle w:val="HideTWBExt"/>
      </w:rPr>
      <w:t>&lt;PathFdR&gt;</w:t>
    </w:r>
    <w:r w:rsidRPr="00DB2452">
      <w:t>PR\1277982MT.docx</w:t>
    </w:r>
    <w:r w:rsidRPr="00DB2452">
      <w:rPr>
        <w:rStyle w:val="HideTWBExt"/>
      </w:rPr>
      <w:t>&lt;/PathFdR&gt;</w:t>
    </w:r>
    <w:r w:rsidRPr="00DB2452">
      <w:tab/>
    </w:r>
    <w:r w:rsidRPr="00DB2452">
      <w:fldChar w:fldCharType="begin"/>
    </w:r>
    <w:r w:rsidRPr="00DB2452">
      <w:instrText xml:space="preserve"> PAGE  \* MERGEFORMAT </w:instrText>
    </w:r>
    <w:r w:rsidRPr="00DB2452">
      <w:fldChar w:fldCharType="separate"/>
    </w:r>
    <w:r>
      <w:rPr>
        <w:noProof/>
      </w:rPr>
      <w:t>3</w:t>
    </w:r>
    <w:r w:rsidRPr="00DB2452">
      <w:fldChar w:fldCharType="end"/>
    </w:r>
    <w:r w:rsidRPr="00DB2452">
      <w:t>/</w:t>
    </w:r>
    <w:r w:rsidR="00E35220">
      <w:fldChar w:fldCharType="begin"/>
    </w:r>
    <w:r>
      <w:instrText xml:space="preserve"> NUMPAGES  \* MERGEFORMAT </w:instrText>
    </w:r>
    <w:r w:rsidR="00E35220">
      <w:fldChar w:fldCharType="separate"/>
    </w:r>
    <w:r>
      <w:rPr>
        <w:noProof/>
      </w:rPr>
      <w:t>25</w:t>
    </w:r>
    <w:r w:rsidR="00E35220">
      <w:rPr>
        <w:noProof/>
      </w:rPr>
      <w:fldChar w:fldCharType="end"/>
    </w:r>
    <w:r w:rsidRPr="00DB2452">
      <w:tab/>
      <w:t>PE</w:t>
    </w:r>
    <w:r w:rsidRPr="00DB2452">
      <w:rPr>
        <w:rStyle w:val="HideTWBExt"/>
      </w:rPr>
      <w:t>&lt;NoPE&gt;</w:t>
    </w:r>
    <w:r w:rsidRPr="00DB2452">
      <w:t>746.946</w:t>
    </w:r>
    <w:r w:rsidRPr="00DB2452">
      <w:rPr>
        <w:rStyle w:val="HideTWBExt"/>
      </w:rPr>
      <w:t>&lt;/NoPE&gt;&lt;Versio</w:t>
    </w:r>
    <w:r w:rsidRPr="00DB2452">
      <w:rPr>
        <w:rStyle w:val="HideTWBExt"/>
      </w:rPr>
      <w:t>n&gt;</w:t>
    </w:r>
    <w:r w:rsidRPr="00DB2452">
      <w:t>v01-00</w:t>
    </w:r>
    <w:r w:rsidRPr="00DB2452">
      <w:rPr>
        <w:rStyle w:val="HideTWBExt"/>
      </w:rPr>
      <w:t>&lt;/Version&gt;</w:t>
    </w:r>
  </w:p>
  <w:p w:rsidR="00FB52FE" w:rsidRPr="00DB2452" w:rsidRDefault="002E6AC5" w:rsidP="00DB2452">
    <w:pPr>
      <w:pStyle w:val="EPFooter2"/>
    </w:pPr>
    <w:r w:rsidRPr="00DB2452">
      <w:tab/>
    </w:r>
    <w:r w:rsidRPr="00DB245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452" w:rsidRPr="00DB2452" w:rsidRDefault="002E6AC5" w:rsidP="00DB2452">
    <w:pPr>
      <w:pStyle w:val="EPFooter"/>
    </w:pPr>
    <w:r w:rsidRPr="00DB2452">
      <w:rPr>
        <w:rStyle w:val="HideTWBExt"/>
      </w:rPr>
      <w:t>&lt;PathFdR&gt;</w:t>
    </w:r>
    <w:r w:rsidRPr="00DB2452">
      <w:t>PR\1277982MT.docx</w:t>
    </w:r>
    <w:r w:rsidRPr="00DB2452">
      <w:rPr>
        <w:rStyle w:val="HideTWBExt"/>
      </w:rPr>
      <w:t>&lt;/PathFdR&gt;</w:t>
    </w:r>
    <w:r w:rsidRPr="00DB2452">
      <w:tab/>
    </w:r>
    <w:r w:rsidRPr="00DB2452">
      <w:tab/>
      <w:t>PE</w:t>
    </w:r>
    <w:r w:rsidRPr="00DB2452">
      <w:rPr>
        <w:rStyle w:val="HideTWBExt"/>
      </w:rPr>
      <w:t>&lt;NoPE&gt;</w:t>
    </w:r>
    <w:r w:rsidRPr="00DB2452">
      <w:t>746.946</w:t>
    </w:r>
    <w:r w:rsidRPr="00DB2452">
      <w:rPr>
        <w:rStyle w:val="HideTWBExt"/>
      </w:rPr>
      <w:t>&lt;/NoPE&gt;&lt;Version&gt;</w:t>
    </w:r>
    <w:r w:rsidRPr="00DB2452">
      <w:t>v01-00</w:t>
    </w:r>
    <w:r w:rsidRPr="00DB2452">
      <w:rPr>
        <w:rStyle w:val="HideTWBExt"/>
      </w:rPr>
      <w:t>&lt;/Version&gt;</w:t>
    </w:r>
  </w:p>
  <w:p w:rsidR="00FB52FE" w:rsidRPr="00DB2452" w:rsidRDefault="002E6AC5" w:rsidP="00DB2452">
    <w:pPr>
      <w:pStyle w:val="EPFooter2"/>
    </w:pPr>
    <w:r w:rsidRPr="00DB2452">
      <w:t>MT</w:t>
    </w:r>
    <w:r w:rsidRPr="00DB2452">
      <w:tab/>
    </w:r>
    <w:r w:rsidRPr="00DB2452">
      <w:rPr>
        <w:b w:val="0"/>
        <w:i/>
        <w:color w:val="C0C0C0"/>
        <w:sz w:val="22"/>
      </w:rPr>
      <w:t>Magħquda fid-diversità</w:t>
    </w:r>
    <w:r w:rsidRPr="00DB245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EB5" w:rsidRPr="00DB2452" w:rsidRDefault="002E6AC5">
      <w:r w:rsidRPr="00DB2452">
        <w:separator/>
      </w:r>
    </w:p>
  </w:footnote>
  <w:footnote w:type="continuationSeparator" w:id="0">
    <w:p w:rsidR="00B90EB5" w:rsidRPr="00DB2452" w:rsidRDefault="002E6AC5">
      <w:r w:rsidRPr="00DB2452">
        <w:continuationSeparator/>
      </w:r>
    </w:p>
  </w:footnote>
  <w:footnote w:id="1">
    <w:p w:rsidR="00DB2452" w:rsidRPr="00DB2452" w:rsidRDefault="002E6AC5" w:rsidP="00DB2452">
      <w:pPr>
        <w:pStyle w:val="FootnoteText"/>
      </w:pPr>
      <w:r>
        <w:rPr>
          <w:rStyle w:val="FootnoteReference"/>
        </w:rPr>
        <w:footnoteRef/>
      </w:r>
      <w:r>
        <w:t xml:space="preserve"> Għadha ma ġietx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220" w:rsidRDefault="00E352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220" w:rsidRDefault="00E352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220" w:rsidRDefault="00E352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LIBE"/>
    <w:docVar w:name="DOCMNU" w:val=" 2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452374 HideTWBExt;}{\*\cs18 \additive \v\f1\fs20\cf15 _x000d__x000a_\spriority0 \styrsid6452374 HideTWBInt;}{\s19\ql \li0\ri0\sa120\nowidctlpar\wrapdefault\aspalpha\aspnum\faauto\adjustright\rin0\lin0\itap0 \rtlch\fcs1 \af0\afs20\alang1025 \ltrch\fcs0 \fs24\lang1082\langfe2057\cgrid\langnp1082\langfenp2057 _x000d__x000a_\sbasedon0 \snext19 \spriority0 \styrsid6452374 Normal6a;}{\s20\ql \li0\ri0\nowidctlpar\wrapdefault\aspalpha\aspnum\faauto\adjustright\rin0\lin0\itap0 \rtlch\fcs1 \af0\afs20\alang1025 \ltrch\fcs0 \b\fs24\lang1082\langfe2057\cgrid\langnp1082\langfenp2057 _x000d__x000a_\sbasedon0 \snext20 \spriority0 \styrsid6452374 NormalBold;}{\s21\ql \li0\ri0\sa240\nowidctlpar\wrapdefault\aspalpha\aspnum\faauto\adjustright\rin0\lin0\itap0 \rtlch\fcs1 \af0\afs20\alang1025 \ltrch\fcs0 _x000d__x000a_\i\fs24\lang1082\langfe2057\cgrid\langnp1082\langfenp2057 \sbasedon0 \snext21 \spriority0 \styrsid6452374 AmJustText;}{\s22\qc \li0\ri0\sb240\sa240\nowidctlpar\wrapdefault\aspalpha\aspnum\faauto\adjustright\rin0\lin0\itap0 \rtlch\fcs1 _x000d__x000a_\af0\afs20\alang1025 \ltrch\fcs0 \i\fs24\lang1082\langfe2057\cgrid\langnp1082\langfenp2057 \sbasedon0 \snext22 \spriority0 \styrsid6452374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452374 AmJustTitle;}{\s24\qr \li0\ri0\sb240\sa240\nowidctlpar\wrapdefault\aspalpha\aspnum\faauto\adjustright\rin0\lin0\itap0 \rtlch\fcs1 \af0\afs20\alang1025 \ltrch\fcs0 _x000d__x000a_\fs24\lang1082\langfe2057\cgrid\langnp1082\langfenp2057 \sbasedon0 \snext24 \spriority0 \styrsid6452374 AmOrLang;}{\s25\qc \li0\ri0\sa240\nowidctlpar\wrapdefault\aspalpha\aspnum\faauto\adjustright\rin0\lin0\itap0 \rtlch\fcs1 \af0\afs20\alang1025 _x000d__x000a_\ltrch\fcs0 \i\fs24\lang1082\langfe2057\cgrid\langnp1082\langfenp2057 \sbasedon0 \snext25 \spriority0 \styrsid64523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452374 AmNumberTabs;}{\s27\ql \li0\ri0\sb240\nowidctlpar\wrapdefault\aspalpha\aspnum\faauto\adjustright\rin0\lin0\itap0 \rtlch\fcs1 _x000d__x000a_\af0\afs20\alang1025 \ltrch\fcs0 \b\fs24\lang1082\langfe2057\cgrid\langnp1082\langfenp2057 \sbasedon0 \snext27 \spriority0 \styrsid6452374 NormalBold12b;}}{\*\rsidtbl \rsid24658\rsid223860\rsid735077\rsid1013914\rsid1718133\rsid2892074\rsid3565327_x000d__x000a_\rsid4666813\rsid6452374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VELLA George}{\operator VELLA George}{\creatim\yr2023\mo5\dy8\hr13\min52}{\revtim\yr2023\mo5\dy8\hr13\min52}{\version1}{\edmins0}{\nofpages1}_x000d__x000a_{\nofwords103}{\nofchars592}{\nofcharsws694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4523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391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391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391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391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452374 \rtlch\fcs1 _x000d__x000a_\af0\afs20\alang1025 \ltrch\fcs0 \b\fs24\lang1082\langfe2057\cgrid\langnp1082\langfenp2057 {\rtlch\fcs1 \af0 \ltrch\fcs0 \cs17\b0\v\fs20\cf9\lang1024\langfe1024\loch\af1\hich\af1\dbch\af31501\noproof\insrsid6452374\charrsid12127925 {\*\bkmkstart restart}_x000d__x000a_\hich\af1\dbch\af31501\loch\f1 &lt;Amend&gt;}{\rtlch\fcs1 \af0 \ltrch\fcs0 \insrsid6452374\charrsid12127925 Emenda\tab \tab }{\rtlch\fcs1 \af0 \ltrch\fcs0 _x000d__x000a_\cs17\b0\v\fs20\cf9\lang1024\langfe1024\loch\af1\hich\af1\dbch\af31501\noproof\insrsid6452374\charrsid12127925 \hich\af1\dbch\af31501\loch\f1 &lt;NumAm&gt;}{\rtlch\fcs1 \af0 \ltrch\fcs0 \insrsid6452374\charrsid12127925 #}{\rtlch\fcs1 \af1 \ltrch\fcs0 _x000d__x000a_\cs18\v\f1\fs20\cf15\insrsid6452374\charrsid12127925 ENMIENDA@NRAM@}{\rtlch\fcs1 \af0 \ltrch\fcs0 \insrsid6452374\charrsid12127925 #}{\rtlch\fcs1 \af0 \ltrch\fcs0 _x000d__x000a_\cs17\b0\v\fs20\cf9\lang1024\langfe1024\loch\af1\hich\af1\dbch\af31501\noproof\insrsid6452374\charrsid12127925 \hich\af1\dbch\af31501\loch\f1 &lt;/NumAm&gt;}{\rtlch\fcs1 \af0 \ltrch\fcs0 \insrsid6452374\charrsid12127925 _x000d__x000a_\par }\pard\plain \ltrpar\s27\ql \li0\ri0\sb240\keepn\nowidctlpar\wrapdefault\aspalpha\aspnum\faauto\adjustright\rin0\lin0\itap0\pararsid6452374 \rtlch\fcs1 \af0\afs20\alang1025 \ltrch\fcs0 \b\fs24\lang1082\langfe2057\cgrid\langnp1082\langfenp2057 {_x000d__x000a_\rtlch\fcs1 \af0 \ltrch\fcs0 \cs17\b0\v\fs20\cf9\lang1024\langfe1024\loch\af1\hich\af1\dbch\af31501\noproof\insrsid6452374\charrsid12127925 \hich\af1\dbch\af31501\loch\f1 &lt;DocAmend&gt;}{\rtlch\fcs1 \af0 \ltrch\fcs0 \insrsid6452374\charrsid12127925 Proposta g_x000d__x000a_\u295\'68al #}{\rtlch\fcs1 \af1 \ltrch\fcs0 \cs18\v\f1\fs20\cf15\insrsid6452374\charrsid12127925 MNU[DOC1][DOC2][DOC3]@DOCMSG@DOCMNU}{\rtlch\fcs1 \af0 \ltrch\fcs0 \insrsid6452374\charrsid12127925 ##}{\rtlch\fcs1 \af1 \ltrch\fcs0 _x000d__x000a_\cs18\v\f1\fs20\cf15\insrsid6452374\charrsid12127925 MNU[AMACTYES][NOTAPP]@CHOICE@AMACTMNU}{\rtlch\fcs1 \af0 \ltrch\fcs0 \insrsid6452374\charrsid12127925 #}{\rtlch\fcs1 \af0 \ltrch\fcs0 _x000d__x000a_\cs17\b0\v\fs20\cf9\lang1024\langfe1024\loch\af1\hich\af1\dbch\af31501\noproof\insrsid6452374\charrsid12127925 \hich\af1\dbch\af31501\loch\f1 &lt;/DocAmend&gt;}{\rtlch\fcs1 \af0 \ltrch\fcs0 \insrsid6452374\charrsid12127925 _x000d__x000a_\par }\pard\plain \ltrpar\s20\ql \li0\ri0\keepn\nowidctlpar\wrapdefault\aspalpha\aspnum\faauto\adjustright\rin0\lin0\itap0\pararsid6452374 \rtlch\fcs1 \af0\afs20\alang1025 \ltrch\fcs0 \b\fs24\lang1082\langfe2057\cgrid\langnp1082\langfenp2057 {\rtlch\fcs1 \af0 _x000d__x000a_\ltrch\fcs0 \cs17\b0\v\fs20\cf9\lang1024\langfe1024\loch\af1\hich\af1\dbch\af31501\noproof\insrsid6452374\charrsid12127925 \hich\af1\dbch\af31501\loch\f1 &lt;Article&gt;}{\rtlch\fcs1 \af0 \ltrch\fcs0 \insrsid6452374\charrsid12127925 #}{\rtlch\fcs1 \af1 _x000d__x000a_\ltrch\fcs0 \cs18\v\f1\fs20\cf15\insrsid6452374\charrsid12127925 MNU[AMACTPARTYES][AMACTPARTNO]@CHOICE@AMACTMNU}{\rtlch\fcs1 \af0 \ltrch\fcs0 \insrsid6452374\charrsid12127925 #}{\rtlch\fcs1 \af0 \ltrch\fcs0 _x000d__x000a_\cs17\b0\v\fs20\cf9\lang1024\langfe1024\loch\af1\hich\af1\dbch\af31501\noproof\insrsid6452374\charrsid12127925 \hich\af1\dbch\af31501\loch\f1 &lt;/Article&gt;}{\rtlch\fcs1 \af0 \ltrch\fcs0 \insrsid6452374\charrsid12127925 _x000d__x000a_\par }\pard\plain \ltrpar\ql \li0\ri0\keepn\widctlpar\wrapdefault\aspalpha\aspnum\faauto\adjustright\rin0\lin0\itap0\pararsid6452374 \rtlch\fcs1 \af0\afs20\alang1025 \ltrch\fcs0 \fs24\lang2057\langfe2057\cgrid\langnp2057\langfenp2057 {\rtlch\fcs1 \af0 _x000d__x000a_\ltrch\fcs0 \cs17\v\fs20\cf9\lang1024\langfe1024\loch\af1\hich\af1\dbch\af31501\noproof\langnp1082\insrsid6452374\charrsid12127925 \hich\af1\dbch\af31501\loch\f1 &lt;DocAmend2&gt;&lt;OptDel&gt;}{\rtlch\fcs1 \af0 \ltrch\fcs0 _x000d__x000a_\lang1082\langfe2057\langnp1082\insrsid6452374\charrsid12127925 #}{\rtlch\fcs1 \af1 \ltrch\fcs0 \cs18\v\f1\fs20\cf15\lang1082\langfe2057\langnp1082\insrsid6452374\charrsid12127925 MNU[OPTNRACTYES][NOTAPP]@CHOICE@AMACTMNU}{\rtlch\fcs1 \af0 \ltrch\fcs0 _x000d__x000a_\lang1082\langfe2057\langnp1082\insrsid6452374\charrsid12127925 #}{\rtlch\fcs1 \af0 \ltrch\fcs0 \cs17\v\fs20\cf9\lang1024\langfe1024\loch\af1\hich\af1\dbch\af31501\noproof\langnp1082\insrsid6452374\charrsid12127925 \hich\af1\dbch\af31501\loch\f1 _x000d__x000a_&lt;/OptDel&gt;&lt;/DocAmend2&gt;}{\rtlch\fcs1 \af0 \ltrch\fcs0 \lang1082\langfe2057\langnp1082\insrsid6452374\charrsid12127925 _x000d__x000a_\par }\pard \ltrpar\ql \li0\ri0\widctlpar\wrapdefault\aspalpha\aspnum\faauto\adjustright\rin0\lin0\itap0\pararsid6452374 {\rtlch\fcs1 \af0 \ltrch\fcs0 _x000d__x000a_\cs17\v\fs20\cf9\lang1024\langfe1024\loch\af1\hich\af1\dbch\af31501\noproof\langnp1082\insrsid6452374\charrsid12127925 \hich\af1\dbch\af31501\loch\f1 &lt;Article2&gt;&lt;OptDel&gt;}{\rtlch\fcs1 \af0 \ltrch\fcs0 _x000d__x000a_\lang1082\langfe2057\langnp1082\insrsid6452374\charrsid12127925 #}{\rtlch\fcs1 \af1 \ltrch\fcs0 \cs18\v\f1\fs20\cf15\lang1082\langfe2057\langnp1082\insrsid6452374\charrsid12127925 MNU[OPTACTPARTYES][NOTAPP]@CHOICE@AMACTMNU}{\rtlch\fcs1 \af0 \ltrch\fcs0 _x000d__x000a_\lang1082\langfe2057\langnp1082\insrsid6452374\charrsid12127925 #}{\rtlch\fcs1 \af0 \ltrch\fcs0 \cs17\v\fs20\cf9\lang1024\langfe1024\loch\af1\hich\af1\dbch\af31501\noproof\langnp1082\insrsid6452374\charrsid12127925 \hich\af1\dbch\af31501\loch\f1 _x000d__x000a_&lt;/OptDel&gt;&lt;/Article2&gt;}{\rtlch\fcs1 \af0 \ltrch\fcs0 \lang1082\langfe2057\langnp1082\insrsid6452374\charrsid12127925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6452374\charrsid12127925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452374\charrsid12127925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6452374\charrsid12127925 #}{\rtlch\fcs1 \af1 \ltrch\fcs0 \cs18\v\f1\fs20\cf15\insrsid6452374\charrsid12127925 MNU[OPTLEFTAMACT][LEFTPROP]@CHOICE@AMACTMNU}{\rtlch\fcs1 \af0 \ltrch\fcs0 \insrsid6452374\charrsid12127925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6452374\charrsid12127925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6452374\charrsid12127925 ##\cell ##}{\rtlch\fcs1 \af0\afs24 \ltrch\fcs0 \insrsid6452374\charrsid12127925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6452374\charrsid12127925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6452374 \rtlch\fcs1 \af0\afs20\alang1025 \ltrch\fcs0 \fs24\lang1082\langfe2057\cgrid\langnp1082\langfenp2057 {\rtlch\fcs1 \af0 \ltrch\fcs0 _x000d__x000a_\insrsid6452374\charrsid12127925 Or. }{\rtlch\fcs1 \af0 \ltrch\fcs0 \cs17\v\fs20\cf9\lang1024\langfe1024\loch\af1\hich\af1\dbch\af31501\noproof\insrsid6452374\charrsid12127925 \hich\af1\dbch\af31501\loch\f1 &lt;Original&gt;}{\rtlch\fcs1 \af0 \ltrch\fcs0 _x000d__x000a_\insrsid6452374\charrsid12127925 #}{\rtlch\fcs1 \af1 \ltrch\fcs0 \cs18\v\f1\fs20\cf15\insrsid6452374\charrsid12127925 MNU[ORLANGONE][ORLANGMORE]@CHOICE@ORLANGMNU}{\rtlch\fcs1 \af0 \ltrch\fcs0 \insrsid6452374\charrsid12127925 #}{\rtlch\fcs1 \af0 _x000d__x000a_\ltrch\fcs0 \cs17\v\fs20\cf9\lang1024\langfe1024\loch\af1\hich\af1\dbch\af31501\noproof\insrsid6452374\charrsid12127925 \hich\af1\dbch\af31501\loch\f1 &lt;/Original&gt;}{\rtlch\fcs1 \af0 \ltrch\fcs0 \insrsid6452374\charrsid12127925 _x000d__x000a_\par }\pard\plain \ltrpar\s22\qc \li0\ri0\sb240\sa240\nowidctlpar\wrapdefault\aspalpha\aspnum\faauto\adjustright\rin0\lin0\itap0\pararsid6452374 \rtlch\fcs1 \af0\afs20\alang1025 \ltrch\fcs0 \i\fs24\lang1082\langfe2057\cgrid\langnp1082\langfenp2057 {_x000d__x000a_\rtlch\fcs1 \af0 \ltrch\fcs0 \cs17\i0\v\fs20\cf9\lang1024\langfe1024\loch\af1\hich\af1\dbch\af31501\noproof\insrsid6452374\charrsid12127925 \hich\af1\dbch\af31501\loch\f1 &lt;OptDel&gt;}{\rtlch\fcs1 \af0 \ltrch\fcs0 \insrsid6452374\charrsid12127925 #}{_x000d__x000a_\rtlch\fcs1 \af1 \ltrch\fcs0 \cs18\v\f1\fs20\cf15\insrsid6452374\charrsid12127925 MNU[CROSSREFNO][CROSSREFYES]@CHOICE@}{\rtlch\fcs1 \af0 \ltrch\fcs0 \insrsid6452374\charrsid12127925 #}{\rtlch\fcs1 \af0 \ltrch\fcs0 _x000d__x000a_\cs17\i0\v\fs20\cf9\lang1024\langfe1024\loch\af1\hich\af1\dbch\af31501\noproof\insrsid6452374\charrsid12127925 \hich\af1\dbch\af31501\loch\f1 &lt;/OptDel&gt;}{\rtlch\fcs1 \af0 \ltrch\fcs0 \insrsid6452374\charrsid12127925 _x000d__x000a_\par }\pard\plain \ltrpar\s23\qc \li0\ri0\sb240\sa240\keepn\nowidctlpar\wrapdefault\aspalpha\aspnum\faauto\adjustright\rin0\lin0\itap0\pararsid6452374 \rtlch\fcs1 \af0\afs20\alang1025 \ltrch\fcs0 \i\fs24\lang1082\langfe2057\cgrid\langnp1082\langfenp2057 {_x000d__x000a_\rtlch\fcs1 \af0 \ltrch\fcs0 \cs17\i0\v\fs20\cf9\lang1024\langfe1024\loch\af1\hich\af1\dbch\af31501\noproof\insrsid6452374\charrsid12127925 \hich\af1\dbch\af31501\loch\f1 &lt;TitreJust&gt;}{\rtlch\fcs1 \af0 \ltrch\fcs0 \insrsid6452374\charrsid12127925 \u288\'47_x000d__x000a_ustifikazzjoni}{\rtlch\fcs1 \af0 \ltrch\fcs0 \cs17\i0\v\fs20\cf9\lang1024\langfe1024\loch\af1\hich\af1\dbch\af31501\noproof\insrsid6452374\charrsid12127925 \hich\af1\dbch\af31501\loch\f1 &lt;/TitreJust&gt;}{\rtlch\fcs1 \af0 \ltrch\fcs0 _x000d__x000a_\insrsid6452374\charrsid12127925 _x000d__x000a_\par }\pard\plain \ltrpar\s21\ql \li0\ri0\sa240\nowidctlpar\wrapdefault\aspalpha\aspnum\faauto\adjustright\rin0\lin0\itap0\pararsid6452374 \rtlch\fcs1 \af0\afs20\alang1025 \ltrch\fcs0 \i\fs24\lang1082\langfe2057\cgrid\langnp1082\langfenp2057 {\rtlch\fcs1 \af0 _x000d__x000a_\ltrch\fcs0 \cs17\i0\v\fs20\cf9\lang1024\langfe1024\loch\af1\hich\af1\dbch\af31501\noproof\insrsid6452374\charrsid12127925 \hich\af1\dbch\af31501\loch\f1 &lt;OptDelPrev&gt;}{\rtlch\fcs1 \af0 \ltrch\fcs0 \insrsid6452374\charrsid12127925 #}{\rtlch\fcs1 \af1 _x000d__x000a_\ltrch\fcs0 \cs18\v\f1\fs20\cf15\insrsid6452374\charrsid12127925 MNU[TEXTJUSTYES][TEXTJUSTNO]@CHOICE@}{\rtlch\fcs1 \af0 \ltrch\fcs0 \insrsid6452374\charrsid12127925 #}{\rtlch\fcs1 \af0 \ltrch\fcs0 _x000d__x000a_\cs17\i0\v\fs20\cf9\lang1024\langfe1024\loch\af1\hich\af1\dbch\af31501\noproof\insrsid6452374\charrsid12127925 \hich\af1\dbch\af31501\loch\f1 &lt;/OptDelPrev&gt;}{\rtlch\fcs1 \af0 \ltrch\fcs0 \insrsid6452374\charrsid12127925 _x000d__x000a_\par }\pard\plain \ltrpar\ql \li0\ri0\widctlpar\wrapdefault\aspalpha\aspnum\faauto\adjustright\rin0\lin0\itap0\pararsid6452374 \rtlch\fcs1 \af0\afs20\alang1025 \ltrch\fcs0 \fs24\lang2057\langfe2057\cgrid\langnp2057\langfenp2057 {\rtlch\fcs1 \af0 \ltrch\fcs0 _x000d__x000a_\cs17\v\fs20\cf9\lang1024\langfe1024\loch\af1\hich\af1\dbch\af31501\noproof\langnp1082\insrsid6452374\charrsid12127925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bb8ba381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77"/>
    <w:docVar w:name="TXTAUTHOR" w:val="Sophia in 't Veld"/>
    <w:docVar w:name="TXTLANGUE" w:val="MT"/>
    <w:docVar w:name="TXTLANGUEMIN" w:val="mt"/>
    <w:docVar w:name="TXTNRCOD" w:val="2022/0398"/>
    <w:docVar w:name="TXTNRPE" w:val="746.946"/>
    <w:docVar w:name="TXTPEorAP" w:val="PE"/>
    <w:docVar w:name="TXTROUTE" w:val="PR\1277982MT.docx"/>
    <w:docVar w:name="TXTVERSION" w:val="01-00"/>
  </w:docVars>
  <w:rsids>
    <w:rsidRoot w:val="00B90EB5"/>
    <w:rsid w:val="00011AAB"/>
    <w:rsid w:val="00012351"/>
    <w:rsid w:val="000139E5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A03FF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E6AC5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51111"/>
    <w:rsid w:val="00551123"/>
    <w:rsid w:val="005637D7"/>
    <w:rsid w:val="00570A6A"/>
    <w:rsid w:val="00586E50"/>
    <w:rsid w:val="0059583D"/>
    <w:rsid w:val="005A42D9"/>
    <w:rsid w:val="005C2BEF"/>
    <w:rsid w:val="005D1A99"/>
    <w:rsid w:val="005D7609"/>
    <w:rsid w:val="005D7EE8"/>
    <w:rsid w:val="00642325"/>
    <w:rsid w:val="0069092A"/>
    <w:rsid w:val="006A2F5D"/>
    <w:rsid w:val="006F7907"/>
    <w:rsid w:val="00743189"/>
    <w:rsid w:val="00743D33"/>
    <w:rsid w:val="007932B3"/>
    <w:rsid w:val="00793EA9"/>
    <w:rsid w:val="007D6F68"/>
    <w:rsid w:val="007F43F3"/>
    <w:rsid w:val="008125A9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0EB5"/>
    <w:rsid w:val="00B95702"/>
    <w:rsid w:val="00BC6489"/>
    <w:rsid w:val="00BD480C"/>
    <w:rsid w:val="00C20954"/>
    <w:rsid w:val="00C23324"/>
    <w:rsid w:val="00C42A41"/>
    <w:rsid w:val="00C47E74"/>
    <w:rsid w:val="00C57A72"/>
    <w:rsid w:val="00C73602"/>
    <w:rsid w:val="00C85D0F"/>
    <w:rsid w:val="00CF60C8"/>
    <w:rsid w:val="00D30DE2"/>
    <w:rsid w:val="00D32924"/>
    <w:rsid w:val="00D503A3"/>
    <w:rsid w:val="00DA6ED0"/>
    <w:rsid w:val="00DB2452"/>
    <w:rsid w:val="00DC5011"/>
    <w:rsid w:val="00E171B6"/>
    <w:rsid w:val="00E35220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62829-2065-492F-938E-D6F4CD8F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DB245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B245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DB2452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DB2452"/>
    <w:rPr>
      <w:b/>
      <w:sz w:val="24"/>
      <w:lang w:val="mt-MT"/>
    </w:rPr>
  </w:style>
  <w:style w:type="paragraph" w:styleId="FootnoteText">
    <w:name w:val="footnote text"/>
    <w:basedOn w:val="Normal"/>
    <w:link w:val="FootnoteTextChar"/>
    <w:rsid w:val="00DB245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DB2452"/>
  </w:style>
  <w:style w:type="character" w:styleId="FootnoteReference">
    <w:name w:val="footnote reference"/>
    <w:basedOn w:val="DefaultParagraphFont"/>
    <w:rsid w:val="00DB2452"/>
    <w:rPr>
      <w:vertAlign w:val="superscript"/>
    </w:rPr>
  </w:style>
  <w:style w:type="paragraph" w:customStyle="1" w:styleId="msonormal0">
    <w:name w:val="msonormal"/>
    <w:basedOn w:val="Normal"/>
    <w:rsid w:val="00DB2452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DB245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DB2452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DB2452"/>
    <w:rPr>
      <w:noProof/>
      <w:sz w:val="24"/>
    </w:rPr>
  </w:style>
  <w:style w:type="paragraph" w:customStyle="1" w:styleId="Normal12">
    <w:name w:val="Normal12"/>
    <w:basedOn w:val="Normal"/>
    <w:link w:val="Normal12Char"/>
    <w:rsid w:val="00DB2452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B245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B245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B245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B245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B2452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B245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DB2452"/>
    <w:pPr>
      <w:spacing w:after="120"/>
    </w:pPr>
  </w:style>
  <w:style w:type="paragraph" w:customStyle="1" w:styleId="Normal12Italic">
    <w:name w:val="Normal12Italic"/>
    <w:basedOn w:val="Normal12"/>
    <w:rsid w:val="00DB2452"/>
    <w:rPr>
      <w:i/>
    </w:rPr>
  </w:style>
  <w:style w:type="paragraph" w:customStyle="1" w:styleId="JustificationTitle">
    <w:name w:val="JustificationTitle"/>
    <w:basedOn w:val="Normal"/>
    <w:next w:val="Normal12"/>
    <w:rsid w:val="00DB245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B245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B245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B24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B2452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DB245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DB245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B2452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semiHidden/>
    <w:unhideWhenUsed/>
    <w:rsid w:val="00DB24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245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DB24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24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245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24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B2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ella\AppData\Local\Temp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C5DD2-F459-45CA-86D7-1BA8B6657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25</Pages>
  <Words>5660</Words>
  <Characters>32268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VELLA George</dc:creator>
  <cp:lastModifiedBy>VELLA George</cp:lastModifiedBy>
  <cp:revision>2</cp:revision>
  <cp:lastPrinted>2004-11-04T09:41:00Z</cp:lastPrinted>
  <dcterms:created xsi:type="dcterms:W3CDTF">2023-05-15T09:32:00Z</dcterms:created>
  <dcterms:modified xsi:type="dcterms:W3CDTF">2023-05-15T09:32:00Z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1277982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\\eiciLUXpr1\pdocep$\DocEP\TRANSFIL\MT\PR_COD_1amCom.MT(08/12/2022 16:57:03)</vt:lpwstr>
  </property>
  <property fmtid="{D5CDD505-2E9C-101B-9397-08002B2CF9AE}" pid="7" name="&lt;Type&gt;">
    <vt:lpwstr>PR</vt:lpwstr>
  </property>
  <property fmtid="{D5CDD505-2E9C-101B-9397-08002B2CF9AE}" pid="8" name="Created with">
    <vt:lpwstr>9.14.1 Build [20230301]</vt:lpwstr>
  </property>
  <property fmtid="{D5CDD505-2E9C-101B-9397-08002B2CF9AE}" pid="9" name="FooterPath">
    <vt:lpwstr>PR\1277982MT.docx</vt:lpwstr>
  </property>
  <property fmtid="{D5CDD505-2E9C-101B-9397-08002B2CF9AE}" pid="10" name="LastEdited with">
    <vt:lpwstr>9.14.1 Build [20230301]</vt:lpwstr>
  </property>
  <property fmtid="{D5CDD505-2E9C-101B-9397-08002B2CF9AE}" pid="11" name="PE number">
    <vt:lpwstr>746.946</vt:lpwstr>
  </property>
  <property fmtid="{D5CDD505-2E9C-101B-9397-08002B2CF9AE}" pid="12" name="SDLStudio">
    <vt:lpwstr/>
  </property>
</Properties>
</file>