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2785" w:rsidTr="00F32369">
        <w:trPr>
          <w:trHeight w:hRule="exact" w:val="1418"/>
        </w:trPr>
        <w:tc>
          <w:tcPr>
            <w:tcW w:w="6804" w:type="dxa"/>
            <w:shd w:val="clear" w:color="auto" w:fill="auto"/>
            <w:vAlign w:val="center"/>
          </w:tcPr>
          <w:p w:rsidR="00B13D6F" w:rsidRPr="004C499C" w:rsidRDefault="00401178" w:rsidP="00F32369">
            <w:pPr>
              <w:pStyle w:val="EPName"/>
            </w:pPr>
            <w:r>
              <w:t>Parlamentul European</w:t>
            </w:r>
          </w:p>
          <w:p w:rsidR="00B13D6F" w:rsidRPr="004C499C" w:rsidRDefault="00401178" w:rsidP="00EF0FC3">
            <w:pPr>
              <w:pStyle w:val="EPTerm"/>
            </w:pPr>
            <w:r>
              <w:t>2019-2024</w:t>
            </w:r>
          </w:p>
        </w:tc>
        <w:tc>
          <w:tcPr>
            <w:tcW w:w="2268" w:type="dxa"/>
            <w:shd w:val="clear" w:color="auto" w:fill="auto"/>
          </w:tcPr>
          <w:p w:rsidR="00B13D6F" w:rsidRPr="004C499C" w:rsidRDefault="00401178" w:rsidP="00F32369">
            <w:pPr>
              <w:pStyle w:val="EPLogo"/>
            </w:pPr>
            <w:r w:rsidRPr="004C49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C499C" w:rsidRDefault="00461601" w:rsidP="00461601">
      <w:pPr>
        <w:pStyle w:val="LineTop"/>
      </w:pPr>
    </w:p>
    <w:p w:rsidR="00461601" w:rsidRPr="004C499C" w:rsidRDefault="00401178" w:rsidP="00461601">
      <w:pPr>
        <w:pStyle w:val="EPBody"/>
      </w:pPr>
      <w:r>
        <w:rPr>
          <w:rStyle w:val="HideTWBExt"/>
        </w:rPr>
        <w:t>&lt;</w:t>
      </w:r>
      <w:r>
        <w:rPr>
          <w:rStyle w:val="HideTWBExt"/>
          <w:i w:val="0"/>
        </w:rPr>
        <w:t>Commission</w:t>
      </w:r>
      <w:r>
        <w:rPr>
          <w:rStyle w:val="HideTWBExt"/>
        </w:rPr>
        <w:t>&gt;</w:t>
      </w:r>
      <w:r>
        <w:rPr>
          <w:rStyle w:val="HideTWBInt"/>
          <w:color w:val="auto"/>
        </w:rPr>
        <w:t>{LIBE}</w:t>
      </w:r>
      <w:r>
        <w:t>Comisia pentru libertăți civile, justiție și afaceri interne</w:t>
      </w:r>
      <w:r>
        <w:rPr>
          <w:rStyle w:val="HideTWBExt"/>
        </w:rPr>
        <w:t>&lt;/</w:t>
      </w:r>
      <w:r>
        <w:rPr>
          <w:rStyle w:val="HideTWBExt"/>
          <w:i w:val="0"/>
        </w:rPr>
        <w:t>Commission</w:t>
      </w:r>
      <w:r>
        <w:rPr>
          <w:rStyle w:val="HideTWBExt"/>
        </w:rPr>
        <w:t>&gt;</w:t>
      </w:r>
    </w:p>
    <w:p w:rsidR="00461601" w:rsidRPr="004C499C" w:rsidRDefault="00461601" w:rsidP="00461601">
      <w:pPr>
        <w:pStyle w:val="LineBottom"/>
      </w:pPr>
    </w:p>
    <w:p w:rsidR="00793EA9" w:rsidRPr="004C499C" w:rsidRDefault="00401178">
      <w:pPr>
        <w:pStyle w:val="CoverReference"/>
      </w:pPr>
      <w:r>
        <w:rPr>
          <w:rStyle w:val="HideTWBExt"/>
          <w:b w:val="0"/>
        </w:rPr>
        <w:t>&lt;RefProc&gt;</w:t>
      </w:r>
      <w:r>
        <w:t>2022/0398</w:t>
      </w:r>
      <w:r>
        <w:rPr>
          <w:rStyle w:val="HideTWBExt"/>
          <w:b w:val="0"/>
        </w:rPr>
        <w:t>&lt;/RefProc&gt;&lt;RefTypeProc&gt;</w:t>
      </w:r>
      <w:r>
        <w:t>(COD)</w:t>
      </w:r>
      <w:r>
        <w:rPr>
          <w:rStyle w:val="HideTWBExt"/>
          <w:b w:val="0"/>
        </w:rPr>
        <w:t>&lt;/RefTypeProc&gt;</w:t>
      </w:r>
    </w:p>
    <w:p w:rsidR="00793EA9" w:rsidRPr="004C499C" w:rsidRDefault="00401178">
      <w:pPr>
        <w:pStyle w:val="CoverDate"/>
      </w:pPr>
      <w:r>
        <w:rPr>
          <w:rStyle w:val="HideTWBExt"/>
        </w:rPr>
        <w:t>&lt;Date&gt;</w:t>
      </w:r>
      <w:r>
        <w:rPr>
          <w:rStyle w:val="HideTWBInt"/>
          <w:color w:val="auto"/>
        </w:rPr>
        <w:t>{02/05/2023}</w:t>
      </w:r>
      <w:r>
        <w:t>3.5.2023</w:t>
      </w:r>
      <w:r>
        <w:rPr>
          <w:rStyle w:val="HideTWBExt"/>
        </w:rPr>
        <w:t>&lt;/Date&gt;</w:t>
      </w:r>
    </w:p>
    <w:p w:rsidR="00793EA9" w:rsidRPr="004C499C" w:rsidRDefault="00401178">
      <w:pPr>
        <w:pStyle w:val="CoverDocType"/>
      </w:pPr>
      <w:r>
        <w:rPr>
          <w:rStyle w:val="HideTWBExt"/>
          <w:b w:val="0"/>
        </w:rPr>
        <w:t>&lt;RefProcLect&gt;</w:t>
      </w:r>
      <w:r>
        <w:t>***I</w:t>
      </w:r>
      <w:r>
        <w:rPr>
          <w:rStyle w:val="HideTWBExt"/>
          <w:b w:val="0"/>
        </w:rPr>
        <w:t>&lt;/RefProcLect&gt;</w:t>
      </w:r>
    </w:p>
    <w:p w:rsidR="00793EA9" w:rsidRPr="004C499C" w:rsidRDefault="00401178">
      <w:pPr>
        <w:pStyle w:val="CoverDocType24a"/>
      </w:pPr>
      <w:r>
        <w:rPr>
          <w:rStyle w:val="HideTWBExt"/>
          <w:b w:val="0"/>
        </w:rPr>
        <w:t>&lt;TitreType&gt;</w:t>
      </w:r>
      <w:r>
        <w:t>PROIECT DE RAPORT</w:t>
      </w:r>
      <w:r>
        <w:rPr>
          <w:rStyle w:val="HideTWBExt"/>
          <w:b w:val="0"/>
        </w:rPr>
        <w:t>&lt;/TitreType&gt;</w:t>
      </w:r>
    </w:p>
    <w:p w:rsidR="00793EA9" w:rsidRPr="004C499C" w:rsidRDefault="00401178">
      <w:pPr>
        <w:pStyle w:val="CoverNormal"/>
      </w:pPr>
      <w:r>
        <w:rPr>
          <w:rStyle w:val="HideTWBExt"/>
        </w:rPr>
        <w:t>&lt;Titre&gt;</w:t>
      </w:r>
      <w:r>
        <w:t>referitor la propunerea de directivă a Parlamentului European și a Consiliului privind definirea infracțiunilor și a sancțiunilor pentru încălcarea măsurilor restrictive ale Uniunii</w:t>
      </w:r>
      <w:r>
        <w:rPr>
          <w:rStyle w:val="HideTWBExt"/>
        </w:rPr>
        <w:t>&lt;/Titre&gt;</w:t>
      </w:r>
    </w:p>
    <w:p w:rsidR="00793EA9" w:rsidRPr="004C499C" w:rsidRDefault="00401178">
      <w:pPr>
        <w:pStyle w:val="CoverNormal24a"/>
      </w:pPr>
      <w:r>
        <w:rPr>
          <w:rStyle w:val="HideTWBExt"/>
        </w:rPr>
        <w:t>&lt;DocRef&gt;</w:t>
      </w:r>
      <w:r>
        <w:t>(COM(2022)0684 – C9</w:t>
      </w:r>
      <w:r>
        <w:noBreakHyphen/>
        <w:t>0401/2022 – 2022/0398(COD))</w:t>
      </w:r>
      <w:r>
        <w:rPr>
          <w:rStyle w:val="HideTWBExt"/>
        </w:rPr>
        <w:t>&lt;/DocRef&gt;</w:t>
      </w:r>
    </w:p>
    <w:p w:rsidR="00793EA9" w:rsidRPr="004C499C" w:rsidRDefault="00401178">
      <w:pPr>
        <w:pStyle w:val="CoverNormal24a"/>
      </w:pPr>
      <w:r>
        <w:rPr>
          <w:rStyle w:val="HideTWBExt"/>
        </w:rPr>
        <w:t>&lt;Commission&gt;</w:t>
      </w:r>
      <w:r>
        <w:rPr>
          <w:rStyle w:val="HideTWBInt"/>
          <w:color w:val="auto"/>
        </w:rPr>
        <w:t>{LIBE}</w:t>
      </w:r>
      <w:r>
        <w:t>Comisia pentru libertăți civile, justiție și afaceri interne</w:t>
      </w:r>
      <w:r>
        <w:rPr>
          <w:rStyle w:val="HideTWBExt"/>
        </w:rPr>
        <w:t>&lt;/Commission&gt;</w:t>
      </w:r>
    </w:p>
    <w:p w:rsidR="00793EA9" w:rsidRPr="004C499C" w:rsidRDefault="00401178">
      <w:pPr>
        <w:pStyle w:val="CoverNormal24a"/>
      </w:pPr>
      <w:r>
        <w:t xml:space="preserve">Raportoare: </w:t>
      </w:r>
      <w:r>
        <w:rPr>
          <w:rStyle w:val="HideTWBExt"/>
        </w:rPr>
        <w:t>&lt;Depute&gt;</w:t>
      </w:r>
      <w:r>
        <w:t>Sophia in 't Veld</w:t>
      </w:r>
      <w:r>
        <w:rPr>
          <w:rStyle w:val="HideTWBExt"/>
        </w:rPr>
        <w:t>&lt;/Depute&gt;</w:t>
      </w:r>
    </w:p>
    <w:p w:rsidR="001C5B44" w:rsidRPr="004C499C" w:rsidRDefault="001C5B44" w:rsidP="001C5B44">
      <w:pPr>
        <w:pStyle w:val="CoverNormal"/>
      </w:pPr>
    </w:p>
    <w:p w:rsidR="00EF0FC3" w:rsidRPr="004C499C" w:rsidRDefault="00401178" w:rsidP="00F32369">
      <w:r>
        <w:br w:type="page"/>
      </w:r>
      <w:r w:rsidR="00BC5AA8">
        <w:lastRenderedPageBreak/>
        <w:fldChar w:fldCharType="begin"/>
      </w:r>
      <w:r>
        <w:instrText xml:space="preserve"> TITLE  \* MERGEFORMAT </w:instrText>
      </w:r>
      <w:r w:rsidR="00BC5AA8">
        <w:fldChar w:fldCharType="separate"/>
      </w:r>
      <w:r w:rsidR="0011256A">
        <w:t>PR_COD_1amCom</w:t>
      </w:r>
      <w:r w:rsidR="00BC5AA8">
        <w:fldChar w:fldCharType="end"/>
      </w:r>
    </w:p>
    <w:p w:rsidR="00EF0FC3" w:rsidRPr="004C499C" w:rsidRDefault="00EF0FC3" w:rsidP="00F32369"/>
    <w:p w:rsidR="00BC5AA8" w:rsidRPr="00775070" w:rsidRDefault="00BC5AA8" w:rsidP="00BC5AA8">
      <w:pPr>
        <w:tabs>
          <w:tab w:val="center" w:pos="4677"/>
        </w:tabs>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A2785" w:rsidTr="00376946">
        <w:tc>
          <w:tcPr>
            <w:tcW w:w="5811" w:type="dxa"/>
            <w:tcBorders>
              <w:top w:val="single" w:sz="4" w:space="0" w:color="auto"/>
            </w:tcBorders>
          </w:tcPr>
          <w:p w:rsidR="00BC5AA8" w:rsidRPr="00775070" w:rsidRDefault="00401178" w:rsidP="00376946">
            <w:pPr>
              <w:pStyle w:val="Lgendetitre"/>
              <w:rPr>
                <w:szCs w:val="24"/>
              </w:rPr>
            </w:pPr>
            <w:r>
              <w:t>Legenda simbolurilor utilizate</w:t>
            </w:r>
          </w:p>
        </w:tc>
      </w:tr>
      <w:tr w:rsidR="00AA2785" w:rsidTr="00376946">
        <w:trPr>
          <w:cantSplit/>
          <w:trHeight w:val="1949"/>
        </w:trPr>
        <w:tc>
          <w:tcPr>
            <w:tcW w:w="5811" w:type="dxa"/>
            <w:tcBorders>
              <w:bottom w:val="single" w:sz="4" w:space="0" w:color="auto"/>
            </w:tcBorders>
          </w:tcPr>
          <w:p w:rsidR="00BC5AA8" w:rsidRPr="00775070" w:rsidRDefault="00401178" w:rsidP="00376946">
            <w:pPr>
              <w:pStyle w:val="Lgendesigne"/>
              <w:rPr>
                <w:szCs w:val="24"/>
              </w:rPr>
            </w:pPr>
            <w:r>
              <w:tab/>
              <w:t>*</w:t>
            </w:r>
            <w:r>
              <w:tab/>
              <w:t>Procedura de consultare</w:t>
            </w:r>
            <w:r>
              <w:tab/>
            </w:r>
          </w:p>
          <w:p w:rsidR="00BC5AA8" w:rsidRPr="00775070" w:rsidRDefault="00401178" w:rsidP="00376946">
            <w:pPr>
              <w:pStyle w:val="Lgendesigne"/>
              <w:rPr>
                <w:szCs w:val="24"/>
              </w:rPr>
            </w:pPr>
            <w:r>
              <w:tab/>
              <w:t>***</w:t>
            </w:r>
            <w:r>
              <w:tab/>
              <w:t>Procedura de aprobare</w:t>
            </w:r>
          </w:p>
          <w:p w:rsidR="00BC5AA8" w:rsidRPr="00775070" w:rsidRDefault="00401178" w:rsidP="00376946">
            <w:pPr>
              <w:pStyle w:val="Lgendesigne"/>
              <w:rPr>
                <w:szCs w:val="24"/>
              </w:rPr>
            </w:pPr>
            <w:r>
              <w:tab/>
              <w:t>***I</w:t>
            </w:r>
            <w:r>
              <w:tab/>
              <w:t>Procedura legislativă ordinară (prima lectură)</w:t>
            </w:r>
          </w:p>
          <w:p w:rsidR="00BC5AA8" w:rsidRPr="00775070" w:rsidRDefault="00401178" w:rsidP="00376946">
            <w:pPr>
              <w:pStyle w:val="Lgendesigne"/>
              <w:rPr>
                <w:szCs w:val="24"/>
              </w:rPr>
            </w:pPr>
            <w:r>
              <w:tab/>
              <w:t>***II</w:t>
            </w:r>
            <w:r>
              <w:tab/>
              <w:t>Procedura legislativă ordinară (a doua lectură)</w:t>
            </w:r>
          </w:p>
          <w:p w:rsidR="00BC5AA8" w:rsidRPr="00775070" w:rsidRDefault="00401178" w:rsidP="00376946">
            <w:pPr>
              <w:pStyle w:val="Lgendesigne"/>
              <w:rPr>
                <w:szCs w:val="24"/>
              </w:rPr>
            </w:pPr>
            <w:r>
              <w:tab/>
              <w:t>***III</w:t>
            </w:r>
            <w:r>
              <w:tab/>
              <w:t>Procedura legislativă ordinară (a treia lectură)</w:t>
            </w:r>
            <w:r>
              <w:br/>
            </w:r>
          </w:p>
          <w:p w:rsidR="00BC5AA8" w:rsidRPr="00775070" w:rsidRDefault="00401178" w:rsidP="00376946">
            <w:pPr>
              <w:pStyle w:val="Lgendestandard"/>
              <w:rPr>
                <w:szCs w:val="24"/>
              </w:rPr>
            </w:pPr>
            <w:r>
              <w:t>(Procedura indicată se bazează pe temeiul juridic propus în proiectul de act.)</w:t>
            </w:r>
          </w:p>
          <w:p w:rsidR="00BC5AA8" w:rsidRPr="00775070" w:rsidRDefault="00BC5AA8" w:rsidP="00376946">
            <w:pPr>
              <w:pStyle w:val="Lgendestandard"/>
              <w:rPr>
                <w:szCs w:val="24"/>
              </w:rPr>
            </w:pPr>
          </w:p>
        </w:tc>
      </w:tr>
    </w:tbl>
    <w:p w:rsidR="00BC5AA8" w:rsidRPr="00775070" w:rsidRDefault="00BC5AA8" w:rsidP="00BC5AA8">
      <w:pPr>
        <w:rPr>
          <w:szCs w:val="24"/>
        </w:rPr>
      </w:pPr>
    </w:p>
    <w:p w:rsidR="00BC5AA8" w:rsidRPr="00775070" w:rsidRDefault="00BC5AA8" w:rsidP="00BC5AA8">
      <w:pPr>
        <w:rPr>
          <w:szCs w:val="24"/>
        </w:rPr>
      </w:pPr>
    </w:p>
    <w:p w:rsidR="00BC5AA8" w:rsidRPr="00775070" w:rsidRDefault="00BC5AA8" w:rsidP="00BC5AA8">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A2785" w:rsidTr="00376946">
        <w:tc>
          <w:tcPr>
            <w:tcW w:w="5811" w:type="dxa"/>
            <w:tcBorders>
              <w:top w:val="single" w:sz="4" w:space="0" w:color="auto"/>
            </w:tcBorders>
          </w:tcPr>
          <w:p w:rsidR="00BC5AA8" w:rsidRPr="00775070" w:rsidRDefault="00401178" w:rsidP="00376946">
            <w:pPr>
              <w:pStyle w:val="Lgendetitre"/>
              <w:rPr>
                <w:szCs w:val="24"/>
              </w:rPr>
            </w:pPr>
            <w:r>
              <w:t>Amendamente la un proiect de act</w:t>
            </w:r>
          </w:p>
        </w:tc>
      </w:tr>
      <w:tr w:rsidR="00AA2785" w:rsidTr="00376946">
        <w:tc>
          <w:tcPr>
            <w:tcW w:w="5811" w:type="dxa"/>
            <w:tcBorders>
              <w:bottom w:val="single" w:sz="4" w:space="0" w:color="auto"/>
            </w:tcBorders>
          </w:tcPr>
          <w:p w:rsidR="00BC5AA8" w:rsidRPr="00775070" w:rsidRDefault="00BC5AA8" w:rsidP="00376946">
            <w:pPr>
              <w:pStyle w:val="Lgendestandard"/>
              <w:rPr>
                <w:szCs w:val="24"/>
              </w:rPr>
            </w:pPr>
          </w:p>
          <w:p w:rsidR="00BC5AA8" w:rsidRPr="00775070" w:rsidRDefault="00401178" w:rsidP="00376946">
            <w:pPr>
              <w:pStyle w:val="Lgendestandard"/>
              <w:rPr>
                <w:szCs w:val="24"/>
              </w:rPr>
            </w:pPr>
            <w:r>
              <w:rPr>
                <w:b/>
              </w:rPr>
              <w:t>Amendamentele Parlamentului prezentate pe două coloane</w:t>
            </w:r>
          </w:p>
          <w:p w:rsidR="00BC5AA8" w:rsidRPr="00775070" w:rsidRDefault="00BC5AA8" w:rsidP="00376946">
            <w:pPr>
              <w:pStyle w:val="Lgendestandard"/>
              <w:rPr>
                <w:szCs w:val="24"/>
              </w:rPr>
            </w:pPr>
          </w:p>
          <w:p w:rsidR="00BC5AA8" w:rsidRPr="00775070" w:rsidRDefault="00401178" w:rsidP="00376946">
            <w:pPr>
              <w:pStyle w:val="Lgendestandard"/>
              <w:rPr>
                <w:szCs w:val="24"/>
              </w:rPr>
            </w:pPr>
            <w:r>
              <w:t xml:space="preserve">Textul eliminat este evidențiat prin caractere </w:t>
            </w:r>
            <w:r>
              <w:rPr>
                <w:b/>
                <w:i/>
              </w:rPr>
              <w:t>cursive aldine</w:t>
            </w:r>
            <w:r>
              <w:t xml:space="preserve"> în coloana din stânga. Textul înlocuit este evidențiat prin caractere </w:t>
            </w:r>
            <w:r>
              <w:rPr>
                <w:b/>
                <w:i/>
              </w:rPr>
              <w:t>cursive aldine</w:t>
            </w:r>
            <w:r>
              <w:t xml:space="preserve"> în ambele coloane. Textul nou este evidențiat prin caractere </w:t>
            </w:r>
            <w:r>
              <w:rPr>
                <w:b/>
                <w:i/>
              </w:rPr>
              <w:t>cursive aldine</w:t>
            </w:r>
            <w:r>
              <w:t xml:space="preserve"> în coloana din dreapta.</w:t>
            </w:r>
          </w:p>
          <w:p w:rsidR="00BC5AA8" w:rsidRPr="00775070" w:rsidRDefault="00BC5AA8" w:rsidP="00376946">
            <w:pPr>
              <w:pStyle w:val="Lgendestandard"/>
              <w:rPr>
                <w:szCs w:val="24"/>
              </w:rPr>
            </w:pPr>
          </w:p>
          <w:p w:rsidR="00BC5AA8" w:rsidRPr="00775070" w:rsidRDefault="00401178" w:rsidP="00376946">
            <w:pPr>
              <w:pStyle w:val="Lgendestandard"/>
              <w:rPr>
                <w:szCs w:val="24"/>
              </w:rPr>
            </w:pPr>
            <w:r>
              <w:t xml:space="preserve">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 </w:t>
            </w:r>
          </w:p>
          <w:p w:rsidR="00BC5AA8" w:rsidRPr="00775070" w:rsidRDefault="00BC5AA8" w:rsidP="00376946">
            <w:pPr>
              <w:pStyle w:val="Lgendestandard"/>
              <w:rPr>
                <w:szCs w:val="24"/>
              </w:rPr>
            </w:pPr>
          </w:p>
          <w:p w:rsidR="00BC5AA8" w:rsidRPr="00775070" w:rsidRDefault="00401178" w:rsidP="00376946">
            <w:pPr>
              <w:pStyle w:val="Lgendestandard"/>
              <w:rPr>
                <w:b/>
                <w:szCs w:val="24"/>
              </w:rPr>
            </w:pPr>
            <w:r>
              <w:rPr>
                <w:b/>
              </w:rPr>
              <w:t>Amendamentele Parlamentului prezentate sub formă de text consolidat</w:t>
            </w:r>
          </w:p>
          <w:p w:rsidR="00BC5AA8" w:rsidRPr="00775070" w:rsidRDefault="00BC5AA8" w:rsidP="00376946">
            <w:pPr>
              <w:pStyle w:val="Lgendestandard"/>
              <w:rPr>
                <w:szCs w:val="24"/>
              </w:rPr>
            </w:pPr>
          </w:p>
          <w:p w:rsidR="00BC5AA8" w:rsidRPr="00775070" w:rsidRDefault="00401178" w:rsidP="00376946">
            <w:pPr>
              <w:pStyle w:val="Lgendestandard"/>
              <w:rPr>
                <w:szCs w:val="24"/>
              </w:rPr>
            </w:pPr>
            <w:r>
              <w:t xml:space="preserve">Părțile de text noi sunt evidențiate prin caractere </w:t>
            </w:r>
            <w:r>
              <w:rPr>
                <w:b/>
                <w:i/>
              </w:rPr>
              <w:t>cursive aldine</w:t>
            </w:r>
            <w:r>
              <w:t xml:space="preserve">. Părțile de text eliminate sunt indicate prin simbolul ▌ sau sunt tăiate. Înlocuirile sunt semnalate prin evidențierea cu caractere </w:t>
            </w:r>
            <w:r>
              <w:rPr>
                <w:b/>
                <w:i/>
              </w:rPr>
              <w:t>cursive aldine</w:t>
            </w:r>
            <w:r>
              <w:t xml:space="preserve"> a textului nou și prin eliminarea sau tăierea textului înlocuit. </w:t>
            </w:r>
          </w:p>
          <w:p w:rsidR="00BC5AA8" w:rsidRPr="00775070" w:rsidRDefault="00401178" w:rsidP="00376946">
            <w:pPr>
              <w:pStyle w:val="Lgendestandard"/>
              <w:rPr>
                <w:szCs w:val="24"/>
              </w:rPr>
            </w:pPr>
            <w:r>
              <w:t>Fac excepție de la regulă și nu se evidențiază modificările de natură strict tehnică efectuate de serviciile competente în vederea elaborării textului final.</w:t>
            </w:r>
          </w:p>
          <w:p w:rsidR="00BC5AA8" w:rsidRPr="00775070" w:rsidRDefault="00BC5AA8" w:rsidP="00376946">
            <w:pPr>
              <w:pStyle w:val="Lgendestandard"/>
              <w:rPr>
                <w:szCs w:val="24"/>
              </w:rPr>
            </w:pPr>
          </w:p>
        </w:tc>
      </w:tr>
    </w:tbl>
    <w:p w:rsidR="00BC5AA8" w:rsidRPr="00775070" w:rsidRDefault="00BC5AA8" w:rsidP="00BC5AA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793EA9" w:rsidRPr="004C499C" w:rsidRDefault="00793EA9" w:rsidP="00012351">
      <w:pPr>
        <w:widowControl/>
        <w:tabs>
          <w:tab w:val="center" w:pos="4677"/>
        </w:tabs>
      </w:pPr>
    </w:p>
    <w:p w:rsidR="00793EA9" w:rsidRPr="004C499C" w:rsidRDefault="00401178">
      <w:pPr>
        <w:pStyle w:val="TOCHeading"/>
      </w:pPr>
      <w:r>
        <w:br w:type="page"/>
      </w:r>
      <w:r>
        <w:lastRenderedPageBreak/>
        <w:t>CUPRINS</w:t>
      </w:r>
    </w:p>
    <w:p w:rsidR="00793EA9" w:rsidRPr="004C499C" w:rsidRDefault="00401178">
      <w:pPr>
        <w:pStyle w:val="TOCPage"/>
      </w:pPr>
      <w:r>
        <w:t>Pagina</w:t>
      </w:r>
    </w:p>
    <w:p w:rsidR="0011256A" w:rsidRDefault="00401178">
      <w:pPr>
        <w:pStyle w:val="TOC1"/>
        <w:tabs>
          <w:tab w:val="right" w:leader="dot" w:pos="9060"/>
        </w:tabs>
        <w:rPr>
          <w:rFonts w:asciiTheme="minorHAnsi" w:eastAsiaTheme="minorEastAsia" w:hAnsiTheme="minorHAnsi" w:cstheme="minorBidi"/>
          <w:noProof/>
          <w:sz w:val="22"/>
          <w:szCs w:val="22"/>
          <w:lang w:val="en-GB"/>
        </w:rPr>
      </w:pPr>
      <w:r w:rsidRPr="004C499C">
        <w:rPr>
          <w:b/>
        </w:rPr>
        <w:fldChar w:fldCharType="begin"/>
      </w:r>
      <w:r w:rsidRPr="004C499C">
        <w:rPr>
          <w:b/>
        </w:rPr>
        <w:instrText xml:space="preserve"> TOC \t "PageHeading</w:instrText>
      </w:r>
      <w:r w:rsidR="0011256A">
        <w:rPr>
          <w:b/>
        </w:rPr>
        <w:instrText>;</w:instrText>
      </w:r>
      <w:r w:rsidRPr="004C499C">
        <w:rPr>
          <w:b/>
        </w:rPr>
        <w:instrText xml:space="preserve">1" </w:instrText>
      </w:r>
      <w:r w:rsidRPr="004C499C">
        <w:rPr>
          <w:b/>
        </w:rPr>
        <w:fldChar w:fldCharType="separate"/>
      </w:r>
      <w:r w:rsidR="0011256A">
        <w:rPr>
          <w:noProof/>
        </w:rPr>
        <w:t>PROIECT DE REZOLUȚIE LEGISLATIVĂ A PARLAMENTULUI EUROPEAN</w:t>
      </w:r>
      <w:r w:rsidR="0011256A">
        <w:rPr>
          <w:noProof/>
        </w:rPr>
        <w:tab/>
      </w:r>
      <w:r w:rsidR="0011256A">
        <w:rPr>
          <w:noProof/>
        </w:rPr>
        <w:fldChar w:fldCharType="begin"/>
      </w:r>
      <w:r w:rsidR="0011256A">
        <w:rPr>
          <w:noProof/>
        </w:rPr>
        <w:instrText xml:space="preserve"> PAGEREF _Toc135207539 \h </w:instrText>
      </w:r>
      <w:r w:rsidR="0011256A">
        <w:rPr>
          <w:noProof/>
        </w:rPr>
      </w:r>
      <w:r w:rsidR="0011256A">
        <w:rPr>
          <w:noProof/>
        </w:rPr>
        <w:fldChar w:fldCharType="separate"/>
      </w:r>
      <w:r w:rsidR="0011256A">
        <w:rPr>
          <w:noProof/>
        </w:rPr>
        <w:t>5</w:t>
      </w:r>
      <w:r w:rsidR="0011256A">
        <w:rPr>
          <w:noProof/>
        </w:rPr>
        <w:fldChar w:fldCharType="end"/>
      </w:r>
    </w:p>
    <w:p w:rsidR="002346B0" w:rsidRPr="004C499C" w:rsidRDefault="00401178" w:rsidP="00C23324">
      <w:r w:rsidRPr="004C499C">
        <w:rPr>
          <w:b/>
        </w:rPr>
        <w:fldChar w:fldCharType="end"/>
      </w:r>
    </w:p>
    <w:p w:rsidR="00960155" w:rsidRPr="004C499C" w:rsidRDefault="00401178" w:rsidP="00960155">
      <w:pPr>
        <w:pStyle w:val="PageHeading"/>
      </w:pPr>
      <w:r>
        <w:br w:type="page"/>
      </w:r>
      <w:r>
        <w:lastRenderedPageBreak/>
        <w:br w:type="page"/>
      </w:r>
      <w:bookmarkStart w:id="0" w:name="_Toc135207539"/>
      <w:r>
        <w:lastRenderedPageBreak/>
        <w:t>PROIECT DE REZOLUȚIE LEGISLATIVĂ A PARLAMENTULUI EUROPEAN</w:t>
      </w:r>
      <w:bookmarkEnd w:id="0"/>
    </w:p>
    <w:p w:rsidR="00960155" w:rsidRPr="004C499C" w:rsidRDefault="00401178" w:rsidP="00960155">
      <w:pPr>
        <w:pStyle w:val="NormalBold"/>
      </w:pPr>
      <w:r>
        <w:t>referitoare la propunerea de directivă a Parlamentului European și a Consiliului privind definirea infracțiunilor și a sancțiunilor pentru încălcarea măsurilor restrictive ale Uniunii</w:t>
      </w:r>
    </w:p>
    <w:p w:rsidR="00960155" w:rsidRPr="004C499C" w:rsidRDefault="00401178" w:rsidP="00960155">
      <w:pPr>
        <w:pStyle w:val="NormalBold12a"/>
      </w:pPr>
      <w:r>
        <w:t>(COM(0022)0684 – C9</w:t>
      </w:r>
      <w:r>
        <w:noBreakHyphen/>
        <w:t>0401/2022 – 2022/0398(COD))</w:t>
      </w:r>
    </w:p>
    <w:p w:rsidR="00960155" w:rsidRPr="004C499C" w:rsidRDefault="00401178" w:rsidP="00960155">
      <w:pPr>
        <w:pStyle w:val="NormalBold"/>
      </w:pPr>
      <w:r>
        <w:t>(Procedura legislativă ordinară: prima lectură)</w:t>
      </w:r>
    </w:p>
    <w:p w:rsidR="00960155" w:rsidRPr="004C499C" w:rsidRDefault="00401178" w:rsidP="00960155">
      <w:pPr>
        <w:pStyle w:val="EPComma"/>
      </w:pPr>
      <w:r>
        <w:rPr>
          <w:i/>
          <w:iCs/>
        </w:rPr>
        <w:t>Parlamentul European</w:t>
      </w:r>
      <w:r>
        <w:t>,</w:t>
      </w:r>
    </w:p>
    <w:p w:rsidR="00960155" w:rsidRPr="004C499C" w:rsidRDefault="00401178" w:rsidP="00960155">
      <w:pPr>
        <w:pStyle w:val="NormalHanging12a"/>
      </w:pPr>
      <w:r>
        <w:t>–</w:t>
      </w:r>
      <w:r>
        <w:tab/>
        <w:t>având în vedere propunerea Comisiei prezentată Parlamentului European și Consiliului (COM(0022)0684),</w:t>
      </w:r>
    </w:p>
    <w:p w:rsidR="00960155" w:rsidRPr="004C499C" w:rsidRDefault="00401178" w:rsidP="00960155">
      <w:pPr>
        <w:pStyle w:val="NormalHanging12a"/>
      </w:pPr>
      <w:r>
        <w:t>–</w:t>
      </w:r>
      <w:r>
        <w:tab/>
        <w:t>având în vedere articolul 294 alineatul (2) și articolul 83 alineatul (1) din Tratatul privind funcționarea Uniunii Europene, în temeiul cărora propunerea a fost prezentată de către Comisie (C9</w:t>
      </w:r>
      <w:r>
        <w:noBreakHyphen/>
        <w:t>0401/2022),</w:t>
      </w:r>
    </w:p>
    <w:p w:rsidR="00960155" w:rsidRPr="004C499C" w:rsidRDefault="00401178" w:rsidP="00960155">
      <w:pPr>
        <w:pStyle w:val="NormalHanging12a"/>
      </w:pPr>
      <w:r>
        <w:t>–</w:t>
      </w:r>
      <w:r>
        <w:tab/>
        <w:t>având în vedere articolul 294 alineatul (3) din Tratatul privind funcționarea Uniunii Europene,</w:t>
      </w:r>
    </w:p>
    <w:p w:rsidR="00960155" w:rsidRPr="004C499C" w:rsidRDefault="00401178" w:rsidP="00960155">
      <w:pPr>
        <w:pStyle w:val="NormalHanging12a"/>
      </w:pPr>
      <w:r>
        <w:t>–</w:t>
      </w:r>
      <w:r>
        <w:tab/>
        <w:t>având în vedere avizul Comitetului Economic și Social European din 23 martie 2023</w:t>
      </w:r>
      <w:r>
        <w:rPr>
          <w:rStyle w:val="FootnoteReference"/>
        </w:rPr>
        <w:footnoteReference w:id="1"/>
      </w:r>
      <w:r>
        <w:t>,</w:t>
      </w:r>
    </w:p>
    <w:p w:rsidR="00960155" w:rsidRPr="004C499C" w:rsidRDefault="00401178" w:rsidP="00960155">
      <w:pPr>
        <w:pStyle w:val="NormalHanging12a"/>
      </w:pPr>
      <w:r>
        <w:t>–</w:t>
      </w:r>
      <w:r>
        <w:tab/>
        <w:t>având în vedere articolul 59 din Regulamentul său de procedură,</w:t>
      </w:r>
    </w:p>
    <w:p w:rsidR="00960155" w:rsidRPr="004C499C" w:rsidRDefault="00401178" w:rsidP="00960155">
      <w:pPr>
        <w:pStyle w:val="NormalHanging12a"/>
      </w:pPr>
      <w:r>
        <w:t>–</w:t>
      </w:r>
      <w:r>
        <w:tab/>
        <w:t>având în vedere avizul Comisiei pentru bugete,</w:t>
      </w:r>
    </w:p>
    <w:p w:rsidR="00960155" w:rsidRPr="004C499C" w:rsidRDefault="00401178" w:rsidP="00960155">
      <w:pPr>
        <w:pStyle w:val="NormalHanging12a"/>
      </w:pPr>
      <w:r>
        <w:t>–</w:t>
      </w:r>
      <w:r>
        <w:tab/>
        <w:t>având în vedere raportul Comisiei pentru libertăți civile, justiție și afaceri interne (A9</w:t>
      </w:r>
      <w:r>
        <w:noBreakHyphen/>
        <w:t>0000/2023),</w:t>
      </w:r>
    </w:p>
    <w:p w:rsidR="00960155" w:rsidRPr="004C499C" w:rsidRDefault="00401178" w:rsidP="00960155">
      <w:pPr>
        <w:pStyle w:val="NormalHanging12a"/>
      </w:pPr>
      <w:r>
        <w:t>1.</w:t>
      </w:r>
      <w:r>
        <w:tab/>
        <w:t>adoptă poziția sa în primă lectură prezentată în continuare;</w:t>
      </w:r>
    </w:p>
    <w:p w:rsidR="00960155" w:rsidRPr="004C499C" w:rsidRDefault="00401178" w:rsidP="00960155">
      <w:pPr>
        <w:pStyle w:val="NormalHanging12a"/>
      </w:pPr>
      <w:r>
        <w:t xml:space="preserve">2. </w:t>
      </w:r>
      <w:r>
        <w:tab/>
        <w:t xml:space="preserve">solicită Comisiei să îl sesizeze din nou în cazul în care își înlocuiește, își modifică în mod substanțial sau intenționează să-și modifice în mod substanțial propunerea; </w:t>
      </w:r>
    </w:p>
    <w:p w:rsidR="00960155" w:rsidRPr="004C499C" w:rsidRDefault="00401178" w:rsidP="00960155">
      <w:pPr>
        <w:pStyle w:val="NormalHanging12a"/>
      </w:pPr>
      <w:r>
        <w:t xml:space="preserve">3. </w:t>
      </w:r>
      <w:r>
        <w:tab/>
        <w:t>încredințează Președintei sarcina de a transmite Consiliului și Comisiei, precum și parlamentelor naționale poziția Parlamentului.</w:t>
      </w:r>
    </w:p>
    <w:p w:rsidR="002111E8" w:rsidRPr="004C499C" w:rsidRDefault="002111E8" w:rsidP="00960155">
      <w:pPr>
        <w:pStyle w:val="NormalHanging12a"/>
      </w:pPr>
    </w:p>
    <w:p w:rsidR="00144A41" w:rsidRPr="004C499C" w:rsidRDefault="00401178" w:rsidP="00144A41">
      <w:pPr>
        <w:pStyle w:val="AMNumberTabs0"/>
        <w:keepNext/>
      </w:pPr>
      <w:r>
        <w:rPr>
          <w:rStyle w:val="HideTWBExt"/>
          <w:b w:val="0"/>
        </w:rPr>
        <w:t>&lt;RepeatBlock-Amend&gt;&lt;Amend&gt;</w:t>
      </w:r>
      <w:r>
        <w:t>Amendamentul</w:t>
      </w:r>
      <w:r>
        <w:tab/>
      </w:r>
      <w:r>
        <w:tab/>
      </w:r>
      <w:r>
        <w:rPr>
          <w:rStyle w:val="HideTWBExt"/>
          <w:b w:val="0"/>
        </w:rPr>
        <w:t>&lt;NumAm&gt;</w:t>
      </w:r>
      <w:r>
        <w:t>1</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Considerentul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(4)</w:t>
            </w:r>
            <w:r>
              <w:tab/>
              <w:t>Aplicarea eficace a măsurilor restrictive ale Uniunii necesită definiții comune de drept penal ale comportamentului care încalcă măsurile restrictive ale Uniunii. Statele membre ar trebui să se asigure că acest comportament constituie o infracțiune atunci când este săvârșit cu intenție, precum și din neglijență</w:t>
            </w:r>
            <w:r>
              <w:rPr>
                <w:b/>
                <w:i/>
              </w:rPr>
              <w:t xml:space="preserve"> gravă</w:t>
            </w:r>
            <w:r>
              <w:t>, în cazul în care persoana fizică sau juridică știa sau ar fi trebuit să știe că un astfel de comportament încalcă măsurile restrictive ale Uniunii.</w:t>
            </w:r>
          </w:p>
        </w:tc>
        <w:tc>
          <w:tcPr>
            <w:tcW w:w="4876" w:type="dxa"/>
            <w:hideMark/>
          </w:tcPr>
          <w:p w:rsidR="00144A41" w:rsidRPr="004C499C" w:rsidRDefault="00401178">
            <w:pPr>
              <w:pStyle w:val="Normal6"/>
              <w:rPr>
                <w:szCs w:val="24"/>
              </w:rPr>
            </w:pPr>
            <w:r>
              <w:t>(4)</w:t>
            </w:r>
            <w:r>
              <w:tab/>
              <w:t>Aplicarea eficace a măsurilor restrictive ale Uniunii necesită definiții comune de drept penal ale comportamentului care încalcă măsurile restrictive ale Uniunii. Statele membre ar trebui să se asigure că acest comportament constituie o infracțiune atunci când este săvârșit cu intenție, precum și din neglijență, în cazul în care persoana fizică sau juridică știa sau ar fi trebuit să știe că un astfel de comportament încalcă măsurile restrictive ale Uniunii.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Considerentul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(7)</w:t>
            </w:r>
            <w:r>
              <w:tab/>
              <w:t xml:space="preserve">Practicienii în domeniul dreptului, astfel cum sunt definiți de statele membre, ar trebui să facă obiectul prezentei directive, inclusiv al obligației de a raporta încălcarea măsurilor restrictive ale Uniunii, atunci când furnizează servicii în contextul activităților profesionale, cum ar fi serviciile juridice, financiare și comerciale. Experiența arată că există un risc clar ca serviciile acestor practicienii în domeniul dreptului să fie utilizate în mod abuziv în scopul încălcării măsurilor restrictive ale Uniunii. Cu toate acestea, ar trebui să existe derogări de la orice obligație de raportare a informațiilor obținute, în strânsă legătură cu procedurile judiciare, administrative sau arbitrale, fie înainte, în timpul sau după o procedură judiciară, fie în cursul evaluării situației juridice a unui client. Prin urmare, în aceste circumstanțe, consultanța juridică ar trebui să facă în continuare obiectul obligației de păstrare a </w:t>
            </w:r>
            <w:r>
              <w:lastRenderedPageBreak/>
              <w:t>secretului profesional, cu excepția cazului în care practicianul în domeniul dreptului participă la încălcarea măsurilor restrictive ale Uniunii, consultanța juridică fiind furnizată în scopul încălcării măsurilor restrictive ale Uniunii, sau practicianul în domeniul dreptului cunoaște faptul că clientul solicită consultanță juridică în scopul încălcării măsurilor restrictive ale Uniunii. Cunoașterea poate fi dedusă din circumstanțe faptice obiective.</w:t>
            </w:r>
          </w:p>
        </w:tc>
        <w:tc>
          <w:tcPr>
            <w:tcW w:w="4876" w:type="dxa"/>
            <w:hideMark/>
          </w:tcPr>
          <w:p w:rsidR="00144A41" w:rsidRPr="004C499C" w:rsidRDefault="00401178">
            <w:pPr>
              <w:pStyle w:val="Normal6"/>
              <w:rPr>
                <w:szCs w:val="24"/>
              </w:rPr>
            </w:pPr>
            <w:r>
              <w:lastRenderedPageBreak/>
              <w:t>(7)</w:t>
            </w:r>
            <w:r>
              <w:tab/>
              <w:t xml:space="preserve">Practicienii în domeniul dreptului, astfel cum sunt definiți de statele membre, ar trebui să facă obiectul prezentei directive, inclusiv al obligației de a raporta încălcarea măsurilor restrictive ale Uniunii, atunci când furnizează servicii în contextul activităților profesionale, cum ar fi serviciile juridice, financiare și comerciale. Experiența arată că există un risc clar ca serviciile acestor practicienii în domeniul dreptului să fie utilizate în mod abuziv în scopul încălcării măsurilor restrictive ale Uniunii. Cu toate acestea, ar trebui să existe derogări de la orice obligație de raportare a informațiilor obținute, în strânsă legătură cu procedurile judiciare, administrative sau arbitrale, fie înainte, în timpul sau după o procedură judiciară, fie în cursul evaluării situației juridice a unui client. Prin urmare, în aceste circumstanțe, consultanța juridică ar trebui să facă în continuare obiectul obligației de păstrare a </w:t>
            </w:r>
            <w:r>
              <w:lastRenderedPageBreak/>
              <w:t xml:space="preserve">secretului profesional, cu excepția cazului în care practicianul în domeniul dreptului participă la încălcarea măsurilor restrictive ale Uniunii, consultanța juridică fiind furnizată în scopul încălcării măsurilor restrictive ale Uniunii, sau practicianul în domeniul dreptului cunoaște </w:t>
            </w:r>
            <w:r>
              <w:rPr>
                <w:b/>
                <w:i/>
              </w:rPr>
              <w:t xml:space="preserve">sau are motive să creadă </w:t>
            </w:r>
            <w:r>
              <w:t>faptul că clientul solicită consultanță juridică în scopul încălcării măsurilor restrictive ale Uniunii. Cunoașterea poate fi dedusă din circumstanțe faptice obiective.</w:t>
            </w:r>
          </w:p>
        </w:tc>
      </w:tr>
    </w:tbl>
    <w:p w:rsidR="00144A41" w:rsidRPr="004C499C" w:rsidRDefault="00401178" w:rsidP="00144A41">
      <w:pPr>
        <w:pStyle w:val="Olang"/>
      </w:pPr>
      <w:r w:rsidRPr="004C499C">
        <w:rPr>
          <w:noProof w:val="0"/>
        </w:rPr>
        <w:lastRenderedPageBreak/>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Considerentul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(11)</w:t>
            </w:r>
            <w:r>
              <w:tab/>
              <w:t>Având în vedere că persoanele juridice fac, de asemenea, obiectul unor măsuri restrictive ale Uniunii, persoanele juridice ar trebui, de asemenea, să răspundă penal pentru infracțiuni legate de încălcarea măsurilor restrictive ale Uniunii, în conformitate cu prezenta directivă. Statele membre al căror drept intern nu prevede răspunderea penală a persoanelor juridice ar trebui să se asigure că sistemele lor de sancțiuni administrative prevăd tipuri și niveluri de sancțiuni eficace, disuasive și proporționale.</w:t>
            </w:r>
          </w:p>
        </w:tc>
        <w:tc>
          <w:tcPr>
            <w:tcW w:w="4876" w:type="dxa"/>
            <w:hideMark/>
          </w:tcPr>
          <w:p w:rsidR="00144A41" w:rsidRPr="004C499C" w:rsidRDefault="00401178">
            <w:pPr>
              <w:pStyle w:val="Normal6"/>
              <w:rPr>
                <w:szCs w:val="24"/>
              </w:rPr>
            </w:pPr>
            <w:r>
              <w:rPr>
                <w:i/>
              </w:rPr>
              <w:t>(Nu privește versiunea în limba română.)</w:t>
            </w:r>
            <w:r>
              <w:tab/>
              <w:t xml:space="preserve">   </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4</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Considerentul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(12)</w:t>
            </w:r>
            <w:r>
              <w:tab/>
              <w:t xml:space="preserve">O mai mare apropiere și eficacitate a nivelurilor sancțiunilor impuse în practică ar trebui încurajată prin circumstanțe agravante comune, care să reflecte gravitatea infracțiunii săvârșite. Noțiunea de circumstanțe agravante ar trebui înțeleasă fie ca fapte care îi permit judecătorului sau instanței naționale să pronunțe o sancțiune penală mai mare pentru aceeași infracțiune decât cea care ar fi fost suportată dacă aceste fapte nu ar fi săvârșite, fie ca posibilitatea de a cumula mai multe infracțiuni pentru a crește nivelul sancțiunii. Statele membre ar trebui să prevadă posibilitatea ca </w:t>
            </w:r>
            <w:r>
              <w:rPr>
                <w:b/>
                <w:i/>
              </w:rPr>
              <w:t>cel puțin una dintre aceste circumstanțe</w:t>
            </w:r>
            <w:r>
              <w:t xml:space="preserve"> agravante să se producă în conformitate cu normele aplicabile stabilite de sistemul lor juridic privind circumstanțele agravante. În orice caz, decizia de a mări sancțiunea penală ar trebui să rămână la latitudinea judecătorului sau a instanței, ținând seama de toate circumstanțele cazului individual.</w:t>
            </w:r>
          </w:p>
        </w:tc>
        <w:tc>
          <w:tcPr>
            <w:tcW w:w="4876" w:type="dxa"/>
            <w:hideMark/>
          </w:tcPr>
          <w:p w:rsidR="00144A41" w:rsidRPr="004C499C" w:rsidRDefault="00401178">
            <w:pPr>
              <w:pStyle w:val="Normal6"/>
              <w:rPr>
                <w:szCs w:val="24"/>
              </w:rPr>
            </w:pPr>
            <w:r>
              <w:t>(12)</w:t>
            </w:r>
            <w:r>
              <w:tab/>
              <w:t xml:space="preserve">O mai mare apropiere și eficacitate a nivelurilor sancțiunilor impuse în practică ar trebui încurajată prin circumstanțe agravante comune, care să reflecte gravitatea infracțiunii săvârșite. Noțiunea de circumstanțe agravante ar trebui înțeleasă fie ca fapte care îi permit judecătorului sau instanței naționale să pronunțe o sancțiune penală mai mare pentru aceeași infracțiune decât cea care ar fi fost suportată dacă aceste fapte nu ar fi săvârșite, fie ca posibilitatea de a cumula mai multe infracțiuni pentru a crește nivelul sancțiunii. Statele membre ar trebui să prevadă posibilitatea ca </w:t>
            </w:r>
            <w:r>
              <w:rPr>
                <w:b/>
                <w:i/>
              </w:rPr>
              <w:t>circumstanțele</w:t>
            </w:r>
            <w:r>
              <w:t xml:space="preserve"> agravante să se producă în conformitate cu normele aplicabile stabilite de sistemul lor juridic privind circumstanțele agravante. În orice caz, decizia de a mări sancțiunea penală ar trebui să rămână la latitudinea judecătorului sau a instanței, ținând seama de toate circumstanțele cazului individual.</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5</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Considerentul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(19)</w:t>
            </w:r>
            <w:r>
              <w:tab/>
              <w:t>Pentru a asigura anchetarea și urmărirea penală eficace a încălcărilor măsurilor restrictive ale Uniunii, autoritățile competente ale statelor membre ar trebui să coopereze prin intermediul și cu Europol, Eurojust și Parchetul European (EPPO). Aceste autorități competente ar trebui, de asemenea, să facă schimb de informații între ele și cu Comisia cu privire la aspecte practice.</w:t>
            </w:r>
          </w:p>
        </w:tc>
        <w:tc>
          <w:tcPr>
            <w:tcW w:w="4876" w:type="dxa"/>
            <w:hideMark/>
          </w:tcPr>
          <w:p w:rsidR="00144A41" w:rsidRPr="004C499C" w:rsidRDefault="00401178" w:rsidP="005A41A4">
            <w:pPr>
              <w:pStyle w:val="Normal6"/>
              <w:rPr>
                <w:szCs w:val="24"/>
              </w:rPr>
            </w:pPr>
            <w:r>
              <w:t>(19)</w:t>
            </w:r>
            <w:r>
              <w:tab/>
              <w:t xml:space="preserve">Pentru a asigura anchetarea și urmărirea penală eficace a încălcărilor măsurilor restrictive ale Uniunii, autoritățile competente ale statelor membre ar trebui să coopereze prin intermediul și cu Europol, Eurojust și Parchetul European (EPPO). Aceste autorități competente ar trebui, de asemenea, să facă schimb de informații între ele și cu Comisia cu privire la aspecte practice. </w:t>
            </w:r>
            <w:r>
              <w:rPr>
                <w:b/>
                <w:i/>
              </w:rPr>
              <w:t xml:space="preserve">În sensul prezentei directive și în pofida unei posibile </w:t>
            </w:r>
            <w:r>
              <w:rPr>
                <w:b/>
                <w:i/>
              </w:rPr>
              <w:lastRenderedPageBreak/>
              <w:t>extinderi a competenței EPPO, instituțiile, organele, oficiile și agențiile Uniunii și autoritățile statelor membre care participă la cooperarea consolidată privind instituirea EPPO ar trebui să coopereze îndeaproape cu nivelurile centrale și descentralizate ale EPPO. Acestea ar trebui, în special, să îndeplinească obligațiile de raportare în temeiul Regulamentului (UE) 2017/1939, inclusiv în cazul în care EPPO are competențe în ceea ce privește infracțiunile de încălcare a măsurilor restrictive ale Uniunii, deoarece acestea constituie infracțiuni de participare la un grup infracțional organizat sau infracțiuni indisolubil legate de infracțiunile menționate la articolul 22 alineatul (2) și alineatul (3) din Regulamentul (UE) 2017/1939.</w:t>
            </w:r>
          </w:p>
        </w:tc>
      </w:tr>
    </w:tbl>
    <w:p w:rsidR="00144A41" w:rsidRPr="004C499C" w:rsidRDefault="00401178" w:rsidP="00144A41">
      <w:pPr>
        <w:pStyle w:val="Olang"/>
      </w:pPr>
      <w:r w:rsidRPr="004C499C">
        <w:rPr>
          <w:noProof w:val="0"/>
        </w:rPr>
        <w:lastRenderedPageBreak/>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6</w:t>
      </w:r>
      <w:bookmarkStart w:id="1" w:name="_GoBack"/>
      <w:bookmarkEnd w:id="1"/>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2 – titlu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rPr>
                <w:b/>
                <w:i/>
              </w:rPr>
              <w:t>Domeniu</w:t>
            </w:r>
            <w:r>
              <w:t xml:space="preserve"> de aplicare</w:t>
            </w:r>
            <w:r>
              <w:rPr>
                <w:b/>
                <w:i/>
              </w:rPr>
              <w:t xml:space="preserve"> și definiții</w:t>
            </w:r>
          </w:p>
        </w:tc>
        <w:tc>
          <w:tcPr>
            <w:tcW w:w="4876" w:type="dxa"/>
            <w:hideMark/>
          </w:tcPr>
          <w:p w:rsidR="00144A41" w:rsidRPr="004C499C" w:rsidRDefault="00401178">
            <w:pPr>
              <w:pStyle w:val="Normal6"/>
              <w:rPr>
                <w:szCs w:val="24"/>
              </w:rPr>
            </w:pPr>
            <w:r>
              <w:rPr>
                <w:b/>
                <w:i/>
              </w:rPr>
              <w:t>Domeniul</w:t>
            </w:r>
            <w:r>
              <w:t xml:space="preserve"> de aplicare</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pPr>
        <w:pStyle w:val="JustificationTitle"/>
        <w:rPr>
          <w:noProof w:val="0"/>
        </w:rPr>
      </w:pPr>
      <w:r>
        <w:rPr>
          <w:rStyle w:val="HideTWBExt"/>
          <w:i w:val="0"/>
        </w:rPr>
        <w:t>&lt;TitreJust&gt;</w:t>
      </w:r>
      <w:r>
        <w:t>Justificare</w:t>
      </w:r>
      <w:r>
        <w:rPr>
          <w:rStyle w:val="HideTWBExt"/>
          <w:i w:val="0"/>
        </w:rPr>
        <w:t>&lt;/TitreJust&gt;</w:t>
      </w:r>
    </w:p>
    <w:p w:rsidR="00144A41" w:rsidRPr="004C499C" w:rsidRDefault="00401178" w:rsidP="00144A41">
      <w:pPr>
        <w:pStyle w:val="Normal12Italic"/>
        <w:rPr>
          <w:noProof w:val="0"/>
        </w:rPr>
      </w:pPr>
      <w:r>
        <w:t>Articole separate pentru domeniul de aplicare și definiții</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7</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2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jc w:val="center"/>
              <w:rPr>
                <w:szCs w:val="24"/>
              </w:rPr>
            </w:pPr>
            <w:r>
              <w:rPr>
                <w:b/>
                <w:i/>
              </w:rPr>
              <w:t>Articolul 2a</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jc w:val="center"/>
              <w:rPr>
                <w:szCs w:val="24"/>
              </w:rPr>
            </w:pPr>
            <w:r>
              <w:rPr>
                <w:b/>
                <w:i/>
              </w:rPr>
              <w:t>Definiții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pPr>
        <w:pStyle w:val="JustificationTitle"/>
        <w:rPr>
          <w:noProof w:val="0"/>
        </w:rPr>
      </w:pPr>
      <w:r>
        <w:rPr>
          <w:rStyle w:val="HideTWBExt"/>
          <w:i w:val="0"/>
        </w:rPr>
        <w:t>&lt;TitreJust&gt;</w:t>
      </w:r>
      <w:r>
        <w:t>Justificare</w:t>
      </w:r>
      <w:r>
        <w:rPr>
          <w:rStyle w:val="HideTWBExt"/>
          <w:i w:val="0"/>
        </w:rPr>
        <w:t>&lt;/TitreJust&gt;</w:t>
      </w:r>
    </w:p>
    <w:p w:rsidR="00144A41" w:rsidRPr="004C499C" w:rsidRDefault="00401178" w:rsidP="00144A41">
      <w:pPr>
        <w:pStyle w:val="Normal12Italic"/>
        <w:rPr>
          <w:noProof w:val="0"/>
        </w:rPr>
      </w:pPr>
      <w:r>
        <w:t>Articole separate pentru domeniul de aplicare și definiții</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8</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3 – alineatul 2 – litera h – punctul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(i)</w:t>
            </w:r>
            <w:r>
              <w:tab/>
            </w:r>
            <w:r>
              <w:rPr>
                <w:b/>
                <w:i/>
              </w:rPr>
              <w:t>disimularea</w:t>
            </w:r>
            <w:r>
              <w:t xml:space="preserve"> fondurilor sau a resurselor economice care se află în proprietatea, sunt deținute de sau se află sub controlul unei persoane, unei entități sau unui organism desemnat, care ar trebui înghețate în concordanță cu o măsură restrictivă a Uniunii, </w:t>
            </w:r>
            <w:r>
              <w:rPr>
                <w:b/>
                <w:i/>
              </w:rPr>
              <w:t>prin transferul</w:t>
            </w:r>
            <w:r>
              <w:t xml:space="preserve"> respectivelor fonduri sau resurse economice către un terț;</w:t>
            </w:r>
          </w:p>
        </w:tc>
        <w:tc>
          <w:tcPr>
            <w:tcW w:w="4876" w:type="dxa"/>
            <w:hideMark/>
          </w:tcPr>
          <w:p w:rsidR="00144A41" w:rsidRPr="004C499C" w:rsidRDefault="00401178" w:rsidP="008A4A35">
            <w:pPr>
              <w:pStyle w:val="Normal6"/>
              <w:rPr>
                <w:szCs w:val="24"/>
              </w:rPr>
            </w:pPr>
            <w:r>
              <w:t>(i)</w:t>
            </w:r>
            <w:r>
              <w:tab/>
            </w:r>
            <w:r>
              <w:rPr>
                <w:b/>
                <w:i/>
              </w:rPr>
              <w:t>mutarea, transferul, modificarea, utilizarea, accesarea, administrarea, vânzarea, închirierea sau ipotecarea</w:t>
            </w:r>
            <w:r>
              <w:t xml:space="preserve"> fondurilor sau a resurselor economice care se află în proprietatea, sunt deținute de sau se află sub controlul unei persoane, unei entități sau unui organism desemnat, care ar trebui înghețate în concordanță cu o măsură restrictivă a Uniunii, </w:t>
            </w:r>
            <w:r>
              <w:rPr>
                <w:b/>
                <w:i/>
              </w:rPr>
              <w:t>într-un mod care să conducă la o modificare a volumului, a valorii, a localizării, a proprietății, a posesiei, a caracterului sau a destinației</w:t>
            </w:r>
            <w:r>
              <w:t xml:space="preserve"> respectivelor fonduri sau resurse economice </w:t>
            </w:r>
            <w:r>
              <w:rPr>
                <w:b/>
                <w:i/>
              </w:rPr>
              <w:t xml:space="preserve">sau orice altă modificare care ar permite utilizarea fondurilor și resurselor respective, inclusiv de </w:t>
            </w:r>
            <w:r>
              <w:t>către un terț</w:t>
            </w:r>
            <w:r>
              <w:rPr>
                <w:b/>
                <w:i/>
              </w:rPr>
              <w:t xml:space="preserve"> sau prin administrarea portofoliului</w:t>
            </w:r>
            <w:r>
              <w:t>;</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9</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3 – alineatul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(3)</w:t>
            </w:r>
            <w:r>
              <w:tab/>
              <w:t xml:space="preserve">Fapta menționată la alineatul (2) literele (a)-(g) constituie infracțiune chiar </w:t>
            </w:r>
            <w:r>
              <w:lastRenderedPageBreak/>
              <w:t>și în cazul în care este săvârșită din neglijență</w:t>
            </w:r>
            <w:r>
              <w:rPr>
                <w:b/>
                <w:i/>
              </w:rPr>
              <w:t xml:space="preserve"> gravă</w:t>
            </w:r>
            <w:r>
              <w:t>.</w:t>
            </w:r>
          </w:p>
        </w:tc>
        <w:tc>
          <w:tcPr>
            <w:tcW w:w="4876" w:type="dxa"/>
            <w:hideMark/>
          </w:tcPr>
          <w:p w:rsidR="00144A41" w:rsidRPr="004C499C" w:rsidRDefault="00401178">
            <w:pPr>
              <w:pStyle w:val="Normal6"/>
              <w:rPr>
                <w:szCs w:val="24"/>
              </w:rPr>
            </w:pPr>
            <w:r>
              <w:lastRenderedPageBreak/>
              <w:t>(3)</w:t>
            </w:r>
            <w:r>
              <w:tab/>
              <w:t xml:space="preserve">Fapta menționată la alineatul (2) literele (a)-(g) constituie infracțiune chiar </w:t>
            </w:r>
            <w:r>
              <w:lastRenderedPageBreak/>
              <w:t>și în cazul în care este săvârșită din neglijență.</w:t>
            </w:r>
          </w:p>
        </w:tc>
      </w:tr>
    </w:tbl>
    <w:p w:rsidR="00144A41" w:rsidRPr="004C499C" w:rsidRDefault="00401178" w:rsidP="00144A41">
      <w:pPr>
        <w:pStyle w:val="Olang"/>
      </w:pPr>
      <w:r w:rsidRPr="004C499C">
        <w:rPr>
          <w:noProof w:val="0"/>
        </w:rPr>
        <w:lastRenderedPageBreak/>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10</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3 – alineatul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(5)</w:t>
            </w:r>
            <w:r>
              <w:tab/>
              <w:t>Nicio dispoziție prevăzută la alineatul (2) nu se interpretează ca impunând practicienilor în domeniul dreptului obligația de a raporta informații obținute în strânsă legătură cu procedurile judiciare, administrative sau arbitrale, fie înaintea, în timpul sau după încheierea unei proceduri judiciare, fie în cursul evaluării situației juridice a unui client. În aceste circumstanțe, consultanța juridică trebuie să fie protejată de secretul profesional, cu excepția cazului în care practicianul în domeniul dreptului participă la încălcarea măsurilor restrictive ale Uniunii, consultanța juridică fiind furnizată în scopul încălcării măsurilor restrictive ale Uniunii, sau practicianul în domeniul dreptului cunoaște faptul că clientul solicită consultanță juridică în scopul încălcării măsurilor restrictive ale Uniunii.</w:t>
            </w:r>
          </w:p>
        </w:tc>
        <w:tc>
          <w:tcPr>
            <w:tcW w:w="4876" w:type="dxa"/>
            <w:hideMark/>
          </w:tcPr>
          <w:p w:rsidR="00144A41" w:rsidRPr="004C499C" w:rsidRDefault="00401178">
            <w:pPr>
              <w:pStyle w:val="Normal6"/>
              <w:rPr>
                <w:szCs w:val="24"/>
              </w:rPr>
            </w:pPr>
            <w:r>
              <w:t>(5)</w:t>
            </w:r>
            <w:r>
              <w:tab/>
              <w:t xml:space="preserve">Nicio dispoziție prevăzută la alineatul (2) nu se interpretează ca impunând practicienilor în domeniul dreptului obligația de a raporta informații obținute în strânsă legătură cu procedurile judiciare, administrative sau arbitrale, fie înaintea, în timpul sau după încheierea unei proceduri judiciare, fie în cursul evaluării situației juridice a unui client. În aceste circumstanțe, consultanța juridică trebuie să fie protejată de secretul profesional, cu excepția cazului în care practicianul în domeniul dreptului participă la încălcarea măsurilor restrictive ale Uniunii, consultanța juridică fiind furnizată în scopul încălcării măsurilor restrictive ale Uniunii, sau practicianul în domeniul dreptului cunoaște </w:t>
            </w:r>
            <w:r>
              <w:rPr>
                <w:b/>
                <w:i/>
              </w:rPr>
              <w:t xml:space="preserve">sau are motive să creadă </w:t>
            </w:r>
            <w:r>
              <w:t>faptul că clientul solicită consultanță juridică în scopul încălcării măsurilor restrictive ale Uniunii.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11</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5 – alineatul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(3)</w:t>
            </w:r>
            <w:r>
              <w:tab/>
              <w:t xml:space="preserve">Statele membre iau măsurile necesare pentru a se asigura că infracțiunile </w:t>
            </w:r>
            <w:r>
              <w:lastRenderedPageBreak/>
              <w:t xml:space="preserve">menționate la </w:t>
            </w:r>
            <w:r>
              <w:rPr>
                <w:b/>
                <w:i/>
              </w:rPr>
              <w:t>articolul 3 alineatul (2) litera (h) punctele (iii), (iv)</w:t>
            </w:r>
            <w:r>
              <w:t xml:space="preserve"> și </w:t>
            </w:r>
            <w:r>
              <w:rPr>
                <w:b/>
                <w:i/>
              </w:rPr>
              <w:t>(v)</w:t>
            </w:r>
            <w:r>
              <w:t xml:space="preserve"> sunt pasibile de o pedeapsă maximă cu închisoarea de cel puțin </w:t>
            </w:r>
            <w:r>
              <w:rPr>
                <w:b/>
                <w:i/>
              </w:rPr>
              <w:t>un an</w:t>
            </w:r>
            <w:r>
              <w:t xml:space="preserve"> atunci când implică fonduri sau resurse economice în valoare de cel puțin 100 000 EUR. Statele membre se asigură că pragul de 100 000 EUR sau un prag mai mare poate fi atins și prin gruparea mai multor infracțiuni interconectate menționate la articolul 3 alineatul (2</w:t>
            </w:r>
            <w:r>
              <w:rPr>
                <w:b/>
                <w:i/>
              </w:rPr>
              <w:t>) litera (h) punctele (iii), (iv) și (v</w:t>
            </w:r>
            <w:r>
              <w:t>), atunci când sunt săvârșite de același autor.</w:t>
            </w:r>
          </w:p>
        </w:tc>
        <w:tc>
          <w:tcPr>
            <w:tcW w:w="4876" w:type="dxa"/>
            <w:hideMark/>
          </w:tcPr>
          <w:p w:rsidR="00144A41" w:rsidRPr="004C499C" w:rsidRDefault="00401178">
            <w:pPr>
              <w:pStyle w:val="Normal6"/>
              <w:rPr>
                <w:szCs w:val="24"/>
              </w:rPr>
            </w:pPr>
            <w:r>
              <w:lastRenderedPageBreak/>
              <w:t>(3)</w:t>
            </w:r>
            <w:r>
              <w:tab/>
              <w:t xml:space="preserve">Statele membre iau măsurile necesare pentru a se asigura că infracțiunile </w:t>
            </w:r>
            <w:r>
              <w:lastRenderedPageBreak/>
              <w:t xml:space="preserve">menționate la </w:t>
            </w:r>
            <w:r>
              <w:rPr>
                <w:b/>
                <w:i/>
              </w:rPr>
              <w:t>articolele 3</w:t>
            </w:r>
            <w:r>
              <w:t xml:space="preserve"> și </w:t>
            </w:r>
            <w:r>
              <w:rPr>
                <w:b/>
                <w:i/>
              </w:rPr>
              <w:t>4</w:t>
            </w:r>
            <w:r>
              <w:t xml:space="preserve"> sunt pasibile de o pedeapsă maximă cu închisoarea de cel puțin </w:t>
            </w:r>
            <w:r>
              <w:rPr>
                <w:b/>
                <w:i/>
              </w:rPr>
              <w:t>cinci ani</w:t>
            </w:r>
            <w:r>
              <w:t xml:space="preserve"> atunci când implică fonduri sau resurse economice în valoare de cel puțin 100 000 EUR. Statele membre se asigură că pragul de 100 000 EUR sau un prag mai mare poate fi atins și prin gruparea mai multor infracțiuni interconectate menționate la articolul 3 alineatul (2), atunci când sunt săvârșite de același autor.</w:t>
            </w:r>
          </w:p>
        </w:tc>
      </w:tr>
    </w:tbl>
    <w:p w:rsidR="00144A41" w:rsidRPr="004C499C" w:rsidRDefault="00401178" w:rsidP="00144A41">
      <w:pPr>
        <w:pStyle w:val="Olang"/>
      </w:pPr>
      <w:r w:rsidRPr="004C499C">
        <w:rPr>
          <w:noProof w:val="0"/>
        </w:rPr>
        <w:lastRenderedPageBreak/>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12</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5 – alineatul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rPr>
                <w:b/>
                <w:i/>
              </w:rPr>
              <w:t>(4)</w:t>
            </w:r>
            <w:r>
              <w:rPr>
                <w:b/>
                <w:i/>
              </w:rPr>
              <w:tab/>
              <w:t>Statele membre iau măsurile necesare pentru a se asigura că infracțiunile menționate la articolul 3 alineatul (2) literele (a)-(g), litera (h) punctele (i) și (ii) și litera (i) sunt pasibile de o pedeapsă maximă cu închisoarea de cel puțin cinci ani atunci când implică fonduri sau resurse economice în valoare de cel puțin 100 000 EUR. Statele membre se asigură că pragul de 100 000 EUR sau un prag mai mare poate fi atins și prin gruparea mai multor infracțiuni interconectate menționate la articolul 3 alineatul (2) literele (a)-(g), litera (h) punctele (i) și (ii) și litera (i), săvârșite de același autor.</w:t>
            </w:r>
          </w:p>
        </w:tc>
        <w:tc>
          <w:tcPr>
            <w:tcW w:w="4876" w:type="dxa"/>
            <w:hideMark/>
          </w:tcPr>
          <w:p w:rsidR="00144A41" w:rsidRPr="004C499C" w:rsidRDefault="00401178">
            <w:pPr>
              <w:pStyle w:val="Normal6"/>
              <w:rPr>
                <w:szCs w:val="24"/>
              </w:rPr>
            </w:pPr>
            <w:r>
              <w:rPr>
                <w:b/>
                <w:i/>
              </w:rPr>
              <w:t>eliminat</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lastRenderedPageBreak/>
        <w:t>&lt;Amend&gt;</w:t>
      </w:r>
      <w:r>
        <w:t>Amendamentul</w:t>
      </w:r>
      <w:r>
        <w:tab/>
      </w:r>
      <w:r>
        <w:tab/>
      </w:r>
      <w:r>
        <w:rPr>
          <w:rStyle w:val="HideTWBExt"/>
          <w:b w:val="0"/>
        </w:rPr>
        <w:t>&lt;NumAm&gt;</w:t>
      </w:r>
      <w:r>
        <w:t>13</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5 – alineatul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(5)</w:t>
            </w:r>
            <w:r>
              <w:tab/>
              <w:t>Statele membre iau măsurile necesare pentru a se asigura că persoanele fizice care au săvârșit infracțiunile menționate la articolele 3 și 4 pot face obiectul unor sancțiuni suplimentare. Aceste sancțiuni suplimentare includ amenzi.</w:t>
            </w:r>
          </w:p>
        </w:tc>
        <w:tc>
          <w:tcPr>
            <w:tcW w:w="4876" w:type="dxa"/>
            <w:hideMark/>
          </w:tcPr>
          <w:p w:rsidR="00144A41" w:rsidRPr="004C499C" w:rsidRDefault="00401178" w:rsidP="00356F69">
            <w:pPr>
              <w:pStyle w:val="Normal6"/>
              <w:rPr>
                <w:szCs w:val="24"/>
              </w:rPr>
            </w:pPr>
            <w:r>
              <w:t>(5)</w:t>
            </w:r>
            <w:r>
              <w:tab/>
              <w:t>Statele membre iau măsurile necesare pentru a se asigura că persoanele fizice care au săvârșit infracțiunile menționate la articolele 3 și 4 pot face obiectul unor sancțiuni suplimentare. Aceste sancțiuni suplimentare includ amenzi</w:t>
            </w:r>
            <w:r>
              <w:rPr>
                <w:b/>
                <w:i/>
              </w:rPr>
              <w:t xml:space="preserve"> maxime de cel puțin 10 000 000 EUR în cazul în care infracțiunile respective implică fonduri sau resurse economice în valoare de cel puțin 100 000 EUR</w:t>
            </w:r>
            <w:r>
              <w:t>.</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14</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7 – titlu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Sancțiuni aplicate persoanelor juridice</w:t>
            </w:r>
          </w:p>
        </w:tc>
        <w:tc>
          <w:tcPr>
            <w:tcW w:w="4876" w:type="dxa"/>
            <w:hideMark/>
          </w:tcPr>
          <w:p w:rsidR="00144A41" w:rsidRPr="004C499C" w:rsidRDefault="00401178">
            <w:pPr>
              <w:pStyle w:val="Normal6"/>
              <w:rPr>
                <w:szCs w:val="24"/>
              </w:rPr>
            </w:pPr>
            <w:r>
              <w:rPr>
                <w:i/>
              </w:rPr>
              <w:t>(Nu privește versiunea în limba română.)</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15</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7 – alineatul 1 – partea introductivă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(1)</w:t>
            </w:r>
            <w:r>
              <w:tab/>
              <w:t>Statele membre iau măsurile necesare pentru a se asigura că o persoană juridică căreia i s-a angajat răspunderea în temeiul articolului </w:t>
            </w:r>
            <w:r>
              <w:rPr>
                <w:b/>
                <w:i/>
              </w:rPr>
              <w:t>7</w:t>
            </w:r>
            <w:r>
              <w:t xml:space="preserve"> face obiectul unor sancțiuni eficace, proporționale și disuasive, care includ amenzi penale sau </w:t>
            </w:r>
            <w:r>
              <w:lastRenderedPageBreak/>
              <w:t>nepenale, excluderea de la dreptul la beneficii sau ajutoare publice, excluderea de la accesul la finanțare publică, inclusiv de la proceduri de licitație, granturi și concesiuni și poate include alte sancțiuni, precum:</w:t>
            </w:r>
          </w:p>
        </w:tc>
        <w:tc>
          <w:tcPr>
            <w:tcW w:w="4876" w:type="dxa"/>
            <w:hideMark/>
          </w:tcPr>
          <w:p w:rsidR="00144A41" w:rsidRPr="004C499C" w:rsidRDefault="00401178">
            <w:pPr>
              <w:pStyle w:val="Normal6"/>
              <w:rPr>
                <w:szCs w:val="24"/>
              </w:rPr>
            </w:pPr>
            <w:r>
              <w:lastRenderedPageBreak/>
              <w:t>(1)</w:t>
            </w:r>
            <w:r>
              <w:tab/>
              <w:t>Statele membre iau măsurile necesare pentru a se asigura că o persoană juridică căreia i s-a angajat răspunderea în temeiul articolului </w:t>
            </w:r>
            <w:r>
              <w:rPr>
                <w:b/>
                <w:i/>
              </w:rPr>
              <w:t>6</w:t>
            </w:r>
            <w:r>
              <w:t xml:space="preserve"> face obiectul unor sancțiuni eficace, proporționale și disuasive, care includ amenzi penale sau </w:t>
            </w:r>
            <w:r>
              <w:lastRenderedPageBreak/>
              <w:t>nepenale, excluderea de la dreptul la beneficii sau ajutoare publice, excluderea de la accesul la finanțare publică, inclusiv de la proceduri de licitație, granturi și concesiuni și poate include alte sancțiuni, precum:</w:t>
            </w:r>
          </w:p>
        </w:tc>
      </w:tr>
    </w:tbl>
    <w:p w:rsidR="00144A41" w:rsidRPr="004C499C" w:rsidRDefault="00401178" w:rsidP="00144A41">
      <w:pPr>
        <w:pStyle w:val="Olang"/>
      </w:pPr>
      <w:r w:rsidRPr="004C499C">
        <w:rPr>
          <w:noProof w:val="0"/>
        </w:rPr>
        <w:lastRenderedPageBreak/>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16</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7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(2)</w:t>
            </w:r>
            <w:r>
              <w:tab/>
              <w:t>Statele membre iau măsurile necesare pentru a se asigura că, în cazul persoanelor juridice trase la răspundere în temeiul articolului </w:t>
            </w:r>
            <w:r>
              <w:rPr>
                <w:b/>
                <w:i/>
              </w:rPr>
              <w:t>7</w:t>
            </w:r>
            <w:r>
              <w:t>, infracțiunile menționate la articolul 3 alineatul (2</w:t>
            </w:r>
            <w:r>
              <w:rPr>
                <w:b/>
                <w:i/>
              </w:rPr>
              <w:t>) litera (h) punctele (iii)-(v</w:t>
            </w:r>
            <w:r>
              <w:t xml:space="preserve">) sunt pasibile de amenzi a căror limită maximă nu ar trebui să fie mai mică de </w:t>
            </w:r>
            <w:r>
              <w:rPr>
                <w:b/>
                <w:i/>
              </w:rPr>
              <w:t>1</w:t>
            </w:r>
            <w:r>
              <w:t> % din cifra de afaceri globală totală a persoanei juridice în exercițiul financiar care precedă decizia de impunere a amenzilor.</w:t>
            </w:r>
          </w:p>
        </w:tc>
        <w:tc>
          <w:tcPr>
            <w:tcW w:w="4876" w:type="dxa"/>
            <w:hideMark/>
          </w:tcPr>
          <w:p w:rsidR="00144A41" w:rsidRPr="004C499C" w:rsidRDefault="00401178">
            <w:pPr>
              <w:pStyle w:val="Normal6"/>
              <w:rPr>
                <w:szCs w:val="24"/>
              </w:rPr>
            </w:pPr>
            <w:r>
              <w:t>(2)</w:t>
            </w:r>
            <w:r>
              <w:tab/>
              <w:t>Statele membre iau măsurile necesare pentru a se asigura că, în cazul persoanelor juridice trase la răspundere în temeiul articolului </w:t>
            </w:r>
            <w:r>
              <w:rPr>
                <w:b/>
                <w:i/>
              </w:rPr>
              <w:t>6</w:t>
            </w:r>
            <w:r>
              <w:t xml:space="preserve">, infracțiunile menționate la articolul 3 alineatul (2) sunt pasibile de amenzi a căror limită maximă nu ar trebui să fie mai mică de </w:t>
            </w:r>
            <w:r>
              <w:rPr>
                <w:b/>
                <w:i/>
              </w:rPr>
              <w:t>15</w:t>
            </w:r>
            <w:r>
              <w:t> % din cifra de afaceri globală totală a persoanei juridice în exercițiul financiar care precedă decizia de impunere a amenzilor.</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17</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7 – alineatul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rPr>
                <w:b/>
                <w:i/>
              </w:rPr>
              <w:t>(3)</w:t>
            </w:r>
            <w:r>
              <w:rPr>
                <w:b/>
                <w:i/>
              </w:rPr>
              <w:tab/>
              <w:t>Statele membre iau măsurile necesare pentru a se asigura că, în cazul persoanelor juridice trase la răspundere în temeiul articolului 7, infracțiunile menționate la articolul 3 alineatul (2) literele (a)-(f), litera (h) punctele (i) și (ii) și litera (i) sunt pasibile de amenzi a căror limită maximă nu ar trebui să fie mai mică de 5 % din cifra de afaceri globală totală a persoanei juridice în exercițiul financiar care precedă decizia de impunere a amenzilor.</w:t>
            </w:r>
          </w:p>
        </w:tc>
        <w:tc>
          <w:tcPr>
            <w:tcW w:w="4876" w:type="dxa"/>
            <w:hideMark/>
          </w:tcPr>
          <w:p w:rsidR="00144A41" w:rsidRPr="004C499C" w:rsidRDefault="00401178">
            <w:pPr>
              <w:pStyle w:val="Normal6"/>
              <w:rPr>
                <w:szCs w:val="24"/>
              </w:rPr>
            </w:pPr>
            <w:r>
              <w:rPr>
                <w:b/>
                <w:i/>
              </w:rPr>
              <w:t>eliminat</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18</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8 – paragraful 1 – partea introductivă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 xml:space="preserve">În măsura în care următoarele circumstanțe nu fac deja parte din elementele constitutive ale infracțiunilor menționate la articolele 3 și 4, statele membre iau măsurile necesare pentru a se asigura că </w:t>
            </w:r>
            <w:r>
              <w:rPr>
                <w:b/>
                <w:i/>
              </w:rPr>
              <w:t xml:space="preserve">una sau mai multe dintre </w:t>
            </w:r>
            <w:r>
              <w:t>următoarele circumstanțe pot fi considerate circumstanțe agravante:</w:t>
            </w:r>
          </w:p>
        </w:tc>
        <w:tc>
          <w:tcPr>
            <w:tcW w:w="4876" w:type="dxa"/>
            <w:hideMark/>
          </w:tcPr>
          <w:p w:rsidR="00144A41" w:rsidRPr="004C499C" w:rsidRDefault="00401178">
            <w:pPr>
              <w:pStyle w:val="Normal6"/>
              <w:rPr>
                <w:szCs w:val="24"/>
              </w:rPr>
            </w:pPr>
            <w:r>
              <w:t>În măsura în care următoarele circumstanțe nu fac deja parte din elementele constitutive ale infracțiunilor menționate la articolele 3 și 4, statele membre iau măsurile necesare pentru a se asigura că următoarele circumstanțe pot fi considerate circumstanțe agravante:</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19</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8 – paragraful 1 – litera aa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(aa)</w:t>
            </w:r>
            <w:r>
              <w:rPr>
                <w:b/>
                <w:i/>
              </w:rPr>
              <w:tab/>
              <w:t>infracțiunea a implicat utilizarea de documente false sau falsificate;</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20</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8 – paragraful 1 – litera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(b)</w:t>
            </w:r>
            <w:r>
              <w:tab/>
              <w:t xml:space="preserve">infracțiunea a fost săvârșită de un prestator de servicii profesionale cu încălcarea obligațiilor </w:t>
            </w:r>
            <w:r>
              <w:rPr>
                <w:b/>
                <w:i/>
              </w:rPr>
              <w:t>sale profesionale</w:t>
            </w:r>
            <w:r>
              <w:t>;</w:t>
            </w:r>
          </w:p>
        </w:tc>
        <w:tc>
          <w:tcPr>
            <w:tcW w:w="4876" w:type="dxa"/>
            <w:hideMark/>
          </w:tcPr>
          <w:p w:rsidR="00144A41" w:rsidRPr="004C499C" w:rsidRDefault="00401178" w:rsidP="005C7A11">
            <w:pPr>
              <w:pStyle w:val="Normal6"/>
              <w:rPr>
                <w:szCs w:val="24"/>
              </w:rPr>
            </w:pPr>
            <w:r>
              <w:t>(b)</w:t>
            </w:r>
            <w:r>
              <w:tab/>
              <w:t xml:space="preserve">infracțiunea a fost săvârșită de un prestator de servicii profesionale cu încălcarea obligațiilor </w:t>
            </w:r>
            <w:r>
              <w:rPr>
                <w:b/>
                <w:i/>
              </w:rPr>
              <w:t>profesionale ale prestatorului în cauză</w:t>
            </w:r>
            <w:r>
              <w:t>;</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21</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8 – paragraful 1 – litera da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(da)</w:t>
            </w:r>
            <w:r>
              <w:rPr>
                <w:b/>
                <w:i/>
              </w:rPr>
              <w:tab/>
              <w:t>infracțiunea a generat sau s-a preconizat că va genera beneficii financiare substanțiale sau a evitat cheltuieli substanțiale, direct sau indirect;</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22</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8 – paragraful 1 – litera db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(db)</w:t>
            </w:r>
            <w:r>
              <w:rPr>
                <w:b/>
                <w:i/>
              </w:rPr>
              <w:tab/>
              <w:t>autorul infracțiunii obstrucționează în mod activ ancheta, controalele vamale sau activitățile de anchetă, distruge probe sau intimidează sau intervine pe lângă martori sau reclamanți;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23</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8 – paragraful 1 – litera db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(db)</w:t>
            </w:r>
            <w:r>
              <w:rPr>
                <w:b/>
                <w:i/>
              </w:rPr>
              <w:tab/>
              <w:t>autorul infracțiunii nu oferă asistență autorităților de urmărire penală și altor autorități de aplicare a legii atunci când acest lucru este impus de lege;</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24</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8 – paragraful 1 – litera dd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(dd)</w:t>
            </w:r>
            <w:r>
              <w:rPr>
                <w:b/>
                <w:i/>
              </w:rPr>
              <w:tab/>
              <w:t xml:space="preserve">în cazul entităților juridice, infracțiunea a fost săvârșită de personalul de conducere de nivel superior sau personalul de conducere de nivel superior ar fi trebuit, în mod rezonabil, să aibă cunoștință de infracțiunea săvârșită. </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25</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12 – alineatul 4 – litera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(b)</w:t>
            </w:r>
            <w:r>
              <w:tab/>
              <w:t xml:space="preserve">a unei pedepse cu închisoarea în cazul unei infracțiuni pasibile de o pedeapsă maximă cu închisoarea de cel puțin </w:t>
            </w:r>
            <w:r>
              <w:rPr>
                <w:b/>
                <w:i/>
              </w:rPr>
              <w:t>patru</w:t>
            </w:r>
            <w:r>
              <w:t xml:space="preserve"> ani,</w:t>
            </w:r>
          </w:p>
        </w:tc>
        <w:tc>
          <w:tcPr>
            <w:tcW w:w="4876" w:type="dxa"/>
            <w:hideMark/>
          </w:tcPr>
          <w:p w:rsidR="00144A41" w:rsidRPr="004C499C" w:rsidRDefault="00401178">
            <w:pPr>
              <w:pStyle w:val="Normal6"/>
              <w:rPr>
                <w:szCs w:val="24"/>
              </w:rPr>
            </w:pPr>
            <w:r>
              <w:t>(b)</w:t>
            </w:r>
            <w:r>
              <w:tab/>
              <w:t xml:space="preserve">a unei pedepse cu închisoarea în cazul unei infracțiuni pasibile de o pedeapsă maximă cu închisoarea de cel puțin </w:t>
            </w:r>
            <w:r>
              <w:rPr>
                <w:b/>
                <w:i/>
              </w:rPr>
              <w:t>cinci</w:t>
            </w:r>
            <w:r>
              <w:t xml:space="preserve"> ani,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26</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13 – paragraful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rPr>
                <w:b/>
                <w:i/>
              </w:rPr>
              <w:t>Statele membre iau măsurile necesare pentru a institui mecanisme adecvate</w:t>
            </w:r>
            <w:r>
              <w:t xml:space="preserve"> de coordonare și cooperare la nivel strategic și operațional între toate autoritățile lor administrative, de aplicare a legii și judiciare competente.</w:t>
            </w:r>
          </w:p>
        </w:tc>
        <w:tc>
          <w:tcPr>
            <w:tcW w:w="4876" w:type="dxa"/>
            <w:hideMark/>
          </w:tcPr>
          <w:p w:rsidR="00144A41" w:rsidRPr="004C499C" w:rsidRDefault="00401178">
            <w:pPr>
              <w:pStyle w:val="Normal6"/>
              <w:rPr>
                <w:szCs w:val="24"/>
              </w:rPr>
            </w:pPr>
            <w:r>
              <w:rPr>
                <w:b/>
                <w:i/>
              </w:rPr>
              <w:t xml:space="preserve">1. </w:t>
            </w:r>
            <w:r>
              <w:tab/>
            </w:r>
            <w:r>
              <w:rPr>
                <w:b/>
                <w:i/>
              </w:rPr>
              <w:t>Fiecare stat membru instituie sau desemnează o unitate dedicată cu scopul</w:t>
            </w:r>
            <w:r>
              <w:t xml:space="preserve"> de coordonare și cooperare la nivel strategic și operațional între toate autoritățile lor administrative, de aplicare a legii și judiciare competente</w:t>
            </w:r>
            <w:r>
              <w:rPr>
                <w:b/>
                <w:i/>
              </w:rPr>
              <w:t xml:space="preserve"> din cadrul unui stat membru</w:t>
            </w:r>
            <w:r>
              <w:t>.</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27</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13 – paragraful 2 – partea introductivă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rPr>
                <w:b/>
                <w:i/>
              </w:rPr>
              <w:t>Astfel</w:t>
            </w:r>
            <w:r>
              <w:t xml:space="preserve"> </w:t>
            </w:r>
            <w:r>
              <w:rPr>
                <w:b/>
                <w:i/>
              </w:rPr>
              <w:t>de mecanisme urmăresc cel puțin</w:t>
            </w:r>
            <w:r>
              <w:t>:</w:t>
            </w:r>
          </w:p>
        </w:tc>
        <w:tc>
          <w:tcPr>
            <w:tcW w:w="4876" w:type="dxa"/>
            <w:hideMark/>
          </w:tcPr>
          <w:p w:rsidR="00144A41" w:rsidRPr="004C499C" w:rsidRDefault="00401178" w:rsidP="00062E29">
            <w:pPr>
              <w:pStyle w:val="Normal6"/>
              <w:rPr>
                <w:szCs w:val="24"/>
              </w:rPr>
            </w:pPr>
            <w:r>
              <w:rPr>
                <w:b/>
                <w:i/>
              </w:rPr>
              <w:t xml:space="preserve">2. </w:t>
            </w:r>
            <w:r>
              <w:tab/>
            </w:r>
            <w:r>
              <w:rPr>
                <w:b/>
                <w:i/>
              </w:rPr>
              <w:t>Unitățile dedicate menționate la alineatul (1) au următoarele sarcini</w:t>
            </w:r>
            <w:r>
              <w:t>:</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28</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13 – paragraful 2 – litera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(a)</w:t>
            </w:r>
            <w:r>
              <w:tab/>
            </w:r>
            <w:r>
              <w:rPr>
                <w:b/>
                <w:i/>
              </w:rPr>
              <w:t>asigurarea unor</w:t>
            </w:r>
            <w:r>
              <w:t xml:space="preserve"> priorități comune și înțelegerea relației dintre executarea penală și administrativă;</w:t>
            </w:r>
          </w:p>
        </w:tc>
        <w:tc>
          <w:tcPr>
            <w:tcW w:w="4876" w:type="dxa"/>
            <w:hideMark/>
          </w:tcPr>
          <w:p w:rsidR="00144A41" w:rsidRPr="004C499C" w:rsidRDefault="00401178">
            <w:pPr>
              <w:pStyle w:val="Normal6"/>
              <w:rPr>
                <w:szCs w:val="24"/>
              </w:rPr>
            </w:pPr>
            <w:r>
              <w:t>(a)</w:t>
            </w:r>
            <w:r>
              <w:tab/>
            </w:r>
            <w:r>
              <w:rPr>
                <w:b/>
                <w:i/>
              </w:rPr>
              <w:t>să asigure</w:t>
            </w:r>
            <w:r>
              <w:t xml:space="preserve"> priorități comune și înțelegerea relației dintre executarea penală și administrativă;</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29</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13 – paragraful 2 – litera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(b)</w:t>
            </w:r>
            <w:r>
              <w:tab/>
            </w:r>
            <w:r>
              <w:rPr>
                <w:b/>
                <w:i/>
              </w:rPr>
              <w:t>schimbul de</w:t>
            </w:r>
            <w:r>
              <w:t xml:space="preserve"> informații în scopuri strategice și operaționale;</w:t>
            </w:r>
          </w:p>
        </w:tc>
        <w:tc>
          <w:tcPr>
            <w:tcW w:w="4876" w:type="dxa"/>
            <w:hideMark/>
          </w:tcPr>
          <w:p w:rsidR="00144A41" w:rsidRPr="004C499C" w:rsidRDefault="00401178" w:rsidP="00062E29">
            <w:pPr>
              <w:pStyle w:val="Normal6"/>
              <w:rPr>
                <w:szCs w:val="24"/>
              </w:rPr>
            </w:pPr>
            <w:r>
              <w:t>(b)</w:t>
            </w:r>
            <w:r>
              <w:tab/>
            </w:r>
            <w:r>
              <w:rPr>
                <w:b/>
                <w:i/>
              </w:rPr>
              <w:t>să schimbe</w:t>
            </w:r>
            <w:r>
              <w:t xml:space="preserve"> informații în scopuri strategice și operaționale;</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30</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13 – paragraful 2 – litera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(c)</w:t>
            </w:r>
            <w:r>
              <w:tab/>
            </w:r>
            <w:r>
              <w:rPr>
                <w:b/>
                <w:i/>
              </w:rPr>
              <w:t>consultarea</w:t>
            </w:r>
            <w:r>
              <w:t xml:space="preserve"> în cadrul anchetelor individuale;</w:t>
            </w:r>
          </w:p>
        </w:tc>
        <w:tc>
          <w:tcPr>
            <w:tcW w:w="4876" w:type="dxa"/>
            <w:hideMark/>
          </w:tcPr>
          <w:p w:rsidR="00144A41" w:rsidRPr="004C499C" w:rsidRDefault="00401178">
            <w:pPr>
              <w:pStyle w:val="Normal6"/>
              <w:rPr>
                <w:szCs w:val="24"/>
              </w:rPr>
            </w:pPr>
            <w:r>
              <w:t>(c)</w:t>
            </w:r>
            <w:r>
              <w:tab/>
            </w:r>
            <w:r>
              <w:rPr>
                <w:b/>
                <w:i/>
              </w:rPr>
              <w:t>să fie consultate</w:t>
            </w:r>
            <w:r>
              <w:t xml:space="preserve"> în cadrul anchetelor individuale;</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31</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13 – paragraful 2 – litera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(d)</w:t>
            </w:r>
            <w:r>
              <w:tab/>
            </w:r>
            <w:r>
              <w:rPr>
                <w:b/>
                <w:i/>
              </w:rPr>
              <w:t>schimbul</w:t>
            </w:r>
            <w:r>
              <w:t xml:space="preserve"> de bune practici;</w:t>
            </w:r>
          </w:p>
        </w:tc>
        <w:tc>
          <w:tcPr>
            <w:tcW w:w="4876" w:type="dxa"/>
            <w:hideMark/>
          </w:tcPr>
          <w:p w:rsidR="00144A41" w:rsidRPr="004C499C" w:rsidRDefault="00401178">
            <w:pPr>
              <w:pStyle w:val="Normal6"/>
              <w:rPr>
                <w:szCs w:val="24"/>
              </w:rPr>
            </w:pPr>
            <w:r>
              <w:t>(d)</w:t>
            </w:r>
            <w:r>
              <w:tab/>
            </w:r>
            <w:r>
              <w:rPr>
                <w:b/>
                <w:i/>
              </w:rPr>
              <w:t>să facă schimb</w:t>
            </w:r>
            <w:r>
              <w:t xml:space="preserve"> de bune practici;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32</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13 – paragraful 2 – litera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(e)</w:t>
            </w:r>
            <w:r>
              <w:tab/>
            </w:r>
            <w:r>
              <w:rPr>
                <w:b/>
                <w:i/>
              </w:rPr>
              <w:t>asistență pentru</w:t>
            </w:r>
            <w:r>
              <w:t xml:space="preserve"> rețelele de practicieni care se ocupă de aspecte relevante pentru anchetarea și urmărirea penală a infracțiunilor legate de încălcarea măsurilor restrictive ale Uniunii.</w:t>
            </w:r>
          </w:p>
        </w:tc>
        <w:tc>
          <w:tcPr>
            <w:tcW w:w="4876" w:type="dxa"/>
            <w:hideMark/>
          </w:tcPr>
          <w:p w:rsidR="00144A41" w:rsidRPr="004C499C" w:rsidRDefault="00401178">
            <w:pPr>
              <w:pStyle w:val="Normal6"/>
              <w:rPr>
                <w:szCs w:val="24"/>
              </w:rPr>
            </w:pPr>
            <w:r>
              <w:t>(e)</w:t>
            </w:r>
            <w:r>
              <w:tab/>
            </w:r>
            <w:r>
              <w:rPr>
                <w:b/>
                <w:i/>
              </w:rPr>
              <w:t>să asiste</w:t>
            </w:r>
            <w:r>
              <w:t xml:space="preserve"> rețelele de practicieni care se ocupă de aspecte relevante pentru anchetarea și urmărirea penală a infracțiunilor legate de încălcarea măsurilor restrictive ale Uniunii.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33</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13 – paragraful 2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2a. </w:t>
            </w:r>
            <w:r>
              <w:tab/>
            </w:r>
            <w:r>
              <w:rPr>
                <w:b/>
                <w:i/>
              </w:rPr>
              <w:t>Statele membre se asigură că autoritățile naționale competente dispun de resursele umane, tehnice și financiare, de spațiile de lucru și de infrastructura necesare pentru anchetarea și urmărirea penală eficientă a încălcărilor măsurilor restrictive ale Uniunii.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34</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16 – 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(1)</w:t>
            </w:r>
            <w:r>
              <w:tab/>
              <w:t xml:space="preserve">Fără a aduce atingere normelor privind cooperarea transfrontalieră și asistența judiciară reciprocă în materie penală, </w:t>
            </w:r>
            <w:r>
              <w:rPr>
                <w:b/>
                <w:i/>
              </w:rPr>
              <w:t>autoritățile</w:t>
            </w:r>
            <w:r>
              <w:t xml:space="preserve"> statelor membre, Eurojust, Parchetul European și Comisia </w:t>
            </w:r>
            <w:r>
              <w:rPr>
                <w:b/>
                <w:i/>
              </w:rPr>
              <w:t>cooperează</w:t>
            </w:r>
            <w:r>
              <w:t>, în limitele competențelor lor respective, în domeniul combaterii infracțiunilor menționate la articolele 3 și 4. În acest scop, Comisia și, după caz, Europol și Eurojust oferă asistență tehnică și operațională pentru a facilita coordonarea anchetelor și a urmăririlor penale de către autoritățile competente.</w:t>
            </w:r>
          </w:p>
        </w:tc>
        <w:tc>
          <w:tcPr>
            <w:tcW w:w="4876" w:type="dxa"/>
            <w:hideMark/>
          </w:tcPr>
          <w:p w:rsidR="00144A41" w:rsidRPr="004C499C" w:rsidRDefault="00401178" w:rsidP="0024227B">
            <w:pPr>
              <w:pStyle w:val="Normal6"/>
              <w:rPr>
                <w:szCs w:val="24"/>
              </w:rPr>
            </w:pPr>
            <w:r>
              <w:t>(1)</w:t>
            </w:r>
            <w:r>
              <w:tab/>
              <w:t xml:space="preserve">Fără a aduce atingere normelor privind cooperarea transfrontalieră și asistența judiciară reciprocă în materie penală, </w:t>
            </w:r>
            <w:r>
              <w:rPr>
                <w:b/>
                <w:i/>
              </w:rPr>
              <w:t>unitățile dedicate ale</w:t>
            </w:r>
            <w:r>
              <w:t xml:space="preserve"> statelor membre</w:t>
            </w:r>
            <w:r>
              <w:rPr>
                <w:b/>
                <w:i/>
              </w:rPr>
              <w:t xml:space="preserve"> instituite în temeiul [articolului 13]</w:t>
            </w:r>
            <w:r>
              <w:t xml:space="preserve">, Eurojust, Parchetul European și Comisia </w:t>
            </w:r>
            <w:r>
              <w:rPr>
                <w:b/>
                <w:i/>
              </w:rPr>
              <w:t>se întrunesc regulat într-un format structurat pentru a coordina și a coopera</w:t>
            </w:r>
            <w:r>
              <w:t>, în limitele competențelor lor respective, în domeniul combaterii infracțiunilor menționate la articolele 3 și 4. În acest scop, Comisia și, după caz, Europol și Eurojust oferă asistență tehnică și operațională pentru a facilita coordonarea anchetelor și a urmăririlor penale de către autoritățile competente.</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35</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16 – alineatul 1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rsidP="00062E29">
            <w:pPr>
              <w:pStyle w:val="Normal6"/>
              <w:rPr>
                <w:szCs w:val="24"/>
              </w:rPr>
            </w:pPr>
            <w:r>
              <w:rPr>
                <w:b/>
                <w:i/>
              </w:rPr>
              <w:t>(1a)</w:t>
            </w:r>
            <w:r>
              <w:rPr>
                <w:b/>
                <w:i/>
              </w:rPr>
              <w:tab/>
              <w:t>Instituțiile, organele, oficiile și agențiile Uniunii și autoritățile din statele membre care participă la cooperarea consolidată privind instituirea EPPO vor raporta EPPO fără întârzieri nejustificate orice comportament infracțional pentru care acesta ar putea să își exercite competența în conformitate cu articolul 22 și articolul 25 alineatele (2) și (3) din Regulamentul (UE) 2017/1939.</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36</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18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jc w:val="center"/>
              <w:rPr>
                <w:szCs w:val="24"/>
              </w:rPr>
            </w:pPr>
            <w:r>
              <w:rPr>
                <w:b/>
                <w:i/>
              </w:rPr>
              <w:t>Articolul 18a</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jc w:val="center"/>
              <w:rPr>
                <w:szCs w:val="24"/>
              </w:rPr>
            </w:pPr>
            <w:r>
              <w:rPr>
                <w:b/>
                <w:i/>
              </w:rPr>
              <w:t>Statistici</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1. </w:t>
            </w:r>
            <w:r>
              <w:tab/>
            </w:r>
            <w:r>
              <w:rPr>
                <w:b/>
                <w:i/>
              </w:rPr>
              <w:t>Statele membre colectează și păstrează la nivel central statistici cuprinzătoare referitoare la măsurile luate în temeiul prezentei directive.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rsidP="00062E29">
            <w:pPr>
              <w:pStyle w:val="Normal6"/>
              <w:rPr>
                <w:szCs w:val="24"/>
              </w:rPr>
            </w:pPr>
            <w:r>
              <w:rPr>
                <w:b/>
                <w:i/>
              </w:rPr>
              <w:t xml:space="preserve">2. </w:t>
            </w:r>
            <w:r>
              <w:tab/>
            </w:r>
            <w:r>
              <w:rPr>
                <w:b/>
                <w:i/>
              </w:rPr>
              <w:t>Fără a aduce atingere obligațiilor de raportare prevăzute de alte acte juridice ale Uniunii, statele membre transmit Comisiei anual, până în luna septembrie a anului următor, următoarele statistici cu privire la infracțiunile menționate la articolele 3 și 4, specificând tipul măsurii restrictive a Uniunii:</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(a) </w:t>
            </w:r>
            <w:r>
              <w:tab/>
            </w:r>
            <w:r>
              <w:rPr>
                <w:b/>
                <w:i/>
              </w:rPr>
              <w:t>numărul procedurilor penale inițiate;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(b) </w:t>
            </w:r>
            <w:r>
              <w:tab/>
            </w:r>
            <w:r>
              <w:rPr>
                <w:b/>
                <w:i/>
              </w:rPr>
              <w:t>numărul procedurilor penale respinse;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(c) </w:t>
            </w:r>
            <w:r>
              <w:tab/>
            </w:r>
            <w:r>
              <w:rPr>
                <w:b/>
                <w:i/>
              </w:rPr>
              <w:t>numărul procedurilor penale care au condus la o achitare;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(d) </w:t>
            </w:r>
            <w:r>
              <w:tab/>
            </w:r>
            <w:r>
              <w:rPr>
                <w:b/>
                <w:i/>
              </w:rPr>
              <w:t>numărul procedurilor penale care au condus la o condamnare;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(e) </w:t>
            </w:r>
            <w:r>
              <w:tab/>
            </w:r>
            <w:r>
              <w:rPr>
                <w:b/>
                <w:i/>
              </w:rPr>
              <w:t>numărul procedurilor penale în curs;</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(f) </w:t>
            </w:r>
            <w:r>
              <w:tab/>
            </w:r>
            <w:r>
              <w:rPr>
                <w:b/>
                <w:i/>
              </w:rPr>
              <w:t>durata medie a procedurilor penale;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(g) </w:t>
            </w:r>
            <w:r>
              <w:tab/>
            </w:r>
            <w:r>
              <w:rPr>
                <w:b/>
                <w:i/>
              </w:rPr>
              <w:t>valoarea fondurilor și a resurselor economice înghețate;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(h) </w:t>
            </w:r>
            <w:r>
              <w:tab/>
            </w:r>
            <w:r>
              <w:rPr>
                <w:b/>
                <w:i/>
              </w:rPr>
              <w:t>valoarea fondurilor și a resurselor economice confiscate.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Statisticile care trebuie depuse includ, de asemenea, tipurile și nivelurile sancțiunilor impuse pentru încălcarea măsurilor restrictive ale Uniunii.</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rsidP="0024227B">
            <w:pPr>
              <w:pStyle w:val="Normal6"/>
              <w:rPr>
                <w:szCs w:val="24"/>
              </w:rPr>
            </w:pPr>
            <w:r>
              <w:rPr>
                <w:b/>
                <w:i/>
              </w:rPr>
              <w:t xml:space="preserve">3. </w:t>
            </w:r>
            <w:r>
              <w:tab/>
            </w:r>
            <w:r>
              <w:rPr>
                <w:b/>
                <w:i/>
              </w:rPr>
              <w:t>Comisia este împuternicită să adopte acte delegate în conformitate cu [articolul 18b] în ceea ce privește stabilirea unor reguli detaliate privind informațiile care trebuie colectate și metodologia pentru colectarea statisticilor menționate la alineatul (2) din prezentul articol, precum și modalitățile de transmitere a acestora către Comisie.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4. </w:t>
            </w:r>
            <w:r>
              <w:tab/>
            </w:r>
            <w:r>
              <w:rPr>
                <w:b/>
                <w:i/>
              </w:rPr>
              <w:t>Comisia publică anual aceste statistici.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37</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18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jc w:val="center"/>
              <w:rPr>
                <w:szCs w:val="24"/>
              </w:rPr>
            </w:pPr>
            <w:r>
              <w:rPr>
                <w:b/>
                <w:i/>
              </w:rPr>
              <w:t>Articolul 18b</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jc w:val="center"/>
              <w:rPr>
                <w:szCs w:val="24"/>
              </w:rPr>
            </w:pPr>
            <w:r>
              <w:rPr>
                <w:b/>
                <w:i/>
              </w:rPr>
              <w:t>Exercitarea delegării de competențe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1. </w:t>
            </w:r>
            <w:r>
              <w:tab/>
            </w:r>
            <w:r>
              <w:rPr>
                <w:b/>
                <w:i/>
              </w:rPr>
              <w:t>Competența de a adopta acte delegate este conferită Comisiei în condițiile prevăzute la prezentul articol.</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2. </w:t>
            </w:r>
            <w:r>
              <w:tab/>
            </w:r>
            <w:r>
              <w:rPr>
                <w:b/>
                <w:i/>
              </w:rPr>
              <w:t>Competența de a adopta acte delegate menționată la [articolul 18a] se conferă Comisiei pe o perioadă nedeterminată de la [data intrării în vigoare a prezentei directive].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3. </w:t>
            </w:r>
            <w:r>
              <w:tab/>
            </w:r>
            <w:r>
              <w:rPr>
                <w:b/>
                <w:i/>
              </w:rPr>
              <w:t>Delegarea de competențe menționată la [articolul 18a]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szCs w:val="24"/>
              </w:rPr>
            </w:pPr>
            <w:r>
              <w:rPr>
                <w:b/>
                <w:i/>
              </w:rPr>
              <w:t xml:space="preserve">4. </w:t>
            </w:r>
            <w:r>
              <w:tab/>
            </w:r>
            <w:r>
              <w:rPr>
                <w:b/>
                <w:i/>
              </w:rPr>
              <w:t>Înainte de adoptarea unui act delegat, Comisia consultă experții desemnați de fiecare stat membru în conformitate cu principiile prevăzute în Acordul interinstituțional din 13 aprilie 2016 privind o mai bună legiferare.</w:t>
            </w:r>
          </w:p>
        </w:tc>
      </w:tr>
      <w:tr w:rsidR="00AA2785" w:rsidTr="00144A41">
        <w:trPr>
          <w:jc w:val="center"/>
        </w:trPr>
        <w:tc>
          <w:tcPr>
            <w:tcW w:w="4876" w:type="dxa"/>
          </w:tcPr>
          <w:p w:rsidR="00144A41" w:rsidRPr="004C499C" w:rsidRDefault="00144A41">
            <w:pPr>
              <w:pStyle w:val="Normal6"/>
            </w:pPr>
          </w:p>
        </w:tc>
        <w:tc>
          <w:tcPr>
            <w:tcW w:w="4876" w:type="dxa"/>
            <w:hideMark/>
          </w:tcPr>
          <w:p w:rsidR="00144A41" w:rsidRPr="004C499C" w:rsidRDefault="00401178">
            <w:pPr>
              <w:pStyle w:val="Normal6"/>
              <w:rPr>
                <w:b/>
                <w:i/>
              </w:rPr>
            </w:pPr>
            <w:r>
              <w:rPr>
                <w:b/>
                <w:i/>
              </w:rPr>
              <w:t xml:space="preserve">5. </w:t>
            </w:r>
            <w:r>
              <w:tab/>
            </w:r>
            <w:r>
              <w:rPr>
                <w:b/>
                <w:i/>
              </w:rPr>
              <w:t xml:space="preserve">De îndată ce adoptă un act delegat, Comisia îl notifică simultan Parlamentului European și Consiliului. </w:t>
            </w:r>
          </w:p>
        </w:tc>
      </w:tr>
      <w:tr w:rsidR="00AA2785" w:rsidTr="00144A41">
        <w:trPr>
          <w:jc w:val="center"/>
        </w:trPr>
        <w:tc>
          <w:tcPr>
            <w:tcW w:w="4876" w:type="dxa"/>
          </w:tcPr>
          <w:p w:rsidR="00F610D6" w:rsidRPr="004C499C" w:rsidRDefault="00F610D6">
            <w:pPr>
              <w:pStyle w:val="Normal6"/>
            </w:pPr>
          </w:p>
        </w:tc>
        <w:tc>
          <w:tcPr>
            <w:tcW w:w="4876" w:type="dxa"/>
          </w:tcPr>
          <w:p w:rsidR="00F610D6" w:rsidRPr="004C499C" w:rsidRDefault="00401178">
            <w:pPr>
              <w:pStyle w:val="Normal6"/>
              <w:rPr>
                <w:b/>
                <w:i/>
              </w:rPr>
            </w:pPr>
            <w:r>
              <w:rPr>
                <w:b/>
                <w:i/>
              </w:rPr>
              <w:t xml:space="preserve">6. </w:t>
            </w:r>
            <w:r>
              <w:tab/>
            </w:r>
            <w:r>
              <w:rPr>
                <w:b/>
                <w:i/>
              </w:rPr>
              <w:t>Un act delegat adoptat în temeiul [articolului 18a]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au informat Comisia că nu vor formula obiecțiuni. Termenul respectiv se prelungește cu [două luni] la inițiativa Parlamentului European sau a Consiliului.</w:t>
            </w: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38</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19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rPr>
                <w:b/>
                <w:i/>
              </w:rPr>
              <w:t>(2)</w:t>
            </w:r>
            <w:r>
              <w:rPr>
                <w:b/>
                <w:i/>
              </w:rPr>
              <w:tab/>
              <w:t>Fără a aduce atingere obligațiilor de raportare prevăzute de alte acte juridice ale Uniunii, statele membre transmit anual Comisiei următoarele statistici cu privire la infracțiunile menționate la articolele 3 și 4:</w:t>
            </w:r>
          </w:p>
        </w:tc>
        <w:tc>
          <w:tcPr>
            <w:tcW w:w="4876" w:type="dxa"/>
            <w:hideMark/>
          </w:tcPr>
          <w:p w:rsidR="00144A41" w:rsidRPr="004C499C" w:rsidRDefault="00401178">
            <w:pPr>
              <w:pStyle w:val="Normal6"/>
              <w:rPr>
                <w:szCs w:val="24"/>
              </w:rPr>
            </w:pPr>
            <w:r>
              <w:rPr>
                <w:b/>
                <w:i/>
              </w:rPr>
              <w:t>eliminat</w:t>
            </w:r>
          </w:p>
        </w:tc>
      </w:tr>
      <w:tr w:rsidR="00AA2785" w:rsidTr="00144A41">
        <w:trPr>
          <w:jc w:val="center"/>
        </w:trPr>
        <w:tc>
          <w:tcPr>
            <w:tcW w:w="4876" w:type="dxa"/>
            <w:hideMark/>
          </w:tcPr>
          <w:p w:rsidR="00144A41" w:rsidRPr="004C499C" w:rsidRDefault="00401178">
            <w:pPr>
              <w:pStyle w:val="Normal6"/>
            </w:pPr>
            <w:r>
              <w:rPr>
                <w:b/>
                <w:i/>
              </w:rPr>
              <w:t>(a)</w:t>
            </w:r>
            <w:r>
              <w:rPr>
                <w:b/>
                <w:i/>
              </w:rPr>
              <w:tab/>
              <w:t>numărul de proceduri penale inițiate, respinse, care au condus la o achitare, care au condus la o condamnare și care sunt în curs;</w:t>
            </w:r>
          </w:p>
        </w:tc>
        <w:tc>
          <w:tcPr>
            <w:tcW w:w="4876" w:type="dxa"/>
          </w:tcPr>
          <w:p w:rsidR="00144A41" w:rsidRPr="004C499C" w:rsidRDefault="00144A41">
            <w:pPr>
              <w:pStyle w:val="Normal6"/>
              <w:rPr>
                <w:szCs w:val="24"/>
              </w:rPr>
            </w:pPr>
          </w:p>
        </w:tc>
      </w:tr>
      <w:tr w:rsidR="00AA2785" w:rsidTr="00144A41">
        <w:trPr>
          <w:jc w:val="center"/>
        </w:trPr>
        <w:tc>
          <w:tcPr>
            <w:tcW w:w="4876" w:type="dxa"/>
            <w:hideMark/>
          </w:tcPr>
          <w:p w:rsidR="00144A41" w:rsidRPr="004C499C" w:rsidRDefault="00401178">
            <w:pPr>
              <w:pStyle w:val="Normal6"/>
            </w:pPr>
            <w:r>
              <w:rPr>
                <w:b/>
                <w:i/>
              </w:rPr>
              <w:t>(b)</w:t>
            </w:r>
            <w:r>
              <w:rPr>
                <w:b/>
                <w:i/>
              </w:rPr>
              <w:tab/>
              <w:t>tipurile și nivelurile sancțiunilor impuse pentru încălcarea măsurilor restrictive ale Uniunii.</w:t>
            </w:r>
          </w:p>
        </w:tc>
        <w:tc>
          <w:tcPr>
            <w:tcW w:w="4876" w:type="dxa"/>
          </w:tcPr>
          <w:p w:rsidR="00144A41" w:rsidRPr="004C499C" w:rsidRDefault="00144A41">
            <w:pPr>
              <w:pStyle w:val="Normal6"/>
              <w:rPr>
                <w:szCs w:val="24"/>
              </w:rPr>
            </w:pPr>
          </w:p>
        </w:tc>
      </w:tr>
    </w:tbl>
    <w:p w:rsidR="00144A41" w:rsidRPr="004C499C" w:rsidRDefault="00401178" w:rsidP="00144A41">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pPr>
        <w:pStyle w:val="JustificationTitle"/>
        <w:rPr>
          <w:noProof w:val="0"/>
        </w:rPr>
      </w:pPr>
      <w:r>
        <w:rPr>
          <w:rStyle w:val="HideTWBExt"/>
          <w:i w:val="0"/>
        </w:rPr>
        <w:t>&lt;TitreJust&gt;</w:t>
      </w:r>
      <w:r>
        <w:t>Justificare</w:t>
      </w:r>
      <w:r>
        <w:rPr>
          <w:rStyle w:val="HideTWBExt"/>
          <w:i w:val="0"/>
        </w:rPr>
        <w:t>&lt;/TitreJust&gt;</w:t>
      </w:r>
    </w:p>
    <w:p w:rsidR="00144A41" w:rsidRPr="004C499C" w:rsidRDefault="00401178" w:rsidP="00144A41">
      <w:pPr>
        <w:pStyle w:val="Normal12Italic"/>
        <w:rPr>
          <w:noProof w:val="0"/>
        </w:rPr>
      </w:pPr>
      <w:r>
        <w:t>Incluse într-un articol separat referitor la statistici</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39</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19 – alineatul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rPr>
                <w:b/>
                <w:i/>
              </w:rPr>
              <w:t>(3)</w:t>
            </w:r>
            <w:r>
              <w:rPr>
                <w:b/>
                <w:i/>
              </w:rPr>
              <w:tab/>
              <w:t>Statele membre transmit Comisiei datele statistice menționate la alineatul (2) utilizând instrumentele de raportare specifice instituite de Comisie pentru raportarea în domeniul măsurilor restrictive.</w:t>
            </w:r>
          </w:p>
        </w:tc>
        <w:tc>
          <w:tcPr>
            <w:tcW w:w="4876" w:type="dxa"/>
            <w:hideMark/>
          </w:tcPr>
          <w:p w:rsidR="00144A41" w:rsidRPr="004C499C" w:rsidRDefault="00401178">
            <w:pPr>
              <w:pStyle w:val="Normal6"/>
              <w:rPr>
                <w:szCs w:val="24"/>
              </w:rPr>
            </w:pPr>
            <w:r>
              <w:rPr>
                <w:b/>
                <w:i/>
              </w:rPr>
              <w:t>eliminat</w:t>
            </w:r>
          </w:p>
        </w:tc>
      </w:tr>
    </w:tbl>
    <w:p w:rsidR="00144A41" w:rsidRPr="004C499C" w:rsidRDefault="00401178" w:rsidP="00144A41">
      <w:pPr>
        <w:pStyle w:val="Olang"/>
        <w:rPr>
          <w:rStyle w:val="HideTWBExt"/>
        </w:rPr>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p>
    <w:p w:rsidR="00144A41" w:rsidRPr="004C499C" w:rsidRDefault="00401178" w:rsidP="00144A41">
      <w:r>
        <w:rPr>
          <w:rStyle w:val="HideTWBExt"/>
        </w:rPr>
        <w:t>&lt;/Amend&gt;</w:t>
      </w:r>
    </w:p>
    <w:p w:rsidR="00144A41" w:rsidRPr="004C499C" w:rsidRDefault="00401178" w:rsidP="00144A41">
      <w:pPr>
        <w:pStyle w:val="AMNumberTabs0"/>
        <w:keepNext/>
      </w:pPr>
      <w:r>
        <w:rPr>
          <w:rStyle w:val="HideTWBExt"/>
          <w:b w:val="0"/>
        </w:rPr>
        <w:t>&lt;Amend&gt;</w:t>
      </w:r>
      <w:r>
        <w:t>Amendamentul</w:t>
      </w:r>
      <w:r>
        <w:tab/>
      </w:r>
      <w:r>
        <w:tab/>
      </w:r>
      <w:r>
        <w:rPr>
          <w:rStyle w:val="HideTWBExt"/>
          <w:b w:val="0"/>
        </w:rPr>
        <w:t>&lt;NumAm&gt;</w:t>
      </w:r>
      <w:r>
        <w:t>40</w:t>
      </w:r>
      <w:r>
        <w:rPr>
          <w:rStyle w:val="HideTWBExt"/>
          <w:b w:val="0"/>
        </w:rPr>
        <w:t>&lt;/NumAm&gt;</w:t>
      </w:r>
    </w:p>
    <w:p w:rsidR="00144A41" w:rsidRPr="004C499C" w:rsidRDefault="00401178" w:rsidP="00144A41">
      <w:pPr>
        <w:pStyle w:val="NormalBold12b"/>
        <w:keepNext/>
      </w:pPr>
      <w:r>
        <w:rPr>
          <w:rStyle w:val="HideTWBExt"/>
          <w:b w:val="0"/>
        </w:rPr>
        <w:t>&lt;DocAmend&gt;</w:t>
      </w:r>
      <w:r>
        <w:t>Propunere de directivă</w:t>
      </w:r>
      <w:r>
        <w:rPr>
          <w:rStyle w:val="HideTWBExt"/>
          <w:b w:val="0"/>
        </w:rPr>
        <w:t>&lt;/DocAmend&gt;</w:t>
      </w:r>
    </w:p>
    <w:p w:rsidR="00144A41" w:rsidRPr="004C499C" w:rsidRDefault="00401178" w:rsidP="00144A41">
      <w:pPr>
        <w:pStyle w:val="NormalBold"/>
      </w:pPr>
      <w:r>
        <w:rPr>
          <w:rStyle w:val="HideTWBExt"/>
          <w:b w:val="0"/>
        </w:rPr>
        <w:t>&lt;Article&gt;</w:t>
      </w:r>
      <w:r>
        <w:t>Articolul 19 – alineatul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785" w:rsidTr="00144A41">
        <w:trPr>
          <w:jc w:val="center"/>
        </w:trPr>
        <w:tc>
          <w:tcPr>
            <w:tcW w:w="9752" w:type="dxa"/>
            <w:gridSpan w:val="2"/>
          </w:tcPr>
          <w:p w:rsidR="00144A41" w:rsidRPr="004C499C" w:rsidRDefault="00144A41">
            <w:pPr>
              <w:keepNext/>
            </w:pPr>
          </w:p>
        </w:tc>
      </w:tr>
      <w:tr w:rsidR="00AA2785" w:rsidTr="00144A41">
        <w:trPr>
          <w:jc w:val="center"/>
        </w:trPr>
        <w:tc>
          <w:tcPr>
            <w:tcW w:w="4876" w:type="dxa"/>
            <w:hideMark/>
          </w:tcPr>
          <w:p w:rsidR="00144A41" w:rsidRPr="004C499C" w:rsidRDefault="00401178">
            <w:pPr>
              <w:pStyle w:val="ColumnHeading"/>
              <w:keepNext/>
            </w:pPr>
            <w:r>
              <w:t>Textul propus de Comisie</w:t>
            </w:r>
          </w:p>
        </w:tc>
        <w:tc>
          <w:tcPr>
            <w:tcW w:w="4876" w:type="dxa"/>
            <w:hideMark/>
          </w:tcPr>
          <w:p w:rsidR="00144A41" w:rsidRPr="004C499C" w:rsidRDefault="00401178">
            <w:pPr>
              <w:pStyle w:val="ColumnHeading"/>
              <w:keepNext/>
            </w:pPr>
            <w:r>
              <w:t>Amendamentul</w:t>
            </w:r>
          </w:p>
        </w:tc>
      </w:tr>
      <w:tr w:rsidR="00AA2785" w:rsidTr="00144A41">
        <w:trPr>
          <w:jc w:val="center"/>
        </w:trPr>
        <w:tc>
          <w:tcPr>
            <w:tcW w:w="4876" w:type="dxa"/>
            <w:hideMark/>
          </w:tcPr>
          <w:p w:rsidR="00144A41" w:rsidRPr="004C499C" w:rsidRDefault="00401178">
            <w:pPr>
              <w:pStyle w:val="Normal6"/>
            </w:pPr>
            <w:r>
              <w:t>(4)</w:t>
            </w:r>
            <w:r>
              <w:tab/>
              <w:t>În termen de [OP – a se introduce data – cinci ani de la încheierea perioadei de transpunere], Comisia efectuează o evaluare a impactului prezentei directive și prezintă un raport Parlamentului European și Consiliului. Statele membre furnizează Comisiei informațiile necesare pentru întocmirea raportului respectiv.</w:t>
            </w:r>
          </w:p>
        </w:tc>
        <w:tc>
          <w:tcPr>
            <w:tcW w:w="4876" w:type="dxa"/>
            <w:hideMark/>
          </w:tcPr>
          <w:p w:rsidR="00144A41" w:rsidRPr="004C499C" w:rsidRDefault="00401178" w:rsidP="00234FEC">
            <w:pPr>
              <w:pStyle w:val="Normal6"/>
              <w:rPr>
                <w:szCs w:val="24"/>
              </w:rPr>
            </w:pPr>
            <w:r>
              <w:t>(4)</w:t>
            </w:r>
            <w:r>
              <w:tab/>
              <w:t>În termen de [OP – a se introduce data – cinci ani de la încheierea perioadei de transpunere], Comisia efectuează o evaluare a impactului prezentei directive</w:t>
            </w:r>
            <w:r>
              <w:rPr>
                <w:b/>
                <w:i/>
              </w:rPr>
              <w:t>, luând în considerare statisticile anuale transmise de statele membre,</w:t>
            </w:r>
            <w:r>
              <w:t xml:space="preserve"> și prezintă un raport Parlamentului European și Consiliului</w:t>
            </w:r>
            <w:r>
              <w:rPr>
                <w:b/>
                <w:i/>
              </w:rPr>
              <w:t>, care va fi publicat</w:t>
            </w:r>
            <w:r>
              <w:t xml:space="preserve">. Statele membre furnizează Comisiei informațiile necesare pentru întocmirea raportului respectiv. </w:t>
            </w:r>
            <w:r>
              <w:rPr>
                <w:b/>
                <w:i/>
              </w:rPr>
              <w:t>Pe baza acestei evaluări, Comisia decide cu privire la acțiunile ulterioare adecvate, inclusiv, dacă este necesar, cu privire la oportunitatea prezentării unei propuneri legislative.</w:t>
            </w:r>
          </w:p>
        </w:tc>
      </w:tr>
    </w:tbl>
    <w:p w:rsidR="002669B6" w:rsidRPr="004C499C" w:rsidRDefault="00401178" w:rsidP="008A2492">
      <w:pPr>
        <w:pStyle w:val="Olang"/>
      </w:pPr>
      <w:r w:rsidRPr="004C499C">
        <w:rPr>
          <w:noProof w:val="0"/>
        </w:rPr>
        <w:t xml:space="preserve">Or. </w:t>
      </w:r>
      <w:r w:rsidRPr="004C499C">
        <w:rPr>
          <w:rStyle w:val="HideTWBExt"/>
          <w:noProof w:val="0"/>
        </w:rPr>
        <w:t>&lt;Original&gt;</w:t>
      </w:r>
      <w:r w:rsidRPr="004C499C">
        <w:rPr>
          <w:rStyle w:val="HideTWBInt"/>
          <w:noProof w:val="0"/>
        </w:rPr>
        <w:t>{EN}</w:t>
      </w:r>
      <w:r w:rsidRPr="004C499C">
        <w:rPr>
          <w:noProof w:val="0"/>
        </w:rPr>
        <w:t>en</w:t>
      </w:r>
      <w:r w:rsidRPr="004C499C">
        <w:rPr>
          <w:rStyle w:val="HideTWBExt"/>
          <w:noProof w:val="0"/>
        </w:rPr>
        <w:t>&lt;/Original&gt;</w:t>
      </w:r>
      <w:bookmarkStart w:id="2" w:name="restart"/>
      <w:r w:rsidRPr="004C499C">
        <w:rPr>
          <w:rStyle w:val="HideTWBExt"/>
          <w:noProof w:val="0"/>
        </w:rPr>
        <w:t>&lt;/Amend&gt;</w:t>
      </w:r>
      <w:bookmarkEnd w:id="2"/>
      <w:r w:rsidRPr="004C499C">
        <w:rPr>
          <w:rStyle w:val="HideTWBExt"/>
          <w:noProof w:val="0"/>
        </w:rPr>
        <w:t>&lt;/RepeatBlock-Amend&gt;</w:t>
      </w:r>
    </w:p>
    <w:sectPr w:rsidR="002669B6" w:rsidRPr="004C499C" w:rsidSect="004C49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7A8" w:rsidRDefault="00401178">
      <w:r>
        <w:separator/>
      </w:r>
    </w:p>
  </w:endnote>
  <w:endnote w:type="continuationSeparator" w:id="0">
    <w:p w:rsidR="003247A8" w:rsidRDefault="0040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99C" w:rsidRPr="004C499C" w:rsidRDefault="00401178" w:rsidP="004C499C">
    <w:pPr>
      <w:pStyle w:val="EPFooter"/>
    </w:pPr>
    <w:r w:rsidRPr="004C499C">
      <w:t>PE</w:t>
    </w:r>
    <w:r w:rsidRPr="004C499C">
      <w:rPr>
        <w:rStyle w:val="HideTWBExt"/>
      </w:rPr>
      <w:t>&lt;NoPE&gt;</w:t>
    </w:r>
    <w:r w:rsidRPr="004C499C">
      <w:t>746.946</w:t>
    </w:r>
    <w:r w:rsidRPr="004C499C">
      <w:rPr>
        <w:rStyle w:val="HideTWBExt"/>
      </w:rPr>
      <w:t>&lt;/NoPE&gt;&lt;Version&gt;</w:t>
    </w:r>
    <w:r w:rsidRPr="004C499C">
      <w:t>v01-00</w:t>
    </w:r>
    <w:r w:rsidRPr="004C499C">
      <w:rPr>
        <w:rStyle w:val="HideTWBExt"/>
      </w:rPr>
      <w:t>&lt;/Version&gt;</w:t>
    </w:r>
    <w:r w:rsidRPr="004C499C">
      <w:tab/>
    </w:r>
    <w:r w:rsidRPr="004C499C">
      <w:fldChar w:fldCharType="begin"/>
    </w:r>
    <w:r w:rsidRPr="004C499C">
      <w:instrText xml:space="preserve"> PAGE  \* MERGEFORMAT </w:instrText>
    </w:r>
    <w:r w:rsidRPr="004C499C">
      <w:fldChar w:fldCharType="separate"/>
    </w:r>
    <w:r w:rsidR="0011256A">
      <w:rPr>
        <w:noProof/>
      </w:rPr>
      <w:t>10</w:t>
    </w:r>
    <w:r w:rsidRPr="004C499C">
      <w:fldChar w:fldCharType="end"/>
    </w:r>
    <w:r w:rsidRPr="004C499C">
      <w:t>/</w:t>
    </w:r>
    <w:r w:rsidR="00BC5AA8">
      <w:fldChar w:fldCharType="begin"/>
    </w:r>
    <w:r>
      <w:instrText xml:space="preserve"> NUMPAGES  \* MERGEFORMAT </w:instrText>
    </w:r>
    <w:r w:rsidR="00BC5AA8">
      <w:fldChar w:fldCharType="separate"/>
    </w:r>
    <w:r w:rsidR="0011256A">
      <w:rPr>
        <w:noProof/>
      </w:rPr>
      <w:t>25</w:t>
    </w:r>
    <w:r w:rsidR="00BC5AA8">
      <w:rPr>
        <w:noProof/>
      </w:rPr>
      <w:fldChar w:fldCharType="end"/>
    </w:r>
    <w:r w:rsidRPr="004C499C">
      <w:tab/>
    </w:r>
    <w:r w:rsidRPr="004C499C">
      <w:rPr>
        <w:rStyle w:val="HideTWBExt"/>
      </w:rPr>
      <w:t>&lt;PathFdR&gt;</w:t>
    </w:r>
    <w:r w:rsidRPr="004C499C">
      <w:t>PR\1277982RO.docx</w:t>
    </w:r>
    <w:r w:rsidRPr="004C499C">
      <w:rPr>
        <w:rStyle w:val="HideTWBExt"/>
      </w:rPr>
      <w:t>&lt;/PathFdR&gt;</w:t>
    </w:r>
  </w:p>
  <w:p w:rsidR="005A41A4" w:rsidRPr="004C499C" w:rsidRDefault="00401178" w:rsidP="004C499C">
    <w:pPr>
      <w:pStyle w:val="EPFooter2"/>
    </w:pPr>
    <w:r w:rsidRPr="004C499C">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99C" w:rsidRPr="004C499C" w:rsidRDefault="00401178" w:rsidP="004C499C">
    <w:pPr>
      <w:pStyle w:val="EPFooter"/>
    </w:pPr>
    <w:r w:rsidRPr="004C499C">
      <w:rPr>
        <w:rStyle w:val="HideTWBExt"/>
      </w:rPr>
      <w:t>&lt;PathFdR&gt;</w:t>
    </w:r>
    <w:r w:rsidRPr="004C499C">
      <w:t>PR\1277982RO.docx</w:t>
    </w:r>
    <w:r w:rsidRPr="004C499C">
      <w:rPr>
        <w:rStyle w:val="HideTWBExt"/>
      </w:rPr>
      <w:t>&lt;/PathFdR&gt;</w:t>
    </w:r>
    <w:r w:rsidRPr="004C499C">
      <w:tab/>
    </w:r>
    <w:r w:rsidRPr="004C499C">
      <w:fldChar w:fldCharType="begin"/>
    </w:r>
    <w:r w:rsidRPr="004C499C">
      <w:instrText xml:space="preserve"> PAGE  \* MERGEFORMAT </w:instrText>
    </w:r>
    <w:r w:rsidRPr="004C499C">
      <w:fldChar w:fldCharType="separate"/>
    </w:r>
    <w:r w:rsidR="0011256A">
      <w:rPr>
        <w:noProof/>
      </w:rPr>
      <w:t>9</w:t>
    </w:r>
    <w:r w:rsidRPr="004C499C">
      <w:fldChar w:fldCharType="end"/>
    </w:r>
    <w:r w:rsidRPr="004C499C">
      <w:t>/</w:t>
    </w:r>
    <w:r w:rsidR="00BC5AA8">
      <w:fldChar w:fldCharType="begin"/>
    </w:r>
    <w:r>
      <w:instrText xml:space="preserve"> NUMPAGES  \* MERGEFORMAT </w:instrText>
    </w:r>
    <w:r w:rsidR="00BC5AA8">
      <w:fldChar w:fldCharType="separate"/>
    </w:r>
    <w:r w:rsidR="0011256A">
      <w:rPr>
        <w:noProof/>
      </w:rPr>
      <w:t>25</w:t>
    </w:r>
    <w:r w:rsidR="00BC5AA8">
      <w:rPr>
        <w:noProof/>
      </w:rPr>
      <w:fldChar w:fldCharType="end"/>
    </w:r>
    <w:r w:rsidRPr="004C499C">
      <w:tab/>
      <w:t>PE</w:t>
    </w:r>
    <w:r w:rsidRPr="004C499C">
      <w:rPr>
        <w:rStyle w:val="HideTWBExt"/>
      </w:rPr>
      <w:t>&lt;NoPE&gt;</w:t>
    </w:r>
    <w:r w:rsidRPr="004C499C">
      <w:t>746.946</w:t>
    </w:r>
    <w:r w:rsidRPr="004C499C">
      <w:rPr>
        <w:rStyle w:val="HideTWBExt"/>
      </w:rPr>
      <w:t>&lt;/NoPE&gt;&lt;Version&gt;</w:t>
    </w:r>
    <w:r w:rsidRPr="004C499C">
      <w:t>v01-00</w:t>
    </w:r>
    <w:r w:rsidRPr="004C499C">
      <w:rPr>
        <w:rStyle w:val="HideTWBExt"/>
      </w:rPr>
      <w:t>&lt;/Version&gt;</w:t>
    </w:r>
  </w:p>
  <w:p w:rsidR="005A41A4" w:rsidRPr="004C499C" w:rsidRDefault="00401178" w:rsidP="004C499C">
    <w:pPr>
      <w:pStyle w:val="EPFooter2"/>
    </w:pPr>
    <w:r w:rsidRPr="004C499C">
      <w:tab/>
    </w:r>
    <w:r w:rsidRPr="004C499C">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99C" w:rsidRPr="004C499C" w:rsidRDefault="00401178" w:rsidP="004C499C">
    <w:pPr>
      <w:pStyle w:val="EPFooter"/>
    </w:pPr>
    <w:r w:rsidRPr="004C499C">
      <w:rPr>
        <w:rStyle w:val="HideTWBExt"/>
      </w:rPr>
      <w:t>&lt;PathFdR&gt;</w:t>
    </w:r>
    <w:r w:rsidRPr="004C499C">
      <w:t>PR\1277982RO.docx</w:t>
    </w:r>
    <w:r w:rsidRPr="004C499C">
      <w:rPr>
        <w:rStyle w:val="HideTWBExt"/>
      </w:rPr>
      <w:t>&lt;/PathFdR&gt;</w:t>
    </w:r>
    <w:r w:rsidRPr="004C499C">
      <w:tab/>
    </w:r>
    <w:r w:rsidRPr="004C499C">
      <w:tab/>
      <w:t>PE</w:t>
    </w:r>
    <w:r w:rsidRPr="004C499C">
      <w:rPr>
        <w:rStyle w:val="HideTWBExt"/>
      </w:rPr>
      <w:t>&lt;NoPE&gt;</w:t>
    </w:r>
    <w:r w:rsidRPr="004C499C">
      <w:t>746.946</w:t>
    </w:r>
    <w:r w:rsidRPr="004C499C">
      <w:rPr>
        <w:rStyle w:val="HideTWBExt"/>
      </w:rPr>
      <w:t>&lt;/NoPE&gt;&lt;Version&gt;</w:t>
    </w:r>
    <w:r w:rsidRPr="004C499C">
      <w:t>v01-00</w:t>
    </w:r>
    <w:r w:rsidRPr="004C499C">
      <w:rPr>
        <w:rStyle w:val="HideTWBExt"/>
      </w:rPr>
      <w:t>&lt;/Version&gt;</w:t>
    </w:r>
  </w:p>
  <w:p w:rsidR="005A41A4" w:rsidRPr="004C499C" w:rsidRDefault="00401178" w:rsidP="004C499C">
    <w:pPr>
      <w:pStyle w:val="EPFooter2"/>
    </w:pPr>
    <w:r w:rsidRPr="004C499C">
      <w:t>RO</w:t>
    </w:r>
    <w:r w:rsidRPr="004C499C">
      <w:tab/>
    </w:r>
    <w:r w:rsidRPr="004C499C">
      <w:rPr>
        <w:b w:val="0"/>
        <w:i/>
        <w:color w:val="C0C0C0"/>
        <w:sz w:val="22"/>
      </w:rPr>
      <w:t>Unită în diversitate</w:t>
    </w:r>
    <w:r w:rsidRPr="004C499C">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1A4" w:rsidRPr="004C499C" w:rsidRDefault="00401178">
      <w:r w:rsidRPr="004C499C">
        <w:separator/>
      </w:r>
    </w:p>
  </w:footnote>
  <w:footnote w:type="continuationSeparator" w:id="0">
    <w:p w:rsidR="005A41A4" w:rsidRPr="004C499C" w:rsidRDefault="00401178">
      <w:r w:rsidRPr="004C499C">
        <w:continuationSeparator/>
      </w:r>
    </w:p>
  </w:footnote>
  <w:footnote w:id="1">
    <w:p w:rsidR="005A41A4" w:rsidRPr="004C499C" w:rsidRDefault="00401178" w:rsidP="00960155">
      <w:pPr>
        <w:pStyle w:val="FootnoteText"/>
      </w:pPr>
      <w:r>
        <w:rPr>
          <w:rStyle w:val="FootnoteReference"/>
        </w:rPr>
        <w:footnoteRef/>
      </w:r>
      <w:r>
        <w:t xml:space="preserve"> Nepublicat încă în Jurnalul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56A" w:rsidRDefault="00112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56A" w:rsidRDefault="00112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56A" w:rsidRDefault="001125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2"/>
    <w:docVar w:name="EPOJMNU" w:val=" 3"/>
    <w:docVar w:name="EPSTATMNU" w:val=" 1"/>
    <w:docVar w:name="EPSTATPLURMNU" w:val=" 1"/>
    <w:docVar w:name="iNoAmend" w:val="1"/>
    <w:docVar w:name="INSTITUTIONSMNU" w:val=" 1"/>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51928 HideTWBExt;}{\*\cs18 \additive \v\f1\fs20\cf15 _x000d__x000a_\spriority0 \styrsid3351928 HideTWBInt;}{\s19\ql \li0\ri0\sa120\nowidctlpar\wrapdefault\aspalpha\aspnum\faauto\adjustright\rin0\lin0\itap0 \rtlch\fcs1 \af0\afs20\alang1025 \ltrch\fcs0 \fs24\lang2057\langfe2057\cgrid\langnp2057\langfenp2057 _x000d__x000a_\sbasedon0 \snext19 \spriority0 \styrsid3351928 Normal6a;}{\s20\ql \li0\ri0\nowidctlpar\wrapdefault\aspalpha\aspnum\faauto\adjustright\rin0\lin0\itap0 \rtlch\fcs1 \af0\afs20\alang1025 \ltrch\fcs0 \b\fs24\lang2057\langfe2057\cgrid\langnp2057\langfenp2057 _x000d__x000a_\sbasedon0 \snext20 \spriority0 \styrsid3351928 NormalBold;}{\s21\ql \li0\ri0\sa240\nowidctlpar\wrapdefault\aspalpha\aspnum\faauto\adjustright\rin0\lin0\itap0 \rtlch\fcs1 \af0\afs20\alang1025 \ltrch\fcs0 _x000d__x000a_\i\fs24\lang2057\langfe2057\cgrid\langnp2057\langfenp2057 \sbasedon0 \snext21 \spriority0 \styrsid3351928 AmJustText;}{\s22\qc \li0\ri0\sb240\sa240\nowidctlpar\wrapdefault\aspalpha\aspnum\faauto\adjustright\rin0\lin0\itap0 \rtlch\fcs1 _x000d__x000a_\af0\afs20\alang1025 \ltrch\fcs0 \i\fs24\lang2057\langfe2057\cgrid\langnp2057\langfenp2057 \sbasedon0 \snext22 \spriority0 \styrsid3351928 AmCrossRef;}{_x000d__x000a_\s23\qc \li0\ri0\sb240\sa240\keepn\nowidctlpar\wrapdefault\aspalpha\aspnum\faauto\adjustright\rin0\lin0\itap0 \rtlch\fcs1 \af0\afs20\alang1025 \ltrch\fcs0 \i\fs24\lang2057\langfe2057\cgrid\langnp2057\langfenp2057 _x000d__x000a_\sbasedon0 \snext21 \spriority0 \styrsid3351928 AmJustTitle;}{\s24\qr \li0\ri0\sb240\sa240\nowidctlpar\wrapdefault\aspalpha\aspnum\faauto\adjustright\rin0\lin0\itap0 \rtlch\fcs1 \af0\afs20\alang1025 \ltrch\fcs0 _x000d__x000a_\fs24\lang2057\langfe2057\cgrid\langnp2057\langfenp2057 \sbasedon0 \snext24 \spriority0 \styrsid3351928 AmOrLang;}{\s25\qc \li0\ri0\sa240\nowidctlpar\wrapdefault\aspalpha\aspnum\faauto\adjustright\rin0\lin0\itap0 \rtlch\fcs1 \af0\afs20\alang1025 _x000d__x000a_\ltrch\fcs0 \i\fs24\lang2057\langfe2057\cgrid\langnp2057\langfenp2057 \sbasedon0 \snext25 \spriority0 \styrsid33519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351928 AmNumberTabs;}{\s27\ql \li0\ri0\sb240\nowidctlpar\wrapdefault\aspalpha\aspnum\faauto\adjustright\rin0\lin0\itap0 \rtlch\fcs1 _x000d__x000a_\af0\afs20\alang1025 \ltrch\fcs0 \b\fs24\lang2057\langfe2057\cgrid\langnp2057\langfenp2057 \sbasedon0 \snext27 \spriority0 \styrsid3351928 NormalBold12b;}}{\*\rsidtbl \rsid24658\rsid223860\rsid735077\rsid1718133\rsid2707246\rsid2892074\rsid335192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HILLIPS Deborah}{\operator PHILLIPS Deborah}{\creatim\yr2023\mo4\dy25\hr11\min46}{\revtim\yr2023\mo4\dy25\hr11\min46}{\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5192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707246 \chftnsep _x000d__x000a_\par }}{\*\ftnsepc \ltrpar \pard\plain \ltrpar\ql \li0\ri0\widctlpar\wrapdefault\aspalpha\aspnum\faauto\adjustright\rin0\lin0\itap0 \rtlch\fcs1 \af0\afs20\alang1025 \ltrch\fcs0 \fs24\lang2057\langfe2057\cgrid\langnp2057\langfenp2057 {\rtlch\fcs1 \af0 _x000d__x000a_\ltrch\fcs0 \insrsid2707246 \chftnsepc _x000d__x000a_\par }}{\*\aftnsep \ltrpar \pard\plain \ltrpar\ql \li0\ri0\widctlpar\wrapdefault\aspalpha\aspnum\faauto\adjustright\rin0\lin0\itap0 \rtlch\fcs1 \af0\afs20\alang1025 \ltrch\fcs0 \fs24\lang2057\langfe2057\cgrid\langnp2057\langfenp2057 {\rtlch\fcs1 \af0 _x000d__x000a_\ltrch\fcs0 \insrsid2707246 \chftnsep _x000d__x000a_\par }}{\*\aftnsepc \ltrpar \pard\plain \ltrpar\ql \li0\ri0\widctlpar\wrapdefault\aspalpha\aspnum\faauto\adjustright\rin0\lin0\itap0 \rtlch\fcs1 \af0\afs20\alang1025 \ltrch\fcs0 \fs24\lang2057\langfe2057\cgrid\langnp2057\langfenp2057 {\rtlch\fcs1 \af0 _x000d__x000a_\ltrch\fcs0 \insrsid2707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351928 \rtlch\fcs1 _x000d__x000a_\af0\afs20\alang1025 \ltrch\fcs0 \b\fs24\lang2057\langfe2057\cgrid\langnp2057\langfenp2057 {\rtlch\fcs1 \af0 \ltrch\fcs0 \cs17\b0\v\fs20\cf9\lang1024\langfe1024\loch\af1\hich\af1\dbch\af31501\noproof\insrsid3351928\charrsid10895074 {\*\bkmkstart restart}_x000d__x000a_\hich\af1\dbch\af31501\loch\f1 &lt;Amend&gt;}{\rtlch\fcs1 \af0 \ltrch\fcs0 \insrsid3351928\charrsid10895074 Amendment\tab \tab }{\rtlch\fcs1 \af0 \ltrch\fcs0 _x000d__x000a_\cs17\b0\v\fs20\cf9\lang1024\langfe1024\loch\af1\hich\af1\dbch\af31501\noproof\insrsid3351928\charrsid10895074 \hich\af1\dbch\af31501\loch\f1 &lt;NumAm&gt;}{\rtlch\fcs1 \af0 \ltrch\fcs0 \insrsid3351928\charrsid10895074 #}{\rtlch\fcs1 \af1 \ltrch\fcs0 _x000d__x000a_\cs18\v\f1\fs20\cf15\insrsid3351928\charrsid10895074 ENMIENDA@NRAM@}{\rtlch\fcs1 \af0 \ltrch\fcs0 \insrsid3351928\charrsid10895074 #}{\rtlch\fcs1 \af0 \ltrch\fcs0 _x000d__x000a_\cs17\b0\v\fs20\cf9\lang1024\langfe1024\loch\af1\hich\af1\dbch\af31501\noproof\insrsid3351928\charrsid10895074 \hich\af1\dbch\af31501\loch\f1 &lt;/NumAm&gt;}{\rtlch\fcs1 \af0 \ltrch\fcs0 \insrsid3351928\charrsid10895074 _x000d__x000a_\par }\pard\plain \ltrpar\s27\ql \li0\ri0\sb240\keepn\nowidctlpar\wrapdefault\aspalpha\aspnum\faauto\adjustright\rin0\lin0\itap0\pararsid3351928 \rtlch\fcs1 \af0\afs20\alang1025 \ltrch\fcs0 \b\fs24\lang2057\langfe2057\cgrid\langnp2057\langfenp2057 {_x000d__x000a_\rtlch\fcs1 \af0 \ltrch\fcs0 \cs17\b0\v\fs20\cf9\lang1024\langfe1024\loch\af1\hich\af1\dbch\af31501\noproof\insrsid3351928\charrsid10895074 \hich\af1\dbch\af31501\loch\f1 &lt;DocAmend&gt;}{\rtlch\fcs1 \af0 \ltrch\fcs0 \insrsid3351928\charrsid10895074 _x000d__x000a_Proposal for a #}{\rtlch\fcs1 \af1 \ltrch\fcs0 \cs18\v\f1\fs20\cf15\insrsid3351928\charrsid10895074 MNU[DOC1][DOC2][DOC3]@DOCMSG@DOCMNU}{\rtlch\fcs1 \af0 \ltrch\fcs0 \insrsid3351928\charrsid10895074 ##}{\rtlch\fcs1 \af1 \ltrch\fcs0 _x000d__x000a_\cs18\v\f1\fs20\cf15\insrsid3351928\charrsid10895074 MNU[AMACTYES][NOTAPP]@CHOICE@AMACTMNU}{\rtlch\fcs1 \af0 \ltrch\fcs0 \insrsid3351928\charrsid10895074 #}{\rtlch\fcs1 \af0 \ltrch\fcs0 _x000d__x000a_\cs17\b0\v\fs20\cf9\lang1024\langfe1024\loch\af1\hich\af1\dbch\af31501\noproof\insrsid3351928\charrsid10895074 \hich\af1\dbch\af31501\loch\f1 &lt;/DocAmend&gt;}{\rtlch\fcs1 \af0 \ltrch\fcs0 \insrsid3351928\charrsid10895074 _x000d__x000a_\par }\pard\plain \ltrpar\s20\ql \li0\ri0\keepn\nowidctlpar\wrapdefault\aspalpha\aspnum\faauto\adjustright\rin0\lin0\itap0\pararsid3351928 \rtlch\fcs1 \af0\afs20\alang1025 \ltrch\fcs0 \b\fs24\lang2057\langfe2057\cgrid\langnp2057\langfenp2057 {\rtlch\fcs1 \af0 _x000d__x000a_\ltrch\fcs0 \cs17\b0\v\fs20\cf9\lang1024\langfe1024\loch\af1\hich\af1\dbch\af31501\noproof\insrsid3351928\charrsid10895074 \hich\af1\dbch\af31501\loch\f1 &lt;Article&gt;}{\rtlch\fcs1 \af0 \ltrch\fcs0 \insrsid3351928\charrsid10895074 #}{\rtlch\fcs1 \af1 _x000d__x000a_\ltrch\fcs0 \cs18\v\f1\fs20\cf15\insrsid3351928\charrsid10895074 MNU[AMACTPARTYES][AMACTPARTNO]@CHOICE@AMACTMNU}{\rtlch\fcs1 \af0 \ltrch\fcs0 \insrsid3351928\charrsid10895074 #}{\rtlch\fcs1 \af0 \ltrch\fcs0 _x000d__x000a_\cs17\b0\v\fs20\cf9\lang1024\langfe1024\loch\af1\hich\af1\dbch\af31501\noproof\insrsid3351928\charrsid10895074 \hich\af1\dbch\af31501\loch\f1 &lt;/Article&gt;}{\rtlch\fcs1 \af0 \ltrch\fcs0 \insrsid3351928\charrsid10895074 _x000d__x000a_\par }\pard\plain \ltrpar\ql \li0\ri0\keepn\widctlpar\wrapdefault\aspalpha\aspnum\faauto\adjustright\rin0\lin0\itap0\pararsid3351928 \rtlch\fcs1 \af0\afs20\alang1025 \ltrch\fcs0 \fs24\lang2057\langfe2057\cgrid\langnp2057\langfenp2057 {\rtlch\fcs1 \af0 _x000d__x000a_\ltrch\fcs0 \cs17\v\fs20\cf9\lang1024\langfe1024\loch\af1\hich\af1\dbch\af31501\noproof\insrsid3351928\charrsid10895074 \hich\af1\dbch\af31501\loch\f1 &lt;DocAmend2&gt;&lt;OptDel&gt;}{\rtlch\fcs1 \af0 \ltrch\fcs0 \insrsid3351928\charrsid10895074 #}{\rtlch\fcs1 \af1 _x000d__x000a_\ltrch\fcs0 \cs18\v\f1\fs20\cf15\insrsid3351928\charrsid10895074 MNU[OPTNRACTYES][NOTAPP]@CHOICE@AMACTMNU}{\rtlch\fcs1 \af0 \ltrch\fcs0 \insrsid3351928\charrsid10895074 #}{\rtlch\fcs1 \af0 \ltrch\fcs0 _x000d__x000a_\cs17\v\fs20\cf9\lang1024\langfe1024\loch\af1\hich\af1\dbch\af31501\noproof\insrsid3351928\charrsid10895074 \hich\af1\dbch\af31501\loch\f1 &lt;/OptDel&gt;&lt;/DocAmend2&gt;}{\rtlch\fcs1 \af0 \ltrch\fcs0 \insrsid3351928\charrsid10895074 _x000d__x000a_\par }\pard \ltrpar\ql \li0\ri0\widctlpar\wrapdefault\aspalpha\aspnum\faauto\adjustright\rin0\lin0\itap0\pararsid3351928 {\rtlch\fcs1 \af0 \ltrch\fcs0 \cs17\v\fs20\cf9\lang1024\langfe1024\loch\af1\hich\af1\dbch\af31501\noproof\insrsid3351928\charrsid10895074 _x000d__x000a_\hich\af1\dbch\af31501\loch\f1 &lt;Article2&gt;&lt;OptDel&gt;}{\rtlch\fcs1 \af0 \ltrch\fcs0 \insrsid3351928\charrsid10895074 #}{\rtlch\fcs1 \af1 \ltrch\fcs0 \cs18\v\f1\fs20\cf15\insrsid3351928\charrsid10895074 MNU[OPTACTPARTYES][NOTAPP]@CHOICE@AMACTMNU}{\rtlch\fcs1 _x000d__x000a_\af0 \ltrch\fcs0 \insrsid3351928\charrsid10895074 #}{\rtlch\fcs1 \af0 \ltrch\fcs0 \cs17\v\fs20\cf9\lang1024\langfe1024\loch\af1\hich\af1\dbch\af31501\noproof\insrsid3351928\charrsid10895074 \hich\af1\dbch\af31501\loch\f1 &lt;/OptDel&gt;&lt;/Article2&gt;}{\rtlch\fcs1 _x000d__x000a_\af0 \ltrch\fcs0 \insrsid3351928\charrsid1089507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351928\charrsid10895074 #}{\rtlch\fcs1 \af1 \ltrch\fcs0 \cs18\v\f1\fs20\cf15\insrsid3351928\charrsid10895074 MNU[OPTLEFTAMACT][LEFTPROP]@CHOICE@AMACTMNU}{\rtlch\fcs1 \af0 \ltrch\fcs0 \insrsid3351928\charrsid10895074 #\cell Amendment\cell _x000d__x000a_}\pard\plain \ltrpar\ql \li0\ri0\widctlpar\intbl\wrapdefault\aspalpha\aspnum\faauto\adjustright\rin0\lin0 \rtlch\fcs1 \af0\afs20\alang1025 \ltrch\fcs0 \fs24\lang2057\langfe2057\cgrid\langnp2057\langfenp2057 {\rtlch\fcs1 \af0 \ltrch\fcs0 _x000d__x000a_\insrsid3351928\charrsid10895074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351928\charrsid10895074 ##\cell ##}{\rtlch\fcs1 \af0\afs24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351928 \rtlch\fcs1 \af0\afs20\alang1025 \ltrch\fcs0 \fs24\lang2057\langfe2057\cgrid\langnp2057\langfenp2057 {\rtlch\fcs1 \af0 \ltrch\fcs0 _x000d__x000a_\insrsid3351928\charrsid10895074 Or. }{\rtlch\fcs1 \af0 \ltrch\fcs0 \cs17\v\fs20\cf9\lang1024\langfe1024\loch\af1\hich\af1\dbch\af31501\noproof\insrsid3351928\charrsid10895074 \hich\af1\dbch\af31501\loch\f1 &lt;Original&gt;}{\rtlch\fcs1 \af0 \ltrch\fcs0 _x000d__x000a_\insrsid3351928\charrsid10895074 #}{\rtlch\fcs1 \af1 \ltrch\fcs0 \cs18\v\f1\fs20\cf15\insrsid3351928\charrsid10895074 MNU[ORLANGONE][ORLANGMORE]@CHOICE@ORLANGMNU}{\rtlch\fcs1 \af0 \ltrch\fcs0 \insrsid3351928\charrsid10895074 #}{\rtlch\fcs1 \af0 _x000d__x000a_\ltrch\fcs0 \cs17\v\fs20\cf9\lang1024\langfe1024\loch\af1\hich\af1\dbch\af31501\noproof\insrsid3351928\charrsid10895074 \hich\af1\dbch\af31501\loch\f1 &lt;/Original&gt;}{\rtlch\fcs1 \af0 \ltrch\fcs0 \insrsid3351928\charrsid10895074 _x000d__x000a_\par }\pard\plain \ltrpar\s22\qc \li0\ri0\sb240\sa240\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OptDel&gt;}{\rtlch\fcs1 \af0 \ltrch\fcs0 \insrsid3351928\charrsid10895074 #}{_x000d__x000a_\rtlch\fcs1 \af1 \ltrch\fcs0 \cs18\v\f1\fs20\cf15\insrsid3351928\charrsid10895074 MNU[CROSSREFNO][CROSSREFYES]@CHOICE@}{\rtlch\fcs1 \af0 \ltrch\fcs0 \insrsid3351928\charrsid10895074 #}{\rtlch\fcs1 \af0 \ltrch\fcs0 _x000d__x000a_\cs17\i0\v\fs20\cf9\lang1024\langfe1024\loch\af1\hich\af1\dbch\af31501\noproof\insrsid3351928\charrsid10895074 \hich\af1\dbch\af31501\loch\f1 &lt;/OptDel&gt;}{\rtlch\fcs1 \af0 \ltrch\fcs0 \insrsid3351928\charrsid10895074 _x000d__x000a_\par }\pard\plain \ltrpar\s23\qc \li0\ri0\sb240\sa240\keepn\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TitreJust&gt;}{\rtlch\fcs1 \af0 \ltrch\fcs0 \insrsid3351928\charrsid10895074 _x000d__x000a_Justification}{\rtlch\fcs1 \af0 \ltrch\fcs0 \cs17\i0\v\fs20\cf9\lang1024\langfe1024\loch\af1\hich\af1\dbch\af31501\noproof\insrsid3351928\charrsid10895074 \hich\af1\dbch\af31501\loch\f1 &lt;/TitreJust&gt;}{\rtlch\fcs1 \af0 \ltrch\fcs0 _x000d__x000a_\insrsid3351928\charrsid10895074 _x000d__x000a_\par }\pard\plain \ltrpar\s21\ql \li0\ri0\sa240\nowidctlpar\wrapdefault\aspalpha\aspnum\faauto\adjustright\rin0\lin0\itap0\pararsid3351928 \rtlch\fcs1 \af0\afs20\alang1025 \ltrch\fcs0 \i\fs24\lang2057\langfe2057\cgrid\langnp2057\langfenp2057 {\rtlch\fcs1 \af0 _x000d__x000a_\ltrch\fcs0 \cs17\i0\v\fs20\cf9\lang1024\langfe1024\loch\af1\hich\af1\dbch\af31501\noproof\insrsid3351928\charrsid10895074 \hich\af1\dbch\af31501\loch\f1 &lt;OptDelPrev&gt;}{\rtlch\fcs1 \af0 \ltrch\fcs0 \insrsid3351928\charrsid10895074 #}{\rtlch\fcs1 \af1 _x000d__x000a_\ltrch\fcs0 \cs18\v\f1\fs20\cf15\insrsid3351928\charrsid10895074 MNU[TEXTJUSTYES][TEXTJUSTNO]@CHOICE@}{\rtlch\fcs1 \af0 \ltrch\fcs0 \insrsid3351928\charrsid10895074 #}{\rtlch\fcs1 \af0 \ltrch\fcs0 _x000d__x000a_\cs17\i0\v\fs20\cf9\lang1024\langfe1024\loch\af1\hich\af1\dbch\af31501\noproof\insrsid3351928\charrsid10895074 \hich\af1\dbch\af31501\loch\f1 &lt;/OptDelPrev&gt;}{\rtlch\fcs1 \af0 \ltrch\fcs0 \insrsid3351928\charrsid10895074 _x000d__x000a_\par }\pard\plain \ltrpar\ql \li0\ri0\widctlpar\wrapdefault\aspalpha\aspnum\faauto\adjustright\rin0\lin0\itap0\pararsid3351928 \rtlch\fcs1 \af0\afs20\alang1025 \ltrch\fcs0 \fs24\lang2057\langfe2057\cgrid\langnp2057\langfenp2057 {\rtlch\fcs1 \af0 \ltrch\fcs0 _x000d__x000a_\cs17\v\fs20\cf9\lang1024\langfe1024\loch\af1\hich\af1\dbch\af31501\noproof\insrsid3351928\charrsid108950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2_x000d__x000a_f0d45a7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7"/>
    <w:docVar w:name="TVTAMPART" w:val="XXX"/>
    <w:docVar w:name="TXTAUTHOR" w:val="Sophia in 't Veld"/>
    <w:docVar w:name="TXTLANGUE" w:val="RO"/>
    <w:docVar w:name="TXTLANGUEMIN" w:val="ro"/>
    <w:docVar w:name="TXTNRC" w:val="0401/2022"/>
    <w:docVar w:name="TXTNRCOD" w:val="2022/0398"/>
    <w:docVar w:name="TXTNRCOM" w:val="(0022)0684"/>
    <w:docVar w:name="TXTNRFIRSTAM" w:val="1"/>
    <w:docVar w:name="TXTNRLASTAM" w:val="1"/>
    <w:docVar w:name="TXTNRPE" w:val="746.946"/>
    <w:docVar w:name="TXTPEorAP" w:val="PE"/>
    <w:docVar w:name="TXTROUTE" w:val="PR\1277982RO.docx"/>
    <w:docVar w:name="TXTTITLE" w:val="Definition of criminal offences and penalties for the violation of Union restrictive measures"/>
    <w:docVar w:name="TXTVERSION" w:val="01-00"/>
  </w:docVars>
  <w:rsids>
    <w:rsidRoot w:val="00952787"/>
    <w:rsid w:val="00011AAB"/>
    <w:rsid w:val="00012351"/>
    <w:rsid w:val="000139E5"/>
    <w:rsid w:val="00062E29"/>
    <w:rsid w:val="00084DD2"/>
    <w:rsid w:val="00084E89"/>
    <w:rsid w:val="000B7489"/>
    <w:rsid w:val="000F1096"/>
    <w:rsid w:val="0011256A"/>
    <w:rsid w:val="00120948"/>
    <w:rsid w:val="00123DD5"/>
    <w:rsid w:val="001277AE"/>
    <w:rsid w:val="00142215"/>
    <w:rsid w:val="00144A41"/>
    <w:rsid w:val="001767E2"/>
    <w:rsid w:val="00187008"/>
    <w:rsid w:val="001B3829"/>
    <w:rsid w:val="001C5592"/>
    <w:rsid w:val="001C5B44"/>
    <w:rsid w:val="001C6FFC"/>
    <w:rsid w:val="001F7C7C"/>
    <w:rsid w:val="002111E8"/>
    <w:rsid w:val="00212B84"/>
    <w:rsid w:val="002346B0"/>
    <w:rsid w:val="00234FEC"/>
    <w:rsid w:val="0024227B"/>
    <w:rsid w:val="002667C3"/>
    <w:rsid w:val="002669B6"/>
    <w:rsid w:val="00290BED"/>
    <w:rsid w:val="002A3DEB"/>
    <w:rsid w:val="002D13EE"/>
    <w:rsid w:val="002E33EE"/>
    <w:rsid w:val="002F40BB"/>
    <w:rsid w:val="002F4B02"/>
    <w:rsid w:val="003157B0"/>
    <w:rsid w:val="00323EF8"/>
    <w:rsid w:val="003247A8"/>
    <w:rsid w:val="003316DD"/>
    <w:rsid w:val="00356F69"/>
    <w:rsid w:val="00366A46"/>
    <w:rsid w:val="00370AC3"/>
    <w:rsid w:val="00376946"/>
    <w:rsid w:val="003824EE"/>
    <w:rsid w:val="003B4689"/>
    <w:rsid w:val="003C2068"/>
    <w:rsid w:val="003C37CF"/>
    <w:rsid w:val="003D75DA"/>
    <w:rsid w:val="00401178"/>
    <w:rsid w:val="004100B1"/>
    <w:rsid w:val="00426E47"/>
    <w:rsid w:val="00455743"/>
    <w:rsid w:val="00461601"/>
    <w:rsid w:val="004C0915"/>
    <w:rsid w:val="004C499C"/>
    <w:rsid w:val="004C5DA0"/>
    <w:rsid w:val="004D424E"/>
    <w:rsid w:val="004E42C8"/>
    <w:rsid w:val="004E733D"/>
    <w:rsid w:val="004F3FA5"/>
    <w:rsid w:val="0051271F"/>
    <w:rsid w:val="00521F46"/>
    <w:rsid w:val="00551111"/>
    <w:rsid w:val="00551123"/>
    <w:rsid w:val="00570A6A"/>
    <w:rsid w:val="00586E50"/>
    <w:rsid w:val="0059583D"/>
    <w:rsid w:val="005A41A4"/>
    <w:rsid w:val="005A42D9"/>
    <w:rsid w:val="005C2BEF"/>
    <w:rsid w:val="005C7A11"/>
    <w:rsid w:val="005D1A99"/>
    <w:rsid w:val="005D7609"/>
    <w:rsid w:val="005D7EE8"/>
    <w:rsid w:val="00642325"/>
    <w:rsid w:val="00665B73"/>
    <w:rsid w:val="00674CB1"/>
    <w:rsid w:val="00683DE8"/>
    <w:rsid w:val="006A2F5D"/>
    <w:rsid w:val="006F7907"/>
    <w:rsid w:val="0072013A"/>
    <w:rsid w:val="007223A8"/>
    <w:rsid w:val="00722F59"/>
    <w:rsid w:val="00743189"/>
    <w:rsid w:val="00743D33"/>
    <w:rsid w:val="0076299A"/>
    <w:rsid w:val="00763E00"/>
    <w:rsid w:val="00775070"/>
    <w:rsid w:val="00790F04"/>
    <w:rsid w:val="007932B3"/>
    <w:rsid w:val="00793EA9"/>
    <w:rsid w:val="007C3935"/>
    <w:rsid w:val="007D6F68"/>
    <w:rsid w:val="00823E6B"/>
    <w:rsid w:val="00826780"/>
    <w:rsid w:val="00837CCD"/>
    <w:rsid w:val="008633CC"/>
    <w:rsid w:val="00865190"/>
    <w:rsid w:val="008719B9"/>
    <w:rsid w:val="008834B4"/>
    <w:rsid w:val="00894ECE"/>
    <w:rsid w:val="00896BB4"/>
    <w:rsid w:val="008A2492"/>
    <w:rsid w:val="008A4A35"/>
    <w:rsid w:val="008A7FB8"/>
    <w:rsid w:val="009016C0"/>
    <w:rsid w:val="009022B8"/>
    <w:rsid w:val="00914537"/>
    <w:rsid w:val="00917CC4"/>
    <w:rsid w:val="00952787"/>
    <w:rsid w:val="00960155"/>
    <w:rsid w:val="009763DA"/>
    <w:rsid w:val="009975B3"/>
    <w:rsid w:val="009A216D"/>
    <w:rsid w:val="009B4B93"/>
    <w:rsid w:val="009E1B7D"/>
    <w:rsid w:val="009F24BE"/>
    <w:rsid w:val="009F6C2F"/>
    <w:rsid w:val="009F767A"/>
    <w:rsid w:val="009F7D75"/>
    <w:rsid w:val="00A22533"/>
    <w:rsid w:val="00A26F46"/>
    <w:rsid w:val="00A34FD3"/>
    <w:rsid w:val="00A36929"/>
    <w:rsid w:val="00A50548"/>
    <w:rsid w:val="00A60EE7"/>
    <w:rsid w:val="00A910C9"/>
    <w:rsid w:val="00AA2785"/>
    <w:rsid w:val="00AA35B0"/>
    <w:rsid w:val="00AD18C8"/>
    <w:rsid w:val="00AD7FA6"/>
    <w:rsid w:val="00AE4643"/>
    <w:rsid w:val="00AF0416"/>
    <w:rsid w:val="00B10CB4"/>
    <w:rsid w:val="00B13D6F"/>
    <w:rsid w:val="00B23B72"/>
    <w:rsid w:val="00B42702"/>
    <w:rsid w:val="00B57B8B"/>
    <w:rsid w:val="00B85407"/>
    <w:rsid w:val="00B95702"/>
    <w:rsid w:val="00BC0B76"/>
    <w:rsid w:val="00BC5AA8"/>
    <w:rsid w:val="00BC6489"/>
    <w:rsid w:val="00BD480C"/>
    <w:rsid w:val="00C20954"/>
    <w:rsid w:val="00C2171F"/>
    <w:rsid w:val="00C23324"/>
    <w:rsid w:val="00C42A41"/>
    <w:rsid w:val="00C47E74"/>
    <w:rsid w:val="00C57A72"/>
    <w:rsid w:val="00C64E24"/>
    <w:rsid w:val="00C73602"/>
    <w:rsid w:val="00CF60C8"/>
    <w:rsid w:val="00D30DE2"/>
    <w:rsid w:val="00D32924"/>
    <w:rsid w:val="00D503A3"/>
    <w:rsid w:val="00D918B8"/>
    <w:rsid w:val="00DA6ED0"/>
    <w:rsid w:val="00DA784D"/>
    <w:rsid w:val="00DC5011"/>
    <w:rsid w:val="00E171B6"/>
    <w:rsid w:val="00E72695"/>
    <w:rsid w:val="00EB1753"/>
    <w:rsid w:val="00EB6CFF"/>
    <w:rsid w:val="00EE3996"/>
    <w:rsid w:val="00EF0FC3"/>
    <w:rsid w:val="00F07062"/>
    <w:rsid w:val="00F23CFC"/>
    <w:rsid w:val="00F32369"/>
    <w:rsid w:val="00F3602F"/>
    <w:rsid w:val="00F433E2"/>
    <w:rsid w:val="00F610D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2E88005-A07C-4671-AA1A-61754A1E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EF0FC3"/>
    <w:pPr>
      <w:tabs>
        <w:tab w:val="right" w:pos="454"/>
        <w:tab w:val="left" w:pos="737"/>
      </w:tabs>
      <w:ind w:left="737" w:hanging="737"/>
    </w:pPr>
    <w:rPr>
      <w:snapToGrid w:val="0"/>
      <w:sz w:val="18"/>
      <w:lang w:eastAsia="en-US"/>
    </w:rPr>
  </w:style>
  <w:style w:type="paragraph" w:customStyle="1" w:styleId="Lgendetitre">
    <w:name w:val="Légende titre"/>
    <w:basedOn w:val="Normal"/>
    <w:rsid w:val="00EF0FC3"/>
    <w:pPr>
      <w:spacing w:before="240" w:after="240"/>
    </w:pPr>
    <w:rPr>
      <w:b/>
      <w:i/>
      <w:snapToGrid w:val="0"/>
      <w:lang w:eastAsia="en-US"/>
    </w:rPr>
  </w:style>
  <w:style w:type="paragraph" w:customStyle="1" w:styleId="Lgendestandard">
    <w:name w:val="Légende standard"/>
    <w:basedOn w:val="Normal"/>
    <w:rsid w:val="00EF0FC3"/>
    <w:rPr>
      <w:sz w:val="18"/>
    </w:rPr>
  </w:style>
  <w:style w:type="paragraph" w:styleId="FootnoteText">
    <w:name w:val="footnote text"/>
    <w:basedOn w:val="Normal"/>
    <w:link w:val="FootnoteTextChar"/>
    <w:rsid w:val="00EF0FC3"/>
    <w:rPr>
      <w:sz w:val="20"/>
    </w:rPr>
  </w:style>
  <w:style w:type="character" w:customStyle="1" w:styleId="FootnoteTextChar">
    <w:name w:val="Footnote Text Char"/>
    <w:basedOn w:val="DefaultParagraphFont"/>
    <w:link w:val="FootnoteText"/>
    <w:rsid w:val="00EF0FC3"/>
  </w:style>
  <w:style w:type="character" w:styleId="FootnoteReference">
    <w:name w:val="footnote reference"/>
    <w:basedOn w:val="DefaultParagraphFont"/>
    <w:rsid w:val="00EF0FC3"/>
    <w:rPr>
      <w:vertAlign w:val="superscript"/>
    </w:rPr>
  </w:style>
  <w:style w:type="paragraph" w:customStyle="1" w:styleId="msonormal0">
    <w:name w:val="msonormal"/>
    <w:basedOn w:val="Normal"/>
    <w:rsid w:val="00144A41"/>
    <w:pPr>
      <w:widowControl/>
      <w:spacing w:before="100" w:beforeAutospacing="1" w:after="100" w:afterAutospacing="1"/>
    </w:pPr>
    <w:rPr>
      <w:szCs w:val="24"/>
    </w:rPr>
  </w:style>
  <w:style w:type="paragraph" w:styleId="Footer">
    <w:name w:val="footer"/>
    <w:link w:val="FooterChar"/>
    <w:semiHidden/>
    <w:unhideWhenUsed/>
    <w:rsid w:val="00144A4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44A41"/>
    <w:rPr>
      <w:sz w:val="22"/>
    </w:rPr>
  </w:style>
  <w:style w:type="character" w:customStyle="1" w:styleId="Normal12Char">
    <w:name w:val="Normal12 Char"/>
    <w:basedOn w:val="DefaultParagraphFont"/>
    <w:link w:val="Normal12"/>
    <w:locked/>
    <w:rsid w:val="00144A41"/>
    <w:rPr>
      <w:noProof/>
      <w:sz w:val="24"/>
    </w:rPr>
  </w:style>
  <w:style w:type="paragraph" w:customStyle="1" w:styleId="Normal12">
    <w:name w:val="Normal12"/>
    <w:basedOn w:val="Normal"/>
    <w:link w:val="Normal12Char"/>
    <w:rsid w:val="00144A41"/>
    <w:pPr>
      <w:spacing w:after="240"/>
    </w:pPr>
    <w:rPr>
      <w:noProof/>
    </w:rPr>
  </w:style>
  <w:style w:type="paragraph" w:customStyle="1" w:styleId="CommitteeAM">
    <w:name w:val="CommitteeAM"/>
    <w:basedOn w:val="Normal"/>
    <w:rsid w:val="00144A41"/>
    <w:pPr>
      <w:spacing w:before="240" w:after="600"/>
      <w:jc w:val="center"/>
    </w:pPr>
    <w:rPr>
      <w:i/>
    </w:rPr>
  </w:style>
  <w:style w:type="paragraph" w:customStyle="1" w:styleId="ZDateAM">
    <w:name w:val="ZDateAM"/>
    <w:basedOn w:val="Normal"/>
    <w:rsid w:val="00144A41"/>
    <w:pPr>
      <w:tabs>
        <w:tab w:val="right" w:pos="9356"/>
      </w:tabs>
      <w:spacing w:after="480"/>
    </w:pPr>
    <w:rPr>
      <w:noProof/>
    </w:rPr>
  </w:style>
  <w:style w:type="paragraph" w:customStyle="1" w:styleId="ProjRap">
    <w:name w:val="ProjRap"/>
    <w:basedOn w:val="Normal"/>
    <w:rsid w:val="00144A41"/>
    <w:pPr>
      <w:tabs>
        <w:tab w:val="right" w:pos="9356"/>
      </w:tabs>
    </w:pPr>
    <w:rPr>
      <w:b/>
      <w:noProof/>
    </w:rPr>
  </w:style>
  <w:style w:type="paragraph" w:customStyle="1" w:styleId="PELeft">
    <w:name w:val="PELeft"/>
    <w:basedOn w:val="Normal"/>
    <w:rsid w:val="00144A41"/>
    <w:pPr>
      <w:spacing w:before="40" w:after="40"/>
    </w:pPr>
    <w:rPr>
      <w:rFonts w:ascii="Arial" w:hAnsi="Arial" w:cs="Arial"/>
      <w:sz w:val="22"/>
      <w:szCs w:val="22"/>
    </w:rPr>
  </w:style>
  <w:style w:type="paragraph" w:customStyle="1" w:styleId="PERight">
    <w:name w:val="PERight"/>
    <w:basedOn w:val="Normal"/>
    <w:next w:val="Normal"/>
    <w:rsid w:val="00144A41"/>
    <w:pPr>
      <w:jc w:val="right"/>
    </w:pPr>
    <w:rPr>
      <w:rFonts w:ascii="Arial" w:hAnsi="Arial" w:cs="Arial"/>
      <w:sz w:val="22"/>
      <w:szCs w:val="22"/>
    </w:rPr>
  </w:style>
  <w:style w:type="character" w:customStyle="1" w:styleId="Normal6Char">
    <w:name w:val="Normal6 Char"/>
    <w:basedOn w:val="DefaultParagraphFont"/>
    <w:link w:val="Normal6"/>
    <w:locked/>
    <w:rsid w:val="00144A41"/>
    <w:rPr>
      <w:sz w:val="24"/>
      <w:lang w:val="ro-RO"/>
    </w:rPr>
  </w:style>
  <w:style w:type="paragraph" w:customStyle="1" w:styleId="Normal6">
    <w:name w:val="Normal6"/>
    <w:basedOn w:val="Normal"/>
    <w:link w:val="Normal6Char"/>
    <w:rsid w:val="00144A41"/>
    <w:pPr>
      <w:spacing w:after="120"/>
    </w:pPr>
  </w:style>
  <w:style w:type="character" w:customStyle="1" w:styleId="NormalBoldChar">
    <w:name w:val="NormalBold Char"/>
    <w:basedOn w:val="DefaultParagraphFont"/>
    <w:link w:val="NormalBold"/>
    <w:locked/>
    <w:rsid w:val="00144A41"/>
    <w:rPr>
      <w:b/>
      <w:sz w:val="24"/>
    </w:rPr>
  </w:style>
  <w:style w:type="paragraph" w:customStyle="1" w:styleId="Normal12Italic">
    <w:name w:val="Normal12Italic"/>
    <w:basedOn w:val="Normal12"/>
    <w:rsid w:val="00144A41"/>
    <w:rPr>
      <w:i/>
    </w:rPr>
  </w:style>
  <w:style w:type="paragraph" w:customStyle="1" w:styleId="JustificationTitle">
    <w:name w:val="JustificationTitle"/>
    <w:basedOn w:val="Normal"/>
    <w:next w:val="Normal12"/>
    <w:rsid w:val="00144A41"/>
    <w:pPr>
      <w:keepNext/>
      <w:spacing w:before="240" w:after="240"/>
      <w:jc w:val="center"/>
    </w:pPr>
    <w:rPr>
      <w:i/>
      <w:noProof/>
    </w:rPr>
  </w:style>
  <w:style w:type="paragraph" w:customStyle="1" w:styleId="Olang">
    <w:name w:val="Olang"/>
    <w:basedOn w:val="Normal"/>
    <w:rsid w:val="00144A41"/>
    <w:pPr>
      <w:spacing w:before="240" w:after="240"/>
      <w:jc w:val="right"/>
    </w:pPr>
    <w:rPr>
      <w:noProof/>
      <w:szCs w:val="24"/>
    </w:rPr>
  </w:style>
  <w:style w:type="paragraph" w:customStyle="1" w:styleId="ColumnHeading">
    <w:name w:val="ColumnHeading"/>
    <w:basedOn w:val="Normal"/>
    <w:rsid w:val="00144A41"/>
    <w:pPr>
      <w:spacing w:after="240"/>
      <w:jc w:val="center"/>
    </w:pPr>
    <w:rPr>
      <w:i/>
    </w:rPr>
  </w:style>
  <w:style w:type="paragraph" w:customStyle="1" w:styleId="AMNumberTabs0">
    <w:name w:val="AMNumberTabs"/>
    <w:basedOn w:val="Normal"/>
    <w:rsid w:val="00144A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44A41"/>
    <w:pPr>
      <w:spacing w:before="240"/>
      <w:jc w:val="center"/>
    </w:pPr>
    <w:rPr>
      <w:i/>
    </w:rPr>
  </w:style>
  <w:style w:type="paragraph" w:customStyle="1" w:styleId="Footer2">
    <w:name w:val="Footer2"/>
    <w:basedOn w:val="Normal12"/>
    <w:rsid w:val="00144A41"/>
    <w:pPr>
      <w:tabs>
        <w:tab w:val="center" w:pos="4535"/>
        <w:tab w:val="right" w:pos="9923"/>
      </w:tabs>
      <w:spacing w:line="480" w:lineRule="auto"/>
      <w:ind w:left="-851"/>
    </w:pPr>
    <w:rPr>
      <w:rFonts w:ascii="Arial" w:cs="Arial"/>
      <w:b/>
      <w:sz w:val="48"/>
    </w:rPr>
  </w:style>
  <w:style w:type="character" w:customStyle="1" w:styleId="Footer2Middle">
    <w:name w:val="Footer2Middle"/>
    <w:rsid w:val="00144A41"/>
    <w:rPr>
      <w:rFonts w:ascii="Arial" w:hAnsi="Arial" w:cs="Arial" w:hint="default"/>
      <w:b w:val="0"/>
      <w:bCs w:val="0"/>
      <w:i/>
      <w:iCs w:val="0"/>
      <w:color w:val="C0C0C0"/>
      <w:sz w:val="22"/>
    </w:rPr>
  </w:style>
  <w:style w:type="paragraph" w:customStyle="1" w:styleId="EntPE">
    <w:name w:val="EntPE"/>
    <w:basedOn w:val="Normal12"/>
    <w:rsid w:val="00144A41"/>
    <w:pPr>
      <w:jc w:val="center"/>
    </w:pPr>
    <w:rPr>
      <w:noProof w:val="0"/>
      <w:sz w:val="56"/>
    </w:rPr>
  </w:style>
  <w:style w:type="paragraph" w:styleId="BalloonText">
    <w:name w:val="Balloon Text"/>
    <w:basedOn w:val="Normal"/>
    <w:link w:val="BalloonTextChar"/>
    <w:semiHidden/>
    <w:unhideWhenUsed/>
    <w:rsid w:val="00F32369"/>
    <w:rPr>
      <w:rFonts w:ascii="Segoe UI" w:hAnsi="Segoe UI" w:cs="Segoe UI"/>
      <w:sz w:val="18"/>
      <w:szCs w:val="18"/>
    </w:rPr>
  </w:style>
  <w:style w:type="character" w:customStyle="1" w:styleId="BalloonTextChar">
    <w:name w:val="Balloon Text Char"/>
    <w:basedOn w:val="DefaultParagraphFont"/>
    <w:link w:val="BalloonText"/>
    <w:semiHidden/>
    <w:rsid w:val="00F32369"/>
    <w:rPr>
      <w:rFonts w:ascii="Segoe UI" w:hAnsi="Segoe UI" w:cs="Segoe UI"/>
      <w:sz w:val="18"/>
      <w:szCs w:val="18"/>
    </w:rPr>
  </w:style>
  <w:style w:type="character" w:styleId="CommentReference">
    <w:name w:val="annotation reference"/>
    <w:basedOn w:val="DefaultParagraphFont"/>
    <w:rsid w:val="00F32369"/>
    <w:rPr>
      <w:sz w:val="16"/>
      <w:szCs w:val="16"/>
    </w:rPr>
  </w:style>
  <w:style w:type="paragraph" w:styleId="CommentText">
    <w:name w:val="annotation text"/>
    <w:basedOn w:val="Normal"/>
    <w:link w:val="CommentTextChar"/>
    <w:rsid w:val="00F32369"/>
    <w:rPr>
      <w:sz w:val="20"/>
    </w:rPr>
  </w:style>
  <w:style w:type="character" w:customStyle="1" w:styleId="CommentTextChar">
    <w:name w:val="Comment Text Char"/>
    <w:basedOn w:val="DefaultParagraphFont"/>
    <w:link w:val="CommentText"/>
    <w:rsid w:val="00F32369"/>
  </w:style>
  <w:style w:type="paragraph" w:styleId="CommentSubject">
    <w:name w:val="annotation subject"/>
    <w:basedOn w:val="CommentText"/>
    <w:next w:val="CommentText"/>
    <w:link w:val="CommentSubjectChar"/>
    <w:semiHidden/>
    <w:unhideWhenUsed/>
    <w:rsid w:val="00F32369"/>
    <w:rPr>
      <w:b/>
      <w:bCs/>
    </w:rPr>
  </w:style>
  <w:style w:type="character" w:customStyle="1" w:styleId="CommentSubjectChar">
    <w:name w:val="Comment Subject Char"/>
    <w:basedOn w:val="CommentTextChar"/>
    <w:link w:val="CommentSubject"/>
    <w:semiHidden/>
    <w:rsid w:val="00F32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5AF43-D65D-440E-86F4-8B5AFC8AA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5484</Words>
  <Characters>32797</Characters>
  <Application>Microsoft Office Word</Application>
  <DocSecurity>0</DocSecurity>
  <Lines>1311</Lines>
  <Paragraphs>503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BERNIC Beatrice Laura</cp:lastModifiedBy>
  <cp:revision>2</cp:revision>
  <cp:lastPrinted>2004-11-04T09:41:00Z</cp:lastPrinted>
  <dcterms:created xsi:type="dcterms:W3CDTF">2023-05-17T07:18:00Z</dcterms:created>
  <dcterms:modified xsi:type="dcterms:W3CDTF">2023-05-17T07:18:00Z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1277982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[20230301]</vt:lpwstr>
  </property>
  <property fmtid="{D5CDD505-2E9C-101B-9397-08002B2CF9AE}" pid="9" name="FooterPath">
    <vt:lpwstr>PR\1277982RO.docx</vt:lpwstr>
  </property>
  <property fmtid="{D5CDD505-2E9C-101B-9397-08002B2CF9AE}" pid="10" name="LastEdited with">
    <vt:lpwstr>9.14.1 Build [20230301]</vt:lpwstr>
  </property>
  <property fmtid="{D5CDD505-2E9C-101B-9397-08002B2CF9AE}" pid="11" name="PE number">
    <vt:lpwstr>746.946</vt:lpwstr>
  </property>
  <property fmtid="{D5CDD505-2E9C-101B-9397-08002B2CF9AE}" pid="12" name="SDLStudio">
    <vt:lpwstr/>
  </property>
  <property fmtid="{D5CDD505-2E9C-101B-9397-08002B2CF9AE}" pid="13" name="SendToEpades">
    <vt:lpwstr>OK - 2023/05/03 12:31</vt:lpwstr>
  </property>
  <property fmtid="{D5CDD505-2E9C-101B-9397-08002B2CF9AE}" pid="14" name="Bookout">
    <vt:lpwstr>OK - 2023/05/17 09:18</vt:lpwstr>
  </property>
</Properties>
</file>