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42184" w:rsidRPr="0076725E" w14:paraId="04FF2BC4" w14:textId="77777777" w:rsidTr="00C85D0F">
        <w:trPr>
          <w:trHeight w:hRule="exact" w:val="1418"/>
        </w:trPr>
        <w:tc>
          <w:tcPr>
            <w:tcW w:w="6804" w:type="dxa"/>
            <w:shd w:val="clear" w:color="auto" w:fill="auto"/>
            <w:vAlign w:val="center"/>
          </w:tcPr>
          <w:p w14:paraId="2D81BECC" w14:textId="77777777" w:rsidR="00A42184" w:rsidRPr="0076725E" w:rsidRDefault="00D41739" w:rsidP="00C85D0F">
            <w:pPr>
              <w:pStyle w:val="EPName"/>
            </w:pPr>
            <w:r w:rsidRPr="0076725E">
              <w:t>Euroopan parlamentti</w:t>
            </w:r>
          </w:p>
          <w:p w14:paraId="65815519" w14:textId="77777777" w:rsidR="00A42184" w:rsidRPr="0076725E" w:rsidRDefault="004910EC" w:rsidP="004910EC">
            <w:pPr>
              <w:pStyle w:val="EPTerm"/>
            </w:pPr>
            <w:r w:rsidRPr="0076725E">
              <w:t>2019-2024</w:t>
            </w:r>
          </w:p>
        </w:tc>
        <w:tc>
          <w:tcPr>
            <w:tcW w:w="2268" w:type="dxa"/>
            <w:shd w:val="clear" w:color="auto" w:fill="auto"/>
          </w:tcPr>
          <w:p w14:paraId="2DAA9ABE" w14:textId="77777777" w:rsidR="00A42184" w:rsidRPr="0076725E" w:rsidRDefault="00A42184" w:rsidP="00C85D0F">
            <w:pPr>
              <w:pStyle w:val="EPLogo"/>
            </w:pPr>
            <w:r w:rsidRPr="0076725E">
              <w:rPr>
                <w:noProof/>
                <w:lang w:bidi="ne-NP"/>
              </w:rPr>
              <w:drawing>
                <wp:inline distT="0" distB="0" distL="0" distR="0" wp14:anchorId="73EB709B" wp14:editId="2A4BCF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3EAF48" w14:textId="77777777" w:rsidR="0016751B" w:rsidRPr="0076725E" w:rsidRDefault="0016751B" w:rsidP="0016751B">
      <w:pPr>
        <w:pStyle w:val="LineTop"/>
      </w:pPr>
    </w:p>
    <w:p w14:paraId="1BD73606" w14:textId="77777777" w:rsidR="0016751B" w:rsidRPr="0076725E" w:rsidRDefault="0016751B" w:rsidP="0016751B">
      <w:pPr>
        <w:pStyle w:val="EPBody"/>
      </w:pPr>
      <w:r w:rsidRPr="0076725E">
        <w:rPr>
          <w:rStyle w:val="HideTWBExt"/>
        </w:rPr>
        <w:t>&lt;</w:t>
      </w:r>
      <w:r w:rsidRPr="0076725E">
        <w:rPr>
          <w:rStyle w:val="HideTWBExt"/>
          <w:i w:val="0"/>
        </w:rPr>
        <w:t>Commission</w:t>
      </w:r>
      <w:r w:rsidRPr="0076725E">
        <w:rPr>
          <w:rStyle w:val="HideTWBExt"/>
        </w:rPr>
        <w:t>&gt;</w:t>
      </w:r>
      <w:r w:rsidRPr="0076725E">
        <w:rPr>
          <w:rStyle w:val="HideTWBInt"/>
        </w:rPr>
        <w:t>{LIBE}</w:t>
      </w:r>
      <w:r w:rsidRPr="0076725E">
        <w:t>Kansalaisvapauksien sekä oikeus- ja sisäasioiden valiokunta</w:t>
      </w:r>
      <w:r w:rsidRPr="0076725E">
        <w:rPr>
          <w:rStyle w:val="HideTWBExt"/>
        </w:rPr>
        <w:t>&lt;/</w:t>
      </w:r>
      <w:r w:rsidRPr="0076725E">
        <w:rPr>
          <w:rStyle w:val="HideTWBExt"/>
          <w:i w:val="0"/>
        </w:rPr>
        <w:t>Commission</w:t>
      </w:r>
      <w:r w:rsidRPr="0076725E">
        <w:rPr>
          <w:rStyle w:val="HideTWBExt"/>
        </w:rPr>
        <w:t>&gt;</w:t>
      </w:r>
    </w:p>
    <w:p w14:paraId="2A4047FE" w14:textId="77777777" w:rsidR="0016751B" w:rsidRPr="0076725E" w:rsidRDefault="0016751B" w:rsidP="0016751B">
      <w:pPr>
        <w:pStyle w:val="LineBottom"/>
      </w:pPr>
    </w:p>
    <w:p w14:paraId="7F169D82" w14:textId="77777777" w:rsidR="00947C9A" w:rsidRPr="0076725E" w:rsidRDefault="00947C9A">
      <w:pPr>
        <w:pStyle w:val="CoverReference"/>
      </w:pPr>
      <w:r w:rsidRPr="0076725E">
        <w:rPr>
          <w:rStyle w:val="HideTWBExt"/>
          <w:b w:val="0"/>
        </w:rPr>
        <w:t>&lt;RefProc&gt;</w:t>
      </w:r>
      <w:r w:rsidRPr="0076725E">
        <w:t>2023/2087</w:t>
      </w:r>
      <w:r w:rsidRPr="0076725E">
        <w:rPr>
          <w:rStyle w:val="HideTWBExt"/>
          <w:b w:val="0"/>
        </w:rPr>
        <w:t>&lt;/RefProc&gt;&lt;RefTypeProc&gt;</w:t>
      </w:r>
      <w:r w:rsidRPr="0076725E">
        <w:t>(INI)</w:t>
      </w:r>
      <w:r w:rsidRPr="0076725E">
        <w:rPr>
          <w:rStyle w:val="HideTWBExt"/>
          <w:b w:val="0"/>
        </w:rPr>
        <w:t>&lt;/RefTypeProc&gt;</w:t>
      </w:r>
    </w:p>
    <w:p w14:paraId="21A573F2" w14:textId="77777777" w:rsidR="00947C9A" w:rsidRPr="0076725E" w:rsidRDefault="00947C9A">
      <w:pPr>
        <w:pStyle w:val="CoverDate"/>
      </w:pPr>
      <w:r w:rsidRPr="0076725E">
        <w:rPr>
          <w:rStyle w:val="HideTWBExt"/>
        </w:rPr>
        <w:t>&lt;Date&gt;</w:t>
      </w:r>
      <w:r w:rsidRPr="0076725E">
        <w:rPr>
          <w:rStyle w:val="HideTWBInt"/>
        </w:rPr>
        <w:t>{13/06/2023}</w:t>
      </w:r>
      <w:r w:rsidRPr="0076725E">
        <w:t>13.6.2023</w:t>
      </w:r>
      <w:r w:rsidRPr="0076725E">
        <w:rPr>
          <w:rStyle w:val="HideTWBExt"/>
        </w:rPr>
        <w:t>&lt;/Date&gt;</w:t>
      </w:r>
    </w:p>
    <w:p w14:paraId="635DDE28" w14:textId="77777777" w:rsidR="00947C9A" w:rsidRPr="0076725E" w:rsidRDefault="00947C9A">
      <w:pPr>
        <w:pStyle w:val="CoverDocType24a"/>
      </w:pPr>
      <w:r w:rsidRPr="0076725E">
        <w:rPr>
          <w:rStyle w:val="HideTWBExt"/>
          <w:b w:val="0"/>
        </w:rPr>
        <w:t>&lt;TitreType&gt;</w:t>
      </w:r>
      <w:r w:rsidRPr="0076725E">
        <w:t>MIETINTÖLUONNOS</w:t>
      </w:r>
      <w:r w:rsidRPr="0076725E">
        <w:rPr>
          <w:rStyle w:val="HideTWBExt"/>
          <w:b w:val="0"/>
        </w:rPr>
        <w:t>&lt;/TitreType&gt;</w:t>
      </w:r>
    </w:p>
    <w:p w14:paraId="23209D2B" w14:textId="649DCFE1" w:rsidR="00947C9A" w:rsidRPr="0076725E" w:rsidRDefault="00947C9A">
      <w:pPr>
        <w:pStyle w:val="CoverNormal"/>
      </w:pPr>
      <w:r w:rsidRPr="0076725E">
        <w:rPr>
          <w:rStyle w:val="HideTWBExt"/>
        </w:rPr>
        <w:t>&lt;Titre&gt;</w:t>
      </w:r>
      <w:r w:rsidRPr="0076725E">
        <w:t>Euroopan parlamentin suosituksesta neuvotteluista Euroopan raja- ja merivartioviraston (Frontex) Mauritanian islamilaisen tasavallan alueella toteuttamia operatiivisia toimia koskevasta Euroopan unionin ja Mauritanian islamilaisen tasavallan välisestä asemaa koskevasta sopimuksesta</w:t>
      </w:r>
      <w:r w:rsidRPr="0076725E">
        <w:rPr>
          <w:rStyle w:val="HideTWBExt"/>
        </w:rPr>
        <w:t>&lt;/Titre&gt;</w:t>
      </w:r>
    </w:p>
    <w:p w14:paraId="353A3F08" w14:textId="77777777" w:rsidR="00947C9A" w:rsidRPr="0076725E" w:rsidRDefault="00947C9A">
      <w:pPr>
        <w:pStyle w:val="CoverNormal24a"/>
      </w:pPr>
      <w:r w:rsidRPr="0076725E">
        <w:rPr>
          <w:rStyle w:val="HideTWBExt"/>
        </w:rPr>
        <w:t>&lt;DocRef&gt;</w:t>
      </w:r>
      <w:r w:rsidRPr="0076725E">
        <w:t>(2023/2087(INI))</w:t>
      </w:r>
      <w:r w:rsidRPr="0076725E">
        <w:rPr>
          <w:rStyle w:val="HideTWBExt"/>
        </w:rPr>
        <w:t>&lt;/DocRef&gt;</w:t>
      </w:r>
    </w:p>
    <w:p w14:paraId="1690E987" w14:textId="77777777" w:rsidR="00947C9A" w:rsidRPr="0076725E" w:rsidRDefault="00947C9A">
      <w:pPr>
        <w:pStyle w:val="CoverNormal24a"/>
      </w:pPr>
      <w:r w:rsidRPr="0076725E">
        <w:rPr>
          <w:rStyle w:val="HideTWBExt"/>
        </w:rPr>
        <w:t>&lt;Commission&gt;</w:t>
      </w:r>
      <w:r w:rsidRPr="0076725E">
        <w:rPr>
          <w:rStyle w:val="HideTWBInt"/>
        </w:rPr>
        <w:t>{LIBE}</w:t>
      </w:r>
      <w:r w:rsidRPr="0076725E">
        <w:t>Kansalaisvapauksien sekä oikeus- ja sisäasioiden valiokunta</w:t>
      </w:r>
      <w:r w:rsidRPr="0076725E">
        <w:rPr>
          <w:rStyle w:val="HideTWBExt"/>
        </w:rPr>
        <w:t>&lt;/Commission&gt;</w:t>
      </w:r>
    </w:p>
    <w:p w14:paraId="505BAECB" w14:textId="77777777" w:rsidR="00947C9A" w:rsidRPr="0076725E" w:rsidRDefault="00D41739">
      <w:pPr>
        <w:pStyle w:val="CoverNormal24a"/>
      </w:pPr>
      <w:r w:rsidRPr="0076725E">
        <w:t xml:space="preserve">Esittelijä: </w:t>
      </w:r>
      <w:r w:rsidRPr="0076725E">
        <w:rPr>
          <w:rStyle w:val="HideTWBExt"/>
        </w:rPr>
        <w:t>&lt;Depute&gt;</w:t>
      </w:r>
      <w:r w:rsidRPr="0076725E">
        <w:t>Tineke Strik</w:t>
      </w:r>
      <w:r w:rsidRPr="0076725E">
        <w:rPr>
          <w:rStyle w:val="HideTWBExt"/>
        </w:rPr>
        <w:t>&lt;/Depute&gt;</w:t>
      </w:r>
    </w:p>
    <w:p w14:paraId="684D77E9" w14:textId="77777777" w:rsidR="00D70BF8" w:rsidRPr="0076725E" w:rsidRDefault="00D70BF8" w:rsidP="00D70BF8">
      <w:pPr>
        <w:pStyle w:val="CoverNormal"/>
      </w:pPr>
      <w:r w:rsidRPr="0076725E">
        <w:t>Työjärjestyksen 57 artiklan mukaisesti yhteistyöhön osallistuvan valiokunnan valmistelija:</w:t>
      </w:r>
    </w:p>
    <w:p w14:paraId="7EFE217F" w14:textId="77777777" w:rsidR="00B763C5" w:rsidRPr="0076725E" w:rsidRDefault="00D70BF8" w:rsidP="00D70BF8">
      <w:pPr>
        <w:pStyle w:val="CoverNormal"/>
      </w:pPr>
      <w:r w:rsidRPr="0076725E">
        <w:t>Jan-Christoph Oetjen, ulkoasiainvaliokunta</w:t>
      </w:r>
    </w:p>
    <w:p w14:paraId="76580F00" w14:textId="77777777" w:rsidR="00947C9A" w:rsidRPr="0076725E" w:rsidRDefault="00947C9A" w:rsidP="00B9292E">
      <w:pPr>
        <w:widowControl/>
        <w:tabs>
          <w:tab w:val="center" w:pos="4677"/>
        </w:tabs>
      </w:pPr>
      <w:r w:rsidRPr="0076725E">
        <w:br w:type="page"/>
      </w:r>
      <w:r w:rsidRPr="0076725E">
        <w:lastRenderedPageBreak/>
        <w:t>PR_INI_AgreementRecomm</w:t>
      </w:r>
    </w:p>
    <w:p w14:paraId="2B447B99" w14:textId="77777777" w:rsidR="00947C9A" w:rsidRPr="0076725E" w:rsidRDefault="00D41739">
      <w:pPr>
        <w:pStyle w:val="TOCHeading"/>
      </w:pPr>
      <w:r w:rsidRPr="0076725E">
        <w:t>SISÄLTÖ</w:t>
      </w:r>
    </w:p>
    <w:p w14:paraId="7D465526" w14:textId="77777777" w:rsidR="00947C9A" w:rsidRPr="0076725E" w:rsidRDefault="00D41739">
      <w:pPr>
        <w:pStyle w:val="TOCPage"/>
      </w:pPr>
      <w:r w:rsidRPr="0076725E">
        <w:t>Sivu</w:t>
      </w:r>
    </w:p>
    <w:p w14:paraId="3CDB8BD4" w14:textId="369620D6" w:rsidR="0076725E" w:rsidRDefault="00947C9A">
      <w:pPr>
        <w:pStyle w:val="TOC1"/>
        <w:tabs>
          <w:tab w:val="right" w:leader="dot" w:pos="9060"/>
        </w:tabs>
        <w:rPr>
          <w:rFonts w:asciiTheme="minorHAnsi" w:eastAsiaTheme="minorEastAsia" w:hAnsiTheme="minorHAnsi" w:cs="Mangal"/>
          <w:noProof/>
          <w:sz w:val="22"/>
          <w:lang w:val="en-GB" w:bidi="ne-NP"/>
        </w:rPr>
      </w:pPr>
      <w:r w:rsidRPr="0076725E">
        <w:fldChar w:fldCharType="begin"/>
      </w:r>
      <w:r w:rsidRPr="0076725E">
        <w:instrText xml:space="preserve"> TOC \t "PageHeading</w:instrText>
      </w:r>
      <w:r w:rsidR="00F73FD4" w:rsidRPr="0076725E">
        <w:instrText>;</w:instrText>
      </w:r>
      <w:r w:rsidRPr="0076725E">
        <w:instrText xml:space="preserve">1" </w:instrText>
      </w:r>
      <w:r w:rsidRPr="0076725E">
        <w:fldChar w:fldCharType="separate"/>
      </w:r>
      <w:r w:rsidR="0076725E">
        <w:rPr>
          <w:noProof/>
        </w:rPr>
        <w:t>EHDOTUS EUROOPAN PARLAMENTIN SUOSITUKSEKSI</w:t>
      </w:r>
      <w:r w:rsidR="0076725E">
        <w:rPr>
          <w:noProof/>
        </w:rPr>
        <w:tab/>
      </w:r>
      <w:r w:rsidR="0076725E">
        <w:rPr>
          <w:noProof/>
        </w:rPr>
        <w:fldChar w:fldCharType="begin"/>
      </w:r>
      <w:r w:rsidR="0076725E">
        <w:rPr>
          <w:noProof/>
        </w:rPr>
        <w:instrText xml:space="preserve"> PAGEREF _Toc138864679 \h </w:instrText>
      </w:r>
      <w:r w:rsidR="0076725E">
        <w:rPr>
          <w:noProof/>
        </w:rPr>
      </w:r>
      <w:r w:rsidR="0076725E">
        <w:rPr>
          <w:noProof/>
        </w:rPr>
        <w:fldChar w:fldCharType="separate"/>
      </w:r>
      <w:r w:rsidR="0076725E">
        <w:rPr>
          <w:noProof/>
        </w:rPr>
        <w:t>3</w:t>
      </w:r>
      <w:r w:rsidR="0076725E">
        <w:rPr>
          <w:noProof/>
        </w:rPr>
        <w:fldChar w:fldCharType="end"/>
      </w:r>
    </w:p>
    <w:p w14:paraId="4D900953" w14:textId="344EED5D" w:rsidR="0076725E" w:rsidRDefault="0076725E">
      <w:pPr>
        <w:pStyle w:val="TOC1"/>
        <w:tabs>
          <w:tab w:val="right" w:leader="dot" w:pos="9060"/>
        </w:tabs>
        <w:rPr>
          <w:rFonts w:asciiTheme="minorHAnsi" w:eastAsiaTheme="minorEastAsia" w:hAnsiTheme="minorHAnsi" w:cs="Mangal"/>
          <w:noProof/>
          <w:sz w:val="22"/>
          <w:lang w:val="en-GB" w:bidi="ne-NP"/>
        </w:rPr>
      </w:pPr>
      <w:r>
        <w:rPr>
          <w:noProof/>
        </w:rPr>
        <w:t>PERUSTELUT</w:t>
      </w:r>
      <w:r>
        <w:rPr>
          <w:noProof/>
        </w:rPr>
        <w:tab/>
      </w:r>
      <w:r>
        <w:rPr>
          <w:noProof/>
        </w:rPr>
        <w:fldChar w:fldCharType="begin"/>
      </w:r>
      <w:r>
        <w:rPr>
          <w:noProof/>
        </w:rPr>
        <w:instrText xml:space="preserve"> PAGEREF _Toc138864680 \h </w:instrText>
      </w:r>
      <w:r>
        <w:rPr>
          <w:noProof/>
        </w:rPr>
      </w:r>
      <w:r>
        <w:rPr>
          <w:noProof/>
        </w:rPr>
        <w:fldChar w:fldCharType="separate"/>
      </w:r>
      <w:r>
        <w:rPr>
          <w:noProof/>
        </w:rPr>
        <w:t>8</w:t>
      </w:r>
      <w:r>
        <w:rPr>
          <w:noProof/>
        </w:rPr>
        <w:fldChar w:fldCharType="end"/>
      </w:r>
    </w:p>
    <w:p w14:paraId="47C0916C" w14:textId="73A2852A" w:rsidR="00B763C5" w:rsidRPr="0076725E" w:rsidRDefault="00947C9A" w:rsidP="003F44E1">
      <w:r w:rsidRPr="0076725E">
        <w:fldChar w:fldCharType="end"/>
      </w:r>
    </w:p>
    <w:p w14:paraId="4197BCF8" w14:textId="77777777" w:rsidR="00947C9A" w:rsidRPr="0076725E" w:rsidRDefault="00947C9A">
      <w:pPr>
        <w:pStyle w:val="PageHeading"/>
      </w:pPr>
      <w:r w:rsidRPr="0076725E">
        <w:br w:type="page"/>
      </w:r>
      <w:bookmarkStart w:id="0" w:name="_Toc138864679"/>
      <w:r w:rsidRPr="0076725E">
        <w:lastRenderedPageBreak/>
        <w:t>EHDOTUS EUROOPAN PARLAMENTIN SUOSITUKSEKSI</w:t>
      </w:r>
      <w:bookmarkEnd w:id="0"/>
    </w:p>
    <w:p w14:paraId="75393CAC" w14:textId="153CDD75" w:rsidR="00947C9A" w:rsidRPr="0076725E" w:rsidRDefault="00D70BF8" w:rsidP="00866F16">
      <w:pPr>
        <w:pStyle w:val="NormalBold"/>
      </w:pPr>
      <w:r w:rsidRPr="0076725E">
        <w:t>neuvotteluista Euroopan raja- ja merivartioviraston (Frontex) Mauritanian islamilaisen tasavallan alueella toteuttamia operatiivisia toimia koskevasta Euroopan unionin ja Mauritanian islamilaisen tasavallan välisestä asemaa koskevasta sopimuksesta</w:t>
      </w:r>
      <w:r w:rsidRPr="0076725E">
        <w:br/>
        <w:t>(2023/2087(INI))</w:t>
      </w:r>
    </w:p>
    <w:p w14:paraId="2FD996BC" w14:textId="77777777" w:rsidR="00947C9A" w:rsidRPr="0076725E" w:rsidRDefault="00D41739">
      <w:pPr>
        <w:pStyle w:val="EPComma"/>
      </w:pPr>
      <w:r w:rsidRPr="0076725E">
        <w:rPr>
          <w:i/>
          <w:iCs/>
        </w:rPr>
        <w:t>Euroopan parlamentti</w:t>
      </w:r>
      <w:r w:rsidRPr="0076725E">
        <w:t>, joka</w:t>
      </w:r>
    </w:p>
    <w:p w14:paraId="497874B3" w14:textId="77777777" w:rsidR="00DB6A2A" w:rsidRPr="0076725E" w:rsidRDefault="001B67B1" w:rsidP="00DB6A2A">
      <w:pPr>
        <w:pStyle w:val="NormalHanging12a"/>
      </w:pPr>
      <w:r w:rsidRPr="0076725E">
        <w:t>–</w:t>
      </w:r>
      <w:r w:rsidRPr="0076725E">
        <w:tab/>
        <w:t>ottaa huomioon Euroopan unionin toiminnasta tehdyn sopimuksen (SEUT) 218 artiklan,</w:t>
      </w:r>
    </w:p>
    <w:p w14:paraId="2D21DF07" w14:textId="77777777" w:rsidR="00DB6A2A" w:rsidRPr="0076725E" w:rsidRDefault="001B67B1" w:rsidP="00DB6A2A">
      <w:pPr>
        <w:pStyle w:val="NormalHanging12a"/>
      </w:pPr>
      <w:r w:rsidRPr="0076725E">
        <w:t>–</w:t>
      </w:r>
      <w:r w:rsidRPr="0076725E">
        <w:tab/>
        <w:t>ottaa huomioon vuonna 1948 annetun ihmisoikeuksien yleismaailmallisen julistuksen,</w:t>
      </w:r>
    </w:p>
    <w:p w14:paraId="0775EDE2" w14:textId="77777777" w:rsidR="00DB6A2A" w:rsidRPr="0076725E" w:rsidRDefault="001B67B1" w:rsidP="00DB6A2A">
      <w:pPr>
        <w:pStyle w:val="NormalHanging12a"/>
      </w:pPr>
      <w:r w:rsidRPr="0076725E">
        <w:t>–</w:t>
      </w:r>
      <w:r w:rsidRPr="0076725E">
        <w:tab/>
        <w:t>ottaa huomioon vuonna 1951 tehdyn Geneven yleissopimuksen ja sen lisäpöytäkirjan,</w:t>
      </w:r>
    </w:p>
    <w:p w14:paraId="52339E83" w14:textId="5B088880" w:rsidR="00DB6A2A" w:rsidRPr="0076725E" w:rsidRDefault="001B67B1" w:rsidP="00DB6A2A">
      <w:pPr>
        <w:pStyle w:val="NormalHanging12a"/>
      </w:pPr>
      <w:r w:rsidRPr="0076725E">
        <w:t>–</w:t>
      </w:r>
      <w:r w:rsidRPr="0076725E">
        <w:tab/>
        <w:t>ottaa huomioon ihmishengen turvallisuudesta merellä tehdyn kansainvälisen yleissopimuksen V luvussa olevan 33 säännön velvollisuuksista ja menettelytavoista hätätilanteissa,</w:t>
      </w:r>
    </w:p>
    <w:p w14:paraId="2154F643" w14:textId="77777777" w:rsidR="00DB6A2A" w:rsidRPr="0076725E" w:rsidRDefault="001B67B1" w:rsidP="00DB6A2A">
      <w:pPr>
        <w:pStyle w:val="NormalHanging12a"/>
      </w:pPr>
      <w:r w:rsidRPr="0076725E">
        <w:t>–</w:t>
      </w:r>
      <w:r w:rsidRPr="0076725E">
        <w:tab/>
        <w:t>ottaa huomioon etsintä- ja pelastuspalvelua merellä koskevan kansainvälisen yleissopimuksen (SAR-yleissopimus) toimintamenetelmiä koskevan 5 luvun,</w:t>
      </w:r>
    </w:p>
    <w:p w14:paraId="537826AE" w14:textId="71697CC6" w:rsidR="00DB6A2A" w:rsidRPr="0076725E" w:rsidRDefault="001B67B1" w:rsidP="00DB6A2A">
      <w:pPr>
        <w:pStyle w:val="NormalHanging12a"/>
      </w:pPr>
      <w:r w:rsidRPr="0076725E">
        <w:t>–</w:t>
      </w:r>
      <w:r w:rsidRPr="0076725E">
        <w:tab/>
        <w:t>ottaa huomioon kansainvälisen yleissopimuksen ihmishengen turvallisuudesta merellä,</w:t>
      </w:r>
    </w:p>
    <w:p w14:paraId="4370BFD8" w14:textId="3F1FA608" w:rsidR="00DB6A2A" w:rsidRPr="0076725E" w:rsidRDefault="001B67B1" w:rsidP="00DB6A2A">
      <w:pPr>
        <w:pStyle w:val="NormalHanging12a"/>
      </w:pPr>
      <w:r w:rsidRPr="0076725E">
        <w:t>–</w:t>
      </w:r>
      <w:r w:rsidRPr="0076725E">
        <w:tab/>
        <w:t>ottaa huomioon 3. syyskuuta 1953 tehdyn yleissopimuksen ihmisoikeuksien ja perusvapauksien suojaamiseksi (Euroopan ihmisoikeussopimus),</w:t>
      </w:r>
    </w:p>
    <w:p w14:paraId="577CAB1E" w14:textId="154EF279" w:rsidR="00DB6A2A" w:rsidRPr="0076725E" w:rsidRDefault="001B67B1" w:rsidP="00DB6A2A">
      <w:pPr>
        <w:pStyle w:val="NormalHanging12a"/>
      </w:pPr>
      <w:r w:rsidRPr="0076725E">
        <w:t>–</w:t>
      </w:r>
      <w:r w:rsidRPr="0076725E">
        <w:tab/>
        <w:t>ottaa huomioon Euroopan unionin perusoikeuskirjan,</w:t>
      </w:r>
    </w:p>
    <w:p w14:paraId="64BD7C15" w14:textId="25A9D0B8" w:rsidR="00DB6A2A" w:rsidRPr="0076725E" w:rsidRDefault="001B67B1" w:rsidP="00DB6A2A">
      <w:pPr>
        <w:pStyle w:val="NormalHanging12a"/>
      </w:pPr>
      <w:r w:rsidRPr="0076725E">
        <w:t>–</w:t>
      </w:r>
      <w:r w:rsidRPr="0076725E">
        <w:tab/>
        <w:t xml:space="preserve">ottaa huomioon SEUT-sopimuksen ja erityisesti </w:t>
      </w:r>
      <w:r w:rsidR="00706D85" w:rsidRPr="0076725E">
        <w:t>sen 77 artiklan 2 kohdan b ja d </w:t>
      </w:r>
      <w:r w:rsidRPr="0076725E">
        <w:t>alakohdan, 79 artiklan 2 kohdan c alakohdan sekä 218 artiklan 3 ja 4 kohdan,</w:t>
      </w:r>
    </w:p>
    <w:p w14:paraId="544E17D5" w14:textId="101F0C8D" w:rsidR="00DB6A2A" w:rsidRPr="0076725E" w:rsidRDefault="001B67B1" w:rsidP="00DB6A2A">
      <w:pPr>
        <w:pStyle w:val="NormalHanging12a"/>
      </w:pPr>
      <w:r w:rsidRPr="0076725E">
        <w:t>–</w:t>
      </w:r>
      <w:r w:rsidRPr="0076725E">
        <w:tab/>
        <w:t>ottaa huomioon eurooppalaisesta raja- ja merivarti</w:t>
      </w:r>
      <w:r w:rsidR="00706D85" w:rsidRPr="0076725E">
        <w:t>ostosta sekä asetusten (EU) N:o </w:t>
      </w:r>
      <w:r w:rsidRPr="0076725E">
        <w:t>1052/2013 ja (EU) 2016/1624 kumoamisesta 13. marraskuuta 2019 annetun Euroopan parlamentin ja neuvoston asetuksen (EU) 2019/1896</w:t>
      </w:r>
      <w:r w:rsidR="00095F8A" w:rsidRPr="0076725E">
        <w:rPr>
          <w:rStyle w:val="FootnoteReference"/>
        </w:rPr>
        <w:footnoteReference w:id="1"/>
      </w:r>
      <w:r w:rsidRPr="0076725E">
        <w:t>,</w:t>
      </w:r>
    </w:p>
    <w:p w14:paraId="52F516ED" w14:textId="7FD1A138" w:rsidR="00DB6A2A" w:rsidRPr="0076725E" w:rsidRDefault="001B67B1" w:rsidP="00DB6A2A">
      <w:pPr>
        <w:pStyle w:val="NormalHanging12a"/>
      </w:pPr>
      <w:r w:rsidRPr="0076725E">
        <w:t>–</w:t>
      </w:r>
      <w:r w:rsidRPr="0076725E">
        <w:tab/>
        <w:t>ottaa huomioon 9. helmikuuta 2023 annetut Eurooppa-neuvoston päätelmät,</w:t>
      </w:r>
    </w:p>
    <w:p w14:paraId="1F7D660E" w14:textId="265DF462" w:rsidR="00DB6A2A" w:rsidRPr="0076725E" w:rsidRDefault="00DB6A2A" w:rsidP="00DB6A2A">
      <w:pPr>
        <w:pStyle w:val="NormalHanging12a"/>
      </w:pPr>
      <w:r w:rsidRPr="0076725E">
        <w:t>–</w:t>
      </w:r>
      <w:r w:rsidRPr="0076725E">
        <w:tab/>
        <w:t>ottaa huomioon luvan antamisesta aloittaa neuvottelut Euroopan raja- ja merivartioviraston Mauritanian islamilaisen tasavallan alueella toteuttamia operatiivisia toimia koskevasta Euroopan unionin ja Mauritanian islamilaisen tasavallan välisestä asemaa koskevasta sopimuksesta 4. heinäkuuta 2022 a</w:t>
      </w:r>
      <w:r w:rsidR="00706D85" w:rsidRPr="0076725E">
        <w:t>nnetun neuvoston päätöksen (EU) </w:t>
      </w:r>
      <w:r w:rsidRPr="0076725E">
        <w:t>2022/1168</w:t>
      </w:r>
      <w:r w:rsidR="00095F8A" w:rsidRPr="0076725E">
        <w:rPr>
          <w:rStyle w:val="FootnoteReference"/>
        </w:rPr>
        <w:footnoteReference w:id="2"/>
      </w:r>
      <w:r w:rsidRPr="0076725E">
        <w:t>,</w:t>
      </w:r>
    </w:p>
    <w:p w14:paraId="28C0E667" w14:textId="654A0CCC" w:rsidR="00DB6A2A" w:rsidRPr="0076725E" w:rsidRDefault="001B67B1" w:rsidP="00DB6A2A">
      <w:pPr>
        <w:pStyle w:val="NormalHanging12a"/>
      </w:pPr>
      <w:r w:rsidRPr="0076725E">
        <w:t>–</w:t>
      </w:r>
      <w:r w:rsidRPr="0076725E">
        <w:tab/>
        <w:t xml:space="preserve">ottaa huomioon 21. joulukuuta 2021 annetun komission tiedonannon ”Eurooppalaisesta raja- ja merivartiostosta sekä asetusten (EU) N:o 1052/2013 ja (EU) 2016/1624 kumoamisesta 13 päivänä marraskuuta 2019 annetussa Euroopan parlamentin ja </w:t>
      </w:r>
      <w:r w:rsidRPr="0076725E">
        <w:lastRenderedPageBreak/>
        <w:t>neuvoston asetuksessa (EU) 2019/1896 tarkoitettu asemaa koskevan sopimuksen malli” (COM(2021)0829),</w:t>
      </w:r>
    </w:p>
    <w:p w14:paraId="0B53C38E" w14:textId="7503CEA6" w:rsidR="00DB6A2A" w:rsidRPr="0076725E" w:rsidRDefault="00DB6A2A" w:rsidP="00DB6A2A">
      <w:pPr>
        <w:pStyle w:val="NormalHanging12a"/>
      </w:pPr>
      <w:r w:rsidRPr="0076725E">
        <w:t>–</w:t>
      </w:r>
      <w:r w:rsidRPr="0076725E">
        <w:tab/>
        <w:t>ottaa huomioon 19. toukokuuta 2021 antamansa päätöslauselman ihmisoikeuksien suojelusta ja EU:n ulkoisesta muuttoliikepolitiikasta</w:t>
      </w:r>
      <w:r w:rsidR="00A74928" w:rsidRPr="0076725E">
        <w:rPr>
          <w:rStyle w:val="FootnoteReference"/>
        </w:rPr>
        <w:footnoteReference w:id="3"/>
      </w:r>
      <w:r w:rsidRPr="0076725E">
        <w:t>,</w:t>
      </w:r>
    </w:p>
    <w:p w14:paraId="2781D2AA" w14:textId="1DC81224" w:rsidR="00DB6A2A" w:rsidRPr="0076725E" w:rsidRDefault="001B67B1" w:rsidP="00DB6A2A">
      <w:pPr>
        <w:pStyle w:val="NormalHanging12a"/>
      </w:pPr>
      <w:r w:rsidRPr="0076725E">
        <w:t>–</w:t>
      </w:r>
      <w:r w:rsidRPr="0076725E">
        <w:tab/>
        <w:t>ottaa huomioon 14. heinäkuuta 2021 annetun kansalaisvapauksien sekä oikeus- ja sisäasioiden valiokunnan alaisen Frontexin valvontatyöryhmän raportin väitettyjä perusoikeusloukkauksia koskevasta Frontexiin liittyvästä selvitystutkimuksesta ja sen suositukset,</w:t>
      </w:r>
    </w:p>
    <w:p w14:paraId="3A7B8073" w14:textId="77777777" w:rsidR="00DB6A2A" w:rsidRPr="0076725E" w:rsidRDefault="001B67B1" w:rsidP="00DB6A2A">
      <w:pPr>
        <w:pStyle w:val="NormalHanging12a"/>
      </w:pPr>
      <w:r w:rsidRPr="0076725E">
        <w:t>–</w:t>
      </w:r>
      <w:r w:rsidRPr="0076725E">
        <w:tab/>
        <w:t>ottaa huomioon työjärjestyksen 114 artiklan 4 kohdan ja 54 artiklan,</w:t>
      </w:r>
    </w:p>
    <w:p w14:paraId="2EFB9A90" w14:textId="77777777" w:rsidR="00DB6A2A" w:rsidRPr="0076725E" w:rsidRDefault="001B67B1" w:rsidP="00DB6A2A">
      <w:pPr>
        <w:pStyle w:val="NormalHanging12a"/>
      </w:pPr>
      <w:r w:rsidRPr="0076725E">
        <w:t>–</w:t>
      </w:r>
      <w:r w:rsidRPr="0076725E">
        <w:tab/>
        <w:t>ottaa huomioon ulkoasiainvaliokunnan alaisen ihmisoikeuksien alivaliokunnan lausunnon,</w:t>
      </w:r>
    </w:p>
    <w:p w14:paraId="0565578A" w14:textId="3BB4A631" w:rsidR="00DB6A2A" w:rsidRPr="0076725E" w:rsidRDefault="001B67B1" w:rsidP="00DB6A2A">
      <w:pPr>
        <w:pStyle w:val="NormalHanging12a"/>
      </w:pPr>
      <w:r w:rsidRPr="0076725E">
        <w:t>–</w:t>
      </w:r>
      <w:r w:rsidRPr="0076725E">
        <w:tab/>
        <w:t>ottaa huomioon kansalaisvapauksien sekä oikeus- ja sisäasioiden valiokunnan mietinnön (A9-0000/2023),</w:t>
      </w:r>
    </w:p>
    <w:p w14:paraId="1BDBF8B7" w14:textId="1C58888F" w:rsidR="00DB6A2A" w:rsidRPr="0076725E" w:rsidRDefault="001B67B1" w:rsidP="00DB6A2A">
      <w:pPr>
        <w:pStyle w:val="NormalHanging12a"/>
      </w:pPr>
      <w:r w:rsidRPr="0076725E">
        <w:t>A.</w:t>
      </w:r>
      <w:r w:rsidRPr="0076725E">
        <w:tab/>
        <w:t>ottaa huomioon, että asetuksen (EU) 2019/1896 73 artiklan 3 kohdan mukaan olosuhteissa, jotka edellyttävät rajaturvallisuusryhmien lähettämistä pysyvästä joukosta kolmanteen maahan, jossa ryhmien jäsenet käyttävät toimeenpanovaltuuksia, unioni tekee SEUT-sopimuksen 218 artiklan perusteella kyseisen kolmannen maan kanssa asemaa koskevan sopimuksen;</w:t>
      </w:r>
    </w:p>
    <w:p w14:paraId="60E14511" w14:textId="27C9FA8F" w:rsidR="00DB6A2A" w:rsidRPr="0076725E" w:rsidRDefault="001B67B1" w:rsidP="00DB6A2A">
      <w:pPr>
        <w:pStyle w:val="NormalHanging12a"/>
      </w:pPr>
      <w:r w:rsidRPr="0076725E">
        <w:t>B.</w:t>
      </w:r>
      <w:r w:rsidRPr="0076725E">
        <w:tab/>
        <w:t>ottaa huomioon, että asetuksen (EU) 2019/1896 73 artiklan 2 kohdan mukaan tehdessään yhteistyötä kolmansien maiden kanssa virasto toimii unionin ulkosuhdepolitiikan puitteissa, myös kun kyseessä on perusoikeuksien ja henkilötietojen suojelu, palauttamiskiellon periaate, mielivaltaisen vangitsemisen kielto sekä kidutuksen ja epäinhimillisen tai halventavan kohtelun tai rangaistuksen kielto;</w:t>
      </w:r>
    </w:p>
    <w:p w14:paraId="3D238D0B" w14:textId="1FA411A1" w:rsidR="00DB6A2A" w:rsidRPr="0076725E" w:rsidRDefault="001B67B1" w:rsidP="00DB6A2A">
      <w:pPr>
        <w:pStyle w:val="NormalHanging12a"/>
      </w:pPr>
      <w:r w:rsidRPr="0076725E">
        <w:t>C.</w:t>
      </w:r>
      <w:r w:rsidRPr="0076725E">
        <w:tab/>
        <w:t>ottaa huomioon, että asetuksen (EU) 2019/1896 mukaan silloin, kun komissio suosittaa, että neuvosto valtuuttaisi komission neuvottelemaan asemaa koskevan sopimuksen, komission olisi arvioitava asemasta tehtävän sopimuksen soveltamisalaan kuuluvien alueiden kannalta merkityksellinen perusoikeustilanne; toteaa, että tällaista arviointia ei ole vielä tehty;</w:t>
      </w:r>
    </w:p>
    <w:p w14:paraId="17E6C01B" w14:textId="77777777" w:rsidR="00DB6A2A" w:rsidRPr="0076725E" w:rsidRDefault="001B67B1" w:rsidP="00DB6A2A">
      <w:pPr>
        <w:pStyle w:val="NormalHanging12a"/>
      </w:pPr>
      <w:r w:rsidRPr="0076725E">
        <w:t>D.</w:t>
      </w:r>
      <w:r w:rsidRPr="0076725E">
        <w:tab/>
        <w:t>ottaa huomioon, että asemaa koskevan sopimuksen mallin mukaan</w:t>
      </w:r>
    </w:p>
    <w:p w14:paraId="0A648EDF" w14:textId="4B1EA5BF" w:rsidR="00DB6A2A" w:rsidRPr="0076725E" w:rsidRDefault="001B67B1" w:rsidP="00DB6A2A">
      <w:pPr>
        <w:pStyle w:val="NormalHanging12a"/>
        <w:ind w:firstLine="0"/>
      </w:pPr>
      <w:r w:rsidRPr="0076725E">
        <w:t>– Frontexin ryhmän jäsenet voivat yleensä hoitaa tehtäviä ja käyttää valtuuksia kolmannen maan alueella ainoastaan kyseisen kolmannen maan rajavalvontaviranomaisten ohjeiden mukaisesti ja heidän läsnä ollessaan ja heidän on noudatettava kolmannen maan säädöksiä ja määräyksiä sekä sovellettavaa unionin ja kansainvälistä oikeutta; kolmannen maan viranomaisten on annettava ryhmän jäsenille vain operaatiosuunnitelman mukaisia ohjeita; ottaa huomioon, että tämä on ainoa operatiivinen kehys, jossa EU:n henkilöstö toimii kolmannen valtion komennossa;</w:t>
      </w:r>
    </w:p>
    <w:p w14:paraId="4EC9CA4A" w14:textId="56422D26" w:rsidR="00DB6A2A" w:rsidRPr="0076725E" w:rsidRDefault="001B67B1" w:rsidP="00DB6A2A">
      <w:pPr>
        <w:pStyle w:val="NormalHanging12a"/>
        <w:ind w:firstLine="0"/>
      </w:pPr>
      <w:r w:rsidRPr="0076725E">
        <w:t xml:space="preserve">– Frontexin ryhmän jäsenillä on kaikissa olosuhteissa rikosoikeudellinen koskemattomuus kolmannessa maassa eikä heitä saa pidättää eikä heidän vapauttaan </w:t>
      </w:r>
      <w:r w:rsidRPr="0076725E">
        <w:lastRenderedPageBreak/>
        <w:t>muutoin riistää kolmannessa maassa tai kolmannen maan viranomaisten toimesta; ryhmän jäsenen asemasta riippuen pääjohtaja tai kotijäsenvaltio voi päättää poistaa hänen koskemattomuutensa;</w:t>
      </w:r>
    </w:p>
    <w:p w14:paraId="2E626B73" w14:textId="598A216C" w:rsidR="00DB6A2A" w:rsidRPr="0076725E" w:rsidRDefault="001B67B1" w:rsidP="00DB6A2A">
      <w:pPr>
        <w:pStyle w:val="NormalHanging12a"/>
      </w:pPr>
      <w:r w:rsidRPr="0076725E">
        <w:t>E.</w:t>
      </w:r>
      <w:r w:rsidRPr="0076725E">
        <w:tab/>
        <w:t>ottaa huomioon, että Mauritanialla ei ole kansallista turvapaikkajärjestelmää; ottaa huomioon, että Yhdistyneiden kansakuntien pakolaisasiain päävaltuutetun (UNHCR) toimisto antaa tosiasiallista suojelua myöntämällä pakolaiskortteja ja -todistuksia viranomaisten kanssa tehdyn muistion perusteella; ottaa huomioon, että viranomaiset karkottavat rakenteellisesti ilman muita menettelyjä henkilöt, joiden ei katsota olevan oikeutettuja suojeluun; ottaa huomioon, että tällä tavoin on karkotettu henkilöitä, joiden tapauksia UNHCR ei ollut arvioinut; ottaa huomioon, että Mauritanian nykyinen oikeudellinen kehys ei mahdollista naisten ja lasten eikä hlbtiq-henkilöiden tehokasta suojelua; ottaa huomioon, että samaa sukupuolta olevien henkilöiden seksuaalinen kanssakäyminen on Mauritaniassa laitonta;</w:t>
      </w:r>
    </w:p>
    <w:p w14:paraId="10C0EA34" w14:textId="6C202F79" w:rsidR="00DB6A2A" w:rsidRPr="0076725E" w:rsidRDefault="001B67B1" w:rsidP="00DB6A2A">
      <w:pPr>
        <w:pStyle w:val="NormalHanging12a"/>
      </w:pPr>
      <w:r w:rsidRPr="0076725E">
        <w:t>F.</w:t>
      </w:r>
      <w:r w:rsidRPr="0076725E">
        <w:tab/>
        <w:t>ottaa huomioon, että pakolaisiin ja muuttajiin kohdistuu Mauritaniassa jatkuvasti systeemisiä ja vakavia ihmisoikeusloukkauksia ja kaltoinkohtelua, kuten palauttamisia, mielivaltaisia pidätyksiä ja vangitsemisia, (sukupuoleen perustuvaa) väkivaltaa, mukaan lukien kidutus, hyväksikäyttö, epäasianmukaiset säilöönotto-olosuhteet, kiristys ja varkaudet, sekä perusteettomia joukkokarkotuksia;</w:t>
      </w:r>
    </w:p>
    <w:p w14:paraId="53E5950C" w14:textId="70B3B914" w:rsidR="00DB6A2A" w:rsidRPr="0076725E" w:rsidRDefault="001B67B1" w:rsidP="00DB6A2A">
      <w:pPr>
        <w:pStyle w:val="NormalHanging12a"/>
      </w:pPr>
      <w:r w:rsidRPr="0076725E">
        <w:t>G.</w:t>
      </w:r>
      <w:r w:rsidRPr="0076725E">
        <w:tab/>
        <w:t>ottaa huomioon, että orjuus lakkautettiin Mauritaniassa virallisesti vasta vuonna 1981 viimeisenä maana maailmassa; ottaa huomioon, että orjuus kriminalisoitiin vasta vuonna 2015; ottaa huomioon, että YK:n erityisraportoija totesi vuonna 2022, että maa oli ottanut merkittäviä edistysaskelia, mutta orjuus ja orjuuden kaltaiset käytännöt, kuten pakkotyö, ovat edelleen huolenaihe ja vaikuttavat sekä muuttajiin että Mauritanian kansalaisiin;</w:t>
      </w:r>
    </w:p>
    <w:p w14:paraId="2993C421" w14:textId="0D00BD0D" w:rsidR="00DB6A2A" w:rsidRPr="0076725E" w:rsidRDefault="001B67B1" w:rsidP="00DB6A2A">
      <w:pPr>
        <w:pStyle w:val="NormalHanging12a"/>
      </w:pPr>
      <w:r w:rsidRPr="0076725E">
        <w:t>1.</w:t>
      </w:r>
      <w:r w:rsidRPr="0076725E">
        <w:tab/>
        <w:t>ilmaisee syvän huolensa Mauritanian perusoikeustilanteesta, erityisesti muuttajien ja pakolaisten osalta, ja katsoo, että Frontexin toimeenpanovaltuuksien käyttöön Mauritaniassa liittyy suuri riski joutua osalliseksi perusoikeuksien tai kansainvälistä suojelua koskevien velvoitteiden vakaviin ja todennäköisesti jatkuviin loukkauksiin;</w:t>
      </w:r>
    </w:p>
    <w:p w14:paraId="24D7E681" w14:textId="77A92511" w:rsidR="00DB6A2A" w:rsidRPr="0076725E" w:rsidRDefault="001B67B1" w:rsidP="00DB6A2A">
      <w:pPr>
        <w:pStyle w:val="NormalHanging12a"/>
      </w:pPr>
      <w:r w:rsidRPr="0076725E">
        <w:t>2.</w:t>
      </w:r>
      <w:r w:rsidRPr="0076725E">
        <w:tab/>
        <w:t>katsoo, että jos asemaa koskevan sopimuksen mallissa ei puututa edellä mainittuihin huolenaiheisiin, tämä voisi johtaa vastuuvelvollisuuden puutteisiin, jos joko kolmannen maan viranomaiset ja/tai Frontexin lähettämä henkilöstö syyllistyvät perusoikeuksien loukkauksiin;</w:t>
      </w:r>
    </w:p>
    <w:p w14:paraId="09B2A567" w14:textId="1E49C6CF" w:rsidR="00DB6A2A" w:rsidRPr="0076725E" w:rsidRDefault="001B67B1" w:rsidP="00DB6A2A">
      <w:pPr>
        <w:pStyle w:val="NormalHanging12a"/>
      </w:pPr>
      <w:r w:rsidRPr="0076725E">
        <w:t>3.</w:t>
      </w:r>
      <w:r w:rsidRPr="0076725E">
        <w:tab/>
        <w:t>kehottaa painokkaasti komissiota ja virastoa toimimaan seuraavasti:</w:t>
      </w:r>
    </w:p>
    <w:p w14:paraId="25801F49" w14:textId="77777777" w:rsidR="00DB6A2A" w:rsidRPr="0076725E" w:rsidRDefault="001B67B1" w:rsidP="00DB6A2A">
      <w:pPr>
        <w:pStyle w:val="NormalHanging12a"/>
        <w:rPr>
          <w:b/>
          <w:i/>
        </w:rPr>
      </w:pPr>
      <w:r w:rsidRPr="0076725E">
        <w:rPr>
          <w:b/>
          <w:i/>
        </w:rPr>
        <w:t>3.1 Euroopan komissio</w:t>
      </w:r>
    </w:p>
    <w:p w14:paraId="3F3CF635" w14:textId="440A2C7A" w:rsidR="00DB6A2A" w:rsidRPr="0076725E" w:rsidRDefault="001B67B1" w:rsidP="00DB6A2A">
      <w:pPr>
        <w:pStyle w:val="NormalHanging12a"/>
        <w:ind w:left="1134"/>
      </w:pPr>
      <w:r w:rsidRPr="0076725E">
        <w:t>a.</w:t>
      </w:r>
      <w:r w:rsidRPr="0076725E">
        <w:tab/>
        <w:t>sisällyttää sopimukseen nimenomaisia suojatoimia, joiden avulla lähetetty henkilöstö voi jättää huomiotta kolmannen maan viranomaisten antamat määräykset, jotka ovat ristiriidassa EU:n ja kansainvälisestä oikeudesta johtuvien perusoikeuksia koskevien velvoitteiden kanssa;</w:t>
      </w:r>
    </w:p>
    <w:p w14:paraId="20BE1C0F" w14:textId="6563B4BD" w:rsidR="00DB6A2A" w:rsidRPr="0076725E" w:rsidRDefault="001B67B1" w:rsidP="00DB6A2A">
      <w:pPr>
        <w:pStyle w:val="NormalHanging12a"/>
        <w:ind w:left="1134"/>
      </w:pPr>
      <w:r w:rsidRPr="0076725E">
        <w:t>b.</w:t>
      </w:r>
      <w:r w:rsidRPr="0076725E">
        <w:tab/>
        <w:t>tarkistaa nykyistä säännöstä, joka koskee lähetetyn henkilöstön rikosoikeudellista koskemattomuutta kansallisten viranomaisten suhteen, suhteellisuusperiaatteen mukaisesti ja jotta voidaan turvata asianomaisten henkilöiden oikeus tehokkaisiin oikeussuojakeinoihin;</w:t>
      </w:r>
    </w:p>
    <w:p w14:paraId="384725E5" w14:textId="141C4311" w:rsidR="00DB6A2A" w:rsidRPr="0076725E" w:rsidRDefault="001B67B1" w:rsidP="00DB6A2A">
      <w:pPr>
        <w:pStyle w:val="NormalHanging12a"/>
        <w:ind w:left="1134"/>
      </w:pPr>
      <w:r w:rsidRPr="0076725E">
        <w:lastRenderedPageBreak/>
        <w:t>c.</w:t>
      </w:r>
      <w:r w:rsidRPr="0076725E">
        <w:tab/>
        <w:t>vahvistaa riittävät sisäiset ja ulkoiset mekanismit, jotta EU:n ulkopuoliset henkilöt voivat tehdä virastosta kanteluja suoraan EU:n oikeusasiamiehen suositusten mukaisesti;</w:t>
      </w:r>
    </w:p>
    <w:p w14:paraId="1C858FBF" w14:textId="740D0D5B" w:rsidR="00DB6A2A" w:rsidRPr="0076725E" w:rsidRDefault="001B67B1" w:rsidP="00DB6A2A">
      <w:pPr>
        <w:pStyle w:val="NormalHanging12a"/>
        <w:ind w:left="1134"/>
      </w:pPr>
      <w:r w:rsidRPr="0076725E">
        <w:t>d.</w:t>
      </w:r>
      <w:r w:rsidRPr="0076725E">
        <w:tab/>
        <w:t>sisällyttää sopimukseen määräyksiä, joiden mukaan Mauritanian viranomaisten on kunnioitettava perusoikeuksia operaatioiden aikana ja joihin kuuluu vaikuttavia sääntöjä, joilla varmistetaan vastuuvelvollisuus rikkomistapauksissa;</w:t>
      </w:r>
    </w:p>
    <w:p w14:paraId="4AE845CA" w14:textId="3BCDF451" w:rsidR="00DB6A2A" w:rsidRPr="0076725E" w:rsidRDefault="001B67B1" w:rsidP="00DB6A2A">
      <w:pPr>
        <w:pStyle w:val="NormalHanging12a"/>
        <w:ind w:left="1134"/>
      </w:pPr>
      <w:r w:rsidRPr="0076725E">
        <w:t>e.</w:t>
      </w:r>
      <w:r w:rsidRPr="0076725E">
        <w:tab/>
        <w:t>tekee etukäteen perusoikeuksia koskevia vaikutustenarviointeja ennen kuin se aloittaa neuvottelut kolmansien maiden kanssa asemaa koskevien sopimusten tekemisestä, jotta voidaan ottaa kaikilta osin huomioon mahdollisen yhteistyön vaikutukset ja neuvotella tarvittavista suojatoimista;</w:t>
      </w:r>
    </w:p>
    <w:p w14:paraId="4BCA2116" w14:textId="77777777" w:rsidR="00DB6A2A" w:rsidRPr="0076725E" w:rsidRDefault="001B67B1" w:rsidP="00DB6A2A">
      <w:pPr>
        <w:pStyle w:val="NormalHanging12a"/>
        <w:rPr>
          <w:b/>
          <w:i/>
        </w:rPr>
      </w:pPr>
      <w:r w:rsidRPr="0076725E">
        <w:rPr>
          <w:b/>
          <w:i/>
        </w:rPr>
        <w:t>3.2 Frontex</w:t>
      </w:r>
    </w:p>
    <w:p w14:paraId="24642681" w14:textId="57B8B320" w:rsidR="00DB6A2A" w:rsidRPr="0076725E" w:rsidRDefault="001B67B1" w:rsidP="00DB6A2A">
      <w:pPr>
        <w:pStyle w:val="NormalHanging12a"/>
        <w:ind w:left="1134"/>
      </w:pPr>
      <w:r w:rsidRPr="0076725E">
        <w:t>a.</w:t>
      </w:r>
      <w:r w:rsidRPr="0076725E">
        <w:tab/>
        <w:t>virallistaa perusoikeusvastaavan roolin päätettäessä yhteisoperaation käynnistämisestä asemaa koskevan sopimuksen soveltamisalaan kuuluvassa kolmannessa maassa ja pitää perusoikeusvastaavan lausuntoa sitovana;</w:t>
      </w:r>
    </w:p>
    <w:p w14:paraId="3125F0B7" w14:textId="2E8F0523" w:rsidR="00DB6A2A" w:rsidRPr="0076725E" w:rsidRDefault="001B67B1" w:rsidP="00DB6A2A">
      <w:pPr>
        <w:pStyle w:val="NormalHanging12a"/>
        <w:ind w:left="1134"/>
      </w:pPr>
      <w:r w:rsidRPr="0076725E">
        <w:t>b.</w:t>
      </w:r>
      <w:r w:rsidRPr="0076725E">
        <w:tab/>
        <w:t>varmistaa, että Mauritanian alueella toteutettavia operaatioita koskevissa toimintasuunnitelmissa</w:t>
      </w:r>
    </w:p>
    <w:p w14:paraId="17906BC2" w14:textId="2D052002" w:rsidR="00DB6A2A" w:rsidRPr="0076725E" w:rsidRDefault="001B67B1" w:rsidP="00DB6A2A">
      <w:pPr>
        <w:pStyle w:val="NormalHanging12a"/>
        <w:ind w:left="1287"/>
      </w:pPr>
      <w:r w:rsidRPr="0076725E">
        <w:t>i.</w:t>
      </w:r>
      <w:r w:rsidRPr="0076725E">
        <w:tab/>
        <w:t>vahvistetaan virallinen mekanismi, jonka avulla henkilöt, mukaan lukien kolmansien maiden kansalaiset, joihin kohdistuu välitön tai välillinen vaikutus tai jotka toimivat yleisen edun mukaisesti, voivat tehdä virastolle valituksia kolmanteen maahan lähetetyn henkilöstön toimista, ja annetaan selkeät säännöt, jotka koskevat valitusten jättämisen jälkeisiä toimia ja täytäntöönpanovälineitä,</w:t>
      </w:r>
    </w:p>
    <w:p w14:paraId="1A82ABB3" w14:textId="2C2AA34B" w:rsidR="00DB6A2A" w:rsidRPr="0076725E" w:rsidRDefault="001B67B1" w:rsidP="00DB6A2A">
      <w:pPr>
        <w:pStyle w:val="NormalHanging12a"/>
        <w:ind w:left="1287"/>
      </w:pPr>
      <w:r w:rsidRPr="0076725E">
        <w:t>ii.</w:t>
      </w:r>
      <w:r w:rsidRPr="0076725E">
        <w:tab/>
        <w:t>varmistetaan Frontexin läsnäolo kriittisillä alueilla, joilla maahantulijoiden kiinniotto todennäköisesti tapahtuu, ja harkitaan, että annetaan perusoikeusvastaavalle ja perusoikeusvalvojille kattava pääsy toiminta-alueelle,</w:t>
      </w:r>
    </w:p>
    <w:p w14:paraId="2201AAAD" w14:textId="7AC72DA3" w:rsidR="00DB6A2A" w:rsidRPr="0076725E" w:rsidRDefault="001B67B1" w:rsidP="00DB6A2A">
      <w:pPr>
        <w:pStyle w:val="NormalHanging12a"/>
        <w:ind w:left="1287"/>
      </w:pPr>
      <w:r w:rsidRPr="0076725E">
        <w:t>iii.</w:t>
      </w:r>
      <w:r w:rsidRPr="0076725E">
        <w:tab/>
        <w:t>tehdään tiivistä yhteistyötä UNHCR:n kanssa Mauritaniassa toteutettavien operaatioiden aikana, jotta taataan oikeus turvapaikkaan;</w:t>
      </w:r>
    </w:p>
    <w:p w14:paraId="34FD6E9D" w14:textId="1C808D17" w:rsidR="00DB6A2A" w:rsidRPr="0076725E" w:rsidRDefault="001B67B1" w:rsidP="00DB6A2A">
      <w:pPr>
        <w:pStyle w:val="NormalHanging12a"/>
        <w:ind w:left="1134"/>
      </w:pPr>
      <w:r w:rsidRPr="0076725E">
        <w:t>c.</w:t>
      </w:r>
      <w:r w:rsidRPr="0076725E">
        <w:tab/>
        <w:t>hyväksyy lähetetyn henkilöstön koskemattomuuden pakollista poistamista koskevat ohjeet, joissa täsmennetään, miten kolmannen maan viranomaisten esittämät pyynnöt käsitellään, sekä vahvistetaan perusoikeusvastaavan vahva rooli; asettaa nämä ohjeet pysyvän joukon henkilöstön lähettämisen ehdoksi;</w:t>
      </w:r>
    </w:p>
    <w:p w14:paraId="7989469D" w14:textId="5908B934" w:rsidR="00DB6A2A" w:rsidRPr="0076725E" w:rsidRDefault="001B67B1" w:rsidP="00DB6A2A">
      <w:pPr>
        <w:pStyle w:val="NormalHanging12a"/>
        <w:ind w:left="1134"/>
      </w:pPr>
      <w:r w:rsidRPr="0076725E">
        <w:t>d.</w:t>
      </w:r>
      <w:r w:rsidRPr="0076725E">
        <w:tab/>
        <w:t>tutkii ja perustaa mekanismeja, joiden avulla henkilöt, joihin viraston toiminta kolmannen maan alueella mahdollisesti vaikuttaa, voivat tehokkaasti hakea muutosta ulkopuolisten elinten, kuten oikeusasiamiehen, Euroopan unionin tuomioistuimen tai muun tahon kautta;</w:t>
      </w:r>
    </w:p>
    <w:p w14:paraId="50ADD1D8" w14:textId="54C2B6E6" w:rsidR="00D773EF" w:rsidRPr="0076725E" w:rsidRDefault="001B67B1" w:rsidP="00706D85">
      <w:pPr>
        <w:pStyle w:val="NormalHanging12a"/>
        <w:ind w:left="1134"/>
      </w:pPr>
      <w:r w:rsidRPr="0076725E">
        <w:t>e.</w:t>
      </w:r>
      <w:r w:rsidRPr="0076725E">
        <w:tab/>
        <w:t>tarjoaa viranomaisille koulutusta perusoikeuksista, myös etsintä- ja pelastuspalvelua merellä koskevista velvoitteista, keskeisenä osana toimeenpanevia operaatioita kolmansissa maissa sekä pyrkii parantamaan turvapaikkajärjestelmää;</w:t>
      </w:r>
    </w:p>
    <w:p w14:paraId="646D5D48" w14:textId="422D5582" w:rsidR="007A48F8" w:rsidRPr="0076725E" w:rsidRDefault="007A48F8" w:rsidP="00706D85">
      <w:pPr>
        <w:pStyle w:val="NormalWeb"/>
        <w:keepNext/>
        <w:keepLines/>
        <w:jc w:val="center"/>
        <w:rPr>
          <w:color w:val="000000"/>
        </w:rPr>
      </w:pPr>
      <w:r w:rsidRPr="0076725E">
        <w:rPr>
          <w:color w:val="000000"/>
        </w:rPr>
        <w:t>°</w:t>
      </w:r>
    </w:p>
    <w:p w14:paraId="6036419A" w14:textId="20891EB6" w:rsidR="007A48F8" w:rsidRPr="0076725E" w:rsidRDefault="007A48F8" w:rsidP="00706D85">
      <w:pPr>
        <w:pStyle w:val="NormalWeb"/>
        <w:keepNext/>
        <w:keepLines/>
        <w:jc w:val="center"/>
        <w:rPr>
          <w:color w:val="000000"/>
        </w:rPr>
      </w:pPr>
      <w:r w:rsidRPr="0076725E">
        <w:rPr>
          <w:color w:val="000000"/>
        </w:rPr>
        <w:lastRenderedPageBreak/>
        <w:t>°</w:t>
      </w:r>
      <w:r w:rsidRPr="0076725E">
        <w:rPr>
          <w:color w:val="000000"/>
        </w:rPr>
        <w:tab/>
        <w:t>°</w:t>
      </w:r>
    </w:p>
    <w:p w14:paraId="026AD59F" w14:textId="77777777" w:rsidR="00FA1A9D" w:rsidRPr="0076725E" w:rsidRDefault="00FA1A9D" w:rsidP="00DB6A2A">
      <w:pPr>
        <w:pStyle w:val="NormalHanging12a"/>
      </w:pPr>
    </w:p>
    <w:p w14:paraId="37583664" w14:textId="4CEF89C5" w:rsidR="001B67B1" w:rsidRPr="0076725E" w:rsidRDefault="001B67B1" w:rsidP="00DB6A2A">
      <w:pPr>
        <w:pStyle w:val="NormalHanging12a"/>
      </w:pPr>
      <w:r w:rsidRPr="0076725E">
        <w:t>4.</w:t>
      </w:r>
      <w:r w:rsidRPr="0076725E">
        <w:tab/>
        <w:t>kehottaa puhemiestä välittämään tämän suosituksen neuvostolle, komissiolle ja Euroopan raja- ja merivartiovirastolle sekä Mauritanian hallitukselle.</w:t>
      </w:r>
    </w:p>
    <w:p w14:paraId="4E2B7BE2" w14:textId="77777777" w:rsidR="00DB6A2A" w:rsidRPr="0076725E" w:rsidRDefault="00DB6A2A" w:rsidP="00DB6A2A">
      <w:pPr>
        <w:pStyle w:val="NormalHanging12a"/>
      </w:pPr>
    </w:p>
    <w:p w14:paraId="753C79F8" w14:textId="77777777" w:rsidR="00FB6B71" w:rsidRPr="0076725E" w:rsidRDefault="00FB6B71" w:rsidP="001A1333">
      <w:pPr>
        <w:pStyle w:val="NormalHanging12a"/>
        <w:sectPr w:rsidR="00FB6B71" w:rsidRPr="0076725E" w:rsidSect="00B2685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2C201C60" w14:textId="77777777" w:rsidR="00FB6B71" w:rsidRPr="0076725E" w:rsidRDefault="00FB6B71" w:rsidP="00FB6B71">
      <w:pPr>
        <w:pStyle w:val="PageHeading"/>
      </w:pPr>
      <w:bookmarkStart w:id="1" w:name="_Toc138864680"/>
      <w:r w:rsidRPr="0076725E">
        <w:lastRenderedPageBreak/>
        <w:t>PERUSTELUT</w:t>
      </w:r>
      <w:bookmarkEnd w:id="1"/>
    </w:p>
    <w:p w14:paraId="66ED5D53" w14:textId="77777777" w:rsidR="0093435E" w:rsidRPr="0076725E" w:rsidRDefault="0093435E" w:rsidP="0093435E">
      <w:r w:rsidRPr="0076725E">
        <w:t>Asetuksen 2019/1896 voimaantulo laajensi merkittävästi Euroopan raja- ja merivartioviraston (Frontex) toimeksiantoa, myös sen mahdollisuuksia työskennellä kolmansissa maissa. Asetuksessa virastolle annetaan mahdollisuus lähettää henkilöstöä operatiivisiin toimiin sellaisen kolmannen maan alueelle, jolla ei ole yhteisiä rajoja minkään EU:n jäsenvaltion kanssa, siinä määrin kuin se on tarpeen asetuksessa määritettyjen viraston tehtävien hoitamiseksi.</w:t>
      </w:r>
    </w:p>
    <w:p w14:paraId="3B2219CF" w14:textId="77777777" w:rsidR="0093435E" w:rsidRPr="0076725E" w:rsidRDefault="0093435E" w:rsidP="0093435E"/>
    <w:p w14:paraId="2645002E" w14:textId="619AFC33" w:rsidR="0093435E" w:rsidRPr="0076725E" w:rsidRDefault="0093435E" w:rsidP="0093435E">
      <w:r w:rsidRPr="0076725E">
        <w:t>Jotta voidaan luoda oikeudellinen kehys toimeenpanevien tehtävien suorittamiseksi kolmannen maan alueella, on tehtävä niin sanottu asemaa koskeva sopimus. Kyse on EU:n ja kolmannen maan välisestä kansainvälisestä sopimuksesta, joka perustuu SEUT-sopimukseen 218 artiklaan. Menettelyjen osalta neuvosto valtuuttaa Euroopan komission neuvottelemaan tällaisesta sopimuksesta EU:n puolesta, ja kyseisen artiklan mukaan Euroopan komissio tiedottaa Euroopan parlamentille täysimääräisesti ja välittömästi menettelyn kaikissa vaiheissa. Kuten asetuksen (EU) 2019/1896 54 artiklan 5 kohdassa todetaan, Euroopan komissio neuvottelee tiedonannossa COM(2021)0829 esitetyn niin sanotun asemaa koskevan sopimuksen mallin pohjalta. Kun neuvottelut on saatu päätökseen, Euroopan parlamenttia olisi pyydettävä äänestämään neuvotellusta sopimuksesta ja antamaan hyväksyntänsä, jotta se voi tulla voim</w:t>
      </w:r>
      <w:r w:rsidR="00706D85" w:rsidRPr="0076725E">
        <w:t>aan.</w:t>
      </w:r>
    </w:p>
    <w:p w14:paraId="4024A05B" w14:textId="77777777" w:rsidR="0093435E" w:rsidRPr="0076725E" w:rsidRDefault="0093435E" w:rsidP="0093435E"/>
    <w:p w14:paraId="58288D03" w14:textId="77777777" w:rsidR="0093435E" w:rsidRPr="0076725E" w:rsidRDefault="0093435E" w:rsidP="0093435E">
      <w:r w:rsidRPr="0076725E">
        <w:t>Heinäkuun 4. päivänä annetulla neuvoston päätöksellä (EU) 2022/1168 komissio valtuutettiin neuvottelemaan Mauritanian islamilaisen tasavallan kanssa asemaa koskevasta sopimuksesta Frontexin Mauritanian alueella toteuttamista operatiivisista toimista. Päätökseen oli liitetty neuvotteluohjeet, joissa neuvosto totesi, ettei se näe erityisiä syitä poiketa asemaa koskevan sopimuksen mallista, joten komission olisi pyrittävä säilyttämään mallin keskeinen sisältö neuvottelujen aikana. Samanaikaisesti tehtiin päätös neuvottelujen aloittamisesta Senegalin tasavallan kanssa.</w:t>
      </w:r>
    </w:p>
    <w:p w14:paraId="26B690A5" w14:textId="77777777" w:rsidR="0093435E" w:rsidRPr="0076725E" w:rsidRDefault="0093435E" w:rsidP="0093435E"/>
    <w:p w14:paraId="44D7DAA4" w14:textId="77777777" w:rsidR="0093435E" w:rsidRPr="0076725E" w:rsidRDefault="0093435E" w:rsidP="0093435E">
      <w:r w:rsidRPr="0076725E">
        <w:t>Neuvosto painotti 9. helmikuuta 2023 antamissaan päätelmissä poliittista tukeaan Frontexin toimien ulkoistamiselle kehottamalla saattamaan nopeasti päätökseen neuvottelut uusista ja tarkistetuista asemaa koskevista sopimuksista, myös Senegalin ja Mauritanian kanssa.</w:t>
      </w:r>
    </w:p>
    <w:p w14:paraId="27EB911C" w14:textId="77777777" w:rsidR="0093435E" w:rsidRPr="0076725E" w:rsidRDefault="0093435E" w:rsidP="0093435E">
      <w:r w:rsidRPr="0076725E">
        <w:t>Mauritanian kanssa mahdollisesti tehtävä asemaa koskeva sopimus antaisi Frontexille ensimmäistä kertaa toimeenpanovaltuudet sellaisen kolmannen maan alueella, joka ei ole minkään EU:n jäsenvaltion naapurimaa eikä sijaitse maantieteellisesti Euroopassa. Tällä toimenpiteellä olisi olennaisesti erilaiset vaikutukset kuin nykyisten asemaa koskevien sopimusten nojalla toteutetuilla toimilla.</w:t>
      </w:r>
    </w:p>
    <w:p w14:paraId="132A963F" w14:textId="77777777" w:rsidR="0093435E" w:rsidRPr="0076725E" w:rsidRDefault="0093435E" w:rsidP="0093435E"/>
    <w:p w14:paraId="63D2B5C4" w14:textId="77777777" w:rsidR="0093435E" w:rsidRPr="0076725E" w:rsidRDefault="0093435E" w:rsidP="0093435E">
      <w:r w:rsidRPr="0076725E">
        <w:t>Frontexin asemaa koskevien sopimusten nykyiset allekirjoittajamaat pyrkivät liittymään EU:hun lyhyellä aikavälillä, mikä tarkoittaa, että ne mukauttavat parhaillaan oikeudellisia kehyksiään EU:n säännöstöön, myös perusoikeuksien osalta. Lisäksi ne kaikki ovat Euroopan neuvoston jäseniä ja siten Euroopan ihmisoikeussopimuksen sopimuspuolia. Toisin kuin Mauritaniaa, näitä maita sitovat puitteet, jotka auttavat jossain määrin turvaamaan EU:n perusoikeusnormit.</w:t>
      </w:r>
    </w:p>
    <w:p w14:paraId="259419F7" w14:textId="77777777" w:rsidR="0093435E" w:rsidRPr="0076725E" w:rsidRDefault="0093435E" w:rsidP="0093435E"/>
    <w:p w14:paraId="3DB4D293" w14:textId="77777777" w:rsidR="0093435E" w:rsidRPr="0076725E" w:rsidRDefault="0093435E" w:rsidP="0093435E">
      <w:r w:rsidRPr="0076725E">
        <w:t xml:space="preserve">Koska Frontexin asemaa koskevan sopimuksen tekemisellä Euroopan ulkopuolisen kolmannen maan kanssa on merkittäviä seurauksia ja se on ensimmäinen tällainen sopimus, Euroopan parlamentti päätti aloittaa asemaa koskevan sopimuksen neuvotteluprosessin aikana laajemman menettelyn, joka ei kuitenkaan koske melko rajoitettua hyväksyntämenettelyä. </w:t>
      </w:r>
      <w:r w:rsidRPr="0076725E">
        <w:lastRenderedPageBreak/>
        <w:t>Kansalaisvapauksien sekä oikeus- ja sisäasioiden valiokunta, joka vastaa Frontexin valvonnasta, päätti laatia tämän valiokunta-aloitteisen mietinnön jo neuvotteluvaiheessa voidakseen antaa komissiolle neuvotteluprosessia koskevia suosituksia. Ihmisoikeuksien alivaliokunta (DROI) antaa mietinnöstä lausunnon ottaen huomioon asemaa koskevan sopimuksen ulkoisen luonteen ja ihmisoikeusulottuvuuden.</w:t>
      </w:r>
    </w:p>
    <w:p w14:paraId="5CFF33EE" w14:textId="77777777" w:rsidR="0093435E" w:rsidRPr="0076725E" w:rsidRDefault="0093435E" w:rsidP="0093435E"/>
    <w:p w14:paraId="45782C32" w14:textId="77777777" w:rsidR="0093435E" w:rsidRPr="0076725E" w:rsidRDefault="0093435E" w:rsidP="0093435E">
      <w:r w:rsidRPr="0076725E">
        <w:t>Menettelyjen osalta esittelijä kutsui koolle kaksi varjoesittelijän kokousta, joissa keskeisiä sidosryhmiä pyydettiin esittämään näkemyksensä asiasta. Ensimmäiseen kokoukseen osallistui neuvotteluelimenä toimiva Euroopan komissio sekä kaksi tutkijaa, joilla on asiantuntemusta ihmisoikeuksista ja kansainvälisestä oikeudesta. Toiseen kokoukseen osallistuivat Frontexin pääjohtaja ja perusoikeusvastaavan edustaja. Myös Mauritanian viranomaiset kutsuttiin, mutta ne eivät osallistuneet.</w:t>
      </w:r>
    </w:p>
    <w:p w14:paraId="2E4441DF" w14:textId="77777777" w:rsidR="0093435E" w:rsidRPr="0076725E" w:rsidRDefault="0093435E" w:rsidP="0093435E"/>
    <w:p w14:paraId="0B9FDB56" w14:textId="77777777" w:rsidR="0093435E" w:rsidRPr="0076725E" w:rsidRDefault="0093435E" w:rsidP="0093435E">
      <w:pPr>
        <w:jc w:val="center"/>
        <w:rPr>
          <w:b/>
        </w:rPr>
      </w:pPr>
      <w:r w:rsidRPr="0076725E">
        <w:rPr>
          <w:b/>
        </w:rPr>
        <w:t>Esittelijän kanta ja havainnot</w:t>
      </w:r>
    </w:p>
    <w:p w14:paraId="0EAE251F" w14:textId="77777777" w:rsidR="0093435E" w:rsidRPr="0076725E" w:rsidRDefault="0093435E" w:rsidP="0093435E"/>
    <w:p w14:paraId="49D2D68D" w14:textId="77777777" w:rsidR="0093435E" w:rsidRPr="0076725E" w:rsidRDefault="0093435E" w:rsidP="0093435E">
      <w:r w:rsidRPr="0076725E">
        <w:t>Mietintöluonnoksessa hahmotellaan useita asemaa koskevan sopimuksen malliin liittyviä näkökohtia, jotka saattavat aiheuttaa vastuuvelvollisuuden puutteita, jos Mauritanian kanssa tehdään sopimus tältä pohjalta. Esittelijä katsoo, että mallisopimuksen koskemattomuutta koskevat määräykset ovat liian laajoja, mikä aiheuttaa merkittävän rankaisemattomuuteen liittyvän riskin. Se, ettei pysyvän joukon jäseniä voida asettaa syytteeseen heidän kotijäsenvaltiossaan, on myös rankaisemattomuutta lisäävä tekijä. Vaikka pääjohtajalla olisi mahdollisuus poistaa yksittäisten henkilöstön jäsenten koskemattomuus asemaa koskevan sopimuksen mallin nojalla, esittelijä katsoo, että tämä menettely ei riitä korvaamaan oikeudellisia syytetoimia, koska riippumattoman ulkopuolisen elimen olisi huolehdittava menettelystä sen objektiivisuuden ja puolueettomuuden takaamiseksi.</w:t>
      </w:r>
    </w:p>
    <w:p w14:paraId="387DB338" w14:textId="77777777" w:rsidR="0093435E" w:rsidRPr="0076725E" w:rsidRDefault="0093435E" w:rsidP="0093435E"/>
    <w:p w14:paraId="49513692" w14:textId="200C5C36" w:rsidR="0093435E" w:rsidRPr="0076725E" w:rsidRDefault="0093435E" w:rsidP="0093435E">
      <w:r w:rsidRPr="0076725E">
        <w:t>Lisäksi esittelijä katsoo, että periaatteena olisi oltava, että koskemattomuus myönnetään vain suurta varovaisuutta ja oikeasuhteisuutta noudattaen, kun otetaan huomioon sen laajat vaikutukset maan suvereniteettiin ja maan mahdollisuuksiin saattaa henkilöt vastuuseen sen alueella toteutetuista toimista. Esittelijä katsoo, että koskemattomuus on tarpeeton ja suhteeton rajaturvallisuustehtävien hoitamisen kannalta. Kun otetaan huomioon mallisopimuksen määräykset virka-aseiden kantamisesta ja voimankäytöstä, on erityisen tärkeää varmistaa luotettava</w:t>
      </w:r>
      <w:r w:rsidR="00706D85" w:rsidRPr="0076725E">
        <w:t>t vastuuvelvollisuusmekanismit.</w:t>
      </w:r>
    </w:p>
    <w:p w14:paraId="4BA766F7" w14:textId="77777777" w:rsidR="0093435E" w:rsidRPr="0076725E" w:rsidRDefault="0093435E" w:rsidP="0093435E"/>
    <w:p w14:paraId="7025E918" w14:textId="779D0AF5" w:rsidR="0093435E" w:rsidRPr="0076725E" w:rsidRDefault="0093435E" w:rsidP="0093435E">
      <w:r w:rsidRPr="0076725E">
        <w:t>Lisäksi mallisopimuksessa määrätään komentorakenteesta, jossa Mauritanian henkilöstön jäsenet antavat ohjeita Frontexin lähetetylle henkilöstölle. Tämä luo oikeudellisen aukon, joka herättää epävarmuutta viraston oikeudellisesta vastuuvelvollisuudesta sen henkilöstön yhteisoperaatioissa toteuttamien toimien osalta, koska virasto ei varsinaisesti valvoisi lähetettyjä työntekijöitä. Tämä on erityisen ongelmallista, kun otetaan huomioon Mauritanian viranomaisia ja Frontexia sitovat erilaiset oikeudelliset kehykset. Esittelijä katsoo, että komissio ja Frontex eivät ole käsitelleet tätä kysymystä</w:t>
      </w:r>
      <w:r w:rsidR="00706D85" w:rsidRPr="0076725E">
        <w:t xml:space="preserve"> riittävästi menettelyn aikana.</w:t>
      </w:r>
    </w:p>
    <w:p w14:paraId="796C35FA" w14:textId="77777777" w:rsidR="0093435E" w:rsidRPr="0076725E" w:rsidRDefault="0093435E" w:rsidP="0093435E"/>
    <w:p w14:paraId="475FA631" w14:textId="77777777" w:rsidR="0093435E" w:rsidRPr="0076725E" w:rsidRDefault="0093435E" w:rsidP="0093435E">
      <w:r w:rsidRPr="0076725E">
        <w:t>Toinen mallisopimuksen puute liittyy siihen, että ulkoiset mahdollisuudet tehdä kanteluja ovat rajalliset, erityisesti siksi, että EU:n ulkopuolisten maiden kansalaisilla ei ole mahdollisuutta tehdä kanteluja EU:n oikeusasiamiehelle ja Euroopan unionin tuomioistuimella on rajallinen toimivalta ulkoisten toimien suhteen. Näin ollen virasto ja komissio selvittävät, miten näitä mahdollisuuksia voitaisiin laajentaa, mahdollisesti yhdessä Euroopan unionin perusoikeusviraston ja EU:n oikeusasiamiehen kanssa.</w:t>
      </w:r>
    </w:p>
    <w:p w14:paraId="3B776EB5" w14:textId="77777777" w:rsidR="0093435E" w:rsidRPr="0076725E" w:rsidRDefault="0093435E" w:rsidP="0093435E"/>
    <w:p w14:paraId="6FDEE57A" w14:textId="650B9E46" w:rsidR="0093435E" w:rsidRPr="0076725E" w:rsidRDefault="0093435E" w:rsidP="00706D85">
      <w:pPr>
        <w:widowControl/>
      </w:pPr>
      <w:r w:rsidRPr="0076725E">
        <w:t xml:space="preserve">Tätä taustaa vasten esittelijä suosittelee, että komissio puuttuu vakavasti edellä mainittuihin </w:t>
      </w:r>
      <w:r w:rsidRPr="0076725E">
        <w:lastRenderedPageBreak/>
        <w:t>puutteisiin neuvottelujen aikana ennen kuin se pyytää Euroopan parlamentin hyväksyntää asemaa koskevalle sopimukselle. Lisäksi esittelijä suosittelee, että komissio tekee viipymättä perusoikeuksia koskevan vaikutusten ennakkoarvioinnin, jotta arvioinnin tulokset voidaan ottaa huomioon. Tämän jälkeen komission olisi toteutettava riippumatonta seurantaa, jos asemaa koskevan sopimuksen perusteella tehdään varsinaista yhteistyötä, toukokuussa 2021 hyväksytyssä parlamentin mietinnössä ihmisoikeuksien suojelusta ja EU:n ulkoisesta muuttoliikepolitiikasta annetun suosituksen mukaisesti.</w:t>
      </w:r>
    </w:p>
    <w:p w14:paraId="55165D59" w14:textId="77777777" w:rsidR="0093435E" w:rsidRPr="0076725E" w:rsidRDefault="0093435E" w:rsidP="0093435E">
      <w:r w:rsidRPr="0076725E">
        <w:t xml:space="preserve"> </w:t>
      </w:r>
    </w:p>
    <w:p w14:paraId="56080C0D" w14:textId="77777777" w:rsidR="0093435E" w:rsidRPr="0076725E" w:rsidRDefault="0093435E" w:rsidP="0093435E">
      <w:r w:rsidRPr="0076725E">
        <w:t>Oikeudellisten puutteiden lisäksi esittelijä totesi, että Mauritanian perusoikeustilanne on huolenaihe, jos Frontexin henkilöstöä lähetetään sen alueelle. Kun turvapaikkajärjestelmää ei ole, Yhdistyneiden kansakuntien pakolaisasiain päävaltuutettu (UNHCR) määrittää oikeuden turvapaikkaan. Viranomaiset kuitenkin karkottavat henkilöitä, jotka eivät ole oikeutettuja turvapaikkaan, Maliin ja Senegaliin ilman muita menettelyjä. Lisäksi UNHCR:llä on käytännön ongelmia kiinniotettujen henkilöid</w:t>
      </w:r>
      <w:bookmarkStart w:id="2" w:name="_GoBack"/>
      <w:bookmarkEnd w:id="2"/>
      <w:r w:rsidRPr="0076725E">
        <w:t>en tavoittamisessa, mikä aiheuttaa riskin, että suojelun tarpeessa olevia henkilöitä karkotetaan. Muuttajat ja pakolaiset kohtaavat myös useita muita vakaviin ihmisoikeusloukkauksiin ja huonoon kohteluun liittyviä ongelmia, mukaan lukien palauttamiset, mielivaltaiset pidätykset, kidutus, vangitseminen, (sukupuoleen perustuva) väkivalta, hyväksikäyttö ja EU:ssa laittomien sharia-rangaistusten soveltaminen. Frontexin operaatioihin Mauritaniassa ja Mauritanian viranomaisten komentorakenteiden alaisina sisältyy näin ollen merkittävä riski siitä, että lähetetty henkilöstö joutuu osallisiksi näihin rikkomuksiin.</w:t>
      </w:r>
    </w:p>
    <w:p w14:paraId="0DC33E12" w14:textId="77777777" w:rsidR="0093435E" w:rsidRPr="0076725E" w:rsidRDefault="0093435E" w:rsidP="0093435E"/>
    <w:p w14:paraId="1630E8DF" w14:textId="1A1D095F" w:rsidR="0093435E" w:rsidRPr="0076725E" w:rsidRDefault="0093435E" w:rsidP="0093435E">
      <w:r w:rsidRPr="0076725E">
        <w:t>Esittelijä suosittelee, että Frontex ottaa perusteellisesti huomioon parlamentin suositukset ja tekee tiivistä yhteistyötä perusoikeusvastaavan kanssa mietinnössä yksilöityjen ongelmien ratkaisemiseksi ja sen varmistamiseksi, että se noudattaa perusoikeuksia koskevia velvoitteitaan. Esittelijä myös kehottaa painokkaasti virastoa ja perusoikeusvastaavaa arvioimaan vakavasti Frontexin toimeenpanovaltuuksien toteutettavuutta Mauritanian alueella siten, että se täyttäisi samalla täysin unionin lainsäädännössä vahvistetut perusoi</w:t>
      </w:r>
      <w:r w:rsidR="00706D85" w:rsidRPr="0076725E">
        <w:t>keuksia koskevat velvoitteensa.</w:t>
      </w:r>
    </w:p>
    <w:p w14:paraId="6D626C8E" w14:textId="77777777" w:rsidR="00947C9A" w:rsidRPr="0076725E" w:rsidRDefault="00947C9A" w:rsidP="00FB6B71">
      <w:pPr>
        <w:pStyle w:val="NormalHanging12a"/>
        <w:ind w:left="0" w:firstLine="0"/>
      </w:pPr>
    </w:p>
    <w:sectPr w:rsidR="00947C9A" w:rsidRPr="0076725E" w:rsidSect="00FB6B7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7C8088" w14:textId="77777777" w:rsidR="00D41739" w:rsidRPr="00B2685B" w:rsidRDefault="00D41739">
      <w:r w:rsidRPr="00B2685B">
        <w:separator/>
      </w:r>
    </w:p>
  </w:endnote>
  <w:endnote w:type="continuationSeparator" w:id="0">
    <w:p w14:paraId="737E624C" w14:textId="77777777" w:rsidR="00D41739" w:rsidRPr="00B2685B" w:rsidRDefault="00D41739">
      <w:r w:rsidRPr="00B268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8A52D" w14:textId="6322269C" w:rsidR="00B2685B" w:rsidRPr="00B2685B" w:rsidRDefault="00B2685B" w:rsidP="00B2685B">
    <w:pPr>
      <w:pStyle w:val="EPFooter"/>
    </w:pPr>
    <w:r w:rsidRPr="00B2685B">
      <w:t>PE</w:t>
    </w:r>
    <w:r w:rsidRPr="00B2685B">
      <w:rPr>
        <w:rStyle w:val="HideTWBExt"/>
      </w:rPr>
      <w:t>&lt;NoPE&gt;</w:t>
    </w:r>
    <w:r w:rsidRPr="00B2685B">
      <w:t>749.932</w:t>
    </w:r>
    <w:r w:rsidRPr="00B2685B">
      <w:rPr>
        <w:rStyle w:val="HideTWBExt"/>
      </w:rPr>
      <w:t>&lt;/NoPE&gt;&lt;Version&gt;</w:t>
    </w:r>
    <w:r w:rsidRPr="00B2685B">
      <w:t>v01-00</w:t>
    </w:r>
    <w:r w:rsidRPr="00B2685B">
      <w:rPr>
        <w:rStyle w:val="HideTWBExt"/>
      </w:rPr>
      <w:t>&lt;/Version&gt;</w:t>
    </w:r>
    <w:r w:rsidRPr="00B2685B">
      <w:tab/>
    </w:r>
    <w:r w:rsidRPr="00B2685B">
      <w:fldChar w:fldCharType="begin"/>
    </w:r>
    <w:r w:rsidRPr="00B2685B">
      <w:instrText xml:space="preserve"> PAGE  \* MERGEFORMAT </w:instrText>
    </w:r>
    <w:r w:rsidRPr="00B2685B">
      <w:fldChar w:fldCharType="separate"/>
    </w:r>
    <w:r w:rsidR="0076725E">
      <w:rPr>
        <w:noProof/>
      </w:rPr>
      <w:t>10</w:t>
    </w:r>
    <w:r w:rsidRPr="00B2685B">
      <w:fldChar w:fldCharType="end"/>
    </w:r>
    <w:r w:rsidRPr="00B2685B">
      <w:t>/</w:t>
    </w:r>
    <w:fldSimple w:instr=" NUMPAGES  \* MERGEFORMAT ">
      <w:r w:rsidR="0076725E">
        <w:rPr>
          <w:noProof/>
        </w:rPr>
        <w:t>10</w:t>
      </w:r>
    </w:fldSimple>
    <w:r w:rsidRPr="00B2685B">
      <w:tab/>
    </w:r>
    <w:r w:rsidRPr="00B2685B">
      <w:rPr>
        <w:rStyle w:val="HideTWBExt"/>
      </w:rPr>
      <w:t>&lt;PathFdR&gt;</w:t>
    </w:r>
    <w:r w:rsidRPr="00B2685B">
      <w:t>PR\1280813FI.docx</w:t>
    </w:r>
    <w:r w:rsidRPr="00B2685B">
      <w:rPr>
        <w:rStyle w:val="HideTWBExt"/>
      </w:rPr>
      <w:t>&lt;/PathFdR&gt;</w:t>
    </w:r>
  </w:p>
  <w:p w14:paraId="42D7DE19" w14:textId="68BC55BF" w:rsidR="00947C9A" w:rsidRPr="00B2685B" w:rsidRDefault="00B2685B" w:rsidP="00B2685B">
    <w:pPr>
      <w:pStyle w:val="EPFooter2"/>
    </w:pPr>
    <w:r w:rsidRPr="00B2685B">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BEAA7" w14:textId="57CF3DC6" w:rsidR="00B2685B" w:rsidRPr="00B2685B" w:rsidRDefault="00B2685B" w:rsidP="00B2685B">
    <w:pPr>
      <w:pStyle w:val="EPFooter"/>
    </w:pPr>
    <w:r w:rsidRPr="00B2685B">
      <w:rPr>
        <w:rStyle w:val="HideTWBExt"/>
      </w:rPr>
      <w:t>&lt;PathFdR&gt;</w:t>
    </w:r>
    <w:r w:rsidRPr="00B2685B">
      <w:t>PR\1280813FI.docx</w:t>
    </w:r>
    <w:r w:rsidRPr="00B2685B">
      <w:rPr>
        <w:rStyle w:val="HideTWBExt"/>
      </w:rPr>
      <w:t>&lt;/PathFdR&gt;</w:t>
    </w:r>
    <w:r w:rsidRPr="00B2685B">
      <w:tab/>
    </w:r>
    <w:r w:rsidRPr="00B2685B">
      <w:fldChar w:fldCharType="begin"/>
    </w:r>
    <w:r w:rsidRPr="00B2685B">
      <w:instrText xml:space="preserve"> PAGE  \* MERGEFORMAT </w:instrText>
    </w:r>
    <w:r w:rsidRPr="00B2685B">
      <w:fldChar w:fldCharType="separate"/>
    </w:r>
    <w:r w:rsidR="0076725E">
      <w:rPr>
        <w:noProof/>
      </w:rPr>
      <w:t>9</w:t>
    </w:r>
    <w:r w:rsidRPr="00B2685B">
      <w:fldChar w:fldCharType="end"/>
    </w:r>
    <w:r w:rsidRPr="00B2685B">
      <w:t>/</w:t>
    </w:r>
    <w:fldSimple w:instr=" NUMPAGES  \* MERGEFORMAT ">
      <w:r w:rsidR="0076725E">
        <w:rPr>
          <w:noProof/>
        </w:rPr>
        <w:t>10</w:t>
      </w:r>
    </w:fldSimple>
    <w:r w:rsidRPr="00B2685B">
      <w:tab/>
      <w:t>PE</w:t>
    </w:r>
    <w:r w:rsidRPr="00B2685B">
      <w:rPr>
        <w:rStyle w:val="HideTWBExt"/>
      </w:rPr>
      <w:t>&lt;NoPE&gt;</w:t>
    </w:r>
    <w:r w:rsidRPr="00B2685B">
      <w:t>749.932</w:t>
    </w:r>
    <w:r w:rsidRPr="00B2685B">
      <w:rPr>
        <w:rStyle w:val="HideTWBExt"/>
      </w:rPr>
      <w:t>&lt;/NoPE&gt;&lt;Version&gt;</w:t>
    </w:r>
    <w:r w:rsidRPr="00B2685B">
      <w:t>v01-00</w:t>
    </w:r>
    <w:r w:rsidRPr="00B2685B">
      <w:rPr>
        <w:rStyle w:val="HideTWBExt"/>
      </w:rPr>
      <w:t>&lt;/Version&gt;</w:t>
    </w:r>
  </w:p>
  <w:p w14:paraId="2A3A81B1" w14:textId="4A68FB57" w:rsidR="00947C9A" w:rsidRPr="00B2685B" w:rsidRDefault="00B2685B" w:rsidP="00B2685B">
    <w:pPr>
      <w:pStyle w:val="EPFooter2"/>
    </w:pPr>
    <w:r w:rsidRPr="00B2685B">
      <w:tab/>
    </w:r>
    <w:r w:rsidRPr="00B2685B">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97F4A" w14:textId="77777777" w:rsidR="00B2685B" w:rsidRPr="00B2685B" w:rsidRDefault="00B2685B" w:rsidP="00B2685B">
    <w:pPr>
      <w:pStyle w:val="EPFooter"/>
    </w:pPr>
    <w:r w:rsidRPr="00B2685B">
      <w:rPr>
        <w:rStyle w:val="HideTWBExt"/>
      </w:rPr>
      <w:t>&lt;PathFdR&gt;</w:t>
    </w:r>
    <w:r w:rsidRPr="00B2685B">
      <w:t>PR\1280813FI.docx</w:t>
    </w:r>
    <w:r w:rsidRPr="00B2685B">
      <w:rPr>
        <w:rStyle w:val="HideTWBExt"/>
      </w:rPr>
      <w:t>&lt;/PathFdR&gt;</w:t>
    </w:r>
    <w:r w:rsidRPr="00B2685B">
      <w:tab/>
    </w:r>
    <w:r w:rsidRPr="00B2685B">
      <w:tab/>
      <w:t>PE</w:t>
    </w:r>
    <w:r w:rsidRPr="00B2685B">
      <w:rPr>
        <w:rStyle w:val="HideTWBExt"/>
      </w:rPr>
      <w:t>&lt;NoPE&gt;</w:t>
    </w:r>
    <w:r w:rsidRPr="00B2685B">
      <w:t>749.932</w:t>
    </w:r>
    <w:r w:rsidRPr="00B2685B">
      <w:rPr>
        <w:rStyle w:val="HideTWBExt"/>
      </w:rPr>
      <w:t>&lt;/NoPE&gt;&lt;Version&gt;</w:t>
    </w:r>
    <w:r w:rsidRPr="00B2685B">
      <w:t>v01-00</w:t>
    </w:r>
    <w:r w:rsidRPr="00B2685B">
      <w:rPr>
        <w:rStyle w:val="HideTWBExt"/>
      </w:rPr>
      <w:t>&lt;/Version&gt;</w:t>
    </w:r>
  </w:p>
  <w:p w14:paraId="2407C988" w14:textId="6DEF45B7" w:rsidR="00947C9A" w:rsidRPr="00B2685B" w:rsidRDefault="00B2685B" w:rsidP="00B2685B">
    <w:pPr>
      <w:pStyle w:val="EPFooter2"/>
    </w:pPr>
    <w:r w:rsidRPr="00B2685B">
      <w:t>FI</w:t>
    </w:r>
    <w:r w:rsidRPr="00B2685B">
      <w:tab/>
    </w:r>
    <w:r w:rsidRPr="00B2685B">
      <w:rPr>
        <w:b w:val="0"/>
        <w:i/>
        <w:color w:val="C0C0C0"/>
        <w:sz w:val="22"/>
      </w:rPr>
      <w:t>Moninaisuudessaan yhtenäinen</w:t>
    </w:r>
    <w:r w:rsidRPr="00B2685B">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0E6551" w14:textId="77777777" w:rsidR="00D41739" w:rsidRPr="00B2685B" w:rsidRDefault="00D41739">
      <w:r w:rsidRPr="00B2685B">
        <w:separator/>
      </w:r>
    </w:p>
  </w:footnote>
  <w:footnote w:type="continuationSeparator" w:id="0">
    <w:p w14:paraId="483AE57E" w14:textId="77777777" w:rsidR="00D41739" w:rsidRPr="00B2685B" w:rsidRDefault="00D41739">
      <w:r w:rsidRPr="00B2685B">
        <w:continuationSeparator/>
      </w:r>
    </w:p>
  </w:footnote>
  <w:footnote w:id="1">
    <w:p w14:paraId="1F73FF8B" w14:textId="386E5815" w:rsidR="00095F8A" w:rsidRPr="00B2685B" w:rsidRDefault="00095F8A">
      <w:pPr>
        <w:pStyle w:val="FootnoteText"/>
      </w:pPr>
      <w:r w:rsidRPr="00B2685B">
        <w:rPr>
          <w:rStyle w:val="FootnoteReference"/>
        </w:rPr>
        <w:footnoteRef/>
      </w:r>
      <w:r w:rsidRPr="00B2685B">
        <w:t xml:space="preserve"> EUVL L 295, 14.11.2019, s. 1.</w:t>
      </w:r>
    </w:p>
  </w:footnote>
  <w:footnote w:id="2">
    <w:p w14:paraId="0C170C97" w14:textId="492779F0" w:rsidR="00095F8A" w:rsidRPr="00B2685B" w:rsidRDefault="00095F8A">
      <w:pPr>
        <w:pStyle w:val="FootnoteText"/>
      </w:pPr>
      <w:r w:rsidRPr="00B2685B">
        <w:rPr>
          <w:rStyle w:val="FootnoteReference"/>
        </w:rPr>
        <w:footnoteRef/>
      </w:r>
      <w:r w:rsidRPr="00B2685B">
        <w:t xml:space="preserve"> EUVL L 181, 7.7.2022, s. 18.</w:t>
      </w:r>
    </w:p>
  </w:footnote>
  <w:footnote w:id="3">
    <w:p w14:paraId="2EC80BB8" w14:textId="30016B6A" w:rsidR="00A74928" w:rsidRPr="00B2685B" w:rsidRDefault="00A74928">
      <w:pPr>
        <w:pStyle w:val="FootnoteText"/>
      </w:pPr>
      <w:r w:rsidRPr="00B2685B">
        <w:rPr>
          <w:rStyle w:val="FootnoteReference"/>
        </w:rPr>
        <w:footnoteRef/>
      </w:r>
      <w:r w:rsidRPr="00B2685B">
        <w:t xml:space="preserve"> EUVL C 15, 12.1.2022, s. 70.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15A01" w14:textId="77777777" w:rsidR="00706D85" w:rsidRDefault="00706D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012186" w14:textId="77777777" w:rsidR="00706D85" w:rsidRDefault="00706D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FBC6E0" w14:textId="77777777" w:rsidR="00706D85" w:rsidRDefault="00706D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LIBE"/>
    <w:docVar w:name="INSTMNU" w:val=" 3"/>
    <w:docVar w:name="LastEditedSection" w:val=" 1"/>
    <w:docVar w:name="strDocTypeID" w:val="PR_INI_AgreementRecomm"/>
    <w:docVar w:name="strSubDir" w:val="1280"/>
    <w:docVar w:name="TXTLANGUE" w:val="EN"/>
    <w:docVar w:name="TXTLANGUEMIN" w:val="en"/>
    <w:docVar w:name="TXTNRINI" w:val="2023/2087"/>
    <w:docVar w:name="TXTNRPE" w:val="749.932"/>
    <w:docVar w:name="TXTPEorAP" w:val="PE"/>
    <w:docVar w:name="TXTROUTE" w:val="PR\1280813EN.docx"/>
    <w:docVar w:name="TXTTITLE" w:val="Report on the ongoing negotiations on a status agreement on operational activities carried out by the European Border and Coast Guard Agency (Frontex) in Mauritania"/>
    <w:docVar w:name="TXTVERSION" w:val="01-00"/>
  </w:docVars>
  <w:rsids>
    <w:rsidRoot w:val="00D41739"/>
    <w:rsid w:val="00031CC8"/>
    <w:rsid w:val="00036D79"/>
    <w:rsid w:val="00095F8A"/>
    <w:rsid w:val="000A141F"/>
    <w:rsid w:val="000B6FA6"/>
    <w:rsid w:val="00134775"/>
    <w:rsid w:val="0016751B"/>
    <w:rsid w:val="001905C3"/>
    <w:rsid w:val="001A1333"/>
    <w:rsid w:val="001B67B1"/>
    <w:rsid w:val="00200F55"/>
    <w:rsid w:val="00207B72"/>
    <w:rsid w:val="00214DAC"/>
    <w:rsid w:val="00216C66"/>
    <w:rsid w:val="002240FC"/>
    <w:rsid w:val="00240F30"/>
    <w:rsid w:val="002463A6"/>
    <w:rsid w:val="002A598E"/>
    <w:rsid w:val="00317139"/>
    <w:rsid w:val="00377C09"/>
    <w:rsid w:val="003C52CB"/>
    <w:rsid w:val="003F44E1"/>
    <w:rsid w:val="00407354"/>
    <w:rsid w:val="004347F9"/>
    <w:rsid w:val="00444E66"/>
    <w:rsid w:val="00457B89"/>
    <w:rsid w:val="00474B48"/>
    <w:rsid w:val="004910EC"/>
    <w:rsid w:val="004E76AB"/>
    <w:rsid w:val="004F41A6"/>
    <w:rsid w:val="00621556"/>
    <w:rsid w:val="006226E2"/>
    <w:rsid w:val="0062375E"/>
    <w:rsid w:val="00644892"/>
    <w:rsid w:val="00652B12"/>
    <w:rsid w:val="006579C5"/>
    <w:rsid w:val="00670449"/>
    <w:rsid w:val="00672D03"/>
    <w:rsid w:val="006A0DB5"/>
    <w:rsid w:val="006A52B1"/>
    <w:rsid w:val="006C31F7"/>
    <w:rsid w:val="006C3F36"/>
    <w:rsid w:val="006C6B69"/>
    <w:rsid w:val="006F3478"/>
    <w:rsid w:val="007014E3"/>
    <w:rsid w:val="00706D85"/>
    <w:rsid w:val="00730B0E"/>
    <w:rsid w:val="00744B97"/>
    <w:rsid w:val="007620FD"/>
    <w:rsid w:val="0076517E"/>
    <w:rsid w:val="0076725E"/>
    <w:rsid w:val="0077604A"/>
    <w:rsid w:val="007911D7"/>
    <w:rsid w:val="007A48F8"/>
    <w:rsid w:val="007D1BAE"/>
    <w:rsid w:val="00801CCD"/>
    <w:rsid w:val="00802E5E"/>
    <w:rsid w:val="0080500C"/>
    <w:rsid w:val="008651A9"/>
    <w:rsid w:val="00866F16"/>
    <w:rsid w:val="008A4215"/>
    <w:rsid w:val="008B2CF3"/>
    <w:rsid w:val="0093435E"/>
    <w:rsid w:val="009404CE"/>
    <w:rsid w:val="00947C9A"/>
    <w:rsid w:val="00951DE4"/>
    <w:rsid w:val="00974C90"/>
    <w:rsid w:val="00981786"/>
    <w:rsid w:val="00A0669A"/>
    <w:rsid w:val="00A42184"/>
    <w:rsid w:val="00A56A46"/>
    <w:rsid w:val="00A64C51"/>
    <w:rsid w:val="00A74928"/>
    <w:rsid w:val="00A92A0E"/>
    <w:rsid w:val="00AC2672"/>
    <w:rsid w:val="00B00557"/>
    <w:rsid w:val="00B2685B"/>
    <w:rsid w:val="00B42CB4"/>
    <w:rsid w:val="00B500DA"/>
    <w:rsid w:val="00B53A14"/>
    <w:rsid w:val="00B57CA0"/>
    <w:rsid w:val="00B67F16"/>
    <w:rsid w:val="00B763C5"/>
    <w:rsid w:val="00B9292E"/>
    <w:rsid w:val="00B92C57"/>
    <w:rsid w:val="00BB0B89"/>
    <w:rsid w:val="00BB6173"/>
    <w:rsid w:val="00BC0659"/>
    <w:rsid w:val="00BC0A7D"/>
    <w:rsid w:val="00BC7AC8"/>
    <w:rsid w:val="00BE0712"/>
    <w:rsid w:val="00C144A2"/>
    <w:rsid w:val="00C20A75"/>
    <w:rsid w:val="00C5701D"/>
    <w:rsid w:val="00CC4F66"/>
    <w:rsid w:val="00CF442C"/>
    <w:rsid w:val="00D20779"/>
    <w:rsid w:val="00D2291E"/>
    <w:rsid w:val="00D40E29"/>
    <w:rsid w:val="00D41739"/>
    <w:rsid w:val="00D60730"/>
    <w:rsid w:val="00D70BF8"/>
    <w:rsid w:val="00D773EF"/>
    <w:rsid w:val="00DB6A2A"/>
    <w:rsid w:val="00DC236B"/>
    <w:rsid w:val="00DD75AD"/>
    <w:rsid w:val="00E0071B"/>
    <w:rsid w:val="00E42BA9"/>
    <w:rsid w:val="00E523D9"/>
    <w:rsid w:val="00E72378"/>
    <w:rsid w:val="00E77E00"/>
    <w:rsid w:val="00E82AA2"/>
    <w:rsid w:val="00ED204F"/>
    <w:rsid w:val="00ED341B"/>
    <w:rsid w:val="00ED4DB7"/>
    <w:rsid w:val="00EE0991"/>
    <w:rsid w:val="00EE4436"/>
    <w:rsid w:val="00F16A73"/>
    <w:rsid w:val="00F472C5"/>
    <w:rsid w:val="00F60D66"/>
    <w:rsid w:val="00F73FD4"/>
    <w:rsid w:val="00F87CD4"/>
    <w:rsid w:val="00FA1A9D"/>
    <w:rsid w:val="00FB6B7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859425"/>
  <w15:chartTrackingRefBased/>
  <w15:docId w15:val="{3CC2FA62-908E-439D-BDB1-B3D0A7C90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2BA9"/>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66F16"/>
    <w:pPr>
      <w:spacing w:before="480" w:after="240"/>
    </w:pPr>
  </w:style>
  <w:style w:type="paragraph" w:styleId="TOC1">
    <w:name w:val="toc 1"/>
    <w:basedOn w:val="Normal"/>
    <w:next w:val="Normal"/>
    <w:autoRedefine/>
    <w:uiPriority w:val="39"/>
    <w:rsid w:val="006226E2"/>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rsid w:val="00ED341B"/>
    <w:pPr>
      <w:spacing w:after="240"/>
      <w:ind w:left="567" w:hanging="567"/>
    </w:pPr>
  </w:style>
  <w:style w:type="paragraph" w:customStyle="1" w:styleId="EPName">
    <w:name w:val="EPName"/>
    <w:basedOn w:val="Normal"/>
    <w:rsid w:val="00B9292E"/>
    <w:pPr>
      <w:spacing w:before="80" w:after="80"/>
    </w:pPr>
    <w:rPr>
      <w:rFonts w:ascii="Arial Narrow" w:hAnsi="Arial Narrow" w:cs="Arial"/>
      <w:b/>
      <w:sz w:val="32"/>
      <w:szCs w:val="22"/>
    </w:rPr>
  </w:style>
  <w:style w:type="paragraph" w:customStyle="1" w:styleId="CoverNormal24a">
    <w:name w:val="CoverNormal24a"/>
    <w:basedOn w:val="Normal"/>
    <w:rsid w:val="007911D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B6173"/>
    <w:pPr>
      <w:spacing w:before="1080"/>
      <w:jc w:val="right"/>
    </w:pPr>
    <w:rPr>
      <w:rFonts w:ascii="Arial" w:hAnsi="Arial" w:cs="Arial"/>
      <w:b/>
    </w:rPr>
  </w:style>
  <w:style w:type="paragraph" w:customStyle="1" w:styleId="CoverDocType24a">
    <w:name w:val="CoverDocType24a"/>
    <w:basedOn w:val="Normal"/>
    <w:rsid w:val="007911D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0A141F"/>
    <w:pPr>
      <w:tabs>
        <w:tab w:val="center" w:pos="4513"/>
        <w:tab w:val="right" w:pos="9026"/>
      </w:tabs>
    </w:pPr>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table" w:styleId="TableGrid">
    <w:name w:val="Table Grid"/>
    <w:basedOn w:val="TableNormal"/>
    <w:rsid w:val="001675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6751B"/>
    <w:pPr>
      <w:jc w:val="center"/>
    </w:pPr>
    <w:rPr>
      <w:rFonts w:ascii="Arial" w:hAnsi="Arial" w:cs="Arial"/>
      <w:i/>
      <w:sz w:val="22"/>
      <w:szCs w:val="22"/>
    </w:rPr>
  </w:style>
  <w:style w:type="paragraph" w:customStyle="1" w:styleId="LineTop">
    <w:name w:val="LineTop"/>
    <w:basedOn w:val="Normal"/>
    <w:next w:val="Normal"/>
    <w:rsid w:val="0016751B"/>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6751B"/>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B9292E"/>
    <w:pPr>
      <w:spacing w:after="80"/>
    </w:pPr>
    <w:rPr>
      <w:rFonts w:ascii="Arial" w:hAnsi="Arial" w:cs="Arial"/>
      <w:sz w:val="20"/>
      <w:szCs w:val="22"/>
    </w:rPr>
  </w:style>
  <w:style w:type="paragraph" w:customStyle="1" w:styleId="EPLogo">
    <w:name w:val="EPLogo"/>
    <w:basedOn w:val="Normal"/>
    <w:qFormat/>
    <w:rsid w:val="00B9292E"/>
    <w:pPr>
      <w:jc w:val="right"/>
    </w:pPr>
  </w:style>
  <w:style w:type="paragraph" w:customStyle="1" w:styleId="EPFooter">
    <w:name w:val="EPFooter"/>
    <w:basedOn w:val="Normal"/>
    <w:rsid w:val="007911D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0A141F"/>
    <w:rPr>
      <w:sz w:val="24"/>
    </w:rPr>
  </w:style>
  <w:style w:type="paragraph" w:customStyle="1" w:styleId="NormalHangingLeft12a">
    <w:name w:val="NormalHangingLeft12a"/>
    <w:basedOn w:val="Normal"/>
    <w:rsid w:val="001A1333"/>
    <w:pPr>
      <w:spacing w:after="240"/>
      <w:ind w:left="1134" w:hanging="567"/>
    </w:pPr>
  </w:style>
  <w:style w:type="paragraph" w:styleId="Footer">
    <w:name w:val="footer"/>
    <w:basedOn w:val="Normal"/>
    <w:link w:val="FooterChar"/>
    <w:semiHidden/>
    <w:rsid w:val="00E72378"/>
    <w:pPr>
      <w:tabs>
        <w:tab w:val="center" w:pos="4513"/>
        <w:tab w:val="right" w:pos="9026"/>
      </w:tabs>
    </w:pPr>
  </w:style>
  <w:style w:type="character" w:customStyle="1" w:styleId="FooterChar">
    <w:name w:val="Footer Char"/>
    <w:basedOn w:val="DefaultParagraphFont"/>
    <w:link w:val="Footer"/>
    <w:semiHidden/>
    <w:rsid w:val="00E72378"/>
    <w:rPr>
      <w:sz w:val="24"/>
    </w:rPr>
  </w:style>
  <w:style w:type="paragraph" w:styleId="BalloonText">
    <w:name w:val="Balloon Text"/>
    <w:basedOn w:val="Normal"/>
    <w:link w:val="BalloonTextChar"/>
    <w:semiHidden/>
    <w:unhideWhenUsed/>
    <w:rsid w:val="00DD75AD"/>
    <w:rPr>
      <w:rFonts w:ascii="Segoe UI" w:hAnsi="Segoe UI" w:cs="Segoe UI"/>
      <w:sz w:val="18"/>
      <w:szCs w:val="18"/>
    </w:rPr>
  </w:style>
  <w:style w:type="character" w:customStyle="1" w:styleId="BalloonTextChar">
    <w:name w:val="Balloon Text Char"/>
    <w:basedOn w:val="DefaultParagraphFont"/>
    <w:link w:val="BalloonText"/>
    <w:semiHidden/>
    <w:rsid w:val="00DD75AD"/>
    <w:rPr>
      <w:rFonts w:ascii="Segoe UI" w:hAnsi="Segoe UI" w:cs="Segoe UI"/>
      <w:sz w:val="18"/>
      <w:szCs w:val="18"/>
    </w:rPr>
  </w:style>
  <w:style w:type="paragraph" w:styleId="NormalWeb">
    <w:name w:val="Normal (Web)"/>
    <w:basedOn w:val="Normal"/>
    <w:uiPriority w:val="99"/>
    <w:unhideWhenUsed/>
    <w:rsid w:val="00D773EF"/>
    <w:pPr>
      <w:widowControl/>
      <w:spacing w:before="100" w:beforeAutospacing="1" w:after="100" w:afterAutospacing="1"/>
    </w:pPr>
    <w:rPr>
      <w:szCs w:val="24"/>
    </w:rPr>
  </w:style>
  <w:style w:type="character" w:styleId="CommentReference">
    <w:name w:val="annotation reference"/>
    <w:basedOn w:val="DefaultParagraphFont"/>
    <w:rsid w:val="007D1BAE"/>
    <w:rPr>
      <w:sz w:val="16"/>
      <w:szCs w:val="16"/>
    </w:rPr>
  </w:style>
  <w:style w:type="paragraph" w:styleId="CommentText">
    <w:name w:val="annotation text"/>
    <w:basedOn w:val="Normal"/>
    <w:link w:val="CommentTextChar"/>
    <w:rsid w:val="007D1BAE"/>
    <w:rPr>
      <w:sz w:val="20"/>
    </w:rPr>
  </w:style>
  <w:style w:type="character" w:customStyle="1" w:styleId="CommentTextChar">
    <w:name w:val="Comment Text Char"/>
    <w:basedOn w:val="DefaultParagraphFont"/>
    <w:link w:val="CommentText"/>
    <w:rsid w:val="007D1BAE"/>
  </w:style>
  <w:style w:type="paragraph" w:styleId="CommentSubject">
    <w:name w:val="annotation subject"/>
    <w:basedOn w:val="CommentText"/>
    <w:next w:val="CommentText"/>
    <w:link w:val="CommentSubjectChar"/>
    <w:semiHidden/>
    <w:unhideWhenUsed/>
    <w:rsid w:val="007D1BAE"/>
    <w:rPr>
      <w:b/>
      <w:bCs/>
    </w:rPr>
  </w:style>
  <w:style w:type="character" w:customStyle="1" w:styleId="CommentSubjectChar">
    <w:name w:val="Comment Subject Char"/>
    <w:basedOn w:val="CommentTextChar"/>
    <w:link w:val="CommentSubject"/>
    <w:semiHidden/>
    <w:rsid w:val="007D1BAE"/>
    <w:rPr>
      <w:b/>
      <w:bCs/>
    </w:rPr>
  </w:style>
  <w:style w:type="paragraph" w:styleId="FootnoteText">
    <w:name w:val="footnote text"/>
    <w:basedOn w:val="Normal"/>
    <w:link w:val="FootnoteTextChar"/>
    <w:rsid w:val="00095F8A"/>
    <w:rPr>
      <w:sz w:val="20"/>
    </w:rPr>
  </w:style>
  <w:style w:type="character" w:customStyle="1" w:styleId="FootnoteTextChar">
    <w:name w:val="Footnote Text Char"/>
    <w:basedOn w:val="DefaultParagraphFont"/>
    <w:link w:val="FootnoteText"/>
    <w:rsid w:val="00095F8A"/>
  </w:style>
  <w:style w:type="character" w:styleId="FootnoteReference">
    <w:name w:val="footnote reference"/>
    <w:basedOn w:val="DefaultParagraphFont"/>
    <w:rsid w:val="00095F8A"/>
    <w:rPr>
      <w:vertAlign w:val="superscript"/>
    </w:rPr>
  </w:style>
  <w:style w:type="character" w:styleId="Hyperlink">
    <w:name w:val="Hyperlink"/>
    <w:basedOn w:val="DefaultParagraphFont"/>
    <w:rsid w:val="00095F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309093">
      <w:bodyDiv w:val="1"/>
      <w:marLeft w:val="0"/>
      <w:marRight w:val="0"/>
      <w:marTop w:val="0"/>
      <w:marBottom w:val="0"/>
      <w:divBdr>
        <w:top w:val="none" w:sz="0" w:space="0" w:color="auto"/>
        <w:left w:val="none" w:sz="0" w:space="0" w:color="auto"/>
        <w:bottom w:val="none" w:sz="0" w:space="0" w:color="auto"/>
        <w:right w:val="none" w:sz="0" w:space="0" w:color="auto"/>
      </w:divBdr>
    </w:div>
    <w:div w:id="834226235">
      <w:bodyDiv w:val="1"/>
      <w:marLeft w:val="0"/>
      <w:marRight w:val="0"/>
      <w:marTop w:val="0"/>
      <w:marBottom w:val="0"/>
      <w:divBdr>
        <w:top w:val="none" w:sz="0" w:space="0" w:color="auto"/>
        <w:left w:val="none" w:sz="0" w:space="0" w:color="auto"/>
        <w:bottom w:val="none" w:sz="0" w:space="0" w:color="auto"/>
        <w:right w:val="none" w:sz="0" w:space="0" w:color="auto"/>
      </w:divBdr>
    </w:div>
    <w:div w:id="1368025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05E442-DFAD-4ADF-9A8B-063EFA448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2215</Words>
  <Characters>18766</Characters>
  <Application>Microsoft Office Word</Application>
  <DocSecurity>0</DocSecurity>
  <Lines>318</Lines>
  <Paragraphs>96</Paragraphs>
  <ScaleCrop>false</ScaleCrop>
  <HeadingPairs>
    <vt:vector size="2" baseType="variant">
      <vt:variant>
        <vt:lpstr>Title</vt:lpstr>
      </vt:variant>
      <vt:variant>
        <vt:i4>1</vt:i4>
      </vt:variant>
    </vt:vector>
  </HeadingPairs>
  <TitlesOfParts>
    <vt:vector size="1" baseType="lpstr">
      <vt:lpstr>PR_INI_AgreementRecomm</vt:lpstr>
    </vt:vector>
  </TitlesOfParts>
  <Company/>
  <LinksUpToDate>false</LinksUpToDate>
  <CharactersWithSpaces>20885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PR_INI_AgreementRecomm</dc:title>
  <dc:subject/>
  <dc:creator>KOVACS-MALYI Krisztina</dc:creator>
  <cp:keywords/>
  <dc:description/>
  <cp:lastModifiedBy>LARM Elina</cp:lastModifiedBy>
  <cp:revision>2</cp:revision>
  <cp:lastPrinted>2023-06-16T09:42:00Z</cp:lastPrinted>
  <dcterms:created xsi:type="dcterms:W3CDTF">2023-06-28T15:11:00Z</dcterms:created>
  <dcterms:modified xsi:type="dcterms:W3CDTF">2023-06-28T15:11:00Z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Created with">
    <vt:lpwstr>9.15.0 Build [20230501]</vt:lpwstr>
  </property>
  <property fmtid="{D5CDD505-2E9C-101B-9397-08002B2CF9AE}" pid="4" name="LastEdited with">
    <vt:lpwstr>9.15.0 Build [20230501]</vt:lpwstr>
  </property>
  <property fmtid="{D5CDD505-2E9C-101B-9397-08002B2CF9AE}" pid="5" name="&lt;FdR&gt;">
    <vt:lpwstr>1280813</vt:lpwstr>
  </property>
  <property fmtid="{D5CDD505-2E9C-101B-9397-08002B2CF9AE}" pid="6" name="&lt;Type&gt;">
    <vt:lpwstr>PR</vt:lpwstr>
  </property>
  <property fmtid="{D5CDD505-2E9C-101B-9397-08002B2CF9AE}" pid="7" name="&lt;ModelCod&gt;">
    <vt:lpwstr>\\eiciBRUpr1\pdocep$\DocEP\DOCS\General\PR\PR_NonLeg\INI\PR_INI_AgreementRecomm.dotx(17/04/2020 19:28:08)</vt:lpwstr>
  </property>
  <property fmtid="{D5CDD505-2E9C-101B-9397-08002B2CF9AE}" pid="8" name="&lt;ModelTra&gt;">
    <vt:lpwstr>\\eiciBRUpr1\pdocep$\DocEP\TRANSFIL\EN\PR_INI_AgreementRecomm.EN(11/10/2019 10:37:29)</vt:lpwstr>
  </property>
  <property fmtid="{D5CDD505-2E9C-101B-9397-08002B2CF9AE}" pid="9" name="&lt;Model&gt;">
    <vt:lpwstr>PR_INI_AgreementRecomm</vt:lpwstr>
  </property>
  <property fmtid="{D5CDD505-2E9C-101B-9397-08002B2CF9AE}" pid="10" name="FooterPath">
    <vt:lpwstr>PR\1280813FI.docx</vt:lpwstr>
  </property>
  <property fmtid="{D5CDD505-2E9C-101B-9397-08002B2CF9AE}" pid="11" name="PE number">
    <vt:lpwstr>749.932</vt:lpwstr>
  </property>
  <property fmtid="{D5CDD505-2E9C-101B-9397-08002B2CF9AE}" pid="12" name="SendToEpades">
    <vt:lpwstr>OK - 2023/06/14 10:38</vt:lpwstr>
  </property>
  <property fmtid="{D5CDD505-2E9C-101B-9397-08002B2CF9AE}" pid="13" name="Bookout">
    <vt:lpwstr>OK - 2023/06/28 17:11</vt:lpwstr>
  </property>
  <property fmtid="{D5CDD505-2E9C-101B-9397-08002B2CF9AE}" pid="14" name="SDLStudio">
    <vt:lpwstr/>
  </property>
</Properties>
</file>