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42184" w:rsidRPr="004C732E" w14:paraId="04FF2BC4" w14:textId="77777777" w:rsidTr="00C85D0F">
        <w:trPr>
          <w:trHeight w:hRule="exact" w:val="1418"/>
        </w:trPr>
        <w:tc>
          <w:tcPr>
            <w:tcW w:w="6804" w:type="dxa"/>
            <w:shd w:val="clear" w:color="auto" w:fill="auto"/>
            <w:vAlign w:val="center"/>
          </w:tcPr>
          <w:p w14:paraId="2D81BECC" w14:textId="77777777" w:rsidR="00A42184" w:rsidRPr="004C732E" w:rsidRDefault="00D41739" w:rsidP="00C85D0F">
            <w:pPr>
              <w:pStyle w:val="EPName"/>
            </w:pPr>
            <w:r w:rsidRPr="004C732E">
              <w:t>Europos Parlamentas</w:t>
            </w:r>
          </w:p>
          <w:p w14:paraId="65815519" w14:textId="77777777" w:rsidR="00A42184" w:rsidRPr="004C732E" w:rsidRDefault="004910EC" w:rsidP="004910EC">
            <w:pPr>
              <w:pStyle w:val="EPTerm"/>
            </w:pPr>
            <w:r w:rsidRPr="004C732E">
              <w:t>2019-2024</w:t>
            </w:r>
          </w:p>
        </w:tc>
        <w:tc>
          <w:tcPr>
            <w:tcW w:w="2268" w:type="dxa"/>
            <w:shd w:val="clear" w:color="auto" w:fill="auto"/>
          </w:tcPr>
          <w:p w14:paraId="2DAA9ABE" w14:textId="77777777" w:rsidR="00A42184" w:rsidRPr="004C732E" w:rsidRDefault="00A42184" w:rsidP="00C85D0F">
            <w:pPr>
              <w:pStyle w:val="EPLogo"/>
            </w:pPr>
            <w:r w:rsidRPr="004C732E">
              <w:rPr>
                <w:noProof/>
              </w:rPr>
              <w:drawing>
                <wp:inline distT="0" distB="0" distL="0" distR="0" wp14:anchorId="73EB709B" wp14:editId="2A4BCF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EAF48" w14:textId="77777777" w:rsidR="0016751B" w:rsidRPr="004C732E" w:rsidRDefault="0016751B" w:rsidP="0016751B">
      <w:pPr>
        <w:pStyle w:val="LineTop"/>
      </w:pPr>
    </w:p>
    <w:p w14:paraId="1BD73606" w14:textId="77777777" w:rsidR="0016751B" w:rsidRPr="004C732E" w:rsidRDefault="0016751B" w:rsidP="0016751B">
      <w:pPr>
        <w:pStyle w:val="EPBody"/>
      </w:pPr>
      <w:r w:rsidRPr="004C732E">
        <w:rPr>
          <w:rStyle w:val="HideTWBExt"/>
        </w:rPr>
        <w:t>&lt;</w:t>
      </w:r>
      <w:r w:rsidRPr="004C732E">
        <w:rPr>
          <w:rStyle w:val="HideTWBExt"/>
          <w:i w:val="0"/>
        </w:rPr>
        <w:t>Commission</w:t>
      </w:r>
      <w:r w:rsidRPr="004C732E">
        <w:rPr>
          <w:rStyle w:val="HideTWBExt"/>
        </w:rPr>
        <w:t>&gt;</w:t>
      </w:r>
      <w:r w:rsidRPr="004C732E">
        <w:rPr>
          <w:rStyle w:val="HideTWBInt"/>
        </w:rPr>
        <w:t>{LIBE}</w:t>
      </w:r>
      <w:r w:rsidRPr="004C732E">
        <w:t>Piliečių laisvių, teisingumo ir vidaus reikalų komitetas</w:t>
      </w:r>
      <w:r w:rsidRPr="004C732E">
        <w:rPr>
          <w:rStyle w:val="HideTWBExt"/>
        </w:rPr>
        <w:t>&lt;/</w:t>
      </w:r>
      <w:r w:rsidRPr="004C732E">
        <w:rPr>
          <w:rStyle w:val="HideTWBExt"/>
          <w:i w:val="0"/>
        </w:rPr>
        <w:t>Commission</w:t>
      </w:r>
      <w:r w:rsidRPr="004C732E">
        <w:rPr>
          <w:rStyle w:val="HideTWBExt"/>
        </w:rPr>
        <w:t>&gt;</w:t>
      </w:r>
    </w:p>
    <w:p w14:paraId="2A4047FE" w14:textId="77777777" w:rsidR="0016751B" w:rsidRPr="004C732E" w:rsidRDefault="0016751B" w:rsidP="0016751B">
      <w:pPr>
        <w:pStyle w:val="LineBottom"/>
      </w:pPr>
    </w:p>
    <w:p w14:paraId="7F169D82" w14:textId="77777777" w:rsidR="00947C9A" w:rsidRPr="004C732E" w:rsidRDefault="00947C9A">
      <w:pPr>
        <w:pStyle w:val="CoverReference"/>
      </w:pPr>
      <w:r w:rsidRPr="004C732E">
        <w:rPr>
          <w:rStyle w:val="HideTWBExt"/>
          <w:b w:val="0"/>
        </w:rPr>
        <w:t>&lt;RefProc&gt;</w:t>
      </w:r>
      <w:r w:rsidRPr="004C732E">
        <w:t>2023/2087</w:t>
      </w:r>
      <w:r w:rsidRPr="004C732E">
        <w:rPr>
          <w:rStyle w:val="HideTWBExt"/>
          <w:b w:val="0"/>
        </w:rPr>
        <w:t>&lt;/RefProc&gt;&lt;RefTypeProc&gt;</w:t>
      </w:r>
      <w:r w:rsidRPr="004C732E">
        <w:t>(INI)</w:t>
      </w:r>
      <w:r w:rsidRPr="004C732E">
        <w:rPr>
          <w:rStyle w:val="HideTWBExt"/>
          <w:b w:val="0"/>
        </w:rPr>
        <w:t>&lt;/RefTypeProc&gt;</w:t>
      </w:r>
    </w:p>
    <w:p w14:paraId="21A573F2" w14:textId="77777777" w:rsidR="00947C9A" w:rsidRPr="004C732E" w:rsidRDefault="00947C9A">
      <w:pPr>
        <w:pStyle w:val="CoverDate"/>
      </w:pPr>
      <w:r w:rsidRPr="004C732E">
        <w:rPr>
          <w:rStyle w:val="HideTWBExt"/>
        </w:rPr>
        <w:t>&lt;Date&gt;</w:t>
      </w:r>
      <w:r w:rsidRPr="004C732E">
        <w:rPr>
          <w:rStyle w:val="HideTWBInt"/>
        </w:rPr>
        <w:t>{13/06/2023}</w:t>
      </w:r>
      <w:r w:rsidRPr="004C732E">
        <w:t>13.6.2023</w:t>
      </w:r>
      <w:r w:rsidRPr="004C732E">
        <w:rPr>
          <w:rStyle w:val="HideTWBExt"/>
        </w:rPr>
        <w:t>&lt;/Date&gt;</w:t>
      </w:r>
    </w:p>
    <w:p w14:paraId="635DDE28" w14:textId="77777777" w:rsidR="00947C9A" w:rsidRPr="004C732E" w:rsidRDefault="00947C9A">
      <w:pPr>
        <w:pStyle w:val="CoverDocType24a"/>
      </w:pPr>
      <w:r w:rsidRPr="004C732E">
        <w:rPr>
          <w:rStyle w:val="HideTWBExt"/>
          <w:b w:val="0"/>
        </w:rPr>
        <w:t>&lt;TitreType&gt;</w:t>
      </w:r>
      <w:r w:rsidRPr="004C732E">
        <w:t>PRANEŠIMO PROJEKTAS</w:t>
      </w:r>
      <w:r w:rsidRPr="004C732E">
        <w:rPr>
          <w:rStyle w:val="HideTWBExt"/>
          <w:b w:val="0"/>
        </w:rPr>
        <w:t>&lt;/TitreType&gt;</w:t>
      </w:r>
    </w:p>
    <w:p w14:paraId="23209D2B" w14:textId="649DCFE1" w:rsidR="00947C9A" w:rsidRPr="004C732E" w:rsidRDefault="00947C9A">
      <w:pPr>
        <w:pStyle w:val="CoverNormal"/>
      </w:pPr>
      <w:r w:rsidRPr="004C732E">
        <w:rPr>
          <w:rStyle w:val="HideTWBExt"/>
        </w:rPr>
        <w:t>&lt;Titre&gt;</w:t>
      </w:r>
      <w:r w:rsidRPr="004C732E">
        <w:t>dėl Europos Parlamento rekomendacijos dėl Europos Sąjungos ir Mauritanijos Islamo Respublikos susitarimo dėl Europos sienų ir pakrančių apsaugos agentūros (Frontex) Mauritanijos Islamo Respublikoje vykdomos operacinės veiklos statuso</w:t>
      </w:r>
      <w:r w:rsidRPr="004C732E">
        <w:rPr>
          <w:rStyle w:val="HideTWBExt"/>
        </w:rPr>
        <w:t>&lt;/Titre&gt;</w:t>
      </w:r>
    </w:p>
    <w:p w14:paraId="353A3F08" w14:textId="77777777" w:rsidR="00947C9A" w:rsidRPr="004C732E" w:rsidRDefault="00947C9A">
      <w:pPr>
        <w:pStyle w:val="CoverNormal24a"/>
      </w:pPr>
      <w:r w:rsidRPr="004C732E">
        <w:rPr>
          <w:rStyle w:val="HideTWBExt"/>
        </w:rPr>
        <w:t>&lt;DocRef&gt;</w:t>
      </w:r>
      <w:r w:rsidRPr="004C732E">
        <w:t>(2023/2087(INI))</w:t>
      </w:r>
      <w:r w:rsidRPr="004C732E">
        <w:rPr>
          <w:rStyle w:val="HideTWBExt"/>
        </w:rPr>
        <w:t>&lt;/DocRef&gt;</w:t>
      </w:r>
    </w:p>
    <w:p w14:paraId="1690E987" w14:textId="77777777" w:rsidR="00947C9A" w:rsidRPr="004C732E" w:rsidRDefault="00947C9A">
      <w:pPr>
        <w:pStyle w:val="CoverNormal24a"/>
      </w:pPr>
      <w:r w:rsidRPr="004C732E">
        <w:rPr>
          <w:rStyle w:val="HideTWBExt"/>
        </w:rPr>
        <w:t>&lt;Commission&gt;</w:t>
      </w:r>
      <w:r w:rsidRPr="004C732E">
        <w:rPr>
          <w:rStyle w:val="HideTWBInt"/>
        </w:rPr>
        <w:t>{LIBE}</w:t>
      </w:r>
      <w:r w:rsidRPr="004C732E">
        <w:t>Piliečių laisvių, teisingumo ir vidaus reikalų komitetas</w:t>
      </w:r>
      <w:r w:rsidRPr="004C732E">
        <w:rPr>
          <w:rStyle w:val="HideTWBExt"/>
        </w:rPr>
        <w:t>&lt;/Commission&gt;</w:t>
      </w:r>
    </w:p>
    <w:p w14:paraId="505BAECB" w14:textId="77777777" w:rsidR="00947C9A" w:rsidRPr="004C732E" w:rsidRDefault="00D41739">
      <w:pPr>
        <w:pStyle w:val="CoverNormal24a"/>
      </w:pPr>
      <w:r w:rsidRPr="004C732E">
        <w:t xml:space="preserve">Pranešėja: </w:t>
      </w:r>
      <w:r w:rsidRPr="004C732E">
        <w:rPr>
          <w:rStyle w:val="HideTWBExt"/>
        </w:rPr>
        <w:t>&lt;Depute&gt;</w:t>
      </w:r>
      <w:r w:rsidRPr="004C732E">
        <w:t>Tineke Strik</w:t>
      </w:r>
      <w:r w:rsidRPr="004C732E">
        <w:rPr>
          <w:rStyle w:val="HideTWBExt"/>
        </w:rPr>
        <w:t>&lt;/Depute&gt;</w:t>
      </w:r>
    </w:p>
    <w:p w14:paraId="684D77E9" w14:textId="02F168BE" w:rsidR="00D70BF8" w:rsidRPr="004C732E" w:rsidRDefault="00D70BF8" w:rsidP="00D70BF8">
      <w:pPr>
        <w:pStyle w:val="CoverNormal"/>
      </w:pPr>
      <w:r w:rsidRPr="004C732E">
        <w:t>Susijusio komiteto pagal Darbo tvarkos taisyklių</w:t>
      </w:r>
      <w:r w:rsidR="00E26DBD">
        <w:t xml:space="preserve"> 57 straipsnį nuomonės referentas</w:t>
      </w:r>
      <w:r w:rsidRPr="004C732E">
        <w:t>:</w:t>
      </w:r>
    </w:p>
    <w:p w14:paraId="7EFE217F" w14:textId="77777777" w:rsidR="00B763C5" w:rsidRPr="004C732E" w:rsidRDefault="00D70BF8" w:rsidP="00D70BF8">
      <w:pPr>
        <w:pStyle w:val="CoverNormal"/>
      </w:pPr>
      <w:r w:rsidRPr="004C732E">
        <w:t>Jan-Christoph Oetjen, Užsienio reikalų komitetas</w:t>
      </w:r>
    </w:p>
    <w:p w14:paraId="76580F00" w14:textId="77777777" w:rsidR="00947C9A" w:rsidRPr="004C732E" w:rsidRDefault="00947C9A" w:rsidP="00B9292E">
      <w:pPr>
        <w:widowControl/>
        <w:tabs>
          <w:tab w:val="center" w:pos="4677"/>
        </w:tabs>
      </w:pPr>
      <w:r w:rsidRPr="004C732E">
        <w:br w:type="page"/>
      </w:r>
      <w:r w:rsidRPr="004C732E">
        <w:lastRenderedPageBreak/>
        <w:t>PR_INI_AgreementRecomm</w:t>
      </w:r>
    </w:p>
    <w:p w14:paraId="2B447B99" w14:textId="77777777" w:rsidR="00947C9A" w:rsidRPr="004C732E" w:rsidRDefault="00D41739">
      <w:pPr>
        <w:pStyle w:val="TOCHeading"/>
      </w:pPr>
      <w:r w:rsidRPr="004C732E">
        <w:t>TURINYS</w:t>
      </w:r>
    </w:p>
    <w:p w14:paraId="7D465526" w14:textId="77777777" w:rsidR="00947C9A" w:rsidRPr="004C732E" w:rsidRDefault="00D41739">
      <w:pPr>
        <w:pStyle w:val="TOCPage"/>
      </w:pPr>
      <w:r w:rsidRPr="004C732E">
        <w:t>Psl.</w:t>
      </w:r>
    </w:p>
    <w:p w14:paraId="33628191" w14:textId="1FB39143" w:rsidR="00E26DBD" w:rsidRDefault="00947C9A">
      <w:pPr>
        <w:pStyle w:val="TOC1"/>
        <w:tabs>
          <w:tab w:val="right" w:leader="dot" w:pos="9060"/>
        </w:tabs>
        <w:rPr>
          <w:rFonts w:asciiTheme="minorHAnsi" w:eastAsiaTheme="minorEastAsia" w:hAnsiTheme="minorHAnsi" w:cstheme="minorBidi"/>
          <w:noProof/>
          <w:sz w:val="22"/>
          <w:szCs w:val="22"/>
          <w:lang w:val="en-GB"/>
        </w:rPr>
      </w:pPr>
      <w:r w:rsidRPr="004C732E">
        <w:fldChar w:fldCharType="begin"/>
      </w:r>
      <w:r w:rsidRPr="004C732E">
        <w:instrText xml:space="preserve"> TOC \t "PageHeading</w:instrText>
      </w:r>
      <w:r w:rsidR="00F73FD4" w:rsidRPr="004C732E">
        <w:instrText>;</w:instrText>
      </w:r>
      <w:r w:rsidRPr="004C732E">
        <w:instrText xml:space="preserve">1" </w:instrText>
      </w:r>
      <w:r w:rsidRPr="004C732E">
        <w:fldChar w:fldCharType="separate"/>
      </w:r>
      <w:r w:rsidR="00E26DBD">
        <w:rPr>
          <w:noProof/>
        </w:rPr>
        <w:t>PASIŪLYMAS DĖL EUROPOS PARLAMENTO REKOMENDACIJOS</w:t>
      </w:r>
      <w:r w:rsidR="00E26DBD">
        <w:rPr>
          <w:noProof/>
        </w:rPr>
        <w:tab/>
      </w:r>
      <w:r w:rsidR="00E26DBD">
        <w:rPr>
          <w:noProof/>
        </w:rPr>
        <w:fldChar w:fldCharType="begin"/>
      </w:r>
      <w:r w:rsidR="00E26DBD">
        <w:rPr>
          <w:noProof/>
        </w:rPr>
        <w:instrText xml:space="preserve"> PAGEREF _Toc138860042 \h </w:instrText>
      </w:r>
      <w:r w:rsidR="00E26DBD">
        <w:rPr>
          <w:noProof/>
        </w:rPr>
      </w:r>
      <w:r w:rsidR="00E26DBD">
        <w:rPr>
          <w:noProof/>
        </w:rPr>
        <w:fldChar w:fldCharType="separate"/>
      </w:r>
      <w:r w:rsidR="00E26DBD">
        <w:rPr>
          <w:noProof/>
        </w:rPr>
        <w:t>3</w:t>
      </w:r>
      <w:r w:rsidR="00E26DBD">
        <w:rPr>
          <w:noProof/>
        </w:rPr>
        <w:fldChar w:fldCharType="end"/>
      </w:r>
    </w:p>
    <w:p w14:paraId="65116680" w14:textId="7C634D99" w:rsidR="00E26DBD" w:rsidRDefault="00E26DBD">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_Toc138860043 \h </w:instrText>
      </w:r>
      <w:r>
        <w:rPr>
          <w:noProof/>
        </w:rPr>
      </w:r>
      <w:r>
        <w:rPr>
          <w:noProof/>
        </w:rPr>
        <w:fldChar w:fldCharType="separate"/>
      </w:r>
      <w:r>
        <w:rPr>
          <w:noProof/>
        </w:rPr>
        <w:t>8</w:t>
      </w:r>
      <w:r>
        <w:rPr>
          <w:noProof/>
        </w:rPr>
        <w:fldChar w:fldCharType="end"/>
      </w:r>
    </w:p>
    <w:p w14:paraId="47C0916C" w14:textId="3C055389" w:rsidR="00B763C5" w:rsidRPr="004C732E" w:rsidRDefault="00947C9A" w:rsidP="003F44E1">
      <w:r w:rsidRPr="004C732E">
        <w:fldChar w:fldCharType="end"/>
      </w:r>
    </w:p>
    <w:p w14:paraId="4197BCF8" w14:textId="77777777" w:rsidR="00947C9A" w:rsidRPr="004C732E" w:rsidRDefault="00947C9A">
      <w:pPr>
        <w:pStyle w:val="PageHeading"/>
      </w:pPr>
      <w:r w:rsidRPr="004C732E">
        <w:br w:type="page"/>
      </w:r>
      <w:bookmarkStart w:id="0" w:name="_Toc138860042"/>
      <w:r w:rsidRPr="004C732E">
        <w:lastRenderedPageBreak/>
        <w:t>PASIŪLYMAS DĖL EUROPOS PARLAMENTO REKOMENDACIJOS</w:t>
      </w:r>
      <w:bookmarkEnd w:id="0"/>
    </w:p>
    <w:p w14:paraId="75393CAC" w14:textId="153CDD75" w:rsidR="00947C9A" w:rsidRPr="004C732E" w:rsidRDefault="00D70BF8" w:rsidP="00866F16">
      <w:pPr>
        <w:pStyle w:val="NormalBold"/>
      </w:pPr>
      <w:r w:rsidRPr="004C732E">
        <w:t>dėl derybų dėl Europos Sąjungos ir Mauritanijos Islamo Respublikos susitarimo dėl Europos sienų ir pakrančių apsaugos agentūros (Frontex) Mauritanijos Islamo Respublikoje vykdomos operacinės veiklos statuso (2023/2087(INI)</w:t>
      </w:r>
    </w:p>
    <w:p w14:paraId="2FD996BC" w14:textId="77777777" w:rsidR="00947C9A" w:rsidRPr="004C732E" w:rsidRDefault="00D41739">
      <w:pPr>
        <w:pStyle w:val="EPComma"/>
      </w:pPr>
      <w:r w:rsidRPr="004C732E">
        <w:rPr>
          <w:i/>
          <w:iCs/>
        </w:rPr>
        <w:t>Europos Parlamentas</w:t>
      </w:r>
      <w:r w:rsidRPr="004C732E">
        <w:t>,</w:t>
      </w:r>
    </w:p>
    <w:p w14:paraId="497874B3" w14:textId="77777777" w:rsidR="00DB6A2A" w:rsidRPr="004C732E" w:rsidRDefault="001B67B1" w:rsidP="00DB6A2A">
      <w:pPr>
        <w:pStyle w:val="NormalHanging12a"/>
      </w:pPr>
      <w:r w:rsidRPr="004C732E">
        <w:t>–</w:t>
      </w:r>
      <w:r w:rsidRPr="004C732E">
        <w:tab/>
        <w:t>atsižvelgdamas į Sutarties dėl Europos Sąjungos veikimo (SESV) 218 straipsnį,</w:t>
      </w:r>
    </w:p>
    <w:p w14:paraId="2D21DF07" w14:textId="77777777" w:rsidR="00DB6A2A" w:rsidRPr="004C732E" w:rsidRDefault="001B67B1" w:rsidP="00DB6A2A">
      <w:pPr>
        <w:pStyle w:val="NormalHanging12a"/>
      </w:pPr>
      <w:r w:rsidRPr="004C732E">
        <w:t>–</w:t>
      </w:r>
      <w:r w:rsidRPr="004C732E">
        <w:tab/>
        <w:t>atsižvelgdamas į 1948 m. Visuotinę žmogaus teisių deklaraciją,</w:t>
      </w:r>
    </w:p>
    <w:p w14:paraId="0775EDE2" w14:textId="77777777" w:rsidR="00DB6A2A" w:rsidRPr="004C732E" w:rsidRDefault="001B67B1" w:rsidP="00DB6A2A">
      <w:pPr>
        <w:pStyle w:val="NormalHanging12a"/>
      </w:pPr>
      <w:r w:rsidRPr="004C732E">
        <w:t>–</w:t>
      </w:r>
      <w:r w:rsidRPr="004C732E">
        <w:tab/>
        <w:t>atsižvelgdamas į 1951 m. Ženevos konvenciją ir jos papildomą protokolą,</w:t>
      </w:r>
    </w:p>
    <w:p w14:paraId="52339E83" w14:textId="5B088880" w:rsidR="00DB6A2A" w:rsidRPr="004C732E" w:rsidRDefault="001B67B1" w:rsidP="00DB6A2A">
      <w:pPr>
        <w:pStyle w:val="NormalHanging12a"/>
      </w:pPr>
      <w:r w:rsidRPr="004C732E">
        <w:t>–</w:t>
      </w:r>
      <w:r w:rsidRPr="004C732E">
        <w:tab/>
        <w:t>atsižvelgdamas į Jungtinių Tautų jūrų teisės konvencijos dėl avarinės padėties V skyriaus 33 taisyklę: Pareigos ir procedūros,</w:t>
      </w:r>
    </w:p>
    <w:p w14:paraId="2154F643" w14:textId="77777777" w:rsidR="00DB6A2A" w:rsidRPr="004C732E" w:rsidRDefault="001B67B1" w:rsidP="00DB6A2A">
      <w:pPr>
        <w:pStyle w:val="NormalHanging12a"/>
      </w:pPr>
      <w:r w:rsidRPr="004C732E">
        <w:t>–</w:t>
      </w:r>
      <w:r w:rsidRPr="004C732E">
        <w:tab/>
        <w:t>atsižvelgdamas į Tarptautinės jūrų paieškos ir gelbėjimo konvencijos (SAR konvencijos) 5 skyrių dėl veiklos procedūrų,</w:t>
      </w:r>
    </w:p>
    <w:p w14:paraId="537826AE" w14:textId="71697CC6" w:rsidR="00DB6A2A" w:rsidRPr="004C732E" w:rsidRDefault="001B67B1" w:rsidP="00DB6A2A">
      <w:pPr>
        <w:pStyle w:val="NormalHanging12a"/>
      </w:pPr>
      <w:r w:rsidRPr="004C732E">
        <w:t>–</w:t>
      </w:r>
      <w:r w:rsidRPr="004C732E">
        <w:tab/>
        <w:t>atsižvelgdamas į 1974 m. Tarptautinę konvenciją dėl žmogaus gyvybės apsaugos jūroje,</w:t>
      </w:r>
    </w:p>
    <w:p w14:paraId="4370BFD8" w14:textId="3F1FA608" w:rsidR="00DB6A2A" w:rsidRPr="004C732E" w:rsidRDefault="001B67B1" w:rsidP="00DB6A2A">
      <w:pPr>
        <w:pStyle w:val="NormalHanging12a"/>
      </w:pPr>
      <w:r w:rsidRPr="004C732E">
        <w:t>–</w:t>
      </w:r>
      <w:r w:rsidRPr="004C732E">
        <w:tab/>
        <w:t>atsižvelgdamas į 1953 m. rugsėjo 3 d. Žmogaus teisių ir pagrindinių laisvių apsaugos konvenciją (Europos žmogaus teisių konvencija),</w:t>
      </w:r>
    </w:p>
    <w:p w14:paraId="577CAB1E" w14:textId="154EF279" w:rsidR="00DB6A2A" w:rsidRPr="004C732E" w:rsidRDefault="001B67B1" w:rsidP="00DB6A2A">
      <w:pPr>
        <w:pStyle w:val="NormalHanging12a"/>
      </w:pPr>
      <w:r w:rsidRPr="004C732E">
        <w:t>–</w:t>
      </w:r>
      <w:r w:rsidRPr="004C732E">
        <w:tab/>
        <w:t>atsižvelgdamas į Europos Sąjungos pagrindinių teisių chartiją (toliau – Chartija),</w:t>
      </w:r>
    </w:p>
    <w:p w14:paraId="64BD7C15" w14:textId="3C316709" w:rsidR="00DB6A2A" w:rsidRPr="004C732E" w:rsidRDefault="001B67B1" w:rsidP="00DB6A2A">
      <w:pPr>
        <w:pStyle w:val="NormalHanging12a"/>
      </w:pPr>
      <w:r w:rsidRPr="004C732E">
        <w:t>–</w:t>
      </w:r>
      <w:r w:rsidRPr="004C732E">
        <w:tab/>
        <w:t>atsižvelgdamas į SESV, ypač į jos 77 straipsnio 2 dalies b ir d punktus, 79 straipsnio 2 dalies c punktą ir 218 straipsnio 3 ir 4 dalis,</w:t>
      </w:r>
    </w:p>
    <w:p w14:paraId="544E17D5" w14:textId="7E8C3625" w:rsidR="00DB6A2A" w:rsidRPr="004C732E" w:rsidRDefault="001B67B1" w:rsidP="00DB6A2A">
      <w:pPr>
        <w:pStyle w:val="NormalHanging12a"/>
      </w:pPr>
      <w:r w:rsidRPr="004C732E">
        <w:t>–</w:t>
      </w:r>
      <w:r w:rsidRPr="004C732E">
        <w:tab/>
        <w:t>atsižvelgdamas į 2019 m. lapkričio 13 d. Europos Parlamento ir Tarybos reglamentą (ES) 2019/1896 dėl Europos sienų ir pakrančių apsaugos pajėgų, kuriuo panaikinami reglamentai (ES) Nr. 1052/2013 ir (ES) 2016/1624</w:t>
      </w:r>
      <w:r w:rsidR="00095F8A" w:rsidRPr="004C732E">
        <w:rPr>
          <w:rStyle w:val="FootnoteReference"/>
        </w:rPr>
        <w:footnoteReference w:id="1"/>
      </w:r>
      <w:r w:rsidRPr="004C732E">
        <w:t>,</w:t>
      </w:r>
    </w:p>
    <w:p w14:paraId="52F516ED" w14:textId="7FD1A138" w:rsidR="00DB6A2A" w:rsidRPr="004C732E" w:rsidRDefault="001B67B1" w:rsidP="00DB6A2A">
      <w:pPr>
        <w:pStyle w:val="NormalHanging12a"/>
      </w:pPr>
      <w:r w:rsidRPr="004C732E">
        <w:t>–</w:t>
      </w:r>
      <w:r w:rsidRPr="004C732E">
        <w:tab/>
        <w:t>atsižvelgdamas į 2023 m. vasario 9 d. Europos Vadovų Tarybos išvadas,</w:t>
      </w:r>
    </w:p>
    <w:p w14:paraId="1F7D660E" w14:textId="5F4A318D" w:rsidR="00DB6A2A" w:rsidRPr="004C732E" w:rsidRDefault="00DB6A2A" w:rsidP="00DB6A2A">
      <w:pPr>
        <w:pStyle w:val="NormalHanging12a"/>
      </w:pPr>
      <w:r w:rsidRPr="004C732E">
        <w:t>–</w:t>
      </w:r>
      <w:r w:rsidRPr="004C732E">
        <w:tab/>
        <w:t>atsižvelgdamas į 2022 m. liepos 4 d. Tarybos sprendimą (ES) 2022/1168, kuriuo suteikiami įgaliojimai pradėti derybas dėl Europos Sąjungos ir Mauritanijos Islamo Respublikos susitarimo dėl Europos sienų ir pakrančių apsaugos agentūros Mauritanijos Islamo Respublikoje vykdomos operacinės veiklos statuso</w:t>
      </w:r>
      <w:r w:rsidR="00095F8A" w:rsidRPr="004C732E">
        <w:rPr>
          <w:rStyle w:val="FootnoteReference"/>
        </w:rPr>
        <w:footnoteReference w:id="2"/>
      </w:r>
      <w:r w:rsidRPr="004C732E">
        <w:t>,</w:t>
      </w:r>
    </w:p>
    <w:p w14:paraId="28C0E667" w14:textId="79DE9EEF" w:rsidR="00DB6A2A" w:rsidRPr="004C732E" w:rsidRDefault="001B67B1" w:rsidP="00DB6A2A">
      <w:pPr>
        <w:pStyle w:val="NormalHanging12a"/>
      </w:pPr>
      <w:r w:rsidRPr="004C732E">
        <w:t>–</w:t>
      </w:r>
      <w:r w:rsidRPr="004C732E">
        <w:tab/>
        <w:t>atsižvelgdamas į Komisijos 2021 m. gruodžio 21 d. komunikatą dėl susitarimo dėl statuso modelio, kaip nurodoma 2019 m. lapkričio 13 d. Europos Parlamento ir Tarybos reglamente (ES) 2019/1896 dėl Europos sienų ir pakrančių apsaugos pajėgų, kuriuo panaikinami reglamentai (ES) Nr. 1052/2013 ir (ES) 2016/1624, nurodytas tipinis susitarimas dėl statuso“</w:t>
      </w:r>
      <w:r w:rsidR="00E26DBD">
        <w:t>,</w:t>
      </w:r>
    </w:p>
    <w:p w14:paraId="0B53C38E" w14:textId="7503CEA6" w:rsidR="00DB6A2A" w:rsidRPr="004C732E" w:rsidRDefault="00DB6A2A" w:rsidP="00DB6A2A">
      <w:pPr>
        <w:pStyle w:val="NormalHanging12a"/>
      </w:pPr>
      <w:r w:rsidRPr="004C732E">
        <w:lastRenderedPageBreak/>
        <w:t>–</w:t>
      </w:r>
      <w:r w:rsidRPr="004C732E">
        <w:tab/>
        <w:t>atsižvelgdamas į savo 2021 m. gegužės 19 d. rezoliuciją dėl žmogaus teisių apsaugos ir ES išorės migracijos politikos</w:t>
      </w:r>
      <w:r w:rsidR="00A74928" w:rsidRPr="004C732E">
        <w:rPr>
          <w:rStyle w:val="FootnoteReference"/>
        </w:rPr>
        <w:footnoteReference w:id="3"/>
      </w:r>
      <w:r w:rsidRPr="004C732E">
        <w:t>,</w:t>
      </w:r>
    </w:p>
    <w:p w14:paraId="2781D2AA" w14:textId="1DC81224" w:rsidR="00DB6A2A" w:rsidRPr="004C732E" w:rsidRDefault="001B67B1" w:rsidP="00DB6A2A">
      <w:pPr>
        <w:pStyle w:val="NormalHanging12a"/>
      </w:pPr>
      <w:r w:rsidRPr="004C732E">
        <w:t>–</w:t>
      </w:r>
      <w:r w:rsidRPr="004C732E">
        <w:tab/>
        <w:t>atsižvelgdamas į 2021 m. liepos 14 d. Piliečių laisvių, teisingumo ir vidaus reikalų komiteto FRONTEX patikros darbo grupės pranešimą dėl FRONTEX faktų nustatymo tyrimo, susijusio su įtariamais pagrindinių teisių pažeidimais, ir į jame pateiktas rekomendacijas,</w:t>
      </w:r>
    </w:p>
    <w:p w14:paraId="3A7B8073" w14:textId="77777777" w:rsidR="00DB6A2A" w:rsidRPr="004C732E" w:rsidRDefault="001B67B1" w:rsidP="00DB6A2A">
      <w:pPr>
        <w:pStyle w:val="NormalHanging12a"/>
      </w:pPr>
      <w:r w:rsidRPr="004C732E">
        <w:t>–</w:t>
      </w:r>
      <w:r w:rsidRPr="004C732E">
        <w:tab/>
        <w:t>atsižvelgdamas į Darbo tvarkos taisyklių 114 straipsnio 4 dalį ir 54 straipsnį,</w:t>
      </w:r>
    </w:p>
    <w:p w14:paraId="2EFB9A90" w14:textId="77777777" w:rsidR="00DB6A2A" w:rsidRPr="004C732E" w:rsidRDefault="001B67B1" w:rsidP="00DB6A2A">
      <w:pPr>
        <w:pStyle w:val="NormalHanging12a"/>
      </w:pPr>
      <w:r w:rsidRPr="004C732E">
        <w:t>–</w:t>
      </w:r>
      <w:r w:rsidRPr="004C732E">
        <w:tab/>
        <w:t>atsižvelgdamas į Užsienio reikalų komiteto Žmogaus teisių pakomitečio nuomonę,</w:t>
      </w:r>
    </w:p>
    <w:p w14:paraId="0565578A" w14:textId="3BB4A631" w:rsidR="00DB6A2A" w:rsidRPr="004C732E" w:rsidRDefault="001B67B1" w:rsidP="00DB6A2A">
      <w:pPr>
        <w:pStyle w:val="NormalHanging12a"/>
      </w:pPr>
      <w:r w:rsidRPr="004C732E">
        <w:t>–</w:t>
      </w:r>
      <w:r w:rsidRPr="004C732E">
        <w:tab/>
        <w:t>atsižvelgdamas į Piliečių laisvių, teisingumo ir vidaus reikalų komiteto pranešimą (A9-0000/2023),</w:t>
      </w:r>
    </w:p>
    <w:p w14:paraId="1BDBF8B7" w14:textId="21E459AE" w:rsidR="00DB6A2A" w:rsidRPr="004C732E" w:rsidRDefault="001B67B1" w:rsidP="00DB6A2A">
      <w:pPr>
        <w:pStyle w:val="NormalHanging12a"/>
      </w:pPr>
      <w:r w:rsidRPr="004C732E">
        <w:t>A.</w:t>
      </w:r>
      <w:r w:rsidRPr="004C732E">
        <w:tab/>
        <w:t xml:space="preserve">kadangi pagal Reglamento 2019/1896 73 straipsnio 3 dalyje nustatyta, kad aplinkybėmis, kuriomis reikia siųsti valdymo būrius į trečiąją valstybę, kurioje būrių nariai naudosis vykdomaisiais įgaliojimais, Sąjunga ir susijusi trečioji valstybė privalo sudaryti susitarimą dėl statuso su ta trečiąja </w:t>
      </w:r>
      <w:r w:rsidR="00E26DBD">
        <w:t>šalimi pagal SESV 218 straipsnį;</w:t>
      </w:r>
    </w:p>
    <w:p w14:paraId="60E14511" w14:textId="27C9FA8F" w:rsidR="00DB6A2A" w:rsidRPr="004C732E" w:rsidRDefault="001B67B1" w:rsidP="00DB6A2A">
      <w:pPr>
        <w:pStyle w:val="NormalHanging12a"/>
      </w:pPr>
      <w:r w:rsidRPr="004C732E">
        <w:t>B.</w:t>
      </w:r>
      <w:r w:rsidRPr="004C732E">
        <w:tab/>
        <w:t>kadangi pagal Reglamento (ES) 2019/1896 73 straipsnio 2 dalį Agentūra, bendradarbiaudama su trečiųjų šalių valdžios institucijomis, veikia vadovaudamasi Sąjungos išorės veiksmų politika, įskaitant pagrindinių teisių ir asmens duomenų apsaugą, negrąžinimo principą, savavališko sulaikymo draudimą ir kankinimo ir nežmoniško ar žeminančio elgesio arba baudimo draudimą;</w:t>
      </w:r>
    </w:p>
    <w:p w14:paraId="3D238D0B" w14:textId="1FA411A1" w:rsidR="00DB6A2A" w:rsidRPr="004C732E" w:rsidRDefault="001B67B1" w:rsidP="00DB6A2A">
      <w:pPr>
        <w:pStyle w:val="NormalHanging12a"/>
      </w:pPr>
      <w:r w:rsidRPr="004C732E">
        <w:t>C.</w:t>
      </w:r>
      <w:r w:rsidRPr="004C732E">
        <w:tab/>
        <w:t>kadangi pagal Reglamentą (ES) 2019/1896, kuriame Komisija rekomenduoja Tarybai įgalioti ją derėtis dėl susitarimo dėl statuso, ji turėtų įvertinti pagrindinių teisių padėtį, susijusią su sritimis, kurioms taikomas susitarimas dėl statuso; kadangi toks vertinimas dar neatliktas;</w:t>
      </w:r>
    </w:p>
    <w:p w14:paraId="17E6C01B" w14:textId="77777777" w:rsidR="00DB6A2A" w:rsidRPr="004C732E" w:rsidRDefault="001B67B1" w:rsidP="00DB6A2A">
      <w:pPr>
        <w:pStyle w:val="NormalHanging12a"/>
      </w:pPr>
      <w:r w:rsidRPr="004C732E">
        <w:t>D.</w:t>
      </w:r>
      <w:r w:rsidRPr="004C732E">
        <w:tab/>
        <w:t>kadangi pagal Pavyzdinį susitarimą dėl statuso:</w:t>
      </w:r>
    </w:p>
    <w:p w14:paraId="0A648EDF" w14:textId="4B1EA5BF" w:rsidR="00DB6A2A" w:rsidRPr="004C732E" w:rsidRDefault="001B67B1" w:rsidP="00DB6A2A">
      <w:pPr>
        <w:pStyle w:val="NormalHanging12a"/>
        <w:ind w:firstLine="0"/>
      </w:pPr>
      <w:r w:rsidRPr="004C732E">
        <w:t>FRONTEX būrių nariai paprastai trečiosios šalies teritorijoje gali vykdyti užduotis ir naudotis įgaliojimais tik pagal tos šalies sienų valdymo institucijų nurodymus ir joms dalyvaujant ir privalo laikytis trečiosios šalies įstatymų ir kitų teisės aktų, taip pat taikytinos Sąjungos ir tarptautinės teisės; kadangi trečiosios šalies valdžios institucijos būrio nariams privalo duoti tik veiklos planą atitinkančius nurodymus; kadangi tai yra vienintelė veiklos sistema, pagal kurią ES personalas veikia vadovaujant trečiosioms valstybėms;</w:t>
      </w:r>
    </w:p>
    <w:p w14:paraId="4EC9CA4A" w14:textId="56422D26" w:rsidR="00DB6A2A" w:rsidRPr="004C732E" w:rsidRDefault="001B67B1" w:rsidP="00DB6A2A">
      <w:pPr>
        <w:pStyle w:val="NormalHanging12a"/>
        <w:ind w:firstLine="0"/>
      </w:pPr>
      <w:r w:rsidRPr="004C732E">
        <w:t>FRONTEX būrių nariai bet kokiomis aplinkybėmis naudojasi imunitetu nuo trečiosios šalies baudžiamosios jurisdikcijos ir negali būti suimti ar sulaikyti trečiojoje šalyje arba jos valdžios institucijų; kadangi dėl imuniteto atšaukimo sprendžia vykdomasis direktorius arba kilmės valstybė narė, priklausomai nuo būrio nario statuso;</w:t>
      </w:r>
    </w:p>
    <w:p w14:paraId="2E626B73" w14:textId="598A216C" w:rsidR="00DB6A2A" w:rsidRPr="004C732E" w:rsidRDefault="001B67B1" w:rsidP="00DB6A2A">
      <w:pPr>
        <w:pStyle w:val="NormalHanging12a"/>
      </w:pPr>
      <w:r w:rsidRPr="004C732E">
        <w:t>E.</w:t>
      </w:r>
      <w:r w:rsidRPr="004C732E">
        <w:tab/>
        <w:t xml:space="preserve">kadangi Mauritanijoje nėra nacionalinės teisinės prieglobsčio sistemos; kadangi Jungtinių Tautų vyriausiojo pabėgėlių reikalų komisaro biuras (UNHCR) de facto suteikia apsaugą išduodamas pabėgėlio korteles ir sertifikatus, remdamasis </w:t>
      </w:r>
      <w:r w:rsidRPr="004C732E">
        <w:lastRenderedPageBreak/>
        <w:t>memorandumu su valdžios institucijomis; kadangi asmenis, kurie laikomi neatitinkančiais apsaugos reikalavimų, valdžios institucijos struktūriškai deportuoja be papildomos procedūros; kadangi tai apėmė asmenų, kurių atvejų UNHCR neįvertino, deportavimą; kadangi pagal dabartinę Mauritanijos teisinę sistemą neleidžiama veiksmingai apsaugoti moterų ir vaikų arba LGBTIQ+ asmenų; kadangi tos pačios lyties asmenų veikla Mauritanijoje yra neteisėta;</w:t>
      </w:r>
    </w:p>
    <w:p w14:paraId="10C0EA34" w14:textId="6C202F79" w:rsidR="00DB6A2A" w:rsidRPr="004C732E" w:rsidRDefault="001B67B1" w:rsidP="00DB6A2A">
      <w:pPr>
        <w:pStyle w:val="NormalHanging12a"/>
      </w:pPr>
      <w:r w:rsidRPr="004C732E">
        <w:t>F.</w:t>
      </w:r>
      <w:r w:rsidRPr="004C732E">
        <w:tab/>
        <w:t>kadangi Mauritanijoje pabėgėliai ir migrantai nuolat susiduria su sisteminiais ir šiurkščiais žmogaus teisių pažeidimais ir netinkamu elgesiu, pvz., grąžinimu, savavališku areštu ir sulaikymu, (dėl lyties) smurtu, įskaitant kankinimo, išnaudojimo, piktnaudžiavimo kalinimo sąlygomis, turto prievartavimo ir vagysčių atvejus, taip pat piktnaudžiavimą kolektyviniu išsiuntimu;</w:t>
      </w:r>
    </w:p>
    <w:p w14:paraId="53E5950C" w14:textId="70B3B914" w:rsidR="00DB6A2A" w:rsidRPr="004C732E" w:rsidRDefault="001B67B1" w:rsidP="00DB6A2A">
      <w:pPr>
        <w:pStyle w:val="NormalHanging12a"/>
      </w:pPr>
      <w:r w:rsidRPr="004C732E">
        <w:t>G.</w:t>
      </w:r>
      <w:r w:rsidRPr="004C732E">
        <w:tab/>
        <w:t>kadangi Mauritanija oficialiai panaikino vergiją tik 1981 m. ir buvo paskutinė pasaulio šalis; kadangi vergovė yra kriminalinis nusikaltimas tik nuo 2015 m.; kadangi 2022 m. JT specialusis pranešėja padarė išvadą, kad šalis ėmėsi svarbių veiksmų, tačiau tebesitęsianti vergovė ir į vergiją panaši praktika, įskaitant priverstinio darbo praktiką, tebekelia susirūpinimą ir daro poveikį tiek migrantams, tiek Mauritanijos piliečiams;</w:t>
      </w:r>
    </w:p>
    <w:p w14:paraId="2993C421" w14:textId="0D00BD0D" w:rsidR="00DB6A2A" w:rsidRPr="004C732E" w:rsidRDefault="001B67B1" w:rsidP="00DB6A2A">
      <w:pPr>
        <w:pStyle w:val="NormalHanging12a"/>
      </w:pPr>
      <w:r w:rsidRPr="004C732E">
        <w:t>1.</w:t>
      </w:r>
      <w:r w:rsidRPr="004C732E">
        <w:tab/>
        <w:t>reiškia didelį susirūpinimą dėl pagrindinių teisių padėties Mauritanijoje, ypač migrantų ir pabėgėlių, ir mano, kad FRONTEX vykdomosios valdžios dislokavimas Mauritanijoje kelia didelį pavojų prisidėti prie sunkių ir greičiausiai nuolatinių pagrindinių teisių ar įsipareigojimų tarptautinės apsaugos srityje pažeidimų;</w:t>
      </w:r>
    </w:p>
    <w:p w14:paraId="24D7E681" w14:textId="77A92511" w:rsidR="00DB6A2A" w:rsidRPr="004C732E" w:rsidRDefault="001B67B1" w:rsidP="00DB6A2A">
      <w:pPr>
        <w:pStyle w:val="NormalHanging12a"/>
      </w:pPr>
      <w:r w:rsidRPr="004C732E">
        <w:t>2.</w:t>
      </w:r>
      <w:r w:rsidRPr="004C732E">
        <w:tab/>
        <w:t>mano, kad jei pavyzdinis susitarimas dėl statuso nepadės išspręsti pirmiau minėtų problemų, gali atsirasti atskaitomybės spragų trečiosios šalies valdžios institucijų ir (arba) FRONTEX dislokuoto personalo padarytų pagrindinių teisių pažeidimų atveju;</w:t>
      </w:r>
    </w:p>
    <w:p w14:paraId="09B2A567" w14:textId="1E49C6CF" w:rsidR="00DB6A2A" w:rsidRPr="004C732E" w:rsidRDefault="001B67B1" w:rsidP="00DB6A2A">
      <w:pPr>
        <w:pStyle w:val="NormalHanging12a"/>
      </w:pPr>
      <w:r w:rsidRPr="004C732E">
        <w:t>3.</w:t>
      </w:r>
      <w:r w:rsidRPr="004C732E">
        <w:tab/>
        <w:t>Primygtinai ragina Komisiją ir Agentūrą:</w:t>
      </w:r>
    </w:p>
    <w:p w14:paraId="25801F49" w14:textId="77777777" w:rsidR="00DB6A2A" w:rsidRPr="004C732E" w:rsidRDefault="001B67B1" w:rsidP="00DB6A2A">
      <w:pPr>
        <w:pStyle w:val="NormalHanging12a"/>
        <w:rPr>
          <w:b/>
          <w:i/>
        </w:rPr>
      </w:pPr>
      <w:r w:rsidRPr="004C732E">
        <w:rPr>
          <w:b/>
          <w:i/>
        </w:rPr>
        <w:t>3.1 Europos Komisija</w:t>
      </w:r>
    </w:p>
    <w:p w14:paraId="3F3CF635" w14:textId="440A2C7A" w:rsidR="00DB6A2A" w:rsidRPr="004C732E" w:rsidRDefault="001B67B1" w:rsidP="00DB6A2A">
      <w:pPr>
        <w:pStyle w:val="NormalHanging12a"/>
        <w:ind w:left="1134"/>
      </w:pPr>
      <w:r w:rsidRPr="004C732E">
        <w:t>a.</w:t>
      </w:r>
      <w:r w:rsidRPr="004C732E">
        <w:tab/>
        <w:t>įtraukti aiškias apsaugos priemones, pagal kurias dislokuoti pareigūnai galėtų nepaisyti trečiosios šalies valdžios institucijų nurodymų, prieštaraujančių Agentūros pagrindinių teisių įsipareigojimams, kylantiems iš ES ir tarptautinės teisės;</w:t>
      </w:r>
    </w:p>
    <w:p w14:paraId="20BE1C0F" w14:textId="6563B4BD" w:rsidR="00DB6A2A" w:rsidRPr="004C732E" w:rsidRDefault="001B67B1" w:rsidP="00DB6A2A">
      <w:pPr>
        <w:pStyle w:val="NormalHanging12a"/>
        <w:ind w:left="1134"/>
      </w:pPr>
      <w:r w:rsidRPr="004C732E">
        <w:t>b.</w:t>
      </w:r>
      <w:r w:rsidRPr="004C732E">
        <w:tab/>
        <w:t>peržiūrėti dabartinę nuostatą dėl dislokuotų pareigūnų imuniteto nuo baudžiamojo persekiojimo, kurį vykdo nacionalinės institucijos, laikantis proporcingumo principo ir siekiant užtikrinti atitinkamų asmenų teisę į veiksmingą teisinę gynybą;</w:t>
      </w:r>
    </w:p>
    <w:p w14:paraId="384725E5" w14:textId="141C4311" w:rsidR="00DB6A2A" w:rsidRPr="004C732E" w:rsidRDefault="001B67B1" w:rsidP="00DB6A2A">
      <w:pPr>
        <w:pStyle w:val="NormalHanging12a"/>
        <w:ind w:left="1134"/>
      </w:pPr>
      <w:r w:rsidRPr="004C732E">
        <w:t>c.</w:t>
      </w:r>
      <w:r w:rsidRPr="004C732E">
        <w:tab/>
        <w:t>įtvirtinti pakankamus vidaus ir išorės mechanizmus, kad ne ES piliečiai galėtų teikti skundus Agentūrai, atsižvelgiant į ES ombudsmeno rekomendacijas;</w:t>
      </w:r>
    </w:p>
    <w:p w14:paraId="1C858FBF" w14:textId="740D0D5B" w:rsidR="00DB6A2A" w:rsidRPr="004C732E" w:rsidRDefault="001B67B1" w:rsidP="00DB6A2A">
      <w:pPr>
        <w:pStyle w:val="NormalHanging12a"/>
        <w:ind w:left="1134"/>
      </w:pPr>
      <w:r w:rsidRPr="004C732E">
        <w:t>d.</w:t>
      </w:r>
      <w:r w:rsidRPr="004C732E">
        <w:tab/>
        <w:t>įtraukti nuostatas dėl Mauritanijos valdžios institucijų, kurios per operacijas gerbia pagrindines teises, įskaitant patikimas galimybes, kuriomis būtų užtikrinta atskaitomybė pažeidimų atveju;</w:t>
      </w:r>
    </w:p>
    <w:p w14:paraId="4AE845CA" w14:textId="3BCDF451" w:rsidR="00DB6A2A" w:rsidRPr="004C732E" w:rsidRDefault="001B67B1" w:rsidP="00DB6A2A">
      <w:pPr>
        <w:pStyle w:val="NormalHanging12a"/>
        <w:ind w:left="1134"/>
      </w:pPr>
      <w:r w:rsidRPr="004C732E">
        <w:t>e.</w:t>
      </w:r>
      <w:r w:rsidRPr="004C732E">
        <w:tab/>
        <w:t xml:space="preserve">atlikti </w:t>
      </w:r>
      <w:r w:rsidRPr="00E26DBD">
        <w:rPr>
          <w:i/>
        </w:rPr>
        <w:t>ex ante</w:t>
      </w:r>
      <w:r w:rsidRPr="004C732E">
        <w:t xml:space="preserve"> poveikio pagrindinėms teisėms vertinimus prieš pradedant derybas su trečiosiomis šalimis dėl susitarimų dėl statuso sudarymo, kad būtų galima </w:t>
      </w:r>
      <w:r w:rsidRPr="004C732E">
        <w:lastRenderedPageBreak/>
        <w:t>visapusiškai apsvarstyti galimo bendradarbiavimo poveikį ir derėtis dėl būtinų apsaugos priemonių;</w:t>
      </w:r>
    </w:p>
    <w:p w14:paraId="4BCA2116" w14:textId="77777777" w:rsidR="00DB6A2A" w:rsidRPr="004C732E" w:rsidRDefault="001B67B1" w:rsidP="00DB6A2A">
      <w:pPr>
        <w:pStyle w:val="NormalHanging12a"/>
        <w:rPr>
          <w:b/>
          <w:i/>
        </w:rPr>
      </w:pPr>
      <w:r w:rsidRPr="004C732E">
        <w:rPr>
          <w:b/>
          <w:i/>
        </w:rPr>
        <w:t>3.2 Frontex</w:t>
      </w:r>
    </w:p>
    <w:p w14:paraId="24642681" w14:textId="57B8B320" w:rsidR="00DB6A2A" w:rsidRPr="004C732E" w:rsidRDefault="001B67B1" w:rsidP="00DB6A2A">
      <w:pPr>
        <w:pStyle w:val="NormalHanging12a"/>
        <w:ind w:left="1134"/>
      </w:pPr>
      <w:r w:rsidRPr="004C732E">
        <w:t>a.</w:t>
      </w:r>
      <w:r w:rsidRPr="004C732E">
        <w:tab/>
        <w:t>oficialiai įtvirtinti pagrindinių teisių pareigūno (FRO) vaidmenį priimant sprendimą, ar pradėti bendrą operaciją trečiojoje šalyje, kuriai taikomas Susitarimas dėl statuso, ir FRO nuomonę laikyti privaloma;</w:t>
      </w:r>
    </w:p>
    <w:p w14:paraId="3125F0B7" w14:textId="2E8F0523" w:rsidR="00DB6A2A" w:rsidRPr="004C732E" w:rsidRDefault="001B67B1" w:rsidP="00DB6A2A">
      <w:pPr>
        <w:pStyle w:val="NormalHanging12a"/>
        <w:ind w:left="1134"/>
      </w:pPr>
      <w:r w:rsidRPr="004C732E">
        <w:t>b.</w:t>
      </w:r>
      <w:r w:rsidRPr="004C732E">
        <w:tab/>
        <w:t>užtikrinti, kad visuose veiklos planuose, kuriais nustatomos operacijos Mauritanijos teritorijoje, būtų:</w:t>
      </w:r>
    </w:p>
    <w:p w14:paraId="17906BC2" w14:textId="2D052002" w:rsidR="00DB6A2A" w:rsidRPr="004C732E" w:rsidRDefault="001B67B1" w:rsidP="00DB6A2A">
      <w:pPr>
        <w:pStyle w:val="NormalHanging12a"/>
        <w:ind w:left="1287"/>
      </w:pPr>
      <w:r w:rsidRPr="004C732E">
        <w:t>i.</w:t>
      </w:r>
      <w:r w:rsidRPr="004C732E">
        <w:tab/>
        <w:t>nustatyti oficialų mechanizmą, pagal kurį asmenys, kuriems daromas tiesioginis poveikis arba kurie veikia viešojo intereso labui, įskaitant trečiųjų šalių piliečius, galėtų teikti Agentūrai skundus dėl trečiojoje valstybėje dislokuotų darbuotojų veiksmų, ir įtraukti aiškias nuostatas dėl tolesnių veiksmų ir vykdymo užtikrinimo priemonių pateikus skundus;</w:t>
      </w:r>
    </w:p>
    <w:p w14:paraId="1A82ABB3" w14:textId="2C2AA34B" w:rsidR="00DB6A2A" w:rsidRPr="004C732E" w:rsidRDefault="001B67B1" w:rsidP="00DB6A2A">
      <w:pPr>
        <w:pStyle w:val="NormalHanging12a"/>
        <w:ind w:left="1287"/>
      </w:pPr>
      <w:r w:rsidRPr="004C732E">
        <w:t>ii.</w:t>
      </w:r>
      <w:r w:rsidRPr="004C732E">
        <w:tab/>
        <w:t>užtikrinti FRONTEX dalyvavimą svarbiausiose srityse, kuriose tikėtina, kad migrantai bus sulaikyti, ir numatyti FRO ir pagrindinių teisių stebėtojams suteikti visapusišką prieigą prie veiklos teritorijos;</w:t>
      </w:r>
    </w:p>
    <w:p w14:paraId="2201AAAD" w14:textId="7AC72DA3" w:rsidR="00DB6A2A" w:rsidRPr="004C732E" w:rsidRDefault="001B67B1" w:rsidP="00DB6A2A">
      <w:pPr>
        <w:pStyle w:val="NormalHanging12a"/>
        <w:ind w:left="1287"/>
      </w:pPr>
      <w:r w:rsidRPr="004C732E">
        <w:t>iii.</w:t>
      </w:r>
      <w:r w:rsidRPr="004C732E">
        <w:tab/>
        <w:t>glaudžiai bendradarbiauti su Jungtinių Tautų vyriausiojo pabėgėlių reikalų komisaro biuru vykdant operacijas Mauritanijoje, kad būtų užtikrinta teisė į prieglobstį;</w:t>
      </w:r>
    </w:p>
    <w:p w14:paraId="34FD6E9D" w14:textId="1C808D17" w:rsidR="00DB6A2A" w:rsidRPr="004C732E" w:rsidRDefault="001B67B1" w:rsidP="00DB6A2A">
      <w:pPr>
        <w:pStyle w:val="NormalHanging12a"/>
        <w:ind w:left="1134"/>
      </w:pPr>
      <w:r w:rsidRPr="004C732E">
        <w:t>c.</w:t>
      </w:r>
      <w:r w:rsidRPr="004C732E">
        <w:tab/>
        <w:t>priimti gaires dėl privalomo dislokuotų darbuotojų imuniteto atšaukimo, nurodant, kaip bus nagrinėjami trečiųjų šalių valdžios institucijų prašymai, taip pat įtvirtinant svarbų FRO vaidmenį; užtikrinti, kad nuolatinio korpuso pareigūnų dislokavimas priklausytų nuo šių gairių;</w:t>
      </w:r>
    </w:p>
    <w:p w14:paraId="7989469D" w14:textId="5908B934" w:rsidR="00DB6A2A" w:rsidRPr="004C732E" w:rsidRDefault="001B67B1" w:rsidP="00DB6A2A">
      <w:pPr>
        <w:pStyle w:val="NormalHanging12a"/>
        <w:ind w:left="1134"/>
      </w:pPr>
      <w:r w:rsidRPr="004C732E">
        <w:t>d.</w:t>
      </w:r>
      <w:r w:rsidRPr="004C732E">
        <w:tab/>
        <w:t>išnagrinėti ir sukurti mechanizmus, pagal kuriuos asmenys, kuriems Agentūros veiksmai gali daryti poveikį trečiosios šalies teritorijoje, galėtų veiksmingai ginti savo teises per išorės įstaigas, pavyzdžiui, ombudsmeną, Europos Sąjungos Teisingumo Teismą ar kitą subjektą;</w:t>
      </w:r>
    </w:p>
    <w:p w14:paraId="50ADD1D8" w14:textId="54C2B6E6" w:rsidR="00D773EF" w:rsidRPr="004C732E" w:rsidRDefault="001B67B1" w:rsidP="00E26DBD">
      <w:pPr>
        <w:pStyle w:val="NormalHanging12a"/>
        <w:ind w:left="1134"/>
      </w:pPr>
      <w:r w:rsidRPr="004C732E">
        <w:t>e.</w:t>
      </w:r>
      <w:r w:rsidRPr="004C732E">
        <w:tab/>
        <w:t>rengti valdžios institucijoms mokymus pagrindinių teisių klausimais, kurie yra pagrindinė vykdomųjų operacijų trečiosiose šalyse sudedamoji dalis, be kita ko, kiek tai susiję su paieškos ir gelbėjimo įsipareigojimais, ir dirbti gerinant prieglobsčio sistemą;</w:t>
      </w:r>
    </w:p>
    <w:p w14:paraId="646D5D48" w14:textId="422D5582" w:rsidR="007A48F8" w:rsidRPr="004C732E" w:rsidRDefault="007A48F8" w:rsidP="007A48F8">
      <w:pPr>
        <w:pStyle w:val="NormalWeb"/>
        <w:jc w:val="center"/>
        <w:rPr>
          <w:color w:val="000000"/>
        </w:rPr>
      </w:pPr>
      <w:r w:rsidRPr="004C732E">
        <w:rPr>
          <w:color w:val="000000"/>
        </w:rPr>
        <w:t>°</w:t>
      </w:r>
    </w:p>
    <w:p w14:paraId="6036419A" w14:textId="20891EB6" w:rsidR="007A48F8" w:rsidRPr="004C732E" w:rsidRDefault="007A48F8" w:rsidP="007A48F8">
      <w:pPr>
        <w:pStyle w:val="NormalWeb"/>
        <w:jc w:val="center"/>
        <w:rPr>
          <w:color w:val="000000"/>
        </w:rPr>
      </w:pPr>
      <w:r w:rsidRPr="004C732E">
        <w:rPr>
          <w:color w:val="000000"/>
        </w:rPr>
        <w:t>°</w:t>
      </w:r>
      <w:r w:rsidRPr="004C732E">
        <w:rPr>
          <w:color w:val="000000"/>
        </w:rPr>
        <w:tab/>
        <w:t>°</w:t>
      </w:r>
    </w:p>
    <w:p w14:paraId="026AD59F" w14:textId="77777777" w:rsidR="00FA1A9D" w:rsidRPr="004C732E" w:rsidRDefault="00FA1A9D" w:rsidP="00DB6A2A">
      <w:pPr>
        <w:pStyle w:val="NormalHanging12a"/>
      </w:pPr>
    </w:p>
    <w:p w14:paraId="37583664" w14:textId="4CEF89C5" w:rsidR="001B67B1" w:rsidRPr="004C732E" w:rsidRDefault="001B67B1" w:rsidP="00DB6A2A">
      <w:pPr>
        <w:pStyle w:val="NormalHanging12a"/>
      </w:pPr>
      <w:r w:rsidRPr="004C732E">
        <w:t>4.</w:t>
      </w:r>
      <w:r w:rsidRPr="004C732E">
        <w:tab/>
        <w:t>paveda Pirmininkei perduoti šią rezoliuciją Tarybai, Komisijai, Europos išorės veiksmų tarnybai ir Europos sienų ir pakrančių apsaugos agentūrai bei Mauritanijos vyriausybei.</w:t>
      </w:r>
    </w:p>
    <w:p w14:paraId="4E2B7BE2" w14:textId="77777777" w:rsidR="00DB6A2A" w:rsidRPr="004C732E" w:rsidRDefault="00DB6A2A" w:rsidP="00DB6A2A">
      <w:pPr>
        <w:pStyle w:val="NormalHanging12a"/>
      </w:pPr>
    </w:p>
    <w:p w14:paraId="753C79F8" w14:textId="77777777" w:rsidR="00FB6B71" w:rsidRPr="004C732E" w:rsidRDefault="00FB6B71" w:rsidP="001A1333">
      <w:pPr>
        <w:pStyle w:val="NormalHanging12a"/>
        <w:sectPr w:rsidR="00FB6B71" w:rsidRPr="004C732E" w:rsidSect="004C73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C201C60" w14:textId="77777777" w:rsidR="00FB6B71" w:rsidRPr="004C732E" w:rsidRDefault="00FB6B71" w:rsidP="00FB6B71">
      <w:pPr>
        <w:pStyle w:val="PageHeading"/>
      </w:pPr>
      <w:bookmarkStart w:id="1" w:name="_Toc138860043"/>
      <w:r w:rsidRPr="004C732E">
        <w:lastRenderedPageBreak/>
        <w:t>AIŠKINAMOJI DALIS</w:t>
      </w:r>
      <w:bookmarkEnd w:id="1"/>
    </w:p>
    <w:p w14:paraId="66ED5D53" w14:textId="77777777" w:rsidR="0093435E" w:rsidRPr="004C732E" w:rsidRDefault="0093435E" w:rsidP="0093435E">
      <w:r w:rsidRPr="004C732E">
        <w:t>Įsigaliojus Reglamentui (ES) 2019/1896 (toliau – reglamentas), gerokai išplėsti Europos sienų ir pakrančių apsaugos agentūros (FRONTEX) įgaliojimai, įskaitant jos galimybes dirbti trečiosiose šalyse. Reglamentu Agentūrai suteikiami įgaliojimai operatyvinei veiklai vykdyti trečiosios šalies, kuri neturi bendrų sienų su ES valstybe nare, teritorijoje dislokuoti darbuotojus tiek, kiek to reikia reglamente apibrėžtoms jos užduotims vykdyti.</w:t>
      </w:r>
    </w:p>
    <w:p w14:paraId="3B2219CF" w14:textId="77777777" w:rsidR="0093435E" w:rsidRPr="004C732E" w:rsidRDefault="0093435E" w:rsidP="0093435E"/>
    <w:p w14:paraId="2645002E" w14:textId="67869D27" w:rsidR="0093435E" w:rsidRPr="004C732E" w:rsidRDefault="0093435E" w:rsidP="0093435E">
      <w:r w:rsidRPr="004C732E">
        <w:t xml:space="preserve">Siekiant sukurti teisinę sistemą, pagal kurią būtų galima vykdyti vykdomąsias užduotis trečiosios šalies teritorijoje, reikia sudaryti vadinamąjį susitarimą dėl statuso. Tai susiję su tarptautiniu ES ir trečiosios šalies susitarimu pagal SESV 218 straipsnį. Procedūriniu požiūriu Taryba įgalioja Europos Komisiją derėtis dėl tokio susitarimo ES vardu, o ES pagal šį straipsnį privalo išsamiai ir nedelsiant informuoti Europos Parlamentą visais procedūros etapais. Kaip įtvirtinta Reglamento (ES) 2019/1896 54 straipsnio 5 dalyje, Europos Komisija ves derybas remdamasi vadinamuoju pavyzdiniu susitarimu dėl statuso, nustatytu komunikate COM(2021) 829. Užbaigus derybas, Europos Parlamento turėtų būti paprašyta balsuoti dėl susitarimo, dėl kurio derėtasi, ir duoti pritarimą prieš jam įsigaliojant. </w:t>
      </w:r>
    </w:p>
    <w:p w14:paraId="4024A05B" w14:textId="77777777" w:rsidR="0093435E" w:rsidRPr="004C732E" w:rsidRDefault="0093435E" w:rsidP="0093435E"/>
    <w:p w14:paraId="58288D03" w14:textId="77777777" w:rsidR="0093435E" w:rsidRPr="004C732E" w:rsidRDefault="0093435E" w:rsidP="0093435E">
      <w:r w:rsidRPr="004C732E">
        <w:t>Liepos 4 d. Tarybos sprendimu (ES) 2022/1168 Komisija buvo įgaliota derėtis su Mauritanijos Islamo Respublika dėl susitarimo dėl FRONTEX Mauritanijos teritorijoje vykdomos operacinės veiklos statuso. Prie šio sprendimo buvo pridėtas derybinis nurodymas, kuriame Taryba pareiškė, kad nemato konkrečių priežasčių nukrypti nuo pavyzdinio susitarimo dėl statuso, todėl Komisija turėtų siekti išlaikyti jo esmę derybų metu. Tuo pačiu metu buvo priimtas sprendimas pradėti derybas su Senegalo Respublika.</w:t>
      </w:r>
    </w:p>
    <w:p w14:paraId="26B690A5" w14:textId="77777777" w:rsidR="0093435E" w:rsidRPr="004C732E" w:rsidRDefault="0093435E" w:rsidP="0093435E"/>
    <w:p w14:paraId="44D7DAA4" w14:textId="77777777" w:rsidR="0093435E" w:rsidRPr="004C732E" w:rsidRDefault="0093435E" w:rsidP="0093435E">
      <w:r w:rsidRPr="004C732E">
        <w:t>2023 m. vasario 9 d. Taryba savo išvadose, be kita ko, su Senegalu ir Mauritanija, pabrėžė savo politinę paramą pastangoms perduoti FRONTEX veiksmus išorės subjektams, ragindama skubiai užbaigti derybas dėl naujų ir peržiūrėtų susitarimų dėl statuso.</w:t>
      </w:r>
    </w:p>
    <w:p w14:paraId="27EB911C" w14:textId="77777777" w:rsidR="0093435E" w:rsidRPr="004C732E" w:rsidRDefault="0093435E" w:rsidP="0093435E">
      <w:r w:rsidRPr="004C732E">
        <w:t>Pagal galimą susitarimą dėl statuso su Mauritanija FRONTEX pirmą kartą būtų įgaliota vykdyti vykdomuosius įgaliojimus trečiosios šalies, kuri nesiriboja su ES valstybe nare ir nėra geografiškai įsikūrusi Europoje, teritorijoje. Šio etapo poveikis iš esmės skirtųsi nuo veiksmų, vykdomų pagal dabartinius susitarimus dėl statuso.</w:t>
      </w:r>
    </w:p>
    <w:p w14:paraId="132A963F" w14:textId="77777777" w:rsidR="0093435E" w:rsidRPr="004C732E" w:rsidRDefault="0093435E" w:rsidP="0093435E"/>
    <w:p w14:paraId="63D2B5C4" w14:textId="77777777" w:rsidR="0093435E" w:rsidRPr="004C732E" w:rsidRDefault="0093435E" w:rsidP="0093435E">
      <w:r w:rsidRPr="004C732E">
        <w:t xml:space="preserve">Dabartinės FRONTEX susitarimus dėl statuso pasirašiusios šalys taip pat siekia artimiausiu metu tapti ES narėmis, o tai reiškia, kad jos šiuo metu derina savo teisines sistemas su ES </w:t>
      </w:r>
      <w:r w:rsidRPr="00E26DBD">
        <w:rPr>
          <w:i/>
        </w:rPr>
        <w:t>acquis</w:t>
      </w:r>
      <w:r w:rsidRPr="004C732E">
        <w:t>, be kita ko, pagrindinių teisių srityje. Be to, visos šalys yra Europos Tarybos šalys, todėl jos privalo laikytis Europos žmogaus teisių konvencijos. Priešingai nei Mauritanija, šios šalys privalo laikytis sistemų, kurios padeda tam tikru mastu apsaugoti ES pagrindinių teisių standartus.</w:t>
      </w:r>
    </w:p>
    <w:p w14:paraId="259419F7" w14:textId="77777777" w:rsidR="0093435E" w:rsidRPr="004C732E" w:rsidRDefault="0093435E" w:rsidP="0093435E"/>
    <w:p w14:paraId="3DB4D293" w14:textId="77777777" w:rsidR="0093435E" w:rsidRPr="004C732E" w:rsidRDefault="0093435E" w:rsidP="0093435E">
      <w:r w:rsidRPr="004C732E">
        <w:t>Atsižvelgdamas į didelį poveikį ir precedentą, atsiradusius sudarius FRONTEX susitarimą dėl statuso su ne Europos trečiąja šalimi, Europos Parlamentas nusprendė derybų dėl susitarimo dėl statuso proceso metu pradėti išsamesnę procedūrą, išskyrus gana ribotą pritarimo procedūrą. Piliečių laisvių, teisingumo ir vidaus reikalų komitetas, kuris yra atsakingas už FRONTEX kontrolę, jau derybų etape priėmė sprendimą parengti šį pranešimą savo iniciatyva, kad Komisijai būtų pateiktos rekomendacijos dėl derybų proceso. Atsižvelgdamas į išorinį susitarimo dėl statuso pobūdį ir žmogaus teisių aspektą, Žmogaus teisių komitetas (DROI) pateiks nuomonę dėl pranešimo.</w:t>
      </w:r>
    </w:p>
    <w:p w14:paraId="5CFF33EE" w14:textId="77777777" w:rsidR="0093435E" w:rsidRPr="004C732E" w:rsidRDefault="0093435E" w:rsidP="0093435E"/>
    <w:p w14:paraId="45782C32" w14:textId="77777777" w:rsidR="0093435E" w:rsidRPr="004C732E" w:rsidRDefault="0093435E" w:rsidP="0093435E">
      <w:r w:rsidRPr="004C732E">
        <w:lastRenderedPageBreak/>
        <w:t>Procedūriniu požiūriu pranešėja sušaukė du šešėlinių pranešėjų posėdžius, kuriuose pagrindiniai suinteresuotieji subjektai buvo pakviesti pateikti savo nuomonę šiuo klausimu. Pirmajame susitikime dalyvavo Europos Komisija, kaip derybų subjektas, taip pat du tyrėjai, turintys patirties žmogaus teisių ir tarptautinės teisės srityse. Antrajame posėdyje dalyvavo FRONTEX vykdomasis direktorius ir pagrindinių teisių pareigūno atstovas. Mauritanijos valdžios institucijos taip pat buvo pakviestos, tačiau nedalyvavo.</w:t>
      </w:r>
    </w:p>
    <w:p w14:paraId="2E4441DF" w14:textId="77777777" w:rsidR="0093435E" w:rsidRPr="004C732E" w:rsidRDefault="0093435E" w:rsidP="0093435E"/>
    <w:p w14:paraId="0B9FDB56" w14:textId="77777777" w:rsidR="0093435E" w:rsidRPr="004C732E" w:rsidRDefault="0093435E" w:rsidP="0093435E">
      <w:pPr>
        <w:jc w:val="center"/>
        <w:rPr>
          <w:b/>
        </w:rPr>
      </w:pPr>
      <w:r w:rsidRPr="004C732E">
        <w:rPr>
          <w:b/>
        </w:rPr>
        <w:t>Pranešėjos pozicija ir išvados</w:t>
      </w:r>
    </w:p>
    <w:p w14:paraId="0EAE251F" w14:textId="77777777" w:rsidR="0093435E" w:rsidRPr="004C732E" w:rsidRDefault="0093435E" w:rsidP="0093435E"/>
    <w:p w14:paraId="49D2D68D" w14:textId="77777777" w:rsidR="0093435E" w:rsidRPr="004C732E" w:rsidRDefault="0093435E" w:rsidP="0093435E">
      <w:r w:rsidRPr="004C732E">
        <w:t>Pranešimo projekte išdėstyti keli pavyzdinio susitarimo dėl statuso aspektai, dėl kurių gali atsirasti atskaitomybės spragų tuo pagrindu sudarius susitarimą su Mauritanija. Pranešėja mano, kad pavyzdinio susitarimo nuostatos, susijusios su imunitetu, yra pernelyg plačios, todėl kyla didelė nebaudžiamumo skatinimo rizika. Tai, kad nuolatinio korpuso nariai negali būti persekiojami savo buveinės valstybėse narėse, yra dar vienas elementas, prisidedantis prie nebaudžiamumo. Nors vykdomasis direktorius turėtų galimybę panaikinti atskirų darbuotojų imunitetą pagal pavyzdinį susitarimą dėl statuso, pranešėja mano, kad ši procedūra yra netinkama, nes ją turėtų vykdyti nepriklausoma išorės institucija, siekiant užtikrinti proceso nešališkumą ir neutralumą.</w:t>
      </w:r>
    </w:p>
    <w:p w14:paraId="387DB338" w14:textId="77777777" w:rsidR="0093435E" w:rsidRPr="004C732E" w:rsidRDefault="0093435E" w:rsidP="0093435E"/>
    <w:p w14:paraId="49513692" w14:textId="77777777" w:rsidR="0093435E" w:rsidRPr="004C732E" w:rsidRDefault="0093435E" w:rsidP="0093435E">
      <w:r w:rsidRPr="004C732E">
        <w:t xml:space="preserve">Be to, pranešėja laikosi nuomonės, kad imunitetas iš esmės turėtų būti suteikiamas tik labai atsargiai ir proporcingai, atsižvelgiant į jo didelį poveikį šalies suverenitetui ir šios šalies galimybes reikalauti, kad asmenys atsakytų už jos teritorijoje įvykdytus veiksmus. Pranešėja mano, kad imunitetas yra nereikalingas ir neproporcingas vykdant sienų valdymo užduotis. Tai, kad pavyzdiniame susitarime numatyta, jog pareigūnai nešioja tarnybinius ginklus ir naudoja jėgą, rodo, kad svarbu užtikrinti patikimus atskaitomybės mechanizmus. </w:t>
      </w:r>
    </w:p>
    <w:p w14:paraId="4BA766F7" w14:textId="77777777" w:rsidR="0093435E" w:rsidRPr="004C732E" w:rsidRDefault="0093435E" w:rsidP="0093435E"/>
    <w:p w14:paraId="7025E918" w14:textId="2A671A70" w:rsidR="0093435E" w:rsidRPr="004C732E" w:rsidRDefault="0093435E" w:rsidP="0093435E">
      <w:r w:rsidRPr="004C732E">
        <w:t xml:space="preserve">Be to, pavyzdiniame susitarime numatyta vadovavimo struktūra, kurioje Mauritanijos pareigūnai duoda nurodymus dislokuotiems FRONTEX darbuotojams. Dėl to atsiranda teisinė spraga, dėl kurios kyla neaiškumų dėl Agentūros teisinės atskaitomybės už veiksmus, kuriuos jos darbuotojai atliko vykdydami bendras operacijas, atsižvelgiant į tai, kad Agentūra veiksmingai nekontroliuotų dislokuotų darbuotojų. Tai ypač problemiška atsižvelgiant į skirtingas teisines sistemas, kurių privalo laikytis Mauritanijos valdžios institucijos ir FRONTEX. Pranešėja mano, kad Komisija ir FRONTEX per procedūrą nepakankamai sprendė šį klausimą. </w:t>
      </w:r>
    </w:p>
    <w:p w14:paraId="796C35FA" w14:textId="77777777" w:rsidR="0093435E" w:rsidRPr="004C732E" w:rsidRDefault="0093435E" w:rsidP="0093435E"/>
    <w:p w14:paraId="475FA631" w14:textId="77777777" w:rsidR="0093435E" w:rsidRPr="004C732E" w:rsidRDefault="0093435E" w:rsidP="0093435E">
      <w:r w:rsidRPr="004C732E">
        <w:t>Kitas pavyzdinio susitarimo trūkumas yra susijęs su ribotomis išorės galimybėmis teikti skundus, ypač dėl to, kad ne ES piliečiai neturi galimybės teikti skundų ES ombudsmenui, ir su ribota Europos Sąjungos Teisingumo Teismo (ESTT) jurisdikcija išorės veiksmų srityje. Todėl Agentūra ir Komisija nagrinėja, kaip išplėsti šias galimybes, galbūt dalyvaujant Pagrindinių teisių agentūrai (FRA) ir ES ombudsmenui.</w:t>
      </w:r>
    </w:p>
    <w:p w14:paraId="3B776EB5" w14:textId="77777777" w:rsidR="0093435E" w:rsidRPr="004C732E" w:rsidRDefault="0093435E" w:rsidP="0093435E"/>
    <w:p w14:paraId="6FDEE57A" w14:textId="650B9E46" w:rsidR="0093435E" w:rsidRPr="004C732E" w:rsidRDefault="0093435E" w:rsidP="0093435E">
      <w:r w:rsidRPr="004C732E">
        <w:t xml:space="preserve">Atsižvelgdamas į tai, pranešėja rekomenduoja Europos Komisijai per derybas rimtai spręsti pirmiau minėtus trūkumus prieš prašant Europos Parlamento pritarimo susitarimui dėl statuso. Be to, pranešėja rekomenduoja Komisijai nedelsiant atlikti </w:t>
      </w:r>
      <w:bookmarkStart w:id="2" w:name="_GoBack"/>
      <w:r w:rsidRPr="00E26DBD">
        <w:rPr>
          <w:i/>
        </w:rPr>
        <w:t>ex ante</w:t>
      </w:r>
      <w:r w:rsidRPr="004C732E">
        <w:t xml:space="preserve"> </w:t>
      </w:r>
      <w:bookmarkEnd w:id="2"/>
      <w:r w:rsidRPr="004C732E">
        <w:t>poveikio pagrindinėms teisėms vertinimą, kad būtų atsižvelgta į šio vertinimo išvadas. Po to Komisija turėtų vykdyti nepriklausomą stebėseną faktinio bendradarbiavimo pagal Susitarimą dėl statuso atveju, laikydamasi 2021 m. gegužės mėn. priimtame Parlamento pranešime „Žmogaus teisių apsauga ir ES išorės migracijos politika“ pateiktos rekomendacijos.</w:t>
      </w:r>
    </w:p>
    <w:p w14:paraId="55165D59" w14:textId="77777777" w:rsidR="0093435E" w:rsidRPr="004C732E" w:rsidRDefault="0093435E" w:rsidP="0093435E">
      <w:r w:rsidRPr="004C732E">
        <w:t xml:space="preserve"> </w:t>
      </w:r>
    </w:p>
    <w:p w14:paraId="56080C0D" w14:textId="77777777" w:rsidR="0093435E" w:rsidRPr="004C732E" w:rsidRDefault="0093435E" w:rsidP="0093435E">
      <w:r w:rsidRPr="004C732E">
        <w:t xml:space="preserve">Be teisinių trūkumų, pranešėja nurodė, kad pagrindinių teisių padėtis Mauritanijoje kelia </w:t>
      </w:r>
      <w:r w:rsidRPr="004C732E">
        <w:lastRenderedPageBreak/>
        <w:t>susirūpinimą FRONTEX dislokavimo jos teritorijoje atveju. Nesant teisinės prieglobsčio sistemos, teisę gauti prieglobstį nustato Jungtinis vyriausiasis pabėgėlių reikalų komisaras (UNHCR). Tačiau asmenys, kurie nelaikomi atitinkančiais prieglobsčio suteikimo reikalavimus, valdžios institucijų deportuojami į Malį ir Senegalą be papildomos procedūros. Be to, esama praktinių problemų, susijusių su Jungtinių Tautų vyriausiojo pabėgėlių reikalų komisaro biuro (UNHCR) prieiga prie sulaikytų asmenų, todėl kyla pavojus, kad asmenys, kuriems reikia apsaugos, bus išsiųsti. Migrantai ir pabėgėliai taip pat susiduria su daugeliu kitų problemų, susijusių su sunkiais žmogaus teisių pažeidimais ir netinkamu elgesiu, pavyzdžiui, grąžinimu, savavališku sulaikymu, kankinimu, sulaikymu, smurtu dėl lyties, išnaudojimu ir ES neteisėtų šariato sankcijų taikymu. Todėl FRONTEX operacijos Mauritanijoje, kurioms vadovauja Mauritanijos valdžios institucijos, kelia didelę riziką, kad dislokuoti darbuotojai bus įtraukti į šiuos pažeidimus.</w:t>
      </w:r>
    </w:p>
    <w:p w14:paraId="0DC33E12" w14:textId="77777777" w:rsidR="0093435E" w:rsidRPr="004C732E" w:rsidRDefault="0093435E" w:rsidP="0093435E"/>
    <w:p w14:paraId="1630E8DF" w14:textId="1B18B93E" w:rsidR="0093435E" w:rsidRPr="004C732E" w:rsidRDefault="0093435E" w:rsidP="0093435E">
      <w:r w:rsidRPr="004C732E">
        <w:t xml:space="preserve">Pranešėja rekomenduoja FRONTEX nuodugniai apsvarstyti Parlamento rekomendacijas ir glaudžiai bendradarbiauti su pagrindinių teisių pareigūnu (FRO), siekiant spręsti ataskaitoje nurodytas problemas ir užtikrinti, kad ji laikytųsi su pagrindinėmis teisėmis susijusių įsipareigojimų. Pranešėja taip pat primygtinai ragina Agentūrą ir FRO rimtai įvertinti, ar įmanoma FRONTEX vykdyti vykdomuosius įgaliojimus Mauritanijos teritorijoje, kartu visapusiškai vykdant Sąjungos teisėje įtvirtintus įsipareigojimus pagrindinių teisių srityje. </w:t>
      </w:r>
    </w:p>
    <w:p w14:paraId="6D626C8E" w14:textId="77777777" w:rsidR="00947C9A" w:rsidRPr="004C732E" w:rsidRDefault="00947C9A" w:rsidP="00FB6B71">
      <w:pPr>
        <w:pStyle w:val="NormalHanging12a"/>
        <w:ind w:left="0" w:firstLine="0"/>
      </w:pPr>
    </w:p>
    <w:sectPr w:rsidR="00947C9A" w:rsidRPr="004C732E" w:rsidSect="00FB6B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C8088" w14:textId="77777777" w:rsidR="00D41739" w:rsidRPr="004C732E" w:rsidRDefault="00D41739">
      <w:r w:rsidRPr="004C732E">
        <w:separator/>
      </w:r>
    </w:p>
  </w:endnote>
  <w:endnote w:type="continuationSeparator" w:id="0">
    <w:p w14:paraId="737E624C" w14:textId="77777777" w:rsidR="00D41739" w:rsidRPr="004C732E" w:rsidRDefault="00D41739">
      <w:r w:rsidRPr="004C73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73B5E" w14:textId="35AE11B0" w:rsidR="004C732E" w:rsidRPr="004C732E" w:rsidRDefault="004C732E" w:rsidP="004C732E">
    <w:pPr>
      <w:pStyle w:val="EPFooter"/>
    </w:pPr>
    <w:r w:rsidRPr="004C732E">
      <w:t>PE</w:t>
    </w:r>
    <w:r w:rsidRPr="004C732E">
      <w:rPr>
        <w:rStyle w:val="HideTWBExt"/>
      </w:rPr>
      <w:t>&lt;NoPE&gt;</w:t>
    </w:r>
    <w:r w:rsidRPr="004C732E">
      <w:t>749.932</w:t>
    </w:r>
    <w:r w:rsidRPr="004C732E">
      <w:rPr>
        <w:rStyle w:val="HideTWBExt"/>
      </w:rPr>
      <w:t>&lt;/NoPE&gt;&lt;Version&gt;</w:t>
    </w:r>
    <w:r w:rsidRPr="004C732E">
      <w:t>v01-00</w:t>
    </w:r>
    <w:r w:rsidRPr="004C732E">
      <w:rPr>
        <w:rStyle w:val="HideTWBExt"/>
      </w:rPr>
      <w:t>&lt;/Version&gt;</w:t>
    </w:r>
    <w:r w:rsidRPr="004C732E">
      <w:tab/>
    </w:r>
    <w:r w:rsidRPr="004C732E">
      <w:fldChar w:fldCharType="begin"/>
    </w:r>
    <w:r w:rsidRPr="004C732E">
      <w:instrText xml:space="preserve"> PAGE  \* MERGEFORMAT </w:instrText>
    </w:r>
    <w:r w:rsidRPr="004C732E">
      <w:fldChar w:fldCharType="separate"/>
    </w:r>
    <w:r w:rsidR="00E26DBD">
      <w:rPr>
        <w:noProof/>
      </w:rPr>
      <w:t>10</w:t>
    </w:r>
    <w:r w:rsidRPr="004C732E">
      <w:fldChar w:fldCharType="end"/>
    </w:r>
    <w:r w:rsidRPr="004C732E">
      <w:t>/</w:t>
    </w:r>
    <w:fldSimple w:instr=" NUMPAGES  \* MERGEFORMAT ">
      <w:r w:rsidR="00E26DBD">
        <w:rPr>
          <w:noProof/>
        </w:rPr>
        <w:t>10</w:t>
      </w:r>
    </w:fldSimple>
    <w:r w:rsidRPr="004C732E">
      <w:tab/>
    </w:r>
    <w:r w:rsidRPr="004C732E">
      <w:rPr>
        <w:rStyle w:val="HideTWBExt"/>
      </w:rPr>
      <w:t>&lt;PathFdR&gt;</w:t>
    </w:r>
    <w:r w:rsidRPr="004C732E">
      <w:t>PR\1280813LT.docx</w:t>
    </w:r>
    <w:r w:rsidRPr="004C732E">
      <w:rPr>
        <w:rStyle w:val="HideTWBExt"/>
      </w:rPr>
      <w:t>&lt;/PathFdR&gt;</w:t>
    </w:r>
  </w:p>
  <w:p w14:paraId="42D7DE19" w14:textId="206A8244" w:rsidR="00947C9A" w:rsidRPr="004C732E" w:rsidRDefault="004C732E" w:rsidP="004C732E">
    <w:pPr>
      <w:pStyle w:val="EPFooter2"/>
    </w:pPr>
    <w:r w:rsidRPr="004C732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72F4A" w14:textId="695315B0" w:rsidR="004C732E" w:rsidRPr="004C732E" w:rsidRDefault="004C732E" w:rsidP="004C732E">
    <w:pPr>
      <w:pStyle w:val="EPFooter"/>
    </w:pPr>
    <w:r w:rsidRPr="004C732E">
      <w:rPr>
        <w:rStyle w:val="HideTWBExt"/>
      </w:rPr>
      <w:t>&lt;PathFdR&gt;</w:t>
    </w:r>
    <w:r w:rsidRPr="004C732E">
      <w:t>PR\1280813LT.docx</w:t>
    </w:r>
    <w:r w:rsidRPr="004C732E">
      <w:rPr>
        <w:rStyle w:val="HideTWBExt"/>
      </w:rPr>
      <w:t>&lt;/PathFdR&gt;</w:t>
    </w:r>
    <w:r w:rsidRPr="004C732E">
      <w:tab/>
    </w:r>
    <w:r w:rsidRPr="004C732E">
      <w:fldChar w:fldCharType="begin"/>
    </w:r>
    <w:r w:rsidRPr="004C732E">
      <w:instrText xml:space="preserve"> PAGE  \* MERGEFORMAT </w:instrText>
    </w:r>
    <w:r w:rsidRPr="004C732E">
      <w:fldChar w:fldCharType="separate"/>
    </w:r>
    <w:r w:rsidR="00E26DBD">
      <w:rPr>
        <w:noProof/>
      </w:rPr>
      <w:t>9</w:t>
    </w:r>
    <w:r w:rsidRPr="004C732E">
      <w:fldChar w:fldCharType="end"/>
    </w:r>
    <w:r w:rsidRPr="004C732E">
      <w:t>/</w:t>
    </w:r>
    <w:fldSimple w:instr=" NUMPAGES  \* MERGEFORMAT ">
      <w:r w:rsidR="00E26DBD">
        <w:rPr>
          <w:noProof/>
        </w:rPr>
        <w:t>10</w:t>
      </w:r>
    </w:fldSimple>
    <w:r w:rsidRPr="004C732E">
      <w:tab/>
      <w:t>PE</w:t>
    </w:r>
    <w:r w:rsidRPr="004C732E">
      <w:rPr>
        <w:rStyle w:val="HideTWBExt"/>
      </w:rPr>
      <w:t>&lt;NoPE&gt;</w:t>
    </w:r>
    <w:r w:rsidRPr="004C732E">
      <w:t>749.932</w:t>
    </w:r>
    <w:r w:rsidRPr="004C732E">
      <w:rPr>
        <w:rStyle w:val="HideTWBExt"/>
      </w:rPr>
      <w:t>&lt;/NoPE&gt;&lt;Version&gt;</w:t>
    </w:r>
    <w:r w:rsidRPr="004C732E">
      <w:t>v01-00</w:t>
    </w:r>
    <w:r w:rsidRPr="004C732E">
      <w:rPr>
        <w:rStyle w:val="HideTWBExt"/>
      </w:rPr>
      <w:t>&lt;/Version&gt;</w:t>
    </w:r>
  </w:p>
  <w:p w14:paraId="2A3A81B1" w14:textId="557EC193" w:rsidR="00947C9A" w:rsidRPr="004C732E" w:rsidRDefault="004C732E" w:rsidP="004C732E">
    <w:pPr>
      <w:pStyle w:val="EPFooter2"/>
    </w:pPr>
    <w:r w:rsidRPr="004C732E">
      <w:tab/>
    </w:r>
    <w:r w:rsidRPr="004C732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6EA70" w14:textId="77777777" w:rsidR="004C732E" w:rsidRPr="004C732E" w:rsidRDefault="004C732E" w:rsidP="004C732E">
    <w:pPr>
      <w:pStyle w:val="EPFooter"/>
    </w:pPr>
    <w:r w:rsidRPr="004C732E">
      <w:rPr>
        <w:rStyle w:val="HideTWBExt"/>
      </w:rPr>
      <w:t>&lt;PathFdR&gt;</w:t>
    </w:r>
    <w:r w:rsidRPr="004C732E">
      <w:t>PR\1280813LT.docx</w:t>
    </w:r>
    <w:r w:rsidRPr="004C732E">
      <w:rPr>
        <w:rStyle w:val="HideTWBExt"/>
      </w:rPr>
      <w:t>&lt;/PathFdR&gt;</w:t>
    </w:r>
    <w:r w:rsidRPr="004C732E">
      <w:tab/>
    </w:r>
    <w:r w:rsidRPr="004C732E">
      <w:tab/>
      <w:t>PE</w:t>
    </w:r>
    <w:r w:rsidRPr="004C732E">
      <w:rPr>
        <w:rStyle w:val="HideTWBExt"/>
      </w:rPr>
      <w:t>&lt;NoPE&gt;</w:t>
    </w:r>
    <w:r w:rsidRPr="004C732E">
      <w:t>749.932</w:t>
    </w:r>
    <w:r w:rsidRPr="004C732E">
      <w:rPr>
        <w:rStyle w:val="HideTWBExt"/>
      </w:rPr>
      <w:t>&lt;/NoPE&gt;&lt;Version&gt;</w:t>
    </w:r>
    <w:r w:rsidRPr="004C732E">
      <w:t>v01-00</w:t>
    </w:r>
    <w:r w:rsidRPr="004C732E">
      <w:rPr>
        <w:rStyle w:val="HideTWBExt"/>
      </w:rPr>
      <w:t>&lt;/Version&gt;</w:t>
    </w:r>
  </w:p>
  <w:p w14:paraId="2407C988" w14:textId="57E4D043" w:rsidR="00947C9A" w:rsidRPr="004C732E" w:rsidRDefault="004C732E" w:rsidP="004C732E">
    <w:pPr>
      <w:pStyle w:val="EPFooter2"/>
    </w:pPr>
    <w:r w:rsidRPr="004C732E">
      <w:t>LT</w:t>
    </w:r>
    <w:r w:rsidRPr="004C732E">
      <w:tab/>
    </w:r>
    <w:r w:rsidRPr="004C732E">
      <w:rPr>
        <w:b w:val="0"/>
        <w:i/>
        <w:color w:val="C0C0C0"/>
        <w:sz w:val="22"/>
      </w:rPr>
      <w:t>Suvienijusi įvairovę</w:t>
    </w:r>
    <w:r w:rsidRPr="004C732E">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E6551" w14:textId="77777777" w:rsidR="00D41739" w:rsidRPr="004C732E" w:rsidRDefault="00D41739">
      <w:r w:rsidRPr="004C732E">
        <w:separator/>
      </w:r>
    </w:p>
  </w:footnote>
  <w:footnote w:type="continuationSeparator" w:id="0">
    <w:p w14:paraId="483AE57E" w14:textId="77777777" w:rsidR="00D41739" w:rsidRPr="004C732E" w:rsidRDefault="00D41739">
      <w:r w:rsidRPr="004C732E">
        <w:continuationSeparator/>
      </w:r>
    </w:p>
  </w:footnote>
  <w:footnote w:id="1">
    <w:p w14:paraId="1F73FF8B" w14:textId="386E5815" w:rsidR="00095F8A" w:rsidRPr="004C732E" w:rsidRDefault="00095F8A">
      <w:pPr>
        <w:pStyle w:val="FootnoteText"/>
      </w:pPr>
      <w:r w:rsidRPr="004C732E">
        <w:rPr>
          <w:rStyle w:val="FootnoteReference"/>
        </w:rPr>
        <w:footnoteRef/>
      </w:r>
      <w:r w:rsidRPr="004C732E">
        <w:t xml:space="preserve"> OL L 295, 2019 11 14, p. 1.</w:t>
      </w:r>
    </w:p>
  </w:footnote>
  <w:footnote w:id="2">
    <w:p w14:paraId="0C170C97" w14:textId="492779F0" w:rsidR="00095F8A" w:rsidRPr="004C732E" w:rsidRDefault="00095F8A">
      <w:pPr>
        <w:pStyle w:val="FootnoteText"/>
      </w:pPr>
      <w:r w:rsidRPr="004C732E">
        <w:rPr>
          <w:rStyle w:val="FootnoteReference"/>
        </w:rPr>
        <w:footnoteRef/>
      </w:r>
      <w:r w:rsidRPr="004C732E">
        <w:t xml:space="preserve"> OL L 181, 2022 7 7, p. 18.</w:t>
      </w:r>
    </w:p>
  </w:footnote>
  <w:footnote w:id="3">
    <w:p w14:paraId="2EC80BB8" w14:textId="30016B6A" w:rsidR="00A74928" w:rsidRPr="004C732E" w:rsidRDefault="00A74928">
      <w:pPr>
        <w:pStyle w:val="FootnoteText"/>
      </w:pPr>
      <w:r w:rsidRPr="004C732E">
        <w:rPr>
          <w:rStyle w:val="FootnoteReference"/>
        </w:rPr>
        <w:footnoteRef/>
      </w:r>
      <w:r w:rsidRPr="004C732E">
        <w:t xml:space="preserve"> OL C 15, 2022 1 12, p. 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B9612" w14:textId="77777777" w:rsidR="00067C69" w:rsidRDefault="00067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10A8D" w14:textId="77777777" w:rsidR="00067C69" w:rsidRDefault="00067C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4B055" w14:textId="77777777" w:rsidR="00067C69" w:rsidRDefault="00067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INSTMNU" w:val=" 3"/>
    <w:docVar w:name="LastEditedSection" w:val=" 1"/>
    <w:docVar w:name="strDocTypeID" w:val="PR_INI_AgreementRecomm"/>
    <w:docVar w:name="strSubDir" w:val="1280"/>
    <w:docVar w:name="TXTLANGUE" w:val="EN"/>
    <w:docVar w:name="TXTLANGUEMIN" w:val="en"/>
    <w:docVar w:name="TXTNRINI" w:val="2023/2087"/>
    <w:docVar w:name="TXTNRPE" w:val="749.932"/>
    <w:docVar w:name="TXTPEorAP" w:val="PE"/>
    <w:docVar w:name="TXTROUTE" w:val="PR\1280813EN.docx"/>
    <w:docVar w:name="TXTTITLE" w:val="Report on the ongoing negotiations on a status agreement on operational activities carried out by the European Border and Coast Guard Agency (Frontex) in Mauritania"/>
    <w:docVar w:name="TXTVERSION" w:val="01-00"/>
  </w:docVars>
  <w:rsids>
    <w:rsidRoot w:val="00D41739"/>
    <w:rsid w:val="00031CC8"/>
    <w:rsid w:val="00036D79"/>
    <w:rsid w:val="00067C69"/>
    <w:rsid w:val="00095F8A"/>
    <w:rsid w:val="000A141F"/>
    <w:rsid w:val="000B6FA6"/>
    <w:rsid w:val="00134775"/>
    <w:rsid w:val="0016751B"/>
    <w:rsid w:val="001905C3"/>
    <w:rsid w:val="001A1333"/>
    <w:rsid w:val="001B67B1"/>
    <w:rsid w:val="00200F55"/>
    <w:rsid w:val="00207B72"/>
    <w:rsid w:val="00214DAC"/>
    <w:rsid w:val="00216C66"/>
    <w:rsid w:val="002240FC"/>
    <w:rsid w:val="00240F30"/>
    <w:rsid w:val="002463A6"/>
    <w:rsid w:val="002A598E"/>
    <w:rsid w:val="00317139"/>
    <w:rsid w:val="00377C09"/>
    <w:rsid w:val="003C52CB"/>
    <w:rsid w:val="003F44E1"/>
    <w:rsid w:val="00407354"/>
    <w:rsid w:val="004347F9"/>
    <w:rsid w:val="00444E66"/>
    <w:rsid w:val="00457B89"/>
    <w:rsid w:val="00474B48"/>
    <w:rsid w:val="004910EC"/>
    <w:rsid w:val="004C732E"/>
    <w:rsid w:val="004E76AB"/>
    <w:rsid w:val="004F41A6"/>
    <w:rsid w:val="00621556"/>
    <w:rsid w:val="006226E2"/>
    <w:rsid w:val="0062375E"/>
    <w:rsid w:val="00644892"/>
    <w:rsid w:val="00652B12"/>
    <w:rsid w:val="006579C5"/>
    <w:rsid w:val="00670449"/>
    <w:rsid w:val="00672D03"/>
    <w:rsid w:val="006A0DB5"/>
    <w:rsid w:val="006A52B1"/>
    <w:rsid w:val="006C31F7"/>
    <w:rsid w:val="006C3F36"/>
    <w:rsid w:val="006C6B69"/>
    <w:rsid w:val="006F3478"/>
    <w:rsid w:val="007014E3"/>
    <w:rsid w:val="00730B0E"/>
    <w:rsid w:val="00744B97"/>
    <w:rsid w:val="007620FD"/>
    <w:rsid w:val="0076517E"/>
    <w:rsid w:val="0077604A"/>
    <w:rsid w:val="007911D7"/>
    <w:rsid w:val="007A48F8"/>
    <w:rsid w:val="007D1BAE"/>
    <w:rsid w:val="00801CCD"/>
    <w:rsid w:val="00802E5E"/>
    <w:rsid w:val="0080500C"/>
    <w:rsid w:val="008651A9"/>
    <w:rsid w:val="00866F16"/>
    <w:rsid w:val="008A4215"/>
    <w:rsid w:val="008B2CF3"/>
    <w:rsid w:val="0093435E"/>
    <w:rsid w:val="009404CE"/>
    <w:rsid w:val="00947C9A"/>
    <w:rsid w:val="00951DE4"/>
    <w:rsid w:val="00974C90"/>
    <w:rsid w:val="00981786"/>
    <w:rsid w:val="00A0669A"/>
    <w:rsid w:val="00A42184"/>
    <w:rsid w:val="00A56A46"/>
    <w:rsid w:val="00A64C51"/>
    <w:rsid w:val="00A74928"/>
    <w:rsid w:val="00A92A0E"/>
    <w:rsid w:val="00AC2672"/>
    <w:rsid w:val="00B00557"/>
    <w:rsid w:val="00B42CB4"/>
    <w:rsid w:val="00B500DA"/>
    <w:rsid w:val="00B53A14"/>
    <w:rsid w:val="00B57CA0"/>
    <w:rsid w:val="00B67F16"/>
    <w:rsid w:val="00B763C5"/>
    <w:rsid w:val="00B9292E"/>
    <w:rsid w:val="00B92C57"/>
    <w:rsid w:val="00BB0B89"/>
    <w:rsid w:val="00BB6173"/>
    <w:rsid w:val="00BC0659"/>
    <w:rsid w:val="00BC0A7D"/>
    <w:rsid w:val="00BC7AC8"/>
    <w:rsid w:val="00BE0712"/>
    <w:rsid w:val="00C144A2"/>
    <w:rsid w:val="00C20A75"/>
    <w:rsid w:val="00C5701D"/>
    <w:rsid w:val="00CC4F66"/>
    <w:rsid w:val="00CF442C"/>
    <w:rsid w:val="00D20779"/>
    <w:rsid w:val="00D2291E"/>
    <w:rsid w:val="00D40E29"/>
    <w:rsid w:val="00D41739"/>
    <w:rsid w:val="00D60730"/>
    <w:rsid w:val="00D70BF8"/>
    <w:rsid w:val="00D773EF"/>
    <w:rsid w:val="00DB6A2A"/>
    <w:rsid w:val="00DC236B"/>
    <w:rsid w:val="00DD75AD"/>
    <w:rsid w:val="00E0071B"/>
    <w:rsid w:val="00E26DBD"/>
    <w:rsid w:val="00E42BA9"/>
    <w:rsid w:val="00E523D9"/>
    <w:rsid w:val="00E72378"/>
    <w:rsid w:val="00E77E00"/>
    <w:rsid w:val="00E82AA2"/>
    <w:rsid w:val="00ED204F"/>
    <w:rsid w:val="00ED341B"/>
    <w:rsid w:val="00ED4DB7"/>
    <w:rsid w:val="00EE0991"/>
    <w:rsid w:val="00EE4436"/>
    <w:rsid w:val="00F16A73"/>
    <w:rsid w:val="00F472C5"/>
    <w:rsid w:val="00F60D66"/>
    <w:rsid w:val="00F73FD4"/>
    <w:rsid w:val="00F87CD4"/>
    <w:rsid w:val="00FA1A9D"/>
    <w:rsid w:val="00FB6B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59425"/>
  <w15:chartTrackingRefBased/>
  <w15:docId w15:val="{3CC2FA62-908E-439D-BDB1-B3D0A7C9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BA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6F16"/>
    <w:pPr>
      <w:spacing w:before="480" w:after="240"/>
    </w:pPr>
  </w:style>
  <w:style w:type="paragraph" w:styleId="TOC1">
    <w:name w:val="toc 1"/>
    <w:basedOn w:val="Normal"/>
    <w:next w:val="Normal"/>
    <w:autoRedefine/>
    <w:uiPriority w:val="39"/>
    <w:rsid w:val="006226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ED341B"/>
    <w:pPr>
      <w:spacing w:after="240"/>
      <w:ind w:left="567" w:hanging="567"/>
    </w:pPr>
  </w:style>
  <w:style w:type="paragraph" w:customStyle="1" w:styleId="EPName">
    <w:name w:val="EPName"/>
    <w:basedOn w:val="Normal"/>
    <w:rsid w:val="00B9292E"/>
    <w:pPr>
      <w:spacing w:before="80" w:after="80"/>
    </w:pPr>
    <w:rPr>
      <w:rFonts w:ascii="Arial Narrow" w:hAnsi="Arial Narrow" w:cs="Arial"/>
      <w:b/>
      <w:sz w:val="32"/>
      <w:szCs w:val="22"/>
    </w:rPr>
  </w:style>
  <w:style w:type="paragraph" w:customStyle="1" w:styleId="CoverNormal24a">
    <w:name w:val="CoverNormal24a"/>
    <w:basedOn w:val="Normal"/>
    <w:rsid w:val="007911D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B6173"/>
    <w:pPr>
      <w:spacing w:before="1080"/>
      <w:jc w:val="right"/>
    </w:pPr>
    <w:rPr>
      <w:rFonts w:ascii="Arial" w:hAnsi="Arial" w:cs="Arial"/>
      <w:b/>
    </w:rPr>
  </w:style>
  <w:style w:type="paragraph" w:customStyle="1" w:styleId="CoverDocType24a">
    <w:name w:val="CoverDocType24a"/>
    <w:basedOn w:val="Normal"/>
    <w:rsid w:val="007911D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0A141F"/>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rsid w:val="00167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6751B"/>
    <w:pPr>
      <w:jc w:val="center"/>
    </w:pPr>
    <w:rPr>
      <w:rFonts w:ascii="Arial" w:hAnsi="Arial" w:cs="Arial"/>
      <w:i/>
      <w:sz w:val="22"/>
      <w:szCs w:val="22"/>
    </w:rPr>
  </w:style>
  <w:style w:type="paragraph" w:customStyle="1" w:styleId="LineTop">
    <w:name w:val="LineTop"/>
    <w:basedOn w:val="Normal"/>
    <w:next w:val="Normal"/>
    <w:rsid w:val="0016751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751B"/>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9292E"/>
    <w:pPr>
      <w:spacing w:after="80"/>
    </w:pPr>
    <w:rPr>
      <w:rFonts w:ascii="Arial" w:hAnsi="Arial" w:cs="Arial"/>
      <w:sz w:val="20"/>
      <w:szCs w:val="22"/>
    </w:rPr>
  </w:style>
  <w:style w:type="paragraph" w:customStyle="1" w:styleId="EPLogo">
    <w:name w:val="EPLogo"/>
    <w:basedOn w:val="Normal"/>
    <w:qFormat/>
    <w:rsid w:val="00B9292E"/>
    <w:pPr>
      <w:jc w:val="right"/>
    </w:pPr>
  </w:style>
  <w:style w:type="paragraph" w:customStyle="1" w:styleId="EPFooter">
    <w:name w:val="EPFooter"/>
    <w:basedOn w:val="Normal"/>
    <w:rsid w:val="007911D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0A141F"/>
    <w:rPr>
      <w:sz w:val="24"/>
    </w:rPr>
  </w:style>
  <w:style w:type="paragraph" w:customStyle="1" w:styleId="NormalHangingLeft12a">
    <w:name w:val="NormalHangingLeft12a"/>
    <w:basedOn w:val="Normal"/>
    <w:rsid w:val="001A1333"/>
    <w:pPr>
      <w:spacing w:after="240"/>
      <w:ind w:left="1134" w:hanging="567"/>
    </w:pPr>
  </w:style>
  <w:style w:type="paragraph" w:styleId="Footer">
    <w:name w:val="footer"/>
    <w:basedOn w:val="Normal"/>
    <w:link w:val="FooterChar"/>
    <w:semiHidden/>
    <w:rsid w:val="00E72378"/>
    <w:pPr>
      <w:tabs>
        <w:tab w:val="center" w:pos="4513"/>
        <w:tab w:val="right" w:pos="9026"/>
      </w:tabs>
    </w:pPr>
  </w:style>
  <w:style w:type="character" w:customStyle="1" w:styleId="FooterChar">
    <w:name w:val="Footer Char"/>
    <w:basedOn w:val="DefaultParagraphFont"/>
    <w:link w:val="Footer"/>
    <w:semiHidden/>
    <w:rsid w:val="00E72378"/>
    <w:rPr>
      <w:sz w:val="24"/>
    </w:rPr>
  </w:style>
  <w:style w:type="paragraph" w:styleId="BalloonText">
    <w:name w:val="Balloon Text"/>
    <w:basedOn w:val="Normal"/>
    <w:link w:val="BalloonTextChar"/>
    <w:semiHidden/>
    <w:unhideWhenUsed/>
    <w:rsid w:val="00DD75AD"/>
    <w:rPr>
      <w:rFonts w:ascii="Segoe UI" w:hAnsi="Segoe UI" w:cs="Segoe UI"/>
      <w:sz w:val="18"/>
      <w:szCs w:val="18"/>
    </w:rPr>
  </w:style>
  <w:style w:type="character" w:customStyle="1" w:styleId="BalloonTextChar">
    <w:name w:val="Balloon Text Char"/>
    <w:basedOn w:val="DefaultParagraphFont"/>
    <w:link w:val="BalloonText"/>
    <w:semiHidden/>
    <w:rsid w:val="00DD75AD"/>
    <w:rPr>
      <w:rFonts w:ascii="Segoe UI" w:hAnsi="Segoe UI" w:cs="Segoe UI"/>
      <w:sz w:val="18"/>
      <w:szCs w:val="18"/>
    </w:rPr>
  </w:style>
  <w:style w:type="paragraph" w:styleId="NormalWeb">
    <w:name w:val="Normal (Web)"/>
    <w:basedOn w:val="Normal"/>
    <w:uiPriority w:val="99"/>
    <w:unhideWhenUsed/>
    <w:rsid w:val="00D773EF"/>
    <w:pPr>
      <w:widowControl/>
      <w:spacing w:before="100" w:beforeAutospacing="1" w:after="100" w:afterAutospacing="1"/>
    </w:pPr>
    <w:rPr>
      <w:szCs w:val="24"/>
    </w:rPr>
  </w:style>
  <w:style w:type="character" w:styleId="CommentReference">
    <w:name w:val="annotation reference"/>
    <w:basedOn w:val="DefaultParagraphFont"/>
    <w:rsid w:val="007D1BAE"/>
    <w:rPr>
      <w:sz w:val="16"/>
      <w:szCs w:val="16"/>
    </w:rPr>
  </w:style>
  <w:style w:type="paragraph" w:styleId="CommentText">
    <w:name w:val="annotation text"/>
    <w:basedOn w:val="Normal"/>
    <w:link w:val="CommentTextChar"/>
    <w:rsid w:val="007D1BAE"/>
    <w:rPr>
      <w:sz w:val="20"/>
    </w:rPr>
  </w:style>
  <w:style w:type="character" w:customStyle="1" w:styleId="CommentTextChar">
    <w:name w:val="Comment Text Char"/>
    <w:basedOn w:val="DefaultParagraphFont"/>
    <w:link w:val="CommentText"/>
    <w:rsid w:val="007D1BAE"/>
  </w:style>
  <w:style w:type="paragraph" w:styleId="CommentSubject">
    <w:name w:val="annotation subject"/>
    <w:basedOn w:val="CommentText"/>
    <w:next w:val="CommentText"/>
    <w:link w:val="CommentSubjectChar"/>
    <w:semiHidden/>
    <w:unhideWhenUsed/>
    <w:rsid w:val="007D1BAE"/>
    <w:rPr>
      <w:b/>
      <w:bCs/>
    </w:rPr>
  </w:style>
  <w:style w:type="character" w:customStyle="1" w:styleId="CommentSubjectChar">
    <w:name w:val="Comment Subject Char"/>
    <w:basedOn w:val="CommentTextChar"/>
    <w:link w:val="CommentSubject"/>
    <w:semiHidden/>
    <w:rsid w:val="007D1BAE"/>
    <w:rPr>
      <w:b/>
      <w:bCs/>
    </w:rPr>
  </w:style>
  <w:style w:type="paragraph" w:styleId="FootnoteText">
    <w:name w:val="footnote text"/>
    <w:basedOn w:val="Normal"/>
    <w:link w:val="FootnoteTextChar"/>
    <w:rsid w:val="00095F8A"/>
    <w:rPr>
      <w:sz w:val="20"/>
    </w:rPr>
  </w:style>
  <w:style w:type="character" w:customStyle="1" w:styleId="FootnoteTextChar">
    <w:name w:val="Footnote Text Char"/>
    <w:basedOn w:val="DefaultParagraphFont"/>
    <w:link w:val="FootnoteText"/>
    <w:rsid w:val="00095F8A"/>
  </w:style>
  <w:style w:type="character" w:styleId="FootnoteReference">
    <w:name w:val="footnote reference"/>
    <w:basedOn w:val="DefaultParagraphFont"/>
    <w:rsid w:val="00095F8A"/>
    <w:rPr>
      <w:vertAlign w:val="superscript"/>
    </w:rPr>
  </w:style>
  <w:style w:type="character" w:styleId="Hyperlink">
    <w:name w:val="Hyperlink"/>
    <w:basedOn w:val="DefaultParagraphFont"/>
    <w:rsid w:val="00095F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09093">
      <w:bodyDiv w:val="1"/>
      <w:marLeft w:val="0"/>
      <w:marRight w:val="0"/>
      <w:marTop w:val="0"/>
      <w:marBottom w:val="0"/>
      <w:divBdr>
        <w:top w:val="none" w:sz="0" w:space="0" w:color="auto"/>
        <w:left w:val="none" w:sz="0" w:space="0" w:color="auto"/>
        <w:bottom w:val="none" w:sz="0" w:space="0" w:color="auto"/>
        <w:right w:val="none" w:sz="0" w:space="0" w:color="auto"/>
      </w:divBdr>
    </w:div>
    <w:div w:id="834226235">
      <w:bodyDiv w:val="1"/>
      <w:marLeft w:val="0"/>
      <w:marRight w:val="0"/>
      <w:marTop w:val="0"/>
      <w:marBottom w:val="0"/>
      <w:divBdr>
        <w:top w:val="none" w:sz="0" w:space="0" w:color="auto"/>
        <w:left w:val="none" w:sz="0" w:space="0" w:color="auto"/>
        <w:bottom w:val="none" w:sz="0" w:space="0" w:color="auto"/>
        <w:right w:val="none" w:sz="0" w:space="0" w:color="auto"/>
      </w:divBdr>
    </w:div>
    <w:div w:id="136802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E7798-D5F4-45FC-B8F1-B7B1AC35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2451</Words>
  <Characters>17209</Characters>
  <Application>Microsoft Office Word</Application>
  <DocSecurity>0</DocSecurity>
  <Lines>296</Lines>
  <Paragraphs>98</Paragraphs>
  <ScaleCrop>false</ScaleCrop>
  <HeadingPairs>
    <vt:vector size="2" baseType="variant">
      <vt:variant>
        <vt:lpstr>Title</vt:lpstr>
      </vt:variant>
      <vt:variant>
        <vt:i4>1</vt:i4>
      </vt:variant>
    </vt:vector>
  </HeadingPairs>
  <TitlesOfParts>
    <vt:vector size="1" baseType="lpstr">
      <vt:lpstr>PR_INI_AgreementRecomm</vt:lpstr>
    </vt:vector>
  </TitlesOfParts>
  <Company/>
  <LinksUpToDate>false</LinksUpToDate>
  <CharactersWithSpaces>19562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PR_INI_AgreementRecomm</dc:title>
  <dc:subject/>
  <dc:creator>KOVACS-MALYI Krisztina</dc:creator>
  <cp:keywords/>
  <dc:description/>
  <cp:lastModifiedBy>VAITIEKUTE Simona</cp:lastModifiedBy>
  <cp:revision>2</cp:revision>
  <cp:lastPrinted>2023-06-16T09:42:00Z</cp:lastPrinted>
  <dcterms:created xsi:type="dcterms:W3CDTF">2023-06-28T13:54:00Z</dcterms:created>
  <dcterms:modified xsi:type="dcterms:W3CDTF">2023-06-28T13:54:00Z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1280813</vt:lpwstr>
  </property>
  <property fmtid="{D5CDD505-2E9C-101B-9397-08002B2CF9AE}" pid="6" name="&lt;Type&gt;">
    <vt:lpwstr>PR</vt:lpwstr>
  </property>
  <property fmtid="{D5CDD505-2E9C-101B-9397-08002B2CF9AE}" pid="7" name="&lt;ModelCod&gt;">
    <vt:lpwstr>\\eiciBRUpr1\pdocep$\DocEP\DOCS\General\PR\PR_NonLeg\INI\PR_INI_AgreementRecomm.dotx(17/04/2020 19:28:08)</vt:lpwstr>
  </property>
  <property fmtid="{D5CDD505-2E9C-101B-9397-08002B2CF9AE}" pid="8" name="&lt;ModelTra&gt;">
    <vt:lpwstr>\\eiciBRUpr1\pdocep$\DocEP\TRANSFIL\EN\PR_INI_AgreementRecomm.EN(11/10/2019 10:37:29)</vt:lpwstr>
  </property>
  <property fmtid="{D5CDD505-2E9C-101B-9397-08002B2CF9AE}" pid="9" name="&lt;Model&gt;">
    <vt:lpwstr>PR_INI_AgreementRecomm</vt:lpwstr>
  </property>
  <property fmtid="{D5CDD505-2E9C-101B-9397-08002B2CF9AE}" pid="10" name="FooterPath">
    <vt:lpwstr>PR\1280813LT.docx</vt:lpwstr>
  </property>
  <property fmtid="{D5CDD505-2E9C-101B-9397-08002B2CF9AE}" pid="11" name="PE number">
    <vt:lpwstr>749.932</vt:lpwstr>
  </property>
  <property fmtid="{D5CDD505-2E9C-101B-9397-08002B2CF9AE}" pid="12" name="SendToEpades">
    <vt:lpwstr>OK - 2023/06/14 10:38</vt:lpwstr>
  </property>
  <property fmtid="{D5CDD505-2E9C-101B-9397-08002B2CF9AE}" pid="13" name="Bookout">
    <vt:lpwstr>OK - 2023/06/28 15:53</vt:lpwstr>
  </property>
  <property fmtid="{D5CDD505-2E9C-101B-9397-08002B2CF9AE}" pid="14" name="SDLStudio">
    <vt:lpwstr/>
  </property>
</Properties>
</file>