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C5AF3" w:rsidRPr="009D3306" w:rsidTr="00BD1ECD">
        <w:trPr>
          <w:trHeight w:hRule="exact" w:val="1418"/>
        </w:trPr>
        <w:tc>
          <w:tcPr>
            <w:tcW w:w="6804" w:type="dxa"/>
            <w:shd w:val="clear" w:color="auto" w:fill="auto"/>
            <w:vAlign w:val="center"/>
          </w:tcPr>
          <w:p w:rsidR="00B13D6F" w:rsidRPr="009D3306" w:rsidRDefault="00734D25" w:rsidP="00BD1ECD">
            <w:pPr>
              <w:pStyle w:val="EPName"/>
            </w:pPr>
            <w:bookmarkStart w:id="0" w:name="_GoBack"/>
            <w:bookmarkEnd w:id="0"/>
            <w:r w:rsidRPr="009D3306">
              <w:t>Parlament Europejski</w:t>
            </w:r>
          </w:p>
          <w:p w:rsidR="00B13D6F" w:rsidRPr="009D3306" w:rsidRDefault="00734D25" w:rsidP="006B14A7">
            <w:pPr>
              <w:pStyle w:val="EPTerm"/>
            </w:pPr>
            <w:r w:rsidRPr="009D3306">
              <w:t>2019-2024</w:t>
            </w:r>
          </w:p>
        </w:tc>
        <w:tc>
          <w:tcPr>
            <w:tcW w:w="2268" w:type="dxa"/>
            <w:shd w:val="clear" w:color="auto" w:fill="auto"/>
          </w:tcPr>
          <w:p w:rsidR="00B13D6F" w:rsidRPr="009D3306" w:rsidRDefault="00734D25" w:rsidP="00BD1ECD">
            <w:pPr>
              <w:pStyle w:val="EPLogo"/>
            </w:pPr>
            <w:r w:rsidRPr="009D3306">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D3306" w:rsidRDefault="00461601" w:rsidP="00461601">
      <w:pPr>
        <w:pStyle w:val="LineTop"/>
      </w:pPr>
    </w:p>
    <w:p w:rsidR="00461601" w:rsidRPr="009D3306" w:rsidRDefault="00734D25" w:rsidP="00461601">
      <w:pPr>
        <w:pStyle w:val="EPBody"/>
      </w:pPr>
      <w:r w:rsidRPr="009D3306">
        <w:rPr>
          <w:rStyle w:val="HideTWBExt"/>
        </w:rPr>
        <w:t>&lt;</w:t>
      </w:r>
      <w:r w:rsidRPr="009D3306">
        <w:rPr>
          <w:rStyle w:val="HideTWBExt"/>
          <w:i w:val="0"/>
        </w:rPr>
        <w:t>Commission</w:t>
      </w:r>
      <w:r w:rsidRPr="009D3306">
        <w:rPr>
          <w:rStyle w:val="HideTWBExt"/>
        </w:rPr>
        <w:t>&gt;</w:t>
      </w:r>
      <w:r w:rsidRPr="009D3306">
        <w:rPr>
          <w:rStyle w:val="HideTWBInt"/>
          <w:color w:val="auto"/>
        </w:rPr>
        <w:t>{LIBE}</w:t>
      </w:r>
      <w:r w:rsidRPr="009D3306">
        <w:t>Komisja Wolności Obywatelskich, Sprawiedliwości i Spraw Wewnętrznych</w:t>
      </w:r>
      <w:r w:rsidRPr="009D3306">
        <w:rPr>
          <w:rStyle w:val="HideTWBExt"/>
        </w:rPr>
        <w:t>&lt;/</w:t>
      </w:r>
      <w:r w:rsidRPr="009D3306">
        <w:rPr>
          <w:rStyle w:val="HideTWBExt"/>
          <w:i w:val="0"/>
        </w:rPr>
        <w:t>Commission</w:t>
      </w:r>
      <w:r w:rsidRPr="009D3306">
        <w:rPr>
          <w:rStyle w:val="HideTWBExt"/>
        </w:rPr>
        <w:t>&gt;</w:t>
      </w:r>
    </w:p>
    <w:p w:rsidR="00461601" w:rsidRPr="009D3306" w:rsidRDefault="00461601" w:rsidP="00461601">
      <w:pPr>
        <w:pStyle w:val="LineBottom"/>
      </w:pPr>
    </w:p>
    <w:p w:rsidR="00793EA9" w:rsidRPr="009D3306" w:rsidRDefault="00734D25">
      <w:pPr>
        <w:pStyle w:val="CoverReference"/>
      </w:pPr>
      <w:r w:rsidRPr="009D3306">
        <w:rPr>
          <w:rStyle w:val="HideTWBExt"/>
          <w:b w:val="0"/>
        </w:rPr>
        <w:t>&lt;RefProc&gt;</w:t>
      </w:r>
      <w:r w:rsidRPr="009D3306">
        <w:t>2022/0425</w:t>
      </w:r>
      <w:r w:rsidRPr="009D3306">
        <w:rPr>
          <w:rStyle w:val="HideTWBExt"/>
          <w:b w:val="0"/>
        </w:rPr>
        <w:t>&lt;/RefProc&gt;&lt;RefTypeProc&gt;</w:t>
      </w:r>
      <w:r w:rsidRPr="009D3306">
        <w:t>(COD)</w:t>
      </w:r>
      <w:r w:rsidRPr="009D3306">
        <w:rPr>
          <w:rStyle w:val="HideTWBExt"/>
          <w:b w:val="0"/>
        </w:rPr>
        <w:t>&lt;/RefTypeProc&gt;</w:t>
      </w:r>
    </w:p>
    <w:p w:rsidR="00793EA9" w:rsidRPr="009D3306" w:rsidRDefault="00734D25">
      <w:pPr>
        <w:pStyle w:val="CoverDate"/>
      </w:pPr>
      <w:r w:rsidRPr="009D3306">
        <w:rPr>
          <w:rStyle w:val="HideTWBExt"/>
        </w:rPr>
        <w:t>&lt;Date&gt;</w:t>
      </w:r>
      <w:r w:rsidRPr="009D3306">
        <w:rPr>
          <w:rStyle w:val="HideTWBInt"/>
          <w:color w:val="auto"/>
        </w:rPr>
        <w:t>{04/07/2023}</w:t>
      </w:r>
      <w:r w:rsidRPr="009D3306">
        <w:t>4.7.2023</w:t>
      </w:r>
      <w:r w:rsidRPr="009D3306">
        <w:rPr>
          <w:rStyle w:val="HideTWBExt"/>
        </w:rPr>
        <w:t>&lt;/Date&gt;</w:t>
      </w:r>
    </w:p>
    <w:p w:rsidR="00793EA9" w:rsidRPr="009D3306" w:rsidRDefault="00734D25">
      <w:pPr>
        <w:pStyle w:val="CoverDocType"/>
      </w:pPr>
      <w:r w:rsidRPr="009D3306">
        <w:rPr>
          <w:rStyle w:val="HideTWBExt"/>
          <w:b w:val="0"/>
        </w:rPr>
        <w:t>&lt;RefProcLect&gt;</w:t>
      </w:r>
      <w:r w:rsidRPr="009D3306">
        <w:t>***I</w:t>
      </w:r>
      <w:r w:rsidRPr="009D3306">
        <w:rPr>
          <w:rStyle w:val="HideTWBExt"/>
          <w:b w:val="0"/>
        </w:rPr>
        <w:t>&lt;/RefProcLect&gt;</w:t>
      </w:r>
    </w:p>
    <w:p w:rsidR="00793EA9" w:rsidRPr="009D3306" w:rsidRDefault="00734D25">
      <w:pPr>
        <w:pStyle w:val="CoverDocType24a"/>
      </w:pPr>
      <w:r w:rsidRPr="009D3306">
        <w:rPr>
          <w:rStyle w:val="HideTWBExt"/>
          <w:b w:val="0"/>
        </w:rPr>
        <w:t>&lt;TitreType&gt;</w:t>
      </w:r>
      <w:r w:rsidRPr="009D3306">
        <w:t>PROJEKT SPRAWOZDANIA</w:t>
      </w:r>
      <w:r w:rsidRPr="009D3306">
        <w:rPr>
          <w:rStyle w:val="HideTWBExt"/>
          <w:b w:val="0"/>
        </w:rPr>
        <w:t>&lt;/TitreType&gt;</w:t>
      </w:r>
    </w:p>
    <w:p w:rsidR="00793EA9" w:rsidRPr="009D3306" w:rsidRDefault="00734D25">
      <w:pPr>
        <w:pStyle w:val="CoverNormal"/>
      </w:pPr>
      <w:r w:rsidRPr="009D3306">
        <w:rPr>
          <w:rStyle w:val="HideTWBExt"/>
        </w:rPr>
        <w:t>&lt;Titre&gt;</w:t>
      </w:r>
      <w:r w:rsidRPr="009D3306">
        <w:t>w sprawie wniosku dotyczącego rozporządzenia Parlamentu Europejskiego i Rady w sprawie gromadzenia i przekazywania danych pasażera przekazywanych przed podróżą w celu zapobiegania przestępst</w:t>
      </w:r>
      <w:r w:rsidRPr="009D3306">
        <w:t>wom terrorystycznym i poważnej przestępczości, ich wykrywania, prowadzenia postępowań przygotowawczych w ich sprawie i ich ścigania oraz zmieniającego rozporządzenie (UE) 2019/818</w:t>
      </w:r>
      <w:r w:rsidRPr="009D3306">
        <w:rPr>
          <w:rStyle w:val="HideTWBExt"/>
        </w:rPr>
        <w:t>&lt;/Titre&gt;</w:t>
      </w:r>
    </w:p>
    <w:p w:rsidR="00793EA9" w:rsidRPr="009D3306" w:rsidRDefault="00734D25">
      <w:pPr>
        <w:pStyle w:val="CoverNormal24a"/>
      </w:pPr>
      <w:r w:rsidRPr="009D3306">
        <w:rPr>
          <w:rStyle w:val="HideTWBExt"/>
        </w:rPr>
        <w:t>&lt;DocRef&gt;</w:t>
      </w:r>
      <w:r w:rsidRPr="009D3306">
        <w:t>(COM(2022)0731 – C9</w:t>
      </w:r>
      <w:r w:rsidRPr="009D3306">
        <w:noBreakHyphen/>
        <w:t>0427/2022 – 2022/0425(COD))</w:t>
      </w:r>
      <w:r w:rsidRPr="009D3306">
        <w:rPr>
          <w:rStyle w:val="HideTWBExt"/>
        </w:rPr>
        <w:t>&lt;/DocRef&gt;</w:t>
      </w:r>
    </w:p>
    <w:p w:rsidR="00793EA9" w:rsidRPr="009D3306" w:rsidRDefault="00734D25">
      <w:pPr>
        <w:pStyle w:val="CoverNormal24a"/>
      </w:pPr>
      <w:r w:rsidRPr="009D3306">
        <w:rPr>
          <w:rStyle w:val="HideTWBExt"/>
        </w:rPr>
        <w:t>&lt;Co</w:t>
      </w:r>
      <w:r w:rsidRPr="009D3306">
        <w:rPr>
          <w:rStyle w:val="HideTWBExt"/>
        </w:rPr>
        <w:t>mmission&gt;</w:t>
      </w:r>
      <w:r w:rsidRPr="009D3306">
        <w:rPr>
          <w:rStyle w:val="HideTWBInt"/>
          <w:color w:val="auto"/>
        </w:rPr>
        <w:t>{LIBE}</w:t>
      </w:r>
      <w:r w:rsidRPr="009D3306">
        <w:t>Komisja Wolności Obywatelskich, Sprawiedliwości i Spraw Wewnętrznych</w:t>
      </w:r>
      <w:r w:rsidRPr="009D3306">
        <w:rPr>
          <w:rStyle w:val="HideTWBExt"/>
        </w:rPr>
        <w:t>&lt;/Commission&gt;</w:t>
      </w:r>
    </w:p>
    <w:p w:rsidR="00793EA9" w:rsidRPr="009D3306" w:rsidRDefault="00734D25">
      <w:pPr>
        <w:pStyle w:val="CoverNormal24a"/>
      </w:pPr>
      <w:r w:rsidRPr="009D3306">
        <w:t xml:space="preserve">Sprawozdawczyni: </w:t>
      </w:r>
      <w:r w:rsidRPr="009D3306">
        <w:rPr>
          <w:rStyle w:val="HideTWBExt"/>
        </w:rPr>
        <w:t>&lt;Depute&gt;</w:t>
      </w:r>
      <w:r w:rsidRPr="009D3306">
        <w:t>Assita Kanko</w:t>
      </w:r>
      <w:r w:rsidRPr="009D3306">
        <w:rPr>
          <w:rStyle w:val="HideTWBExt"/>
        </w:rPr>
        <w:t>&lt;/Depute&gt;</w:t>
      </w:r>
    </w:p>
    <w:p w:rsidR="001C5B44" w:rsidRPr="009D3306" w:rsidRDefault="001C5B44" w:rsidP="001C5B44">
      <w:pPr>
        <w:pStyle w:val="CoverNormal"/>
      </w:pPr>
    </w:p>
    <w:p w:rsidR="006B14A7" w:rsidRPr="009D3306" w:rsidRDefault="00734D25" w:rsidP="00BD1ECD">
      <w:r w:rsidRPr="009D3306">
        <w:br w:type="page"/>
      </w:r>
      <w:fldSimple w:instr=" TITLE  \* MERGEFORMAT ">
        <w:r>
          <w:t>PR_COD_1amCom</w:t>
        </w:r>
      </w:fldSimple>
    </w:p>
    <w:p w:rsidR="006B14A7" w:rsidRPr="009D3306" w:rsidRDefault="006B14A7" w:rsidP="00BD1ECD"/>
    <w:p w:rsidR="006B14A7" w:rsidRPr="009D3306" w:rsidRDefault="006B14A7" w:rsidP="00BD1EC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C5AF3" w:rsidRPr="009D3306">
        <w:tc>
          <w:tcPr>
            <w:tcW w:w="5811" w:type="dxa"/>
          </w:tcPr>
          <w:p w:rsidR="006B14A7" w:rsidRPr="009D3306" w:rsidRDefault="00734D25" w:rsidP="00BD1ECD">
            <w:pPr>
              <w:pStyle w:val="Lgendetitre"/>
            </w:pPr>
            <w:r w:rsidRPr="009D3306">
              <w:t>Objaśnienie używanych znaków</w:t>
            </w:r>
          </w:p>
        </w:tc>
      </w:tr>
      <w:tr w:rsidR="003C5AF3" w:rsidRPr="009D3306" w:rsidTr="00BD1ECD">
        <w:trPr>
          <w:cantSplit/>
          <w:trHeight w:val="1807"/>
        </w:trPr>
        <w:tc>
          <w:tcPr>
            <w:tcW w:w="5811" w:type="dxa"/>
            <w:tcBorders>
              <w:bottom w:val="single" w:sz="4" w:space="0" w:color="auto"/>
            </w:tcBorders>
          </w:tcPr>
          <w:p w:rsidR="006B14A7" w:rsidRPr="009D3306" w:rsidRDefault="00734D25" w:rsidP="00BD1ECD">
            <w:pPr>
              <w:pStyle w:val="Lgendesigne"/>
            </w:pPr>
            <w:r w:rsidRPr="009D3306">
              <w:tab/>
              <w:t>*</w:t>
            </w:r>
            <w:r w:rsidRPr="009D3306">
              <w:tab/>
              <w:t>Procedura konsultacji</w:t>
            </w:r>
          </w:p>
          <w:p w:rsidR="006B14A7" w:rsidRPr="009D3306" w:rsidRDefault="00734D25" w:rsidP="00BD1ECD">
            <w:pPr>
              <w:pStyle w:val="Lgendesigne"/>
            </w:pPr>
            <w:r w:rsidRPr="009D3306">
              <w:tab/>
              <w:t>***</w:t>
            </w:r>
            <w:r w:rsidRPr="009D3306">
              <w:tab/>
            </w:r>
            <w:r w:rsidRPr="009D3306">
              <w:t>Procedura zgody</w:t>
            </w:r>
          </w:p>
          <w:p w:rsidR="006B14A7" w:rsidRPr="009D3306" w:rsidRDefault="00734D25" w:rsidP="00BD1ECD">
            <w:pPr>
              <w:pStyle w:val="Lgendesigne"/>
            </w:pPr>
            <w:r w:rsidRPr="009D3306">
              <w:tab/>
              <w:t>***I</w:t>
            </w:r>
            <w:r w:rsidRPr="009D3306">
              <w:tab/>
              <w:t>Zwykła procedura ustawodawcza (pierwsze czytanie)</w:t>
            </w:r>
          </w:p>
          <w:p w:rsidR="006B14A7" w:rsidRPr="009D3306" w:rsidRDefault="00734D25" w:rsidP="00BD1ECD">
            <w:pPr>
              <w:pStyle w:val="Lgendesigne"/>
            </w:pPr>
            <w:r w:rsidRPr="009D3306">
              <w:tab/>
              <w:t>***II</w:t>
            </w:r>
            <w:r w:rsidRPr="009D3306">
              <w:tab/>
              <w:t>Zwykła procedura ustawodawcza (drugie czytanie)</w:t>
            </w:r>
          </w:p>
          <w:p w:rsidR="006B14A7" w:rsidRPr="009D3306" w:rsidRDefault="00734D25" w:rsidP="00BD1ECD">
            <w:pPr>
              <w:pStyle w:val="Lgendesigne"/>
            </w:pPr>
            <w:r w:rsidRPr="009D3306">
              <w:tab/>
              <w:t>***III</w:t>
            </w:r>
            <w:r w:rsidRPr="009D3306">
              <w:tab/>
              <w:t>Zwykła procedura ustawodawcza (trzecie czytanie)</w:t>
            </w:r>
          </w:p>
          <w:p w:rsidR="006B14A7" w:rsidRPr="009D3306" w:rsidRDefault="006B14A7" w:rsidP="00BD1ECD">
            <w:pPr>
              <w:pStyle w:val="Lgendestandard"/>
            </w:pPr>
          </w:p>
          <w:p w:rsidR="006B14A7" w:rsidRPr="009D3306" w:rsidRDefault="00734D25" w:rsidP="00BD1ECD">
            <w:pPr>
              <w:pStyle w:val="Lgendestandard"/>
            </w:pPr>
            <w:r w:rsidRPr="009D3306">
              <w:t>(Wskazana procedura opiera się na podstawie prawnej zaproponowanej w pr</w:t>
            </w:r>
            <w:r w:rsidRPr="009D3306">
              <w:t>ojekcie aktu.)</w:t>
            </w:r>
          </w:p>
          <w:p w:rsidR="006B14A7" w:rsidRPr="009D3306" w:rsidRDefault="006B14A7" w:rsidP="00BD1ECD">
            <w:pPr>
              <w:pStyle w:val="Lgendestandard"/>
            </w:pPr>
          </w:p>
        </w:tc>
      </w:tr>
    </w:tbl>
    <w:p w:rsidR="006B14A7" w:rsidRPr="009D3306" w:rsidRDefault="006B14A7" w:rsidP="00BD1ECD"/>
    <w:p w:rsidR="006B14A7" w:rsidRPr="009D3306" w:rsidRDefault="006B14A7" w:rsidP="00BD1ECD"/>
    <w:p w:rsidR="006B14A7" w:rsidRPr="009D3306" w:rsidRDefault="006B14A7" w:rsidP="00BD1ECD"/>
    <w:p w:rsidR="006B14A7" w:rsidRPr="009D3306" w:rsidRDefault="006B14A7" w:rsidP="00BD1EC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C5AF3" w:rsidRPr="009D3306">
        <w:tc>
          <w:tcPr>
            <w:tcW w:w="5811" w:type="dxa"/>
          </w:tcPr>
          <w:p w:rsidR="006B14A7" w:rsidRPr="009D3306" w:rsidRDefault="00734D25" w:rsidP="00BD1ECD">
            <w:pPr>
              <w:pStyle w:val="Lgendetitre"/>
            </w:pPr>
            <w:r w:rsidRPr="009D3306">
              <w:t>Poprawki do projektu aktu</w:t>
            </w:r>
          </w:p>
        </w:tc>
      </w:tr>
      <w:tr w:rsidR="003C5AF3" w:rsidRPr="009D3306" w:rsidTr="00BD1ECD">
        <w:trPr>
          <w:trHeight w:val="4496"/>
        </w:trPr>
        <w:tc>
          <w:tcPr>
            <w:tcW w:w="5811" w:type="dxa"/>
          </w:tcPr>
          <w:p w:rsidR="006B14A7" w:rsidRPr="009D3306" w:rsidRDefault="00734D25" w:rsidP="00BD1ECD">
            <w:pPr>
              <w:pStyle w:val="Lgendestandard"/>
              <w:rPr>
                <w:szCs w:val="24"/>
              </w:rPr>
            </w:pPr>
            <w:r w:rsidRPr="009D3306">
              <w:rPr>
                <w:b/>
              </w:rPr>
              <w:t>Poprawki Parlamentu w postaci dwóch kolumn</w:t>
            </w:r>
          </w:p>
          <w:p w:rsidR="006B14A7" w:rsidRPr="009D3306" w:rsidRDefault="006B14A7" w:rsidP="00BD1ECD">
            <w:pPr>
              <w:pStyle w:val="Lgendestandard"/>
              <w:rPr>
                <w:szCs w:val="24"/>
              </w:rPr>
            </w:pPr>
          </w:p>
          <w:p w:rsidR="006B14A7" w:rsidRPr="009D3306" w:rsidRDefault="00734D25" w:rsidP="00BD1ECD">
            <w:pPr>
              <w:pStyle w:val="Lgendestandard"/>
              <w:rPr>
                <w:szCs w:val="24"/>
              </w:rPr>
            </w:pPr>
            <w:r w:rsidRPr="009D3306">
              <w:t xml:space="preserve">Skreślenia zaznacza się </w:t>
            </w:r>
            <w:r w:rsidRPr="009D3306">
              <w:rPr>
                <w:b/>
                <w:i/>
              </w:rPr>
              <w:t>wytłuszczonym drukiem i kursywą</w:t>
            </w:r>
            <w:r w:rsidRPr="009D3306">
              <w:t xml:space="preserve"> w lewej kolumnie. Zmianę brzmienia zaznacza się </w:t>
            </w:r>
            <w:r w:rsidRPr="009D3306">
              <w:rPr>
                <w:b/>
                <w:i/>
              </w:rPr>
              <w:t>wytłuszczonym drukiem i kursywą</w:t>
            </w:r>
            <w:r w:rsidRPr="009D3306">
              <w:t xml:space="preserve"> w obu kolumnach. </w:t>
            </w:r>
            <w:r w:rsidRPr="009D3306">
              <w:t xml:space="preserve">Nowy tekst zaznacza się </w:t>
            </w:r>
            <w:r w:rsidRPr="009D3306">
              <w:rPr>
                <w:b/>
                <w:i/>
              </w:rPr>
              <w:t>wytłuszczonym drukiem i kursywą</w:t>
            </w:r>
            <w:r w:rsidRPr="009D3306">
              <w:t xml:space="preserve"> w prawej kolumnie.</w:t>
            </w:r>
          </w:p>
          <w:p w:rsidR="006B14A7" w:rsidRPr="009D3306" w:rsidRDefault="006B14A7" w:rsidP="00BD1ECD">
            <w:pPr>
              <w:pStyle w:val="Lgendestandard"/>
              <w:rPr>
                <w:szCs w:val="24"/>
              </w:rPr>
            </w:pPr>
          </w:p>
          <w:p w:rsidR="006B14A7" w:rsidRPr="009D3306" w:rsidRDefault="00734D25" w:rsidP="00BD1ECD">
            <w:pPr>
              <w:pStyle w:val="Lgendestandard"/>
              <w:rPr>
                <w:szCs w:val="24"/>
              </w:rPr>
            </w:pPr>
            <w:r w:rsidRPr="009D3306">
              <w:t xml:space="preserve">Pierwszy i drugi wiersz nagłówka każdej poprawki wskazuje element rozpatrywanego projektu aktu, którego dotyczy poprawka. Jeżeli poprawka odnosi się do obowiązującego aktu, do </w:t>
            </w:r>
            <w:r w:rsidRPr="009D3306">
              <w:t>którego zmiany zmierza projekt aktu, nagłówek zawiera dodatkowo trzeci wiersz, w którym wskazuje się odpowiednio obowiązujący akt i przepis, którego dotyczy poprawka.</w:t>
            </w:r>
          </w:p>
          <w:p w:rsidR="006B14A7" w:rsidRPr="009D3306" w:rsidRDefault="006B14A7" w:rsidP="00BD1ECD">
            <w:pPr>
              <w:pStyle w:val="Lgendestandard"/>
              <w:rPr>
                <w:szCs w:val="24"/>
              </w:rPr>
            </w:pPr>
          </w:p>
          <w:p w:rsidR="006B14A7" w:rsidRPr="009D3306" w:rsidRDefault="00734D25" w:rsidP="00BD1ECD">
            <w:pPr>
              <w:pStyle w:val="Lgendestandard"/>
              <w:rPr>
                <w:b/>
                <w:szCs w:val="24"/>
              </w:rPr>
            </w:pPr>
            <w:r w:rsidRPr="009D3306">
              <w:rPr>
                <w:b/>
              </w:rPr>
              <w:t>Poprawki Parlamentu w postaci tekstu skonsolidowanego</w:t>
            </w:r>
          </w:p>
          <w:p w:rsidR="006B14A7" w:rsidRPr="009D3306" w:rsidRDefault="006B14A7" w:rsidP="00BD1ECD">
            <w:pPr>
              <w:pStyle w:val="Lgendestandard"/>
              <w:rPr>
                <w:szCs w:val="24"/>
              </w:rPr>
            </w:pPr>
          </w:p>
          <w:p w:rsidR="006B14A7" w:rsidRPr="009D3306" w:rsidRDefault="00734D25" w:rsidP="00BD1ECD">
            <w:pPr>
              <w:pStyle w:val="Lgendestandard"/>
              <w:rPr>
                <w:szCs w:val="24"/>
              </w:rPr>
            </w:pPr>
            <w:r w:rsidRPr="009D3306">
              <w:t>Nowe fragmenty tekstu zaznacza si</w:t>
            </w:r>
            <w:r w:rsidRPr="009D3306">
              <w:t xml:space="preserve">ę </w:t>
            </w:r>
            <w:r w:rsidRPr="009D3306">
              <w:rPr>
                <w:b/>
                <w:i/>
              </w:rPr>
              <w:t>wytłuszczonym drukiem i kursywą</w:t>
            </w:r>
            <w:r w:rsidRPr="009D3306">
              <w:t xml:space="preserve">. Fragmenty tekstu, które zostały skreślone, zaznacza się za pomocą symbolu ▌ lub przekreśla. Zmianę brzmienia zaznacza się przez wyróżnienie nowego tekstu </w:t>
            </w:r>
            <w:r w:rsidRPr="009D3306">
              <w:rPr>
                <w:b/>
                <w:i/>
              </w:rPr>
              <w:t>wytłuszczonym drukiem i kursywą</w:t>
            </w:r>
            <w:r w:rsidRPr="009D3306">
              <w:t xml:space="preserve"> i usunięcie lub przekreślenie zastą</w:t>
            </w:r>
            <w:r w:rsidRPr="009D3306">
              <w:t xml:space="preserve">pionego tekstu. </w:t>
            </w:r>
          </w:p>
          <w:p w:rsidR="006B14A7" w:rsidRPr="009D3306" w:rsidRDefault="00734D25" w:rsidP="00BD1ECD">
            <w:pPr>
              <w:pStyle w:val="Lgendestandard"/>
            </w:pPr>
            <w:r w:rsidRPr="009D3306">
              <w:t>Tytułem wyjątku nie zaznacza się zmian o charakterze ściśle technicznym wprowadzonych przez służby w celu opracowania końcowej wersji tekstu.</w:t>
            </w:r>
          </w:p>
          <w:p w:rsidR="006B14A7" w:rsidRPr="009D3306" w:rsidRDefault="006B14A7" w:rsidP="00BD1ECD">
            <w:pPr>
              <w:pStyle w:val="Lgendestandard"/>
            </w:pPr>
          </w:p>
        </w:tc>
      </w:tr>
    </w:tbl>
    <w:p w:rsidR="006B14A7" w:rsidRPr="009D3306" w:rsidRDefault="006B14A7" w:rsidP="00BD1ECD"/>
    <w:p w:rsidR="00793EA9" w:rsidRPr="009D3306" w:rsidRDefault="00793EA9" w:rsidP="00012351">
      <w:pPr>
        <w:widowControl/>
        <w:tabs>
          <w:tab w:val="center" w:pos="4677"/>
        </w:tabs>
      </w:pPr>
    </w:p>
    <w:p w:rsidR="00793EA9" w:rsidRPr="009D3306" w:rsidRDefault="00734D25">
      <w:pPr>
        <w:pStyle w:val="TOCHeading"/>
      </w:pPr>
      <w:r w:rsidRPr="009D3306">
        <w:br w:type="page"/>
      </w:r>
      <w:r w:rsidRPr="009D3306">
        <w:lastRenderedPageBreak/>
        <w:t>SPIS TREŚCI</w:t>
      </w:r>
    </w:p>
    <w:p w:rsidR="00793EA9" w:rsidRPr="009D3306" w:rsidRDefault="00734D25">
      <w:pPr>
        <w:pStyle w:val="TOCPage"/>
      </w:pPr>
      <w:r w:rsidRPr="009D3306">
        <w:t>Strona</w:t>
      </w:r>
    </w:p>
    <w:p w:rsidR="00734D25" w:rsidRDefault="00734D25">
      <w:pPr>
        <w:pStyle w:val="TOC1"/>
        <w:tabs>
          <w:tab w:val="right" w:leader="dot" w:pos="9060"/>
        </w:tabs>
        <w:rPr>
          <w:rFonts w:asciiTheme="minorHAnsi" w:eastAsiaTheme="minorEastAsia" w:hAnsiTheme="minorHAnsi" w:cstheme="minorBidi"/>
          <w:noProof/>
          <w:sz w:val="22"/>
          <w:szCs w:val="22"/>
          <w:lang w:eastAsia="pl-PL"/>
        </w:rPr>
      </w:pPr>
      <w:r w:rsidRPr="009D3306">
        <w:rPr>
          <w:b/>
        </w:rPr>
        <w:fldChar w:fldCharType="begin"/>
      </w:r>
      <w:r w:rsidRPr="009D3306">
        <w:rPr>
          <w:b/>
        </w:rPr>
        <w:instrText xml:space="preserve"> TOC \t "PageHeading</w:instrText>
      </w:r>
      <w:r w:rsidR="007848AD">
        <w:rPr>
          <w:b/>
        </w:rPr>
        <w:instrText>;</w:instrText>
      </w:r>
      <w:r w:rsidRPr="009D3306">
        <w:rPr>
          <w:b/>
        </w:rPr>
        <w:instrText xml:space="preserve">1" </w:instrText>
      </w:r>
      <w:r w:rsidRPr="009D3306">
        <w:rPr>
          <w:b/>
        </w:rPr>
        <w:fldChar w:fldCharType="separate"/>
      </w:r>
      <w:r>
        <w:rPr>
          <w:noProof/>
        </w:rPr>
        <w:t>PROJEKT REZOLUCJI USTAWODAWCZEJ PARLAMENTU EUROPEJSKIEGO</w:t>
      </w:r>
      <w:r>
        <w:rPr>
          <w:noProof/>
        </w:rPr>
        <w:tab/>
      </w:r>
      <w:r>
        <w:rPr>
          <w:noProof/>
        </w:rPr>
        <w:fldChar w:fldCharType="begin"/>
      </w:r>
      <w:r>
        <w:rPr>
          <w:noProof/>
        </w:rPr>
        <w:instrText xml:space="preserve"> PAGEREF _Toc143156512 \h </w:instrText>
      </w:r>
      <w:r>
        <w:rPr>
          <w:noProof/>
        </w:rPr>
      </w:r>
      <w:r>
        <w:rPr>
          <w:noProof/>
        </w:rPr>
        <w:fldChar w:fldCharType="separate"/>
      </w:r>
      <w:r>
        <w:rPr>
          <w:noProof/>
        </w:rPr>
        <w:t>5</w:t>
      </w:r>
      <w:r>
        <w:rPr>
          <w:noProof/>
        </w:rPr>
        <w:fldChar w:fldCharType="end"/>
      </w:r>
    </w:p>
    <w:p w:rsidR="00734D25" w:rsidRDefault="00734D25">
      <w:pPr>
        <w:pStyle w:val="TOC1"/>
        <w:tabs>
          <w:tab w:val="right" w:leader="dot" w:pos="9060"/>
        </w:tabs>
        <w:rPr>
          <w:rFonts w:asciiTheme="minorHAnsi" w:eastAsiaTheme="minorEastAsia" w:hAnsiTheme="minorHAnsi" w:cstheme="minorBidi"/>
          <w:noProof/>
          <w:sz w:val="22"/>
          <w:szCs w:val="22"/>
          <w:lang w:eastAsia="pl-PL"/>
        </w:rPr>
      </w:pPr>
      <w:r>
        <w:rPr>
          <w:noProof/>
        </w:rPr>
        <w:t>UZASADNIENIE</w:t>
      </w:r>
      <w:r>
        <w:rPr>
          <w:noProof/>
        </w:rPr>
        <w:tab/>
      </w:r>
      <w:r>
        <w:rPr>
          <w:noProof/>
        </w:rPr>
        <w:fldChar w:fldCharType="begin"/>
      </w:r>
      <w:r>
        <w:rPr>
          <w:noProof/>
        </w:rPr>
        <w:instrText xml:space="preserve"> PAGEREF _Toc143156513 \h </w:instrText>
      </w:r>
      <w:r>
        <w:rPr>
          <w:noProof/>
        </w:rPr>
      </w:r>
      <w:r>
        <w:rPr>
          <w:noProof/>
        </w:rPr>
        <w:fldChar w:fldCharType="separate"/>
      </w:r>
      <w:r>
        <w:rPr>
          <w:noProof/>
        </w:rPr>
        <w:t>19</w:t>
      </w:r>
      <w:r>
        <w:rPr>
          <w:noProof/>
        </w:rPr>
        <w:fldChar w:fldCharType="end"/>
      </w:r>
    </w:p>
    <w:p w:rsidR="002346B0" w:rsidRPr="009D3306" w:rsidRDefault="00734D25" w:rsidP="00C23324">
      <w:r w:rsidRPr="009D3306">
        <w:rPr>
          <w:b/>
        </w:rPr>
        <w:fldChar w:fldCharType="end"/>
      </w:r>
    </w:p>
    <w:p w:rsidR="00793EA9" w:rsidRPr="009D3306" w:rsidRDefault="00734D25">
      <w:pPr>
        <w:pStyle w:val="PageHeading"/>
      </w:pPr>
      <w:r w:rsidRPr="009D3306">
        <w:br w:type="page"/>
      </w:r>
      <w:r w:rsidRPr="009D3306">
        <w:lastRenderedPageBreak/>
        <w:br w:type="page"/>
      </w:r>
      <w:bookmarkStart w:id="1" w:name="_Toc143156512"/>
      <w:r w:rsidRPr="009D3306">
        <w:lastRenderedPageBreak/>
        <w:t>PROJEKT REZOLUCJI USTAWODAWCZEJ PARLA</w:t>
      </w:r>
      <w:r w:rsidRPr="009D3306">
        <w:t>MENTU EUROPEJSKIEGO</w:t>
      </w:r>
      <w:bookmarkEnd w:id="1"/>
    </w:p>
    <w:p w:rsidR="00793EA9" w:rsidRPr="009D3306" w:rsidRDefault="00734D25">
      <w:pPr>
        <w:pStyle w:val="NormalBold"/>
      </w:pPr>
      <w:r w:rsidRPr="009D3306">
        <w:t>w sprawie wniosku dotyczącego rozporządzenia Parlamentu Europejskiego i Rady w sprawie gromadzenia i przekazywania danych pasażera przekazywanych przed podróżą w celu zapobiegania przestępstwom terrorystycznym i poważnej przestępczości,</w:t>
      </w:r>
      <w:r w:rsidRPr="009D3306">
        <w:t xml:space="preserve"> ich wykrywania, prowadzenia postępowań przygotowawczych w ich sprawie i ich ścigania oraz zmieniającego rozporządzenie (UE) 2019/818</w:t>
      </w:r>
    </w:p>
    <w:p w:rsidR="00793EA9" w:rsidRPr="009D3306" w:rsidRDefault="00734D25">
      <w:pPr>
        <w:pStyle w:val="NormalBold12a"/>
      </w:pPr>
      <w:r w:rsidRPr="009D3306">
        <w:t>(COM(2022)0731 – C9</w:t>
      </w:r>
      <w:r w:rsidRPr="009D3306">
        <w:noBreakHyphen/>
        <w:t>0427/2022 – 2022/0425(COD))</w:t>
      </w:r>
    </w:p>
    <w:p w:rsidR="00793EA9" w:rsidRPr="009D3306" w:rsidRDefault="00734D25" w:rsidP="00A910C9">
      <w:pPr>
        <w:pStyle w:val="NormalBold"/>
      </w:pPr>
      <w:r w:rsidRPr="009D3306">
        <w:t>(Zwykła procedura ustawodawcza: pierwsze czytanie)</w:t>
      </w:r>
    </w:p>
    <w:p w:rsidR="00793EA9" w:rsidRPr="009D3306" w:rsidRDefault="00734D25" w:rsidP="00A910C9">
      <w:pPr>
        <w:pStyle w:val="EPComma"/>
      </w:pPr>
      <w:r w:rsidRPr="009D3306">
        <w:rPr>
          <w:i/>
        </w:rPr>
        <w:t>Parlament Europejski</w:t>
      </w:r>
      <w:r w:rsidRPr="009D3306">
        <w:t>,</w:t>
      </w:r>
    </w:p>
    <w:p w:rsidR="00793EA9" w:rsidRPr="009D3306" w:rsidRDefault="00734D25">
      <w:pPr>
        <w:pStyle w:val="NormalHanging12a"/>
      </w:pPr>
      <w:r w:rsidRPr="009D3306">
        <w:t>–</w:t>
      </w:r>
      <w:r w:rsidRPr="009D3306">
        <w:tab/>
        <w:t>uwzględniając wniosek Komisji przedstawiony Parlamentowi Europejskiemu i Radzie (COM(2022)0731),</w:t>
      </w:r>
    </w:p>
    <w:p w:rsidR="00793EA9" w:rsidRPr="009D3306" w:rsidRDefault="00734D25">
      <w:pPr>
        <w:pStyle w:val="NormalHanging12a"/>
      </w:pPr>
      <w:r w:rsidRPr="009D3306">
        <w:t>–</w:t>
      </w:r>
      <w:r w:rsidRPr="009D3306">
        <w:tab/>
        <w:t>uwzględniając art. 294 ust. 2 i art. 82 ust. 1 lit. d) oraz art. 87 ust. 2 lit. a) Traktatu o funkcjonowaniu Unii Europejskiej, zgodnie z którymi wniosek zo</w:t>
      </w:r>
      <w:r w:rsidRPr="009D3306">
        <w:t>stał przedstawiony Parlamentowi przez Komisję (C9</w:t>
      </w:r>
      <w:r w:rsidRPr="009D3306">
        <w:noBreakHyphen/>
        <w:t>0427/2022),</w:t>
      </w:r>
    </w:p>
    <w:p w:rsidR="00A26F46" w:rsidRPr="009D3306" w:rsidRDefault="00734D25" w:rsidP="00A26F46">
      <w:pPr>
        <w:pStyle w:val="NormalHanging12a"/>
      </w:pPr>
      <w:r w:rsidRPr="009D3306">
        <w:t>–</w:t>
      </w:r>
      <w:r w:rsidRPr="009D3306">
        <w:tab/>
        <w:t>uwzględniając art. 294 ust. 3 Traktatu o funkcjonowaniu Unii Europejskiej,</w:t>
      </w:r>
    </w:p>
    <w:p w:rsidR="00793EA9" w:rsidRPr="009D3306" w:rsidRDefault="00734D25">
      <w:pPr>
        <w:pStyle w:val="NormalHanging12a"/>
      </w:pPr>
      <w:r w:rsidRPr="009D3306">
        <w:t>–</w:t>
      </w:r>
      <w:r w:rsidRPr="009D3306">
        <w:tab/>
        <w:t>uwzględniając art. 59 Regulaminu,</w:t>
      </w:r>
    </w:p>
    <w:p w:rsidR="006A2F5D" w:rsidRPr="009D3306" w:rsidRDefault="00734D25" w:rsidP="006A2F5D">
      <w:pPr>
        <w:pStyle w:val="NormalHanging12a"/>
      </w:pPr>
      <w:r w:rsidRPr="009D3306">
        <w:t>–</w:t>
      </w:r>
      <w:r w:rsidRPr="009D3306">
        <w:tab/>
        <w:t>uwzględniając opinię przedstawioną przez Komisję Transportu i Turystyki,</w:t>
      </w:r>
    </w:p>
    <w:p w:rsidR="006A2F5D" w:rsidRPr="009D3306" w:rsidRDefault="00734D25" w:rsidP="006A2F5D">
      <w:pPr>
        <w:pStyle w:val="NormalHanging12a"/>
      </w:pPr>
      <w:r w:rsidRPr="009D3306">
        <w:t>–</w:t>
      </w:r>
      <w:r w:rsidRPr="009D3306">
        <w:tab/>
        <w:t>uwzg</w:t>
      </w:r>
      <w:r w:rsidRPr="009D3306">
        <w:t>lędniając sprawozdanie Komisji Wolności Obywatelskich, Sprawiedliwości i Spraw Wewnętrznych (A9</w:t>
      </w:r>
      <w:r w:rsidRPr="009D3306">
        <w:noBreakHyphen/>
        <w:t>0000/2023),</w:t>
      </w:r>
    </w:p>
    <w:p w:rsidR="009F6C2F" w:rsidRPr="009D3306" w:rsidRDefault="00734D25" w:rsidP="009F6C2F">
      <w:pPr>
        <w:pStyle w:val="NormalHanging12a"/>
      </w:pPr>
      <w:r w:rsidRPr="009D3306">
        <w:t>1.</w:t>
      </w:r>
      <w:r w:rsidRPr="009D3306">
        <w:tab/>
        <w:t>przyjmuje poniższe stanowisko w pierwszym czytaniu;</w:t>
      </w:r>
    </w:p>
    <w:p w:rsidR="0024489E" w:rsidRPr="009D3306" w:rsidRDefault="00734D25" w:rsidP="0024489E">
      <w:pPr>
        <w:pStyle w:val="NormalHanging12a"/>
      </w:pPr>
      <w:r w:rsidRPr="009D3306">
        <w:t>2.</w:t>
      </w:r>
      <w:r w:rsidRPr="009D3306">
        <w:tab/>
        <w:t>zwraca się do Komisji o ponowne przekazanie mu sprawy, jeśli zastąpi ona pierwotny wniosek</w:t>
      </w:r>
      <w:r w:rsidRPr="009D3306">
        <w:t>, wprowadzi w nim istotne zmiany lub planuje ich wprowadzenie;</w:t>
      </w:r>
    </w:p>
    <w:p w:rsidR="00D30DE2" w:rsidRPr="009D3306" w:rsidRDefault="00734D25" w:rsidP="0024489E">
      <w:pPr>
        <w:pStyle w:val="NormalHanging12a"/>
      </w:pPr>
      <w:r w:rsidRPr="009D3306">
        <w:t>3.</w:t>
      </w:r>
      <w:r w:rsidRPr="009D3306">
        <w:tab/>
        <w:t>zobowiązuje swoją przewodniczącą do przekazania stanowiska Parlamentu Radzie i Komisji oraz parlamentom narodowym.</w:t>
      </w:r>
    </w:p>
    <w:p w:rsidR="00AD0024" w:rsidRPr="009D3306" w:rsidRDefault="00AD0024" w:rsidP="0024489E">
      <w:pPr>
        <w:pStyle w:val="NormalHanging12a"/>
      </w:pPr>
    </w:p>
    <w:p w:rsidR="00AD0024" w:rsidRPr="009D3306" w:rsidRDefault="00734D25" w:rsidP="00AD0024">
      <w:pPr>
        <w:pStyle w:val="AMNumberTabs0"/>
        <w:keepNext/>
      </w:pPr>
      <w:r w:rsidRPr="009D3306">
        <w:rPr>
          <w:rStyle w:val="HideTWBExt"/>
          <w:b w:val="0"/>
        </w:rPr>
        <w:t>&lt;RepeatBlock-Amend&gt;&lt;Amend&gt;</w:t>
      </w:r>
      <w:r w:rsidRPr="009D3306">
        <w:t>Poprawka</w:t>
      </w:r>
      <w:r w:rsidRPr="009D3306">
        <w:tab/>
      </w:r>
      <w:r w:rsidRPr="009D3306">
        <w:tab/>
      </w:r>
      <w:r w:rsidRPr="009D3306">
        <w:rPr>
          <w:rStyle w:val="HideTWBExt"/>
          <w:b w:val="0"/>
        </w:rPr>
        <w:t>&lt;NumAm&gt;</w:t>
      </w:r>
      <w:r w:rsidRPr="009D3306">
        <w:t>1</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w:t>
      </w:r>
      <w:r w:rsidRPr="009D3306">
        <w: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11</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(11)</w:t>
            </w:r>
            <w:r w:rsidRPr="009D3306">
              <w:tab/>
              <w:t xml:space="preserve">Aby zapewnić w jak największym stopniu spójne podejście do gromadzenia i przekazywania danych API przez przewoźników lotniczych, przepisy </w:t>
            </w:r>
            <w:r w:rsidRPr="009D3306">
              <w:lastRenderedPageBreak/>
              <w:t>określone w niniejszym rozporządzeniu należy w stosownych przypadkach dostosować do przepisów określonych w rozporządzeniu (UE) [w sprawie danych API w obszarze zarządzania granicami]. Dotyczy to w szczególności przepisów odnoszących się do jakości danych,</w:t>
            </w:r>
            <w:r w:rsidRPr="009D3306">
              <w:t xml:space="preserve"> wykorzystania przez przewoźników lotniczych zautomatyzowanych środków do gromadzenia danych, dokładnego sposobu przekazywania zgromadzonych danych API do routera oraz usunięcia danych API.</w:t>
            </w:r>
          </w:p>
        </w:tc>
        <w:tc>
          <w:tcPr>
            <w:tcW w:w="4876" w:type="dxa"/>
            <w:hideMark/>
          </w:tcPr>
          <w:p w:rsidR="00AD0024" w:rsidRPr="009D3306" w:rsidRDefault="00734D25" w:rsidP="00ED687D">
            <w:pPr>
              <w:pStyle w:val="Normal6"/>
              <w:rPr>
                <w:szCs w:val="24"/>
              </w:rPr>
            </w:pPr>
            <w:r w:rsidRPr="009D3306">
              <w:lastRenderedPageBreak/>
              <w:t>(11)</w:t>
            </w:r>
            <w:r w:rsidRPr="009D3306">
              <w:tab/>
              <w:t>Aby zapewnić w jak największym stopniu spójne podejście do gr</w:t>
            </w:r>
            <w:r w:rsidRPr="009D3306">
              <w:t xml:space="preserve">omadzenia i przekazywania danych API przez przewoźników lotniczych, przepisy </w:t>
            </w:r>
            <w:r w:rsidRPr="009D3306">
              <w:lastRenderedPageBreak/>
              <w:t>określone w niniejszym rozporządzeniu należy w stosownych przypadkach dostosować do przepisów określonych w rozporządzeniu (UE) [w sprawie danych API w obszarze zarządzania granic</w:t>
            </w:r>
            <w:r w:rsidRPr="009D3306">
              <w:t xml:space="preserve">ami]. Dotyczy to w szczególności przepisów odnoszących się do jakości danych, </w:t>
            </w:r>
            <w:r w:rsidRPr="009D3306">
              <w:rPr>
                <w:b/>
                <w:i/>
              </w:rPr>
              <w:t xml:space="preserve">obowiązkowego </w:t>
            </w:r>
            <w:r w:rsidRPr="009D3306">
              <w:t>wykorzystania przez przewoźników lotniczych zautomatyzowanych środków do gromadzenia danych</w:t>
            </w:r>
            <w:r w:rsidRPr="009D3306">
              <w:rPr>
                <w:b/>
                <w:i/>
              </w:rPr>
              <w:t>, z wyjątkiem sytuacji, gdy dokumenty podróży nie zawierają danych nadają</w:t>
            </w:r>
            <w:r w:rsidRPr="009D3306">
              <w:rPr>
                <w:b/>
                <w:i/>
              </w:rPr>
              <w:t>cych się do odczytu maszynowego lub gdy gromadzenie danych API w sposób zautomatyzowany jest niewykonalne pod względem technicznym</w:t>
            </w:r>
            <w:r w:rsidRPr="009D3306">
              <w:t>, dokładnego sposobu przekazywania zgromadzonych danych API do routera oraz usunięcia danych API.</w:t>
            </w:r>
          </w:p>
        </w:tc>
      </w:tr>
    </w:tbl>
    <w:p w:rsidR="00AD0024" w:rsidRPr="009D3306" w:rsidRDefault="00734D25" w:rsidP="00AD0024">
      <w:pPr>
        <w:pStyle w:val="Olang"/>
        <w:rPr>
          <w:sz w:val="24"/>
          <w:szCs w:val="24"/>
        </w:rPr>
      </w:pPr>
      <w:r w:rsidRPr="009D3306">
        <w:rPr>
          <w:sz w:val="24"/>
          <w:szCs w:val="24"/>
        </w:rPr>
        <w:lastRenderedPageBreak/>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w:t>
      </w:r>
      <w:r w:rsidRPr="009D3306">
        <w:rPr>
          <w:rStyle w:val="HideTWBExt"/>
        </w:rPr>
        <w:t>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11 a (nowy)</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rPr>
                <w:szCs w:val="24"/>
              </w:rPr>
            </w:pPr>
            <w:r w:rsidRPr="009D3306">
              <w:rPr>
                <w:b/>
                <w:i/>
              </w:rPr>
              <w:t>(11a)</w:t>
            </w:r>
            <w:r w:rsidRPr="009D3306">
              <w:rPr>
                <w:b/>
                <w:i/>
              </w:rPr>
              <w:tab/>
              <w:t xml:space="preserve">Komisja powinna zapewnić, aby obowiązek stosowania </w:t>
            </w:r>
            <w:r w:rsidRPr="009D3306">
              <w:rPr>
                <w:b/>
                <w:i/>
              </w:rPr>
              <w:t>zautomatyzowanych środków gromadzenia danych API nie prowadził do nieproporcjonalnych przeszkód, takich jak dodatkowe opłaty za odprawę w porcie lotniczym stosowane wobec pasażerów, którzy nie mogą skorzystać z innych środków automatycznej odprawy.</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w:t>
      </w:r>
      <w:r w:rsidRPr="009D3306">
        <w:rPr>
          <w:rStyle w:val="HideTWBExt"/>
        </w:rPr>
        <w:t>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3</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14</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(14)</w:t>
            </w:r>
            <w:r w:rsidRPr="009D3306">
              <w:tab/>
              <w:t xml:space="preserve">W odniesieniu do lotów wewnątrzunijnych, zgodnie </w:t>
            </w:r>
            <w:r w:rsidRPr="009D3306">
              <w:lastRenderedPageBreak/>
              <w:t>z orzecznictwem Trybunału Sprawiedliwości Unii Europejskiej (TSUE), aby uniknąć nieuzasadnionej ingerencji w odpowiednie prawa podstawowe chronione na podstawie Karty oraz zapewnić zgodność z wymogami prawa Unii dotyczącymi swobodnego przepływu osób i znie</w:t>
            </w:r>
            <w:r w:rsidRPr="009D3306">
              <w:t>sienia kontroli na granicach wewnętrznych, należy przewidzieć podejście selektywne. Ze względu na znaczenie zapewnienia, by dane API mogły być przetwarzane wraz z danymi PNR, podejście to należy dostosować do podejścia określonego w dyrektywie (UE) 2016/68</w:t>
            </w:r>
            <w:r w:rsidRPr="009D3306">
              <w:t>1. Z tych powodów dane API w odniesieniu do tych lotów powinny być przekazywane z routera do odpowiednich JIP wyłącznie w przypadku, gdy państwa członkowskie dokonały wyboru lotów zgodnie z art. 2 dyrektywy (UE) 2016/681. Jak przypomniał TSUE, wybór odnośn</w:t>
            </w:r>
            <w:r w:rsidRPr="009D3306">
              <w:t>ych lotów wiąże się z ukierunkowaniem przez państwa członkowskie przedmiotowych obowiązków wyłącznie na m.in. określone trasy, wzorce podróżowania lub porty lotnicze, z zastrzeżeniem dokonywania regularnego przeglądu tego wyboru.</w:t>
            </w:r>
          </w:p>
        </w:tc>
        <w:tc>
          <w:tcPr>
            <w:tcW w:w="4876" w:type="dxa"/>
            <w:hideMark/>
          </w:tcPr>
          <w:p w:rsidR="00AD0024" w:rsidRPr="009D3306" w:rsidRDefault="00734D25" w:rsidP="00541566">
            <w:pPr>
              <w:pStyle w:val="Normal6"/>
              <w:rPr>
                <w:szCs w:val="24"/>
              </w:rPr>
            </w:pPr>
            <w:r w:rsidRPr="009D3306">
              <w:lastRenderedPageBreak/>
              <w:t>(14)</w:t>
            </w:r>
            <w:r w:rsidRPr="009D3306">
              <w:tab/>
              <w:t>W odniesieniu do lotó</w:t>
            </w:r>
            <w:r w:rsidRPr="009D3306">
              <w:t xml:space="preserve">w wewnątrzunijnych, zgodnie </w:t>
            </w:r>
            <w:r w:rsidRPr="009D3306">
              <w:lastRenderedPageBreak/>
              <w:t>z orzecznictwem Trybunału Sprawiedliwości Unii Europejskiej (TSUE), aby uniknąć nieuzasadnionej ingerencji w odpowiednie prawa podstawowe chronione na podstawie Karty oraz zapewnić zgodność z wymogami prawa Unii dotyczącymi swob</w:t>
            </w:r>
            <w:r w:rsidRPr="009D3306">
              <w:t>odnego przepływu osób i zniesienia kontroli na granicach wewnętrznych, należy przewidzieć podejście selektywne</w:t>
            </w:r>
            <w:r w:rsidRPr="009D3306">
              <w:rPr>
                <w:b/>
                <w:i/>
              </w:rPr>
              <w:t>, z wyjątkiem sytuacji rzeczywistego i aktualnego lub możliwego do przewidzenia zagrożenia terrorystycznego</w:t>
            </w:r>
            <w:r w:rsidRPr="009D3306">
              <w:t xml:space="preserve">. Ze względu na znaczenie zapewnienia, </w:t>
            </w:r>
            <w:r w:rsidRPr="009D3306">
              <w:t>by dane API mogły być przetwarzane wraz z danymi PNR, podejście to należy dostosować do podejścia określonego w dyrektywie (UE) 2016/681. Z tych powodów dane API w odniesieniu do tych lotów powinny być przekazywane z routera do odpowiednich JIP wyłącznie w</w:t>
            </w:r>
            <w:r w:rsidRPr="009D3306">
              <w:t> przypadku, gdy państwa członkowskie dokonały wyboru lotów zgodnie z art. 2 dyrektywy (UE) 2016/681. Jak przypomniał TSUE, wybór odnośnych lotów wiąże się z ukierunkowaniem przez państwa członkowskie przedmiotowych obowiązków wyłącznie na m.in. określone t</w:t>
            </w:r>
            <w:r w:rsidRPr="009D3306">
              <w:t xml:space="preserve">rasy, wzorce podróżowania lub porty lotnicze, z zastrzeżeniem dokonywania regularnego przeglądu tego wyboru. </w:t>
            </w:r>
            <w:r w:rsidRPr="009D3306">
              <w:rPr>
                <w:b/>
                <w:i/>
              </w:rPr>
              <w:t>Ponadto kryteria wyboru powinny być właściwe z punktu widzenia zapobiegania przestępstwom terrorystycznym i poważnej przestępczości, ich wykrywania</w:t>
            </w:r>
            <w:r w:rsidRPr="009D3306">
              <w:rPr>
                <w:b/>
                <w:i/>
              </w:rPr>
              <w:t>, prowadzenia dochodzeń w ich sprawie i ich ścigania oraz powinny wykazywać obiektywny związek lub podejrzenie związku z lotniczym przewozem pasażerów.</w:t>
            </w:r>
          </w:p>
        </w:tc>
      </w:tr>
    </w:tbl>
    <w:p w:rsidR="00AD0024" w:rsidRPr="009D3306" w:rsidRDefault="00734D25" w:rsidP="00AD0024">
      <w:pPr>
        <w:pStyle w:val="Olang"/>
        <w:rPr>
          <w:sz w:val="24"/>
          <w:szCs w:val="24"/>
        </w:rPr>
      </w:pPr>
      <w:r w:rsidRPr="009D3306">
        <w:rPr>
          <w:sz w:val="24"/>
          <w:szCs w:val="24"/>
        </w:rPr>
        <w:lastRenderedPageBreak/>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4</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 xml:space="preserve">Wniosek dotyczący </w:t>
      </w:r>
      <w:r w:rsidRPr="009D3306">
        <w:t>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15 a (nowy)</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rPr>
                <w:szCs w:val="24"/>
              </w:rPr>
            </w:pPr>
            <w:r w:rsidRPr="009D3306">
              <w:rPr>
                <w:b/>
                <w:i/>
              </w:rPr>
              <w:t>(15a)</w:t>
            </w:r>
            <w:r w:rsidRPr="009D3306">
              <w:rPr>
                <w:b/>
                <w:i/>
              </w:rPr>
              <w:tab/>
              <w:t xml:space="preserve">Aby zwiększyć spójność między selektywnymi podejściami stosowanymi przez poszczególne państwa członkowskie, Komisja powinna ułatwiać wymianę </w:t>
            </w:r>
            <w:r w:rsidRPr="009D3306">
              <w:rPr>
                <w:b/>
                <w:i/>
              </w:rPr>
              <w:t>poglądów na temat selekcji kryteriów wyboru, a także, na zasadzie dobrowolności, na temat wybieranych lotów.</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5</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19</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(19)</w:t>
            </w:r>
            <w:r w:rsidRPr="009D3306">
              <w:tab/>
              <w:t xml:space="preserve">Ze względu na interes Unii odpowiednie koszty ponoszone przez państwa członkowskie w związku z ich połączeniami z routerem i integracją z routerem, zgodnie z wymogami niniejszego rozporządzenia, </w:t>
            </w:r>
            <w:r w:rsidRPr="009D3306">
              <w:t>powinny być pokrywane z budżetu Unii, zgodnie z</w:t>
            </w:r>
            <w:r w:rsidRPr="009D3306">
              <w:rPr>
                <w:b/>
                <w:i/>
              </w:rPr>
              <w:t> mającymi zastosowanie</w:t>
            </w:r>
            <w:r w:rsidRPr="009D3306">
              <w:t xml:space="preserve"> przepisami</w:t>
            </w:r>
            <w:r w:rsidRPr="009D3306">
              <w:rPr>
                <w:b/>
                <w:i/>
              </w:rPr>
              <w:t>, i powinny być objęte pewnymi wyjątkami. Koszty objęte tymi wyjątkami powinny być ponoszone przez każde odnośne państwo członkowskie</w:t>
            </w:r>
            <w:r w:rsidRPr="009D3306">
              <w:t>.</w:t>
            </w:r>
          </w:p>
        </w:tc>
        <w:tc>
          <w:tcPr>
            <w:tcW w:w="4876" w:type="dxa"/>
            <w:hideMark/>
          </w:tcPr>
          <w:p w:rsidR="00AD0024" w:rsidRPr="009D3306" w:rsidRDefault="00734D25">
            <w:pPr>
              <w:pStyle w:val="Normal6"/>
              <w:rPr>
                <w:szCs w:val="24"/>
              </w:rPr>
            </w:pPr>
            <w:r w:rsidRPr="009D3306">
              <w:t>(19)</w:t>
            </w:r>
            <w:r w:rsidRPr="009D3306">
              <w:tab/>
              <w:t>Ze względu na interes Unii odpowiedn</w:t>
            </w:r>
            <w:r w:rsidRPr="009D3306">
              <w:t xml:space="preserve">ie koszty ponoszone przez państwa członkowskie w związku z ich połączeniami z routerem i integracją z routerem, </w:t>
            </w:r>
            <w:r w:rsidRPr="009D3306">
              <w:rPr>
                <w:b/>
                <w:i/>
              </w:rPr>
              <w:t xml:space="preserve">koszty związane z konserwacją tych połączeń i koszty związane z potrzebami szkoleniowymi, </w:t>
            </w:r>
            <w:r w:rsidRPr="009D3306">
              <w:t>zgodnie z wymogami niniejszego rozporządzenia, powinny</w:t>
            </w:r>
            <w:r w:rsidRPr="009D3306">
              <w:t xml:space="preserve"> być pokrywane z budżetu Unii, zgodnie z przepisami</w:t>
            </w:r>
            <w:r w:rsidRPr="009D3306">
              <w:rPr>
                <w:b/>
                <w:i/>
              </w:rPr>
              <w:t xml:space="preserve"> dotyczącymi kwalifikowalności i stopami współfinansowania określonymi w podstawie prawnej Funduszu Bezpieczeństwa Wewnętrznego</w:t>
            </w:r>
            <w:r w:rsidRPr="009D3306">
              <w:t>.</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6</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20</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(20)</w:t>
            </w:r>
            <w:r w:rsidRPr="009D3306">
              <w:tab/>
              <w:t xml:space="preserve">Zgodnie z rozporządzeniem (UE) 2018/1726 państwa członkowskie mogą powierzyć eu-LISA zadanie ułatwienia łączności </w:t>
            </w:r>
            <w:r w:rsidRPr="009D3306">
              <w:t xml:space="preserve">z przewoźnikami lotniczymi, aby pomóc państwom członkowskim we </w:t>
            </w:r>
            <w:r w:rsidRPr="009D3306">
              <w:lastRenderedPageBreak/>
              <w:t>wdrażaniu dyrektywy (UE) 2016/681, w szczególności poprzez gromadzenie i przekazywanie danych PNR za pośrednictwem routera.</w:t>
            </w:r>
          </w:p>
        </w:tc>
        <w:tc>
          <w:tcPr>
            <w:tcW w:w="4876" w:type="dxa"/>
            <w:hideMark/>
          </w:tcPr>
          <w:p w:rsidR="00AD0024" w:rsidRPr="009D3306" w:rsidRDefault="00734D25">
            <w:pPr>
              <w:pStyle w:val="Normal6"/>
              <w:rPr>
                <w:szCs w:val="24"/>
              </w:rPr>
            </w:pPr>
            <w:r w:rsidRPr="009D3306">
              <w:lastRenderedPageBreak/>
              <w:t>(20)</w:t>
            </w:r>
            <w:r w:rsidRPr="009D3306">
              <w:tab/>
              <w:t>Zgodnie z rozporządzeniem (UE) 2018/1726 państwa członkowskie mo</w:t>
            </w:r>
            <w:r w:rsidRPr="009D3306">
              <w:t xml:space="preserve">gą powierzyć eu-LISA zadanie ułatwienia łączności z przewoźnikami lotniczymi, aby pomóc państwom członkowskim we </w:t>
            </w:r>
            <w:r w:rsidRPr="009D3306">
              <w:lastRenderedPageBreak/>
              <w:t>wdrażaniu dyrektywy (UE) 2016/681, w szczególności poprzez gromadzenie i przekazywanie danych PNR za pośrednictwem routera</w:t>
            </w:r>
            <w:r w:rsidRPr="009D3306">
              <w:rPr>
                <w:b/>
                <w:i/>
              </w:rPr>
              <w:t xml:space="preserve"> będącego bezpiecznym</w:t>
            </w:r>
            <w:r w:rsidRPr="009D3306">
              <w:rPr>
                <w:b/>
                <w:i/>
              </w:rPr>
              <w:t>, niezawodnym i racjonalnym pod względem kosztów rozwiązaniem.</w:t>
            </w:r>
            <w:r w:rsidRPr="009D3306">
              <w:t xml:space="preserve"> </w:t>
            </w:r>
            <w:r w:rsidRPr="009D3306">
              <w:rPr>
                <w:b/>
                <w:i/>
              </w:rPr>
              <w:t>Takie usprawnienie jeszcze bardziej uwypukliłoby uzupełniający charakter danych PNR i API. Ponadto wraz z nim stosowanie automatycznego filtra dla wybranych lotów UE rozszerzone zostałoby na pr</w:t>
            </w:r>
            <w:r w:rsidRPr="009D3306">
              <w:rPr>
                <w:b/>
                <w:i/>
              </w:rPr>
              <w:t>zekazywanie danych PNR.</w:t>
            </w:r>
          </w:p>
        </w:tc>
      </w:tr>
    </w:tbl>
    <w:p w:rsidR="00AD0024" w:rsidRPr="009D3306" w:rsidRDefault="00734D25" w:rsidP="00AD0024">
      <w:pPr>
        <w:pStyle w:val="Olang"/>
        <w:rPr>
          <w:sz w:val="24"/>
          <w:szCs w:val="24"/>
        </w:rPr>
      </w:pPr>
      <w:r w:rsidRPr="009D3306">
        <w:rPr>
          <w:sz w:val="24"/>
          <w:szCs w:val="24"/>
        </w:rPr>
        <w:lastRenderedPageBreak/>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7</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24</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(24)</w:t>
            </w:r>
            <w:r w:rsidRPr="009D3306">
              <w:tab/>
              <w:t xml:space="preserve">W celu przyjęcia środków </w:t>
            </w:r>
            <w:r w:rsidRPr="009D3306">
              <w:t>dotyczących wymogów technicznych i zasad operacyjnych dotyczących zautomatyzowanych środków gromadzenia danych API nadających się do odczytu maszynowego, wspólnych protokołów i formatów stosowanych do przekazywania danych API przez przewoźników lotniczych,</w:t>
            </w:r>
            <w:r w:rsidRPr="009D3306">
              <w:t xml:space="preserve"> przepisów technicznych i proceduralnych dotyczących przekazywania danych API z routera do JIP oraz połączeń JIP i przewoźników lotniczych z routerem i integracji z routerem, należy przekazać Komisji uprawnienia do przyjęcia aktów zgodnie z art. 290 Trakta</w:t>
            </w:r>
            <w:r w:rsidRPr="009D3306">
              <w:t>tu o funkcjonowaniu Unii Europejskiej w odniesieniu do – odpowiednio – art. 4, 5, 10 i 11. Szczególnie ważne jest, aby w czasie prac przygotowawczych Komisja prowadziła stosowne konsultacje, w tym na poziomie ekspertów, oraz aby konsultacje te prowadzone b</w:t>
            </w:r>
            <w:r w:rsidRPr="009D3306">
              <w:t xml:space="preserve">yły zgodnie z zasadami określonymi w Porozumieniu międzyinstytucjonalnym z dnia 13 kwietnia 2016 r. w sprawie lepszego stanowienia prawa33. W szczególności, aby zapewnić Parlamentowi </w:t>
            </w:r>
            <w:r w:rsidRPr="009D3306">
              <w:lastRenderedPageBreak/>
              <w:t>Europejskiemu i Radzie udział na równych zasadach w przygotowaniu aktów d</w:t>
            </w:r>
            <w:r w:rsidRPr="009D3306">
              <w:t xml:space="preserve">elegowanych, instytucje te otrzymują wszelkie dokumenty w tym samym czasie co eksperci państw członkowskich, a eksperci tych instytucji mogą systematycznie brać udział w posiedzeniach grup eksperckich Komisji zajmujących się przygotowaniem </w:t>
            </w:r>
            <w:r w:rsidRPr="009D3306">
              <w:rPr>
                <w:b/>
                <w:i/>
              </w:rPr>
              <w:t>aktów delegowany</w:t>
            </w:r>
            <w:r w:rsidRPr="009D3306">
              <w:rPr>
                <w:b/>
                <w:i/>
              </w:rPr>
              <w:t>ch</w:t>
            </w:r>
            <w:r w:rsidRPr="009D3306">
              <w:t>.</w:t>
            </w:r>
          </w:p>
        </w:tc>
        <w:tc>
          <w:tcPr>
            <w:tcW w:w="4876" w:type="dxa"/>
            <w:hideMark/>
          </w:tcPr>
          <w:p w:rsidR="00AD0024" w:rsidRPr="009D3306" w:rsidRDefault="00734D25" w:rsidP="00BD1ECD">
            <w:pPr>
              <w:pStyle w:val="Normal6"/>
              <w:rPr>
                <w:szCs w:val="24"/>
              </w:rPr>
            </w:pPr>
            <w:r w:rsidRPr="009D3306">
              <w:lastRenderedPageBreak/>
              <w:t>(24)</w:t>
            </w:r>
            <w:r w:rsidRPr="009D3306">
              <w:tab/>
              <w:t xml:space="preserve">W celu przyjęcia środków dotyczących wymogów technicznych i zasad operacyjnych dotyczących zautomatyzowanych środków gromadzenia danych API nadających się do odczytu maszynowego, wspólnych protokołów i formatów stosowanych do przekazywania danych </w:t>
            </w:r>
            <w:r w:rsidRPr="009D3306">
              <w:t>API przez przewoźników lotniczych, przepisów technicznych i proceduralnych dotyczących przekazywania danych API z routera do JIP oraz połączeń JIP i przewoźników lotniczych z routerem i integracji z routerem, należy przekazać Komisji uprawnienia do przyjęc</w:t>
            </w:r>
            <w:r w:rsidRPr="009D3306">
              <w:t>ia aktów zgodnie z art. 290 Traktatu o funkcjonowaniu Unii Europejskiej w odniesieniu do – odpowiednio – art. 4, 5, 10 i 11. Szczególnie ważne jest, aby w czasie prac przygotowawczych Komisja prowadziła stosowne konsultacje</w:t>
            </w:r>
            <w:r w:rsidRPr="009D3306">
              <w:rPr>
                <w:b/>
                <w:i/>
              </w:rPr>
              <w:t xml:space="preserve"> z odpowiednimi zainteresowanymi </w:t>
            </w:r>
            <w:r w:rsidRPr="009D3306">
              <w:rPr>
                <w:b/>
                <w:i/>
              </w:rPr>
              <w:t>stronami, w tym z przewoźnikami lotniczymi</w:t>
            </w:r>
            <w:r w:rsidRPr="009D3306">
              <w:t xml:space="preserve">, w tym na poziomie ekspertów, oraz aby konsultacje te prowadzone były zgodnie z zasadami określonymi w Porozumieniu międzyinstytucjonalnym z dnia 13 kwietnia 2016 r. w sprawie lepszego </w:t>
            </w:r>
            <w:r w:rsidRPr="009D3306">
              <w:lastRenderedPageBreak/>
              <w:t>stanowienia prawa</w:t>
            </w:r>
            <w:r w:rsidRPr="009D3306">
              <w:rPr>
                <w:vertAlign w:val="superscript"/>
              </w:rPr>
              <w:t>33</w:t>
            </w:r>
            <w:r w:rsidRPr="009D3306">
              <w:t>. W szcze</w:t>
            </w:r>
            <w:r w:rsidRPr="009D3306">
              <w:t>gólności, aby zapewnić Parlamentowi Europejskiemu i Radzie udział na równych zasadach w przygotowaniu aktów delegowanych, instytucje te otrzymują wszelkie dokumenty w tym samym czasie co eksperci państw członkowskich, a eksperci tych instytucji mogą system</w:t>
            </w:r>
            <w:r w:rsidRPr="009D3306">
              <w:t xml:space="preserve">atycznie brać udział w posiedzeniach grup eksperckich Komisji zajmujących się przygotowaniem </w:t>
            </w:r>
            <w:r w:rsidRPr="009D3306">
              <w:rPr>
                <w:b/>
                <w:i/>
              </w:rPr>
              <w:t>aktu delegowanego</w:t>
            </w:r>
            <w:r w:rsidRPr="009D3306">
              <w:t xml:space="preserve">. </w:t>
            </w:r>
          </w:p>
        </w:tc>
      </w:tr>
      <w:tr w:rsidR="003C5AF3" w:rsidRPr="009D3306" w:rsidTr="00AD0024">
        <w:trPr>
          <w:jc w:val="center"/>
        </w:trPr>
        <w:tc>
          <w:tcPr>
            <w:tcW w:w="4876" w:type="dxa"/>
            <w:hideMark/>
          </w:tcPr>
          <w:p w:rsidR="00AD0024" w:rsidRPr="009D3306" w:rsidRDefault="00734D25">
            <w:pPr>
              <w:pStyle w:val="Normal6"/>
            </w:pPr>
            <w:r w:rsidRPr="009D3306">
              <w:lastRenderedPageBreak/>
              <w:t>__________________</w:t>
            </w:r>
          </w:p>
        </w:tc>
        <w:tc>
          <w:tcPr>
            <w:tcW w:w="4876" w:type="dxa"/>
            <w:hideMark/>
          </w:tcPr>
          <w:p w:rsidR="00AD0024" w:rsidRPr="009D3306" w:rsidRDefault="00734D25">
            <w:pPr>
              <w:pStyle w:val="Normal6"/>
              <w:rPr>
                <w:szCs w:val="24"/>
              </w:rPr>
            </w:pPr>
            <w:r w:rsidRPr="009D3306">
              <w:t>__________________</w:t>
            </w:r>
          </w:p>
        </w:tc>
      </w:tr>
      <w:tr w:rsidR="003C5AF3" w:rsidRPr="009D3306" w:rsidTr="00AD0024">
        <w:trPr>
          <w:jc w:val="center"/>
        </w:trPr>
        <w:tc>
          <w:tcPr>
            <w:tcW w:w="4876" w:type="dxa"/>
            <w:hideMark/>
          </w:tcPr>
          <w:p w:rsidR="00AD0024" w:rsidRPr="009D3306" w:rsidRDefault="00734D25">
            <w:pPr>
              <w:pStyle w:val="Normal6"/>
            </w:pPr>
            <w:r w:rsidRPr="009D3306">
              <w:rPr>
                <w:vertAlign w:val="superscript"/>
              </w:rPr>
              <w:t>33</w:t>
            </w:r>
            <w:r w:rsidRPr="009D3306">
              <w:t xml:space="preserve"> Dz.U. L 123 z 12.5.2016, s. 1.</w:t>
            </w:r>
          </w:p>
        </w:tc>
        <w:tc>
          <w:tcPr>
            <w:tcW w:w="4876" w:type="dxa"/>
            <w:hideMark/>
          </w:tcPr>
          <w:p w:rsidR="00AD0024" w:rsidRPr="009D3306" w:rsidRDefault="00734D25">
            <w:pPr>
              <w:pStyle w:val="Normal6"/>
              <w:rPr>
                <w:szCs w:val="24"/>
              </w:rPr>
            </w:pPr>
            <w:r w:rsidRPr="009D3306">
              <w:rPr>
                <w:vertAlign w:val="superscript"/>
              </w:rPr>
              <w:t>33</w:t>
            </w:r>
            <w:r w:rsidRPr="009D3306">
              <w:t xml:space="preserve"> Dz.U. L 123 z 12.5.2016, s. 1.</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8</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24 a (nowy)</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BF3AB6" w:rsidRPr="009D3306" w:rsidRDefault="00734D25" w:rsidP="00BF3AB6">
            <w:pPr>
              <w:pStyle w:val="Normal6"/>
              <w:rPr>
                <w:b/>
                <w:i/>
              </w:rPr>
            </w:pPr>
            <w:r w:rsidRPr="009D3306">
              <w:rPr>
                <w:b/>
                <w:i/>
              </w:rPr>
              <w:t>(24a)</w:t>
            </w:r>
            <w:r w:rsidRPr="009D3306">
              <w:rPr>
                <w:b/>
                <w:i/>
              </w:rPr>
              <w:tab/>
              <w:t xml:space="preserve">Gromadzenie danych API nie powinno odbywać się ze szkodą dla praw </w:t>
            </w:r>
            <w:r w:rsidRPr="009D3306">
              <w:rPr>
                <w:b/>
                <w:i/>
              </w:rPr>
              <w:t>podstawowych i przebiegu podróży osób podróżujących zgodnie z prawem. Stosowanie niniejszego rozporządzenia w połączeniu ze stosowaniem kilku innych aktów prawnych Unii, takich jak rozporządzenie Parlamentu Europejskiego i Rady (UE) 2017/2226</w:t>
            </w:r>
            <w:r w:rsidRPr="009D3306">
              <w:rPr>
                <w:b/>
                <w:i/>
                <w:vertAlign w:val="superscript"/>
              </w:rPr>
              <w:t>1a</w:t>
            </w:r>
            <w:r w:rsidRPr="009D3306">
              <w:rPr>
                <w:b/>
                <w:i/>
              </w:rPr>
              <w:t xml:space="preserve"> i rozporząd</w:t>
            </w:r>
            <w:r w:rsidRPr="009D3306">
              <w:rPr>
                <w:b/>
                <w:i/>
              </w:rPr>
              <w:t>zenie Parlamentu Europejskiego i Rady (UE) 2018/1240</w:t>
            </w:r>
            <w:r w:rsidRPr="009D3306">
              <w:rPr>
                <w:b/>
                <w:i/>
                <w:vertAlign w:val="superscript"/>
              </w:rPr>
              <w:t>1b</w:t>
            </w:r>
            <w:r w:rsidRPr="009D3306">
              <w:rPr>
                <w:b/>
                <w:i/>
              </w:rPr>
              <w:t>, nie powinno prowadzić do nałożenia nieproporcjonalnych obciążeń na przewoźników lotniczych. Z tych powodów oraz w celu zapewnienia monitorowania skutecznego stosowania niniejszego rozporządzenia przez</w:t>
            </w:r>
            <w:r w:rsidRPr="009D3306">
              <w:rPr>
                <w:b/>
                <w:i/>
              </w:rPr>
              <w:t xml:space="preserve"> wszystkie zainteresowane strony, niniejsze rozporządzenie powinno podlegać regularnym ocenom.</w:t>
            </w:r>
          </w:p>
        </w:tc>
      </w:tr>
      <w:tr w:rsidR="003C5AF3" w:rsidRPr="009D3306" w:rsidTr="00AD0024">
        <w:trPr>
          <w:jc w:val="center"/>
        </w:trPr>
        <w:tc>
          <w:tcPr>
            <w:tcW w:w="4876" w:type="dxa"/>
          </w:tcPr>
          <w:p w:rsidR="0069244C" w:rsidRPr="009D3306" w:rsidRDefault="0069244C">
            <w:pPr>
              <w:pStyle w:val="Normal6"/>
            </w:pPr>
          </w:p>
        </w:tc>
        <w:tc>
          <w:tcPr>
            <w:tcW w:w="4876" w:type="dxa"/>
          </w:tcPr>
          <w:p w:rsidR="0069244C" w:rsidRPr="009D3306" w:rsidRDefault="00734D25" w:rsidP="00BF3AB6">
            <w:pPr>
              <w:pStyle w:val="Normal6"/>
              <w:rPr>
                <w:b/>
                <w:i/>
              </w:rPr>
            </w:pPr>
            <w:r w:rsidRPr="009D3306">
              <w:rPr>
                <w:b/>
                <w:i/>
              </w:rPr>
              <w:t>__________________</w:t>
            </w:r>
          </w:p>
        </w:tc>
      </w:tr>
      <w:tr w:rsidR="003C5AF3" w:rsidRPr="009D3306" w:rsidTr="00AD0024">
        <w:trPr>
          <w:jc w:val="center"/>
        </w:trPr>
        <w:tc>
          <w:tcPr>
            <w:tcW w:w="4876" w:type="dxa"/>
          </w:tcPr>
          <w:p w:rsidR="0069244C" w:rsidRPr="009D3306" w:rsidRDefault="0069244C">
            <w:pPr>
              <w:pStyle w:val="Normal6"/>
            </w:pPr>
          </w:p>
        </w:tc>
        <w:tc>
          <w:tcPr>
            <w:tcW w:w="4876" w:type="dxa"/>
          </w:tcPr>
          <w:p w:rsidR="0069244C" w:rsidRPr="009D3306" w:rsidRDefault="00734D25" w:rsidP="00BF3AB6">
            <w:pPr>
              <w:pStyle w:val="Normal6"/>
              <w:rPr>
                <w:b/>
                <w:i/>
                <w:szCs w:val="24"/>
              </w:rPr>
            </w:pPr>
            <w:r w:rsidRPr="009D3306">
              <w:rPr>
                <w:b/>
                <w:i/>
                <w:vertAlign w:val="superscript"/>
              </w:rPr>
              <w:t>1a</w:t>
            </w:r>
            <w:r w:rsidRPr="009D3306">
              <w:rPr>
                <w:b/>
                <w:i/>
              </w:rPr>
              <w:t xml:space="preserve"> Rozporządzenie Parlamentu Europejskiego i Rady (UE) 2017/2226 z dnia 30 listopada 2017 r. ustanawiające system wjazdu/wyjazdu (EES) w celu </w:t>
            </w:r>
            <w:r w:rsidRPr="009D3306">
              <w:rPr>
                <w:b/>
                <w:i/>
              </w:rPr>
              <w:lastRenderedPageBreak/>
              <w:t>rejestrowania danych dotyczących wjazdu i wyjazdu obywateli państw trzecich przekraczających granice zewnętrzne pańs</w:t>
            </w:r>
            <w:r w:rsidRPr="009D3306">
              <w:rPr>
                <w:b/>
                <w:i/>
              </w:rPr>
              <w:t>tw członkowskich i danych dotyczących odmowy wjazdu w odniesieniu do takich obywateli oraz określające warunki dostępu do EES na potrzeby ochrony porządku publicznego i zmieniające konwencję wykonawczą do układu z Schengen oraz rozporządzenia (WE) nr 767/2</w:t>
            </w:r>
            <w:r w:rsidRPr="009D3306">
              <w:rPr>
                <w:b/>
                <w:i/>
              </w:rPr>
              <w:t>008 i (UE) nr 1077/2011 (Dz.U. L 327 z 9.12.2017, s. 20).</w:t>
            </w:r>
          </w:p>
        </w:tc>
      </w:tr>
      <w:tr w:rsidR="003C5AF3" w:rsidRPr="009D3306" w:rsidTr="00AD0024">
        <w:trPr>
          <w:jc w:val="center"/>
        </w:trPr>
        <w:tc>
          <w:tcPr>
            <w:tcW w:w="4876" w:type="dxa"/>
          </w:tcPr>
          <w:p w:rsidR="0069244C" w:rsidRPr="009D3306" w:rsidRDefault="0069244C">
            <w:pPr>
              <w:pStyle w:val="Normal6"/>
            </w:pPr>
          </w:p>
        </w:tc>
        <w:tc>
          <w:tcPr>
            <w:tcW w:w="4876" w:type="dxa"/>
          </w:tcPr>
          <w:p w:rsidR="0069244C" w:rsidRPr="009D3306" w:rsidRDefault="00734D25" w:rsidP="00BF3AB6">
            <w:pPr>
              <w:pStyle w:val="Normal6"/>
              <w:rPr>
                <w:b/>
                <w:i/>
              </w:rPr>
            </w:pPr>
            <w:r w:rsidRPr="009D3306">
              <w:rPr>
                <w:b/>
                <w:i/>
                <w:vertAlign w:val="superscript"/>
              </w:rPr>
              <w:t>1b</w:t>
            </w:r>
            <w:r w:rsidRPr="009D3306">
              <w:rPr>
                <w:b/>
                <w:i/>
              </w:rPr>
              <w:t xml:space="preserve"> Rozporządzenie Parlamentu Europejskiego i Rady (UE) 2018/1240 z dnia 12 września 2018 r. ustanawiające europejski system informacji o podróży oraz zezwoleń na podróż (ETIAS) i zmieniające rozpo</w:t>
            </w:r>
            <w:r w:rsidRPr="009D3306">
              <w:rPr>
                <w:b/>
                <w:i/>
              </w:rPr>
              <w:t>rządzenia (UE) nr 1077/2011, (UE) nr 515/2014, (UE) 2016/399, (UE) 2016/1624 i (UE) 2017/2226 (Dz.U. L 236 z 19.9.2018, s. 1).</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9</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Motyw 24 b (nowy)</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rsidP="00ED687D">
            <w:pPr>
              <w:pStyle w:val="Normal6"/>
              <w:rPr>
                <w:szCs w:val="24"/>
              </w:rPr>
            </w:pPr>
            <w:r w:rsidRPr="009D3306">
              <w:rPr>
                <w:b/>
                <w:i/>
              </w:rPr>
              <w:t>(24b)</w:t>
            </w:r>
            <w:r w:rsidRPr="009D3306">
              <w:rPr>
                <w:b/>
                <w:i/>
              </w:rPr>
              <w:tab/>
              <w:t xml:space="preserve">Istotne jest, aby gromadzić wiarygodne i użyteczne statystyki uzyskane w procesie wdrażania niniejszego rozporządzenia, aby wspierać cele rozporządzenia i zapewnić </w:t>
            </w:r>
            <w:r w:rsidRPr="009D3306">
              <w:rPr>
                <w:b/>
                <w:i/>
              </w:rPr>
              <w:t>podstawę ocen opisanych w motywie 24a i art. 20. Statystyki te nie powinny zawierać żadnych danych osobowych. Dostęp do tych statystyk powinny mieć wszystkie odpowiednie zainteresowane strony, w tym właściwe organy państw członkowskich, Europol oraz, w sto</w:t>
            </w:r>
            <w:r w:rsidRPr="009D3306">
              <w:rPr>
                <w:b/>
                <w:i/>
              </w:rPr>
              <w:t>sownych przypadkach, przewoźnicy lotniczy.</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lastRenderedPageBreak/>
        <w:t>&lt;Amend&gt;</w:t>
      </w:r>
      <w:r w:rsidRPr="009D3306">
        <w:t>Poprawka</w:t>
      </w:r>
      <w:r w:rsidRPr="009D3306">
        <w:tab/>
      </w:r>
      <w:r w:rsidRPr="009D3306">
        <w:tab/>
      </w:r>
      <w:r w:rsidRPr="009D3306">
        <w:rPr>
          <w:rStyle w:val="HideTWBExt"/>
          <w:b w:val="0"/>
        </w:rPr>
        <w:t>&lt;NumAm&gt;</w:t>
      </w:r>
      <w:r w:rsidRPr="009D3306">
        <w:t>10</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1 – akapit 1 – litera a</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 xml:space="preserve">Tekst proponowany przez </w:t>
            </w:r>
            <w:r w:rsidRPr="009D3306">
              <w:t>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a)</w:t>
            </w:r>
            <w:r w:rsidRPr="009D3306">
              <w:tab/>
              <w:t>gromadzenia przez przewoźników lotniczych danych pasażera przekazywanych przed podróżą („dane API”) w odniesieniu do lotów pozaunijnych i </w:t>
            </w:r>
            <w:r w:rsidRPr="009D3306">
              <w:rPr>
                <w:b/>
                <w:i/>
              </w:rPr>
              <w:t xml:space="preserve">wybranych </w:t>
            </w:r>
            <w:r w:rsidRPr="009D3306">
              <w:t>lotów wewnątrzunijnych;</w:t>
            </w:r>
          </w:p>
        </w:tc>
        <w:tc>
          <w:tcPr>
            <w:tcW w:w="4876" w:type="dxa"/>
            <w:hideMark/>
          </w:tcPr>
          <w:p w:rsidR="00AD0024" w:rsidRPr="009D3306" w:rsidRDefault="00734D25">
            <w:pPr>
              <w:pStyle w:val="Normal6"/>
              <w:rPr>
                <w:szCs w:val="24"/>
              </w:rPr>
            </w:pPr>
            <w:r w:rsidRPr="009D3306">
              <w:t>a)</w:t>
            </w:r>
            <w:r w:rsidRPr="009D3306">
              <w:tab/>
              <w:t>gromadzenia przez przewoźników lotniczych danych pasażera pr</w:t>
            </w:r>
            <w:r w:rsidRPr="009D3306">
              <w:t>zekazywanych przed podróżą („dane API”) w odniesieniu do lotów pozaunijnych i lotów wewnątrzunijnych;</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11</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 xml:space="preserve">Artykuł 3 – </w:t>
      </w:r>
      <w:r w:rsidRPr="009D3306">
        <w:t>akapit 1 – litera g</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g)</w:t>
            </w:r>
            <w:r w:rsidRPr="009D3306">
              <w:tab/>
              <w:t>„załoga” oznacza każdą osobę określoną w art. 3 lit. </w:t>
            </w:r>
            <w:r w:rsidRPr="009D3306">
              <w:rPr>
                <w:b/>
                <w:i/>
              </w:rPr>
              <w:t>h</w:t>
            </w:r>
            <w:r w:rsidRPr="009D3306">
              <w:t>) rozporządzenia (UE) [w sprawie danych API w obszarze zarządzania granicami];</w:t>
            </w:r>
          </w:p>
        </w:tc>
        <w:tc>
          <w:tcPr>
            <w:tcW w:w="4876" w:type="dxa"/>
            <w:hideMark/>
          </w:tcPr>
          <w:p w:rsidR="00AD0024" w:rsidRPr="009D3306" w:rsidRDefault="00734D25">
            <w:pPr>
              <w:pStyle w:val="Normal6"/>
              <w:rPr>
                <w:szCs w:val="24"/>
              </w:rPr>
            </w:pPr>
            <w:r w:rsidRPr="009D3306">
              <w:t>g)</w:t>
            </w:r>
            <w:r w:rsidRPr="009D3306">
              <w:tab/>
              <w:t xml:space="preserve">„załoga” oznacza każdą osobę określoną </w:t>
            </w:r>
            <w:r w:rsidRPr="009D3306">
              <w:t>w art. 3 lit. </w:t>
            </w:r>
            <w:r w:rsidRPr="009D3306">
              <w:rPr>
                <w:b/>
                <w:i/>
              </w:rPr>
              <w:t>i</w:t>
            </w:r>
            <w:r w:rsidRPr="009D3306">
              <w:t>) rozporządzenia (UE) [w sprawie danych API w obszarze zarządzania granicami];</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12</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3 – akapit 1 –</w:t>
      </w:r>
      <w:r w:rsidRPr="009D3306">
        <w:t xml:space="preserve"> litera h</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h)</w:t>
            </w:r>
            <w:r w:rsidRPr="009D3306">
              <w:tab/>
              <w:t>„osoba podróżująca” oznacza każdą osobę określoną w art. 3 lit. </w:t>
            </w:r>
            <w:r w:rsidRPr="009D3306">
              <w:rPr>
                <w:b/>
                <w:i/>
              </w:rPr>
              <w:t>i</w:t>
            </w:r>
            <w:r w:rsidRPr="009D3306">
              <w:t>) rozporządzenia (UE) [w sprawie danych API w obszarze zarządzania granicami];</w:t>
            </w:r>
          </w:p>
        </w:tc>
        <w:tc>
          <w:tcPr>
            <w:tcW w:w="4876" w:type="dxa"/>
            <w:hideMark/>
          </w:tcPr>
          <w:p w:rsidR="00AD0024" w:rsidRPr="009D3306" w:rsidRDefault="00734D25">
            <w:pPr>
              <w:pStyle w:val="Normal6"/>
              <w:rPr>
                <w:szCs w:val="24"/>
              </w:rPr>
            </w:pPr>
            <w:r w:rsidRPr="009D3306">
              <w:t>h)</w:t>
            </w:r>
            <w:r w:rsidRPr="009D3306">
              <w:tab/>
              <w:t>„osoba podróżująca” oznacza każdą osobę ok</w:t>
            </w:r>
            <w:r w:rsidRPr="009D3306">
              <w:t>reśloną w art. 3 lit. </w:t>
            </w:r>
            <w:r w:rsidRPr="009D3306">
              <w:rPr>
                <w:b/>
                <w:i/>
              </w:rPr>
              <w:t>j</w:t>
            </w:r>
            <w:r w:rsidRPr="009D3306">
              <w:t>) rozporządzenia (UE) [w sprawie danych API w obszarze zarządzania granicami];</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13</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 xml:space="preserve">Artykuł 3 – </w:t>
      </w:r>
      <w:r w:rsidRPr="009D3306">
        <w:t>akapit 1 – litera i</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i)</w:t>
            </w:r>
            <w:r w:rsidRPr="009D3306">
              <w:tab/>
              <w:t>„dane pasażera przekazywane przed podróżą” lub „dane API” oznaczają dane określone w art. 3 lit. </w:t>
            </w:r>
            <w:r w:rsidRPr="009D3306">
              <w:rPr>
                <w:b/>
                <w:i/>
              </w:rPr>
              <w:t>j</w:t>
            </w:r>
            <w:r w:rsidRPr="009D3306">
              <w:t>) rozporządzenia (UE) [w sprawie danych API w obszarze zarządzania granicami];</w:t>
            </w:r>
          </w:p>
        </w:tc>
        <w:tc>
          <w:tcPr>
            <w:tcW w:w="4876" w:type="dxa"/>
            <w:hideMark/>
          </w:tcPr>
          <w:p w:rsidR="00AD0024" w:rsidRPr="009D3306" w:rsidRDefault="00734D25">
            <w:pPr>
              <w:pStyle w:val="Normal6"/>
              <w:rPr>
                <w:szCs w:val="24"/>
              </w:rPr>
            </w:pPr>
            <w:r w:rsidRPr="009D3306">
              <w:t>i)</w:t>
            </w:r>
            <w:r w:rsidRPr="009D3306">
              <w:tab/>
              <w:t>„dane pasażera przekazywane przed podróżą” lub „dane API” oznaczają dane określone w art. 3 lit. </w:t>
            </w:r>
            <w:r w:rsidRPr="009D3306">
              <w:rPr>
                <w:b/>
                <w:i/>
              </w:rPr>
              <w:t>k</w:t>
            </w:r>
            <w:r w:rsidRPr="009D3306">
              <w:t>) rozporządzenia (UE) [w sprawie danych API w obszarze zarządzania granicami];</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14</w:t>
      </w:r>
      <w:r w:rsidRPr="009D3306">
        <w:rPr>
          <w:rStyle w:val="HideTWBExt"/>
          <w:b w:val="0"/>
        </w:rPr>
        <w:t>&lt;/NumAm&gt;</w:t>
      </w:r>
    </w:p>
    <w:p w:rsidR="00AD0024" w:rsidRPr="009D3306" w:rsidRDefault="00734D25" w:rsidP="00AD0024">
      <w:pPr>
        <w:pStyle w:val="NormalBold12b"/>
        <w:keepNext/>
      </w:pPr>
      <w:r w:rsidRPr="009D3306">
        <w:rPr>
          <w:rStyle w:val="HideTWBExt"/>
          <w:b w:val="0"/>
        </w:rPr>
        <w:t>&lt;</w:t>
      </w:r>
      <w:r w:rsidRPr="009D3306">
        <w:rPr>
          <w:rStyle w:val="HideTWBExt"/>
          <w:b w:val="0"/>
        </w:rPr>
        <w: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3 – akapit 1 – litera m</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m)</w:t>
            </w:r>
            <w:r w:rsidRPr="009D3306">
              <w:tab/>
              <w:t>„poważna przestępczość” oznacza przestępstwa określone w art. 3 pkt 9 dyrektywy (UE) 2016/681;</w:t>
            </w:r>
          </w:p>
        </w:tc>
        <w:tc>
          <w:tcPr>
            <w:tcW w:w="4876" w:type="dxa"/>
            <w:hideMark/>
          </w:tcPr>
          <w:p w:rsidR="00AD0024" w:rsidRPr="009D3306" w:rsidRDefault="00734D25">
            <w:pPr>
              <w:pStyle w:val="Normal6"/>
              <w:rPr>
                <w:szCs w:val="24"/>
              </w:rPr>
            </w:pPr>
            <w:r w:rsidRPr="009D3306">
              <w:rPr>
                <w:i/>
                <w:iCs/>
              </w:rPr>
              <w:t xml:space="preserve">(Nie </w:t>
            </w:r>
            <w:r w:rsidRPr="009D3306">
              <w:rPr>
                <w:i/>
                <w:iCs/>
              </w:rPr>
              <w:t>dotyczy polskiej wersji językowej)</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15</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3 – akapit 1 – litera n</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n)</w:t>
            </w:r>
            <w:r w:rsidRPr="009D3306">
              <w:tab/>
              <w:t>„router” oznacza router określony w art. 3 lit. </w:t>
            </w:r>
            <w:r w:rsidRPr="009D3306">
              <w:rPr>
                <w:b/>
                <w:i/>
              </w:rPr>
              <w:t>k</w:t>
            </w:r>
            <w:r w:rsidRPr="009D3306">
              <w:t>) rozporządzenia (UE) [w sprawie danych API w obszarze zarządzania granicami];</w:t>
            </w:r>
          </w:p>
        </w:tc>
        <w:tc>
          <w:tcPr>
            <w:tcW w:w="4876" w:type="dxa"/>
            <w:hideMark/>
          </w:tcPr>
          <w:p w:rsidR="00AD0024" w:rsidRPr="009D3306" w:rsidRDefault="00734D25">
            <w:pPr>
              <w:pStyle w:val="Normal6"/>
              <w:rPr>
                <w:szCs w:val="24"/>
              </w:rPr>
            </w:pPr>
            <w:r w:rsidRPr="009D3306">
              <w:t>n)</w:t>
            </w:r>
            <w:r w:rsidRPr="009D3306">
              <w:tab/>
              <w:t>„router” oznacza router określony w art. 3 lit. </w:t>
            </w:r>
            <w:r w:rsidRPr="009D3306">
              <w:rPr>
                <w:b/>
                <w:i/>
              </w:rPr>
              <w:t>m</w:t>
            </w:r>
            <w:r w:rsidRPr="009D3306">
              <w:t xml:space="preserve">) rozporządzenia (UE) [w sprawie danych API w obszarze </w:t>
            </w:r>
            <w:r w:rsidRPr="009D3306">
              <w:t>zarządzania granicami];</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16</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4 – ustęp 3 – akapit 1</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 xml:space="preserve">Przewoźnicy lotniczy gromadzą dane API, o których mowa w art. 4 ust. 2 lit. a)–d) rozporządzenia (UE) [w sprawie danych API w obszarze zarządzania granicami], przy użyciu zautomatyzowanych środków </w:t>
            </w:r>
            <w:r w:rsidRPr="009D3306">
              <w:lastRenderedPageBreak/>
              <w:t>do gromadzenia danych dokumentu podróży danej osoby podróżu</w:t>
            </w:r>
            <w:r w:rsidRPr="009D3306">
              <w:t>jącej nadających się do odczytu maszynowego. Dokonują tego zgodnie ze szczegółowymi wymogami technicznymi i przepisami operacyjnymi, o których mowa w ust. 5, w przypadku gdy takie przepisy zostały przyjęte i mają zastosowanie.</w:t>
            </w:r>
          </w:p>
        </w:tc>
        <w:tc>
          <w:tcPr>
            <w:tcW w:w="4876" w:type="dxa"/>
            <w:hideMark/>
          </w:tcPr>
          <w:p w:rsidR="00AD0024" w:rsidRPr="009D3306" w:rsidRDefault="00734D25">
            <w:pPr>
              <w:pStyle w:val="Normal6"/>
              <w:rPr>
                <w:szCs w:val="24"/>
              </w:rPr>
            </w:pPr>
            <w:r w:rsidRPr="009D3306">
              <w:rPr>
                <w:i/>
              </w:rPr>
              <w:lastRenderedPageBreak/>
              <w:t xml:space="preserve">(Nie dotyczy polskiej wersji </w:t>
            </w:r>
            <w:r w:rsidRPr="009D3306">
              <w:rPr>
                <w:i/>
              </w:rPr>
              <w:t>językowej)</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17</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4 – ustęp 3 – akapit 2</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 xml:space="preserve">Jeżeli jednak takie </w:t>
            </w:r>
            <w:r w:rsidRPr="009D3306">
              <w:t>wykorzystanie zautomatyzowanych środków nie jest możliwe ze względu na to, że dokument podróży nie zawiera danych nadających się do odczytu maszynowego, przewoźnicy lotniczy gromadzą te dane ręcznie, w sposób zapewniający zgodność z ust. 2.</w:t>
            </w:r>
          </w:p>
        </w:tc>
        <w:tc>
          <w:tcPr>
            <w:tcW w:w="4876" w:type="dxa"/>
            <w:hideMark/>
          </w:tcPr>
          <w:p w:rsidR="00AD0024" w:rsidRPr="009D3306" w:rsidRDefault="00734D25" w:rsidP="00ED687D">
            <w:pPr>
              <w:pStyle w:val="Normal6"/>
              <w:rPr>
                <w:szCs w:val="24"/>
              </w:rPr>
            </w:pPr>
            <w:r w:rsidRPr="009D3306">
              <w:t>Jeżeli jednak t</w:t>
            </w:r>
            <w:r w:rsidRPr="009D3306">
              <w:t>akie wykorzystanie zautomatyzowanych środków nie jest możliwe ze względu na to, że dokument podróży nie zawiera danych nadających się do odczytu maszynowego</w:t>
            </w:r>
            <w:r w:rsidRPr="009D3306">
              <w:rPr>
                <w:b/>
                <w:i/>
              </w:rPr>
              <w:t xml:space="preserve"> lub jeżeli zautomatyzowane gromadzenie danych API, o których mowa w art. 4 ust. 2 lit. a)–d) rozpor</w:t>
            </w:r>
            <w:r w:rsidRPr="009D3306">
              <w:rPr>
                <w:b/>
                <w:i/>
              </w:rPr>
              <w:t>ządzenia (UE) [w sprawie danych API w obszarze zarządzania granicami] jest niemożliwe z technicznego punktu widzenia</w:t>
            </w:r>
            <w:r w:rsidRPr="009D3306">
              <w:t>, przewoźnicy lotniczy gromadzą te dane ręcznie, w sposób zapewniający zgodność z ust. 2.</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w:t>
      </w:r>
      <w:r w:rsidRPr="009D3306">
        <w:t>oprawka</w:t>
      </w:r>
      <w:r w:rsidRPr="009D3306">
        <w:tab/>
      </w:r>
      <w:r w:rsidRPr="009D3306">
        <w:tab/>
      </w:r>
      <w:r w:rsidRPr="009D3306">
        <w:rPr>
          <w:rStyle w:val="HideTWBExt"/>
          <w:b w:val="0"/>
        </w:rPr>
        <w:t>&lt;NumAm&gt;</w:t>
      </w:r>
      <w:r w:rsidRPr="009D3306">
        <w:t>18</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5 a (nowy)</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jc w:val="center"/>
              <w:rPr>
                <w:szCs w:val="24"/>
              </w:rPr>
            </w:pPr>
            <w:r w:rsidRPr="009D3306">
              <w:rPr>
                <w:b/>
                <w:i/>
              </w:rPr>
              <w:t>Artykuł 5a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jc w:val="center"/>
              <w:rPr>
                <w:szCs w:val="24"/>
              </w:rPr>
            </w:pPr>
            <w:r w:rsidRPr="009D3306">
              <w:rPr>
                <w:b/>
                <w:i/>
              </w:rPr>
              <w:t>Wybór lotów wewnątrzunijnych</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rPr>
                <w:szCs w:val="24"/>
              </w:rPr>
            </w:pPr>
            <w:r w:rsidRPr="009D3306">
              <w:rPr>
                <w:b/>
                <w:i/>
              </w:rPr>
              <w:t xml:space="preserve">1. </w:t>
            </w:r>
            <w:r w:rsidRPr="009D3306">
              <w:tab/>
            </w:r>
            <w:r w:rsidRPr="009D3306">
              <w:rPr>
                <w:b/>
                <w:i/>
              </w:rPr>
              <w:t xml:space="preserve">Państwa członkowskie, które podjęły decyzję </w:t>
            </w:r>
            <w:r w:rsidRPr="009D3306">
              <w:rPr>
                <w:b/>
                <w:i/>
              </w:rPr>
              <w:t>o stosowaniu dyrektywy (UE) 2016/681 do lotów wewnątrzunijnych, w celu wyboru tych lotów:</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rsidP="00CF2242">
            <w:pPr>
              <w:pStyle w:val="Normal6"/>
              <w:rPr>
                <w:szCs w:val="24"/>
              </w:rPr>
            </w:pPr>
            <w:r w:rsidRPr="009D3306">
              <w:rPr>
                <w:b/>
                <w:i/>
              </w:rPr>
              <w:t>a)</w:t>
            </w:r>
            <w:r w:rsidRPr="009D3306">
              <w:tab/>
            </w:r>
            <w:r w:rsidRPr="009D3306">
              <w:rPr>
                <w:b/>
                <w:i/>
              </w:rPr>
              <w:t>uwzględniają jedynie te kryteria, które są istotne dla zapobiegania przestępstwom terrorystycznym i poważnej przestępczości mających obiektywny związek, w tym po</w:t>
            </w:r>
            <w:r w:rsidRPr="009D3306">
              <w:rPr>
                <w:b/>
                <w:i/>
              </w:rPr>
              <w:t>średni, z lotniczym przewozem pasażerów, a także, które są istotne dla wykrywania takich przestępstw terrorystycznych i poważnej przestępczości, prowadzenia dochodzeń w ich sprawie i ich ścigania; oraz</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rsidP="00ED687D">
            <w:pPr>
              <w:pStyle w:val="Normal6"/>
              <w:rPr>
                <w:szCs w:val="24"/>
              </w:rPr>
            </w:pPr>
            <w:r w:rsidRPr="009D3306">
              <w:rPr>
                <w:b/>
                <w:i/>
              </w:rPr>
              <w:t xml:space="preserve">b) </w:t>
            </w:r>
            <w:r w:rsidRPr="009D3306">
              <w:tab/>
            </w:r>
            <w:r w:rsidRPr="009D3306">
              <w:rPr>
                <w:b/>
                <w:i/>
              </w:rPr>
              <w:t>w przypadku braku rzeczywistego i aktualnego lub</w:t>
            </w:r>
            <w:r w:rsidRPr="009D3306">
              <w:rPr>
                <w:b/>
                <w:i/>
              </w:rPr>
              <w:t xml:space="preserve"> przewidywalnego zagrożenia terrorystycznego koncentrują się wyłącznie na określonych trasach, schematach podróży lub portach lotniczych, w przypadku których istnieją przesłanki wskazujące na podejrzane działania uzasadniające przekazywanie i przetwarzanie</w:t>
            </w:r>
            <w:r w:rsidRPr="009D3306">
              <w:rPr>
                <w:b/>
                <w:i/>
              </w:rPr>
              <w:t xml:space="preserve"> danych API.</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rPr>
                <w:szCs w:val="24"/>
              </w:rPr>
            </w:pPr>
            <w:r w:rsidRPr="009D3306">
              <w:rPr>
                <w:b/>
                <w:i/>
              </w:rPr>
              <w:t xml:space="preserve">2. </w:t>
            </w:r>
            <w:r w:rsidRPr="009D3306">
              <w:tab/>
            </w:r>
            <w:r w:rsidRPr="009D3306">
              <w:rPr>
                <w:b/>
                <w:i/>
              </w:rPr>
              <w:t>Komisja ułatwia wymianę poglądów na temat selekcji kryteriów wyboru, a także, na zasadzie dobrowolności, na temat wybieranych lotów.</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19</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w:t>
      </w:r>
      <w:r w:rsidRPr="009D3306">
        <w:t xml:space="preserve">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6 – ustęp 4 – akapit 2</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 xml:space="preserve">Jeżeli jednak rejestry te są potrzebne do celów procedur monitorowania lub zapewniania bezpieczeństwa i integralności danych API lub </w:t>
            </w:r>
            <w:r w:rsidRPr="009D3306">
              <w:t>legalności operacji przetwarzania, o których to celach mowa w ust. 2, a procedury te już rozpoczęły się w momencie upływu okresu, o którym mowa w akapicie pierwszym, przewoźnicy lotniczy mogą przechowywać te rejestry tak długo, jak jest to konieczne do prz</w:t>
            </w:r>
            <w:r w:rsidRPr="009D3306">
              <w:t>eprowadzenia tych procedur. W takim przypadku niezwłocznie usuwają te rejestry, jeżeli nie są już one konieczne do przeprowadzenia tych procedur.</w:t>
            </w:r>
          </w:p>
        </w:tc>
        <w:tc>
          <w:tcPr>
            <w:tcW w:w="4876" w:type="dxa"/>
            <w:hideMark/>
          </w:tcPr>
          <w:p w:rsidR="00AD0024" w:rsidRPr="009D3306" w:rsidRDefault="00734D25">
            <w:pPr>
              <w:pStyle w:val="Normal6"/>
              <w:rPr>
                <w:szCs w:val="24"/>
              </w:rPr>
            </w:pPr>
            <w:r w:rsidRPr="009D3306">
              <w:t>Jeżeli jednak rejestry te są potrzebne do celów procedur monitorowania lub zapewniania bezpieczeństwa i integr</w:t>
            </w:r>
            <w:r w:rsidRPr="009D3306">
              <w:t>alności danych API lub legalności operacji przetwarzania, o których to celach mowa w ust. 2, a procedury te już rozpoczęły się w momencie upływu okresu, o którym mowa w akapicie pierwszym, przewoźnicy lotniczy mogą przechowywać te rejestry tak długo, jak j</w:t>
            </w:r>
            <w:r w:rsidRPr="009D3306">
              <w:t xml:space="preserve">est to konieczne do przeprowadzenia tych procedur. W takim przypadku </w:t>
            </w:r>
            <w:r w:rsidRPr="009D3306">
              <w:rPr>
                <w:b/>
                <w:i/>
              </w:rPr>
              <w:t xml:space="preserve">informują Komisję i </w:t>
            </w:r>
            <w:r w:rsidRPr="009D3306">
              <w:t xml:space="preserve">niezwłocznie usuwają te rejestry, jeżeli nie są już one konieczne do przeprowadzenia </w:t>
            </w:r>
            <w:r w:rsidRPr="009D3306">
              <w:lastRenderedPageBreak/>
              <w:t>tych procedur.</w:t>
            </w:r>
          </w:p>
        </w:tc>
      </w:tr>
    </w:tbl>
    <w:p w:rsidR="00AD0024" w:rsidRPr="009D3306" w:rsidRDefault="00734D25" w:rsidP="00AD0024">
      <w:pPr>
        <w:pStyle w:val="Olang"/>
        <w:rPr>
          <w:sz w:val="24"/>
          <w:szCs w:val="24"/>
        </w:rPr>
      </w:pPr>
      <w:r w:rsidRPr="009D3306">
        <w:rPr>
          <w:sz w:val="24"/>
          <w:szCs w:val="24"/>
        </w:rPr>
        <w:lastRenderedPageBreak/>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w:t>
      </w:r>
      <w:r w:rsidRPr="009D3306">
        <w:t>0</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8 – akapit 1</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t xml:space="preserve">JIP i przewoźnicy lotniczy zapewniają bezpieczeństwo danych API, w szczególności danych API stanowiących </w:t>
            </w:r>
            <w:r w:rsidRPr="009D3306">
              <w:t>dane osobowe, które to dane przetwarzają zgodnie z niniejszym rozporządzeniem.</w:t>
            </w:r>
          </w:p>
        </w:tc>
        <w:tc>
          <w:tcPr>
            <w:tcW w:w="4876" w:type="dxa"/>
            <w:hideMark/>
          </w:tcPr>
          <w:p w:rsidR="00AD0024" w:rsidRPr="009D3306" w:rsidRDefault="00734D25">
            <w:pPr>
              <w:pStyle w:val="Normal6"/>
              <w:rPr>
                <w:szCs w:val="24"/>
              </w:rPr>
            </w:pPr>
            <w:r w:rsidRPr="009D3306">
              <w:rPr>
                <w:b/>
                <w:i/>
              </w:rPr>
              <w:t xml:space="preserve">Zgodnie z art. 17 rozporządzenia (UE) [w sprawie danych API w obszarze granic] eu-LISA, </w:t>
            </w:r>
            <w:r w:rsidRPr="009D3306">
              <w:t>JIP i przewoźnicy lotniczy zapewniają bezpieczeństwo danych API, w szczególności danych A</w:t>
            </w:r>
            <w:r w:rsidRPr="009D3306">
              <w:t>PI stanowiących dane osobowe, które to dane przetwarzają zgodnie z niniejszym rozporządzeniem.</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21</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 xml:space="preserve">Artykuł 12 – ustęp 1 </w:t>
      </w:r>
      <w:r w:rsidRPr="009D3306">
        <w:t>– akapit 1</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rPr>
                <w:b/>
                <w:i/>
              </w:rPr>
              <w:t>Koszty ponoszone</w:t>
            </w:r>
            <w:r w:rsidRPr="009D3306">
              <w:t xml:space="preserve"> przez państwa członkowskie w</w:t>
            </w:r>
            <w:r w:rsidRPr="009D3306">
              <w:rPr>
                <w:b/>
                <w:i/>
              </w:rPr>
              <w:t> </w:t>
            </w:r>
            <w:r w:rsidRPr="009D3306">
              <w:t>związku z</w:t>
            </w:r>
            <w:r w:rsidRPr="009D3306">
              <w:rPr>
                <w:b/>
                <w:i/>
              </w:rPr>
              <w:t> </w:t>
            </w:r>
            <w:r w:rsidRPr="009D3306">
              <w:t xml:space="preserve">ich połączeniami z routerem i integracją z routerem, o których mowa w art. 10, </w:t>
            </w:r>
            <w:r w:rsidRPr="009D3306">
              <w:rPr>
                <w:b/>
                <w:i/>
              </w:rPr>
              <w:t>pokrywane są</w:t>
            </w:r>
            <w:r w:rsidRPr="009D3306">
              <w:t xml:space="preserve"> z</w:t>
            </w:r>
            <w:r w:rsidRPr="009D3306">
              <w:rPr>
                <w:b/>
                <w:i/>
              </w:rPr>
              <w:t> budżetu ogólnego Unii</w:t>
            </w:r>
            <w:r w:rsidRPr="009D3306">
              <w:t>.</w:t>
            </w:r>
          </w:p>
        </w:tc>
        <w:tc>
          <w:tcPr>
            <w:tcW w:w="4876" w:type="dxa"/>
            <w:hideMark/>
          </w:tcPr>
          <w:p w:rsidR="00B86419" w:rsidRPr="009D3306" w:rsidRDefault="00734D25" w:rsidP="00B86419">
            <w:pPr>
              <w:pStyle w:val="Normal6"/>
            </w:pPr>
            <w:r w:rsidRPr="009D3306">
              <w:rPr>
                <w:b/>
                <w:i/>
              </w:rPr>
              <w:t>Finansowanie, o kt</w:t>
            </w:r>
            <w:r w:rsidRPr="009D3306">
              <w:rPr>
                <w:b/>
                <w:i/>
              </w:rPr>
              <w:t>órym mowa w art. 7 ust. 2 lit. a) i b) rozporządzenia Parlamentu Europejskiego i Rady (UE) 2021/1149</w:t>
            </w:r>
            <w:r w:rsidRPr="009D3306">
              <w:rPr>
                <w:b/>
                <w:i/>
                <w:vertAlign w:val="superscript"/>
              </w:rPr>
              <w:t>1a</w:t>
            </w:r>
            <w:r w:rsidRPr="009D3306">
              <w:rPr>
                <w:b/>
                <w:i/>
              </w:rPr>
              <w:t>, może stanowić wsparcie na pokrycie kosztów ponoszonych</w:t>
            </w:r>
            <w:r w:rsidRPr="009D3306">
              <w:t xml:space="preserve"> przez państwa członkowskie w</w:t>
            </w:r>
            <w:r w:rsidRPr="009D3306">
              <w:rPr>
                <w:b/>
                <w:i/>
              </w:rPr>
              <w:t xml:space="preserve"> </w:t>
            </w:r>
            <w:r w:rsidRPr="009D3306">
              <w:t>związku z</w:t>
            </w:r>
            <w:r w:rsidRPr="009D3306">
              <w:rPr>
                <w:b/>
                <w:i/>
              </w:rPr>
              <w:t xml:space="preserve"> </w:t>
            </w:r>
            <w:r w:rsidRPr="009D3306">
              <w:t>ich połączeniami z routerem i integracją z routerem, o któ</w:t>
            </w:r>
            <w:r w:rsidRPr="009D3306">
              <w:t>rych mowa w art. 10</w:t>
            </w:r>
            <w:r w:rsidRPr="009D3306">
              <w:rPr>
                <w:b/>
                <w:i/>
              </w:rPr>
              <w:t xml:space="preserve"> niniejszego rozporządzenia</w:t>
            </w:r>
            <w:r w:rsidRPr="009D3306">
              <w:t xml:space="preserve">, </w:t>
            </w:r>
            <w:r w:rsidRPr="009D3306">
              <w:rPr>
                <w:b/>
                <w:i/>
              </w:rPr>
              <w:t>oraz konserwacją tych połączeń, zgodnie</w:t>
            </w:r>
            <w:r w:rsidRPr="009D3306">
              <w:t xml:space="preserve"> z</w:t>
            </w:r>
            <w:r w:rsidRPr="009D3306">
              <w:rPr>
                <w:b/>
                <w:i/>
              </w:rPr>
              <w:t xml:space="preserve"> zasadami kwalifikowalności i stopami współfinansowania określonymi w rozporządzeniu (UE) 2021/1149</w:t>
            </w:r>
            <w:r w:rsidRPr="009D3306">
              <w:t>.</w:t>
            </w:r>
          </w:p>
        </w:tc>
      </w:tr>
      <w:tr w:rsidR="003C5AF3" w:rsidRPr="009D3306" w:rsidTr="00AD0024">
        <w:trPr>
          <w:jc w:val="center"/>
        </w:trPr>
        <w:tc>
          <w:tcPr>
            <w:tcW w:w="4876" w:type="dxa"/>
          </w:tcPr>
          <w:p w:rsidR="0069244C" w:rsidRPr="009D3306" w:rsidRDefault="0069244C">
            <w:pPr>
              <w:pStyle w:val="Normal6"/>
            </w:pPr>
          </w:p>
        </w:tc>
        <w:tc>
          <w:tcPr>
            <w:tcW w:w="4876" w:type="dxa"/>
          </w:tcPr>
          <w:p w:rsidR="0069244C" w:rsidRPr="009D3306" w:rsidRDefault="00734D25" w:rsidP="00B86419">
            <w:pPr>
              <w:pStyle w:val="Normal6"/>
              <w:rPr>
                <w:b/>
                <w:i/>
              </w:rPr>
            </w:pPr>
            <w:r w:rsidRPr="009D3306">
              <w:rPr>
                <w:b/>
                <w:i/>
              </w:rPr>
              <w:t>________________</w:t>
            </w:r>
          </w:p>
        </w:tc>
      </w:tr>
      <w:tr w:rsidR="003C5AF3" w:rsidRPr="009D3306" w:rsidTr="00AD0024">
        <w:trPr>
          <w:jc w:val="center"/>
        </w:trPr>
        <w:tc>
          <w:tcPr>
            <w:tcW w:w="4876" w:type="dxa"/>
          </w:tcPr>
          <w:p w:rsidR="0069244C" w:rsidRPr="009D3306" w:rsidRDefault="0069244C">
            <w:pPr>
              <w:pStyle w:val="Normal6"/>
            </w:pPr>
          </w:p>
        </w:tc>
        <w:tc>
          <w:tcPr>
            <w:tcW w:w="4876" w:type="dxa"/>
          </w:tcPr>
          <w:p w:rsidR="0069244C" w:rsidRPr="009D3306" w:rsidRDefault="00734D25" w:rsidP="00B86419">
            <w:pPr>
              <w:pStyle w:val="Normal6"/>
              <w:rPr>
                <w:b/>
                <w:i/>
              </w:rPr>
            </w:pPr>
            <w:r w:rsidRPr="009D3306">
              <w:rPr>
                <w:b/>
                <w:i/>
                <w:vertAlign w:val="superscript"/>
              </w:rPr>
              <w:t>1a</w:t>
            </w:r>
            <w:r w:rsidRPr="009D3306">
              <w:rPr>
                <w:b/>
                <w:i/>
              </w:rPr>
              <w:t xml:space="preserve"> Rozporządzenie Parlamentu Europejskiego i Rady (UE) 2021/1149 z dnia 7 lipca 2021 r. ustanawiające Fundusz Bezpieczeństwa Wewnętrznego (Dz.U. L 251 z 15.7.2021, s. 94).</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lastRenderedPageBreak/>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22</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w:t>
      </w:r>
      <w:r w:rsidRPr="009D3306">
        <w:rPr>
          <w:rStyle w:val="HideTWBExt"/>
          <w:b w:val="0"/>
        </w:rPr>
        <w:t>&gt;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12 – ustęp 1 – akapit 2</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rPr>
                <w:b/>
                <w:i/>
              </w:rPr>
              <w:t>Następujące koszty są jednak wyłączone i ponoszone przez państwa członkowskie:</w:t>
            </w:r>
          </w:p>
        </w:tc>
        <w:tc>
          <w:tcPr>
            <w:tcW w:w="4876" w:type="dxa"/>
            <w:hideMark/>
          </w:tcPr>
          <w:p w:rsidR="00AD0024" w:rsidRPr="009D3306" w:rsidRDefault="00734D25">
            <w:pPr>
              <w:pStyle w:val="Normal6"/>
              <w:rPr>
                <w:szCs w:val="24"/>
              </w:rPr>
            </w:pPr>
            <w:r w:rsidRPr="009D3306">
              <w:rPr>
                <w:b/>
                <w:i/>
              </w:rPr>
              <w:t>skreśla się</w:t>
            </w:r>
          </w:p>
        </w:tc>
      </w:tr>
      <w:tr w:rsidR="003C5AF3" w:rsidRPr="009D3306" w:rsidTr="00AD0024">
        <w:trPr>
          <w:jc w:val="center"/>
        </w:trPr>
        <w:tc>
          <w:tcPr>
            <w:tcW w:w="4876" w:type="dxa"/>
            <w:hideMark/>
          </w:tcPr>
          <w:p w:rsidR="00AD0024" w:rsidRPr="009D3306" w:rsidRDefault="00734D25">
            <w:pPr>
              <w:pStyle w:val="Normal6"/>
            </w:pPr>
            <w:r w:rsidRPr="009D3306">
              <w:rPr>
                <w:b/>
                <w:i/>
              </w:rPr>
              <w:t>a)</w:t>
            </w:r>
            <w:r w:rsidRPr="009D3306">
              <w:rPr>
                <w:b/>
                <w:i/>
              </w:rPr>
              <w:tab/>
              <w:t xml:space="preserve">koszty zarządzania </w:t>
            </w:r>
            <w:r w:rsidRPr="009D3306">
              <w:rPr>
                <w:b/>
                <w:i/>
              </w:rPr>
              <w:t>projektem, w tym koszty spotkań, podróży służbowych i biur;</w:t>
            </w:r>
          </w:p>
        </w:tc>
        <w:tc>
          <w:tcPr>
            <w:tcW w:w="4876" w:type="dxa"/>
          </w:tcPr>
          <w:p w:rsidR="00AD0024" w:rsidRPr="009D3306" w:rsidRDefault="00AD0024">
            <w:pPr>
              <w:pStyle w:val="Normal6"/>
              <w:rPr>
                <w:szCs w:val="24"/>
              </w:rPr>
            </w:pPr>
          </w:p>
        </w:tc>
      </w:tr>
      <w:tr w:rsidR="003C5AF3" w:rsidRPr="009D3306" w:rsidTr="00AD0024">
        <w:trPr>
          <w:jc w:val="center"/>
        </w:trPr>
        <w:tc>
          <w:tcPr>
            <w:tcW w:w="4876" w:type="dxa"/>
            <w:hideMark/>
          </w:tcPr>
          <w:p w:rsidR="00AD0024" w:rsidRPr="009D3306" w:rsidRDefault="00734D25">
            <w:pPr>
              <w:pStyle w:val="Normal6"/>
            </w:pPr>
            <w:r w:rsidRPr="009D3306">
              <w:rPr>
                <w:b/>
                <w:i/>
              </w:rPr>
              <w:t>b)</w:t>
            </w:r>
            <w:r w:rsidRPr="009D3306">
              <w:rPr>
                <w:b/>
                <w:i/>
              </w:rPr>
              <w:tab/>
              <w:t>koszty hostingu krajowych systemów informatycznych (IT), w tym koszty przestrzeni, wdrażania, energii elektrycznej i chłodzenia;</w:t>
            </w:r>
          </w:p>
        </w:tc>
        <w:tc>
          <w:tcPr>
            <w:tcW w:w="4876" w:type="dxa"/>
          </w:tcPr>
          <w:p w:rsidR="00AD0024" w:rsidRPr="009D3306" w:rsidRDefault="00AD0024">
            <w:pPr>
              <w:pStyle w:val="Normal6"/>
              <w:rPr>
                <w:szCs w:val="24"/>
              </w:rPr>
            </w:pPr>
          </w:p>
        </w:tc>
      </w:tr>
      <w:tr w:rsidR="003C5AF3" w:rsidRPr="009D3306" w:rsidTr="00AD0024">
        <w:trPr>
          <w:jc w:val="center"/>
        </w:trPr>
        <w:tc>
          <w:tcPr>
            <w:tcW w:w="4876" w:type="dxa"/>
            <w:hideMark/>
          </w:tcPr>
          <w:p w:rsidR="00AD0024" w:rsidRPr="009D3306" w:rsidRDefault="00734D25">
            <w:pPr>
              <w:pStyle w:val="Normal6"/>
            </w:pPr>
            <w:r w:rsidRPr="009D3306">
              <w:rPr>
                <w:b/>
                <w:i/>
              </w:rPr>
              <w:t>c)</w:t>
            </w:r>
            <w:r w:rsidRPr="009D3306">
              <w:rPr>
                <w:b/>
                <w:i/>
              </w:rPr>
              <w:tab/>
              <w:t>koszty eksploatacji krajowych systemów informatycznych, w</w:t>
            </w:r>
            <w:r w:rsidRPr="009D3306">
              <w:rPr>
                <w:b/>
                <w:i/>
              </w:rPr>
              <w:t> tym umów z operatorami i umów w zakresie wsparcia;</w:t>
            </w:r>
          </w:p>
        </w:tc>
        <w:tc>
          <w:tcPr>
            <w:tcW w:w="4876" w:type="dxa"/>
          </w:tcPr>
          <w:p w:rsidR="00AD0024" w:rsidRPr="009D3306" w:rsidRDefault="00AD0024">
            <w:pPr>
              <w:pStyle w:val="Normal6"/>
              <w:rPr>
                <w:szCs w:val="24"/>
              </w:rPr>
            </w:pPr>
          </w:p>
        </w:tc>
      </w:tr>
      <w:tr w:rsidR="003C5AF3" w:rsidRPr="009D3306" w:rsidTr="00AD0024">
        <w:trPr>
          <w:jc w:val="center"/>
        </w:trPr>
        <w:tc>
          <w:tcPr>
            <w:tcW w:w="4876" w:type="dxa"/>
            <w:hideMark/>
          </w:tcPr>
          <w:p w:rsidR="00AD0024" w:rsidRPr="009D3306" w:rsidRDefault="00734D25">
            <w:pPr>
              <w:pStyle w:val="Normal6"/>
            </w:pPr>
            <w:r w:rsidRPr="009D3306">
              <w:rPr>
                <w:b/>
                <w:i/>
              </w:rPr>
              <w:t>d)</w:t>
            </w:r>
            <w:r w:rsidRPr="009D3306">
              <w:rPr>
                <w:b/>
                <w:i/>
              </w:rPr>
              <w:tab/>
              <w:t>koszty projektowania, rozwoju, wdrażania, funkcjonowania i utrzymania krajowych sieci łączności.</w:t>
            </w:r>
          </w:p>
        </w:tc>
        <w:tc>
          <w:tcPr>
            <w:tcW w:w="4876" w:type="dxa"/>
          </w:tcPr>
          <w:p w:rsidR="00AD0024" w:rsidRPr="009D3306" w:rsidRDefault="00AD0024">
            <w:pPr>
              <w:pStyle w:val="Normal6"/>
              <w:rPr>
                <w:szCs w:val="24"/>
              </w:rPr>
            </w:pP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23</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 xml:space="preserve">Wniosek </w:t>
      </w:r>
      <w:r w:rsidRPr="009D3306">
        <w:t>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12 – ustęp 2</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Tekst proponowany przez 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hideMark/>
          </w:tcPr>
          <w:p w:rsidR="00AD0024" w:rsidRPr="009D3306" w:rsidRDefault="00734D25">
            <w:pPr>
              <w:pStyle w:val="Normal6"/>
            </w:pPr>
            <w:r w:rsidRPr="009D3306">
              <w:rPr>
                <w:b/>
                <w:i/>
              </w:rPr>
              <w:t>2.</w:t>
            </w:r>
            <w:r w:rsidRPr="009D3306">
              <w:rPr>
                <w:b/>
                <w:i/>
              </w:rPr>
              <w:tab/>
              <w:t xml:space="preserve">Państwa członkowskie ponoszą również koszty powstałe w wyniku administrowania, użytkowania i konserwacji krajowych połączeń </w:t>
            </w:r>
            <w:r w:rsidRPr="009D3306">
              <w:rPr>
                <w:b/>
                <w:i/>
              </w:rPr>
              <w:t>z routerem i integracji z routerem.</w:t>
            </w:r>
          </w:p>
        </w:tc>
        <w:tc>
          <w:tcPr>
            <w:tcW w:w="4876" w:type="dxa"/>
            <w:hideMark/>
          </w:tcPr>
          <w:p w:rsidR="00AD0024" w:rsidRPr="009D3306" w:rsidRDefault="00734D25">
            <w:pPr>
              <w:pStyle w:val="Normal6"/>
              <w:rPr>
                <w:szCs w:val="24"/>
              </w:rPr>
            </w:pPr>
            <w:r w:rsidRPr="009D3306">
              <w:rPr>
                <w:b/>
                <w:i/>
              </w:rPr>
              <w:t>skreśla się</w:t>
            </w:r>
          </w:p>
        </w:tc>
      </w:tr>
    </w:tbl>
    <w:p w:rsidR="00AD0024" w:rsidRPr="009D3306" w:rsidRDefault="00734D25" w:rsidP="00AD0024">
      <w:pPr>
        <w:pStyle w:val="Olang"/>
        <w:rPr>
          <w:sz w:val="24"/>
          <w:szCs w:val="24"/>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D0024" w:rsidRPr="009D3306" w:rsidRDefault="00734D25" w:rsidP="00AD0024">
      <w:pPr>
        <w:rPr>
          <w:szCs w:val="24"/>
        </w:rPr>
      </w:pPr>
      <w:r w:rsidRPr="009D3306">
        <w:rPr>
          <w:rStyle w:val="HideTWBExt"/>
        </w:rPr>
        <w:t>&lt;/Amend&gt;</w:t>
      </w:r>
    </w:p>
    <w:p w:rsidR="00AD0024" w:rsidRPr="009D3306" w:rsidRDefault="00734D25" w:rsidP="00AD0024">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24</w:t>
      </w:r>
      <w:r w:rsidRPr="009D3306">
        <w:rPr>
          <w:rStyle w:val="HideTWBExt"/>
          <w:b w:val="0"/>
        </w:rPr>
        <w:t>&lt;/NumAm&gt;</w:t>
      </w:r>
    </w:p>
    <w:p w:rsidR="00AD0024" w:rsidRPr="009D3306" w:rsidRDefault="00734D25" w:rsidP="00AD0024">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D0024" w:rsidRPr="009D3306" w:rsidRDefault="00734D25" w:rsidP="00AD0024">
      <w:pPr>
        <w:pStyle w:val="NormalBold"/>
      </w:pPr>
      <w:r w:rsidRPr="009D3306">
        <w:rPr>
          <w:rStyle w:val="HideTWBExt"/>
          <w:b w:val="0"/>
        </w:rPr>
        <w:t>&lt;Article&gt;</w:t>
      </w:r>
      <w:r w:rsidRPr="009D3306">
        <w:t>Artykuł 20 – ustęp 1 a (nowy)</w:t>
      </w:r>
      <w:r w:rsidRPr="009D330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D0024">
        <w:trPr>
          <w:jc w:val="center"/>
        </w:trPr>
        <w:tc>
          <w:tcPr>
            <w:tcW w:w="9752" w:type="dxa"/>
            <w:gridSpan w:val="2"/>
          </w:tcPr>
          <w:p w:rsidR="00AD0024" w:rsidRPr="009D3306" w:rsidRDefault="00AD0024">
            <w:pPr>
              <w:keepNext/>
            </w:pPr>
          </w:p>
        </w:tc>
      </w:tr>
      <w:tr w:rsidR="003C5AF3" w:rsidRPr="009D3306" w:rsidTr="00AD0024">
        <w:trPr>
          <w:jc w:val="center"/>
        </w:trPr>
        <w:tc>
          <w:tcPr>
            <w:tcW w:w="4876" w:type="dxa"/>
            <w:hideMark/>
          </w:tcPr>
          <w:p w:rsidR="00AD0024" w:rsidRPr="009D3306" w:rsidRDefault="00734D25">
            <w:pPr>
              <w:pStyle w:val="ColumnHeading"/>
              <w:keepNext/>
            </w:pPr>
            <w:r w:rsidRPr="009D3306">
              <w:t xml:space="preserve">Tekst proponowany przez </w:t>
            </w:r>
            <w:r w:rsidRPr="009D3306">
              <w:t>Komisję</w:t>
            </w:r>
          </w:p>
        </w:tc>
        <w:tc>
          <w:tcPr>
            <w:tcW w:w="4876" w:type="dxa"/>
            <w:hideMark/>
          </w:tcPr>
          <w:p w:rsidR="00AD0024" w:rsidRPr="009D3306" w:rsidRDefault="00734D25">
            <w:pPr>
              <w:pStyle w:val="ColumnHeading"/>
              <w:keepNext/>
            </w:pPr>
            <w:r w:rsidRPr="009D3306">
              <w:t>Poprawka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pPr>
              <w:pStyle w:val="Normal6"/>
              <w:rPr>
                <w:szCs w:val="24"/>
              </w:rPr>
            </w:pPr>
            <w:r w:rsidRPr="009D3306">
              <w:rPr>
                <w:b/>
                <w:i/>
              </w:rPr>
              <w:t>1a.</w:t>
            </w:r>
            <w:r w:rsidRPr="009D3306">
              <w:rPr>
                <w:b/>
                <w:i/>
              </w:rPr>
              <w:tab/>
              <w:t>Przeprowadzając ocenę, Komisja zwraca również szczególną uwagę na wpływ niniejszego rozporządzenia na:</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rsidP="00D00787">
            <w:pPr>
              <w:pStyle w:val="Normal6"/>
              <w:rPr>
                <w:szCs w:val="24"/>
              </w:rPr>
            </w:pPr>
            <w:r w:rsidRPr="009D3306">
              <w:rPr>
                <w:b/>
                <w:i/>
              </w:rPr>
              <w:t>a)</w:t>
            </w:r>
            <w:r w:rsidRPr="009D3306">
              <w:rPr>
                <w:b/>
                <w:i/>
              </w:rPr>
              <w:tab/>
              <w:t>pasażerów, w tym na przebieg ich podróży;</w:t>
            </w:r>
          </w:p>
        </w:tc>
      </w:tr>
      <w:tr w:rsidR="003C5AF3" w:rsidRPr="009D3306" w:rsidTr="00AD0024">
        <w:trPr>
          <w:jc w:val="center"/>
        </w:trPr>
        <w:tc>
          <w:tcPr>
            <w:tcW w:w="4876" w:type="dxa"/>
          </w:tcPr>
          <w:p w:rsidR="00AD0024" w:rsidRPr="009D3306" w:rsidRDefault="00AD0024">
            <w:pPr>
              <w:pStyle w:val="Normal6"/>
            </w:pPr>
          </w:p>
        </w:tc>
        <w:tc>
          <w:tcPr>
            <w:tcW w:w="4876" w:type="dxa"/>
            <w:hideMark/>
          </w:tcPr>
          <w:p w:rsidR="00AD0024" w:rsidRPr="009D3306" w:rsidRDefault="00734D25" w:rsidP="00D00787">
            <w:pPr>
              <w:pStyle w:val="Normal6"/>
              <w:rPr>
                <w:szCs w:val="24"/>
              </w:rPr>
            </w:pPr>
            <w:r w:rsidRPr="009D3306">
              <w:rPr>
                <w:b/>
                <w:i/>
              </w:rPr>
              <w:t>b)</w:t>
            </w:r>
            <w:r w:rsidRPr="009D3306">
              <w:rPr>
                <w:b/>
                <w:i/>
              </w:rPr>
              <w:tab/>
              <w:t>przewoźników lotniczych.</w:t>
            </w:r>
          </w:p>
        </w:tc>
      </w:tr>
    </w:tbl>
    <w:p w:rsidR="00AD0024" w:rsidRPr="009D3306" w:rsidRDefault="00734D25" w:rsidP="00AD0024">
      <w:pPr>
        <w:pStyle w:val="Olang"/>
        <w:rPr>
          <w:rStyle w:val="HideTWBExt"/>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C53E6" w:rsidRPr="009D3306" w:rsidRDefault="00734D25" w:rsidP="00AC53E6">
      <w:pPr>
        <w:rPr>
          <w:szCs w:val="24"/>
        </w:rPr>
      </w:pPr>
      <w:r w:rsidRPr="009D3306">
        <w:rPr>
          <w:rStyle w:val="HideTWBExt"/>
        </w:rPr>
        <w:t>&lt;/Amend&gt;</w:t>
      </w:r>
    </w:p>
    <w:p w:rsidR="00AC53E6" w:rsidRPr="009D3306" w:rsidRDefault="00734D25" w:rsidP="00AC53E6">
      <w:pPr>
        <w:pStyle w:val="AMNumberTabs0"/>
        <w:keepNext/>
      </w:pPr>
      <w:r w:rsidRPr="009D3306">
        <w:rPr>
          <w:rStyle w:val="HideTWBExt"/>
          <w:b w:val="0"/>
        </w:rPr>
        <w:t>&lt;Amend&gt;</w:t>
      </w:r>
      <w:r w:rsidRPr="009D3306">
        <w:t>Poprawka</w:t>
      </w:r>
      <w:r w:rsidRPr="009D3306">
        <w:tab/>
      </w:r>
      <w:r w:rsidRPr="009D3306">
        <w:tab/>
      </w:r>
      <w:r w:rsidRPr="009D3306">
        <w:rPr>
          <w:rStyle w:val="HideTWBExt"/>
          <w:b w:val="0"/>
        </w:rPr>
        <w:t>&lt;NumAm&gt;</w:t>
      </w:r>
      <w:r w:rsidRPr="009D3306">
        <w:t>25</w:t>
      </w:r>
      <w:r w:rsidRPr="009D3306">
        <w:rPr>
          <w:rStyle w:val="HideTWBExt"/>
          <w:b w:val="0"/>
        </w:rPr>
        <w:t>&lt;/NumAm&gt;</w:t>
      </w:r>
    </w:p>
    <w:p w:rsidR="00AC53E6" w:rsidRPr="009D3306" w:rsidRDefault="00734D25" w:rsidP="00AC53E6">
      <w:pPr>
        <w:pStyle w:val="NormalBold12b"/>
        <w:keepNext/>
      </w:pPr>
      <w:r w:rsidRPr="009D3306">
        <w:rPr>
          <w:rStyle w:val="HideTWBExt"/>
          <w:b w:val="0"/>
        </w:rPr>
        <w:t>&lt;DocAmend&gt;</w:t>
      </w:r>
      <w:r w:rsidRPr="009D3306">
        <w:t>Wniosek dotyczący rozporządzenia</w:t>
      </w:r>
      <w:r w:rsidRPr="009D3306">
        <w:rPr>
          <w:rStyle w:val="HideTWBExt"/>
          <w:b w:val="0"/>
        </w:rPr>
        <w:t>&lt;/DocAmend&gt;</w:t>
      </w:r>
    </w:p>
    <w:p w:rsidR="00AC53E6" w:rsidRPr="009D3306" w:rsidRDefault="00734D25" w:rsidP="00AC53E6">
      <w:pPr>
        <w:pStyle w:val="NormalBold"/>
      </w:pPr>
      <w:r w:rsidRPr="009D3306">
        <w:rPr>
          <w:rStyle w:val="HideTWBExt"/>
          <w:b w:val="0"/>
        </w:rPr>
        <w:t>&lt;Article&gt;</w:t>
      </w:r>
      <w:r w:rsidRPr="009D3306">
        <w:t>Artykuł 20 – ustęp 1 (nowy)</w:t>
      </w:r>
      <w:r w:rsidRPr="009D330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5AF3" w:rsidRPr="009D3306" w:rsidTr="00AC53E6">
        <w:trPr>
          <w:jc w:val="center"/>
        </w:trPr>
        <w:tc>
          <w:tcPr>
            <w:tcW w:w="9752" w:type="dxa"/>
            <w:gridSpan w:val="2"/>
          </w:tcPr>
          <w:p w:rsidR="00AC53E6" w:rsidRPr="009D3306" w:rsidRDefault="00AC53E6" w:rsidP="00BD1ECD">
            <w:pPr>
              <w:keepNext/>
            </w:pPr>
          </w:p>
        </w:tc>
      </w:tr>
      <w:tr w:rsidR="003C5AF3" w:rsidRPr="009D3306" w:rsidTr="00AC53E6">
        <w:trPr>
          <w:jc w:val="center"/>
        </w:trPr>
        <w:tc>
          <w:tcPr>
            <w:tcW w:w="4876" w:type="dxa"/>
            <w:hideMark/>
          </w:tcPr>
          <w:p w:rsidR="00AC53E6" w:rsidRPr="009D3306" w:rsidRDefault="00734D25" w:rsidP="00BD1ECD">
            <w:pPr>
              <w:pStyle w:val="ColumnHeading"/>
              <w:keepNext/>
            </w:pPr>
            <w:r w:rsidRPr="009D3306">
              <w:t>Tekst proponowany przez Komisję</w:t>
            </w:r>
          </w:p>
        </w:tc>
        <w:tc>
          <w:tcPr>
            <w:tcW w:w="4876" w:type="dxa"/>
            <w:hideMark/>
          </w:tcPr>
          <w:p w:rsidR="00AC53E6" w:rsidRPr="009D3306" w:rsidRDefault="00734D25" w:rsidP="00BD1ECD">
            <w:pPr>
              <w:pStyle w:val="ColumnHeading"/>
              <w:keepNext/>
            </w:pPr>
            <w:r w:rsidRPr="009D3306">
              <w:t>Poprawka</w:t>
            </w:r>
          </w:p>
        </w:tc>
      </w:tr>
      <w:tr w:rsidR="003C5AF3" w:rsidRPr="009D3306" w:rsidTr="00AC53E6">
        <w:trPr>
          <w:jc w:val="center"/>
        </w:trPr>
        <w:tc>
          <w:tcPr>
            <w:tcW w:w="4876" w:type="dxa"/>
          </w:tcPr>
          <w:p w:rsidR="00AC53E6" w:rsidRPr="009D3306" w:rsidRDefault="00AC53E6" w:rsidP="00BD1ECD">
            <w:pPr>
              <w:pStyle w:val="Normal6"/>
            </w:pPr>
          </w:p>
        </w:tc>
        <w:tc>
          <w:tcPr>
            <w:tcW w:w="4876" w:type="dxa"/>
            <w:hideMark/>
          </w:tcPr>
          <w:p w:rsidR="00AC53E6" w:rsidRPr="009D3306" w:rsidRDefault="00734D25" w:rsidP="005878ED">
            <w:pPr>
              <w:pStyle w:val="Normal6"/>
              <w:rPr>
                <w:szCs w:val="24"/>
              </w:rPr>
            </w:pPr>
            <w:r w:rsidRPr="009D3306">
              <w:rPr>
                <w:b/>
                <w:i/>
              </w:rPr>
              <w:t>1b.</w:t>
            </w:r>
            <w:r w:rsidRPr="009D3306">
              <w:rPr>
                <w:b/>
                <w:i/>
              </w:rPr>
              <w:tab/>
              <w:t xml:space="preserve">Ocena, o której mowa w ust. 1, obejmuje również przegląd odnoszący się do </w:t>
            </w:r>
            <w:r w:rsidRPr="009D3306">
              <w:rPr>
                <w:b/>
                <w:i/>
              </w:rPr>
              <w:t>konieczności, proporcjonalności i skuteczności objęcia zakresem niniejszego rozporządzenia obowiązkowego gromadzenia i przekazywania danych API dotyczących lotów wewnątrzunijnych.</w:t>
            </w:r>
          </w:p>
        </w:tc>
      </w:tr>
    </w:tbl>
    <w:p w:rsidR="00AC53E6" w:rsidRPr="009D3306" w:rsidRDefault="00734D25" w:rsidP="00AC53E6">
      <w:pPr>
        <w:pStyle w:val="Olang"/>
        <w:rPr>
          <w:rStyle w:val="HideTWBExt"/>
        </w:rPr>
      </w:pPr>
      <w:r w:rsidRPr="009D3306">
        <w:rPr>
          <w:sz w:val="24"/>
          <w:szCs w:val="24"/>
        </w:rPr>
        <w:t xml:space="preserve">Or. </w:t>
      </w:r>
      <w:r w:rsidRPr="009D3306">
        <w:rPr>
          <w:rStyle w:val="HideTWBExt"/>
        </w:rPr>
        <w:t>&lt;Original&gt;</w:t>
      </w:r>
      <w:r w:rsidRPr="009D3306">
        <w:rPr>
          <w:rStyle w:val="HideTWBInt"/>
          <w:sz w:val="24"/>
          <w:szCs w:val="24"/>
        </w:rPr>
        <w:t>{EN}</w:t>
      </w:r>
      <w:r w:rsidRPr="009D3306">
        <w:rPr>
          <w:sz w:val="24"/>
          <w:szCs w:val="24"/>
        </w:rPr>
        <w:t>en</w:t>
      </w:r>
      <w:r w:rsidRPr="009D3306">
        <w:rPr>
          <w:rStyle w:val="HideTWBExt"/>
        </w:rPr>
        <w:t>&lt;/Original&gt;</w:t>
      </w:r>
    </w:p>
    <w:p w:rsidR="00AC53E6" w:rsidRPr="009D3306" w:rsidRDefault="00AC53E6" w:rsidP="00AD0024">
      <w:pPr>
        <w:rPr>
          <w:rStyle w:val="HideTWBExt"/>
        </w:rPr>
      </w:pPr>
    </w:p>
    <w:p w:rsidR="00AD0024" w:rsidRPr="009D3306" w:rsidRDefault="00734D25" w:rsidP="00AD0024">
      <w:pPr>
        <w:rPr>
          <w:szCs w:val="24"/>
        </w:rPr>
      </w:pPr>
      <w:r w:rsidRPr="009D3306">
        <w:rPr>
          <w:rStyle w:val="HideTWBExt"/>
        </w:rPr>
        <w:t>&lt;/Amend&gt;&lt;/RepeatBlock-Amend&gt;</w:t>
      </w:r>
    </w:p>
    <w:p w:rsidR="00AD0024" w:rsidRPr="009D3306" w:rsidRDefault="00AD0024" w:rsidP="00AD0024"/>
    <w:p w:rsidR="002669B6" w:rsidRPr="009D3306" w:rsidRDefault="002669B6" w:rsidP="002669B6"/>
    <w:p w:rsidR="002A0402" w:rsidRPr="009D3306" w:rsidRDefault="002A0402" w:rsidP="002669B6">
      <w:pPr>
        <w:sectPr w:rsidR="002A0402" w:rsidRPr="009D3306" w:rsidSect="009D33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0402" w:rsidRPr="009D3306" w:rsidRDefault="00734D25" w:rsidP="002A0402">
      <w:pPr>
        <w:pStyle w:val="PageHeading"/>
      </w:pPr>
      <w:bookmarkStart w:id="2" w:name="_Toc143156513"/>
      <w:r w:rsidRPr="009D3306">
        <w:lastRenderedPageBreak/>
        <w:t>UZASADNIENIE</w:t>
      </w:r>
      <w:bookmarkEnd w:id="2"/>
    </w:p>
    <w:p w:rsidR="002A0402" w:rsidRPr="009D3306" w:rsidRDefault="00734D25" w:rsidP="002A0402">
      <w:pPr>
        <w:rPr>
          <w:b/>
        </w:rPr>
      </w:pPr>
      <w:r w:rsidRPr="009D3306">
        <w:rPr>
          <w:b/>
        </w:rPr>
        <w:t>1. Kontekst wniosku</w:t>
      </w:r>
    </w:p>
    <w:p w:rsidR="002A0402" w:rsidRPr="009D3306" w:rsidRDefault="002A0402" w:rsidP="002A0402">
      <w:pPr>
        <w:rPr>
          <w:b/>
        </w:rPr>
      </w:pPr>
    </w:p>
    <w:p w:rsidR="002A0402" w:rsidRPr="009D3306" w:rsidRDefault="00734D25" w:rsidP="002A0402">
      <w:r w:rsidRPr="009D3306">
        <w:t>Celem dyrektywy Rady 2004/82/WE z dnia 29 kwietnia 2004 r. w sprawie zobowiązania przewoźników do przekazywania danych pasażerów (zwanej dalej „dyrektywą w sprawie API”) jest poprawa kontro</w:t>
      </w:r>
      <w:r w:rsidRPr="009D3306">
        <w:t>li granicznych i zwalczanie nielegalnej imigracji. Na jej mocy państwa członkowskie będą musiały nałożyć na przewoźników lotniczych obowiązek przekazywania, na wniosek organów odpowiedzialnych za przeprowadzanie kontroli osób na granicach zewnętrznych, inf</w:t>
      </w:r>
      <w:r w:rsidRPr="009D3306">
        <w:t>ormacji dotyczących przewożonych przez nich pasażerów. Dyrektywa w sprawie API nie nakłada na państwa członkowskie obowiązku żądania przekazywania danych. Zawiera ona otwarty wykaz kategorii danych, których mogą zażądać państwa członkowskie. Dyrektywa w sp</w:t>
      </w:r>
      <w:r w:rsidRPr="009D3306">
        <w:t>rawie API ma zasadniczo służyć jako instrument służący zwiększeniu bezpieczeństwa granic, ale jednocześnie umożliwia państwom członkowskim wykorzystywanie zgromadzonych danych osobowych również do celów egzekwowania prawa.</w:t>
      </w:r>
    </w:p>
    <w:p w:rsidR="002A0402" w:rsidRPr="009D3306" w:rsidRDefault="002A0402" w:rsidP="002A0402"/>
    <w:p w:rsidR="002A0402" w:rsidRPr="009D3306" w:rsidRDefault="00734D25" w:rsidP="002A0402">
      <w:r w:rsidRPr="009D3306">
        <w:t>Celem dyrektywy Parlamentu Europ</w:t>
      </w:r>
      <w:r w:rsidRPr="009D3306">
        <w:t>ejskiego i Rady (UE) 2016/681 z dnia 27 kwietnia 2016 r. w sprawie wykorzystywania danych dotyczących przelotu pasażera (danych PNR) w celu zapobiegania przestępstwom terrorystycznym i poważnej przestępczości, ich wykrywania, prowadzenia postępowań przygot</w:t>
      </w:r>
      <w:r w:rsidRPr="009D3306">
        <w:t>owawczych w ich sprawie i ich ścigania (zwanej dalej „dyrektywą w sprawie danych PNR”) jest ułatwienie zapobiegania przestępstwom terrorystycznym i poważnej przestępczości, ich wykrywania, prowadzenia postępowań przygotowawczych w ich sprawie i ich ścigani</w:t>
      </w:r>
      <w:r w:rsidRPr="009D3306">
        <w:t>a, a tym samym zwiększenie bezpieczeństwa wewnętrznego w Unii. Dyrektywa w sprawie danych PNR nakłada na państwa członkowskie obowiązek wprowadzenia przepisów nakładających na przewoźników lotniczych obsługujących loty pozaunijne obowiązek przekazywania gr</w:t>
      </w:r>
      <w:r w:rsidRPr="009D3306">
        <w:t>omadzonych przez nich danych PNR. W dyrektywie w sprawie danych PNR przewidziano możliwość stosowania przez państwa członkowskie przepisów tej dyrektywy do lotów wewnątrzunijnych. Dyrektywa w sprawie danych PNR włącza dane API do wykazu danych PNR.</w:t>
      </w:r>
    </w:p>
    <w:p w:rsidR="002A0402" w:rsidRPr="009D3306" w:rsidRDefault="002A0402" w:rsidP="002A0402"/>
    <w:p w:rsidR="002A0402" w:rsidRPr="009D3306" w:rsidRDefault="00734D25" w:rsidP="002A0402">
      <w:r w:rsidRPr="009D3306">
        <w:t>W dniu</w:t>
      </w:r>
      <w:r w:rsidRPr="009D3306">
        <w:t xml:space="preserve"> 21 czerwca 2022 r. Trybunał Sprawiedliwości Unii Europejskiej (TSUE) w sprawie C-817/19 potwierdził ważność dyrektywy w sprawie danych PNR. TSUE przedstawił również wyjaśnienia dotyczące niektórych przepisów, w szczególności szeregu warunków dotyczących k</w:t>
      </w:r>
      <w:r w:rsidRPr="009D3306">
        <w:t>ryteriów wyboru lotów, które państwa członkowskie muszą spełnić, jeżeli stosują dyrektywę w sprawie danych PNR do lotów wewnątrzunijnych.</w:t>
      </w:r>
    </w:p>
    <w:p w:rsidR="002A0402" w:rsidRPr="009D3306" w:rsidRDefault="002A0402" w:rsidP="002A0402"/>
    <w:p w:rsidR="002A0402" w:rsidRPr="009D3306" w:rsidRDefault="00734D25" w:rsidP="002A0402">
      <w:r w:rsidRPr="009D3306">
        <w:t xml:space="preserve">Dla kontekstu dyrektyw w sprawie API i PNR istotny jest fakt, że w 2019 r. w UE zarejestrowano około 1 mld pasażerów </w:t>
      </w:r>
      <w:r w:rsidRPr="009D3306">
        <w:t>lotniczych, z czego połowa przekroczyła zewnętrzne granice UE. Na mocy kodeksu granicznego Schengen wymagane są skuteczne i systematyczne kontrole osób przekraczających granice zewnętrzne UE. Dane pasażera przekazywane przed podróżą są jednym z narzędzi um</w:t>
      </w:r>
      <w:r w:rsidRPr="009D3306">
        <w:t>ożliwiających organom granicznym przewidywanie obciążenia pracą i przeprowadzanie odpowiednich kontroli granicznych.</w:t>
      </w:r>
    </w:p>
    <w:p w:rsidR="002A0402" w:rsidRPr="009D3306" w:rsidRDefault="002A0402" w:rsidP="002A0402"/>
    <w:p w:rsidR="002A0402" w:rsidRPr="009D3306" w:rsidRDefault="00734D25" w:rsidP="002A0402">
      <w:r w:rsidRPr="009D3306">
        <w:t>Gromadzenie i przekazywanie danych API nie jest samo w sobie niczym nowym, ani nie ogranicza się do UE. Jest to zobowiązanie, które dotycz</w:t>
      </w:r>
      <w:r w:rsidRPr="009D3306">
        <w:t xml:space="preserve">y wszystkich państw członkowskich UE, ponieważ wszystkie są one stronami konwencji chicagowskiej ustanawiającej Organizację Międzynarodowego Lotnictwa Cywilnego (ICAO). Ponadto jest również </w:t>
      </w:r>
      <w:r w:rsidRPr="009D3306">
        <w:lastRenderedPageBreak/>
        <w:t>wymogiem obowiązującym w wielu krajach przeznaczenia, takich jak S</w:t>
      </w:r>
      <w:r w:rsidRPr="009D3306">
        <w:t>tany Zjednoczone, Japonia, Francja, Zjednoczone Królestwo, Chiny, Indie, Australia, Kanada, Meksyk i Tajlandia. Gromadzenie danych API jest utrwaloną praktyką w ramach wyżej wymienionej dyrektywy w sprawie API.</w:t>
      </w:r>
    </w:p>
    <w:p w:rsidR="002A0402" w:rsidRPr="009D3306" w:rsidRDefault="002A0402" w:rsidP="002A0402"/>
    <w:p w:rsidR="002A0402" w:rsidRPr="009D3306" w:rsidRDefault="00734D25" w:rsidP="002A0402">
      <w:pPr>
        <w:rPr>
          <w:b/>
        </w:rPr>
      </w:pPr>
      <w:r w:rsidRPr="009D3306">
        <w:rPr>
          <w:b/>
        </w:rPr>
        <w:t>2. Treść wniosku</w:t>
      </w:r>
    </w:p>
    <w:p w:rsidR="002A0402" w:rsidRPr="009D3306" w:rsidRDefault="002A0402" w:rsidP="002A0402">
      <w:pPr>
        <w:rPr>
          <w:b/>
        </w:rPr>
      </w:pPr>
    </w:p>
    <w:p w:rsidR="002A0402" w:rsidRPr="009D3306" w:rsidRDefault="00734D25" w:rsidP="002A0402">
      <w:r w:rsidRPr="009D3306">
        <w:t xml:space="preserve">Dyrektywy w sprawie API i </w:t>
      </w:r>
      <w:r w:rsidRPr="009D3306">
        <w:t xml:space="preserve">PNR pozostawiają duży margines skutkujący niejednolitym wdrażaniem. W rezultacie praktyka gromadzenia danych API jest bardzo zróżnicowana w poszczególnych państwach członkowskich UE. Linie lotnicze muszą przyjmować ustalenia z każdym państwem członkowskim </w:t>
      </w:r>
      <w:r w:rsidRPr="009D3306">
        <w:t>indywidualnie i mają do czynienia z różnymi wnioskami dotyczącymi kategorii danych, sposobów przekazywania danych, a także zabezpieczeń, w tym bezpieczeństwa danych i prywatności.</w:t>
      </w:r>
    </w:p>
    <w:p w:rsidR="002A0402" w:rsidRPr="009D3306" w:rsidRDefault="002A0402" w:rsidP="002A0402"/>
    <w:p w:rsidR="002A0402" w:rsidRPr="009D3306" w:rsidRDefault="00734D25" w:rsidP="002A0402">
      <w:r w:rsidRPr="009D3306">
        <w:t>Aby zaradzić tej sytuacji, Komisja zaproponowała dwa rozporządzenia:</w:t>
      </w:r>
    </w:p>
    <w:p w:rsidR="002A0402" w:rsidRPr="009D3306" w:rsidRDefault="00734D25" w:rsidP="00AE1776">
      <w:pPr>
        <w:ind w:left="720" w:hanging="360"/>
      </w:pPr>
      <w:r w:rsidRPr="009D3306">
        <w:rPr>
          <w:rFonts w:ascii="Symbol" w:hAnsi="Symbol"/>
        </w:rPr>
        <w:sym w:font="Symbol" w:char="F0B7"/>
      </w:r>
      <w:r w:rsidRPr="009D3306">
        <w:rPr>
          <w:rFonts w:ascii="Symbol" w:hAnsi="Symbol"/>
        </w:rPr>
        <w:tab/>
      </w:r>
      <w:r w:rsidRPr="009D3306">
        <w:t>rozporządzenie w sprawie gromadzenia i przekazywania danych pasażera przekazywanych przed podróżą (API) w celu usprawnienia i ułatwienia kontroli na granicach zewnętrznych, zmieniające rozporządzenie (UE) 2019/817 i rozporządzenie (UE) 2018/1726 oraz uchyl</w:t>
      </w:r>
      <w:r w:rsidRPr="009D3306">
        <w:t>ające dyrektywę Rady 2004/82/WE („w sprawie danych API w obszarze granic”);</w:t>
      </w:r>
    </w:p>
    <w:p w:rsidR="002A0402" w:rsidRPr="009D3306" w:rsidRDefault="00734D25" w:rsidP="00AE1776">
      <w:pPr>
        <w:ind w:left="720" w:hanging="360"/>
      </w:pPr>
      <w:r w:rsidRPr="009D3306">
        <w:rPr>
          <w:rFonts w:ascii="Symbol" w:hAnsi="Symbol"/>
        </w:rPr>
        <w:sym w:font="Symbol" w:char="F0B7"/>
      </w:r>
      <w:r w:rsidRPr="009D3306">
        <w:rPr>
          <w:rFonts w:ascii="Symbol" w:hAnsi="Symbol"/>
        </w:rPr>
        <w:tab/>
      </w:r>
      <w:r w:rsidRPr="009D3306">
        <w:t>rozporządzenie w sprawie gromadzenia i przekazywania danych pasażera przekazywanych przed podróżą w celu zapobiegania przestępstwom terrorystycznym i poważnej przestępczości, ich</w:t>
      </w:r>
      <w:r w:rsidRPr="009D3306">
        <w:t xml:space="preserve"> wykrywania, prowadzenia postępowań przygotowawczych w ich sprawie i ich ścigania oraz zmieniające rozporządzenie (UE) 2019/818 („w sprawie danych API do celów egzekwowania prawa”).</w:t>
      </w:r>
    </w:p>
    <w:p w:rsidR="002A0402" w:rsidRPr="009D3306" w:rsidRDefault="002A0402" w:rsidP="002A0402"/>
    <w:p w:rsidR="002A0402" w:rsidRPr="009D3306" w:rsidRDefault="00734D25" w:rsidP="002A0402">
      <w:r w:rsidRPr="009D3306">
        <w:t>Zgodnie z propozycją opracowaną przez Komisję wniosek dotyczący danych AP</w:t>
      </w:r>
      <w:r w:rsidRPr="009D3306">
        <w:t>I w obszarze granic zawiera główne elementy, w tym w odniesieniu do rozwiązania technicznego (router). Wniosek dotyczący danych API do celów egzekwowania prawa ma własną podstawę prawną i zawiera elementy istotne dla gromadzenia, przekazywania i przetwarza</w:t>
      </w:r>
      <w:r w:rsidRPr="009D3306">
        <w:t>nia danych API do celów zapobiegania przestępstwom terrorystycznym i poważnej przestępczości, ich wykrywania, prowadzenia postępowań przygotowawczych w ich sprawie i ich ścigania przez właściwe organy państw członkowskich.</w:t>
      </w:r>
    </w:p>
    <w:p w:rsidR="002A0402" w:rsidRPr="009D3306" w:rsidRDefault="002A0402" w:rsidP="002A0402"/>
    <w:p w:rsidR="002A0402" w:rsidRPr="009D3306" w:rsidRDefault="00734D25" w:rsidP="002A0402">
      <w:r w:rsidRPr="009D3306">
        <w:t xml:space="preserve">Łącznie wnioski zawierają </w:t>
      </w:r>
      <w:r w:rsidRPr="009D3306">
        <w:t>następujące główne zmiany w porównaniu z obecnie obowiązującą dyrektywą w sprawie API:</w:t>
      </w:r>
    </w:p>
    <w:p w:rsidR="002A0402" w:rsidRPr="009D3306" w:rsidRDefault="002A0402" w:rsidP="002A0402"/>
    <w:p w:rsidR="002A0402" w:rsidRPr="009D3306" w:rsidRDefault="00734D25" w:rsidP="00AE1776">
      <w:pPr>
        <w:widowControl/>
        <w:tabs>
          <w:tab w:val="left" w:pos="426"/>
        </w:tabs>
        <w:spacing w:after="120" w:line="264" w:lineRule="auto"/>
        <w:ind w:left="720" w:hanging="360"/>
        <w:jc w:val="both"/>
        <w:rPr>
          <w:szCs w:val="22"/>
        </w:rPr>
      </w:pPr>
      <w:r w:rsidRPr="009D3306">
        <w:rPr>
          <w:rFonts w:ascii="Symbol" w:hAnsi="Symbol"/>
          <w:sz w:val="20"/>
        </w:rPr>
        <w:sym w:font="Symbol" w:char="F0B7"/>
      </w:r>
      <w:r w:rsidRPr="009D3306">
        <w:rPr>
          <w:rFonts w:ascii="Symbol" w:hAnsi="Symbol"/>
          <w:sz w:val="20"/>
        </w:rPr>
        <w:tab/>
      </w:r>
      <w:r w:rsidRPr="009D3306">
        <w:rPr>
          <w:b/>
        </w:rPr>
        <w:t>Zamknięty i wyczerpujący wykaz elementów danych API</w:t>
      </w:r>
      <w:r w:rsidRPr="009D3306">
        <w:t xml:space="preserve">. Zgodnie z obowiązującą dyrektywą w sprawie API wykaz elementów danych jest otwarty. </w:t>
      </w:r>
    </w:p>
    <w:p w:rsidR="002A0402" w:rsidRPr="009D3306" w:rsidRDefault="00734D25" w:rsidP="00AE1776">
      <w:pPr>
        <w:widowControl/>
        <w:tabs>
          <w:tab w:val="left" w:pos="426"/>
        </w:tabs>
        <w:spacing w:after="120" w:line="264" w:lineRule="auto"/>
        <w:ind w:left="720" w:hanging="360"/>
        <w:jc w:val="both"/>
        <w:rPr>
          <w:szCs w:val="22"/>
        </w:rPr>
      </w:pPr>
      <w:r w:rsidRPr="009D3306">
        <w:rPr>
          <w:rFonts w:ascii="Symbol" w:hAnsi="Symbol"/>
          <w:sz w:val="20"/>
        </w:rPr>
        <w:sym w:font="Symbol" w:char="F0B7"/>
      </w:r>
      <w:r w:rsidRPr="009D3306">
        <w:rPr>
          <w:rFonts w:ascii="Symbol" w:hAnsi="Symbol"/>
          <w:sz w:val="20"/>
        </w:rPr>
        <w:tab/>
      </w:r>
      <w:r w:rsidRPr="009D3306">
        <w:rPr>
          <w:b/>
          <w:bCs/>
        </w:rPr>
        <w:t>Gromadzenie danych API w s</w:t>
      </w:r>
      <w:r w:rsidRPr="009D3306">
        <w:rPr>
          <w:b/>
          <w:bCs/>
        </w:rPr>
        <w:t>posób zautomatyzowany</w:t>
      </w:r>
      <w:r w:rsidRPr="009D3306">
        <w:t>, dzięki czemu gromadzone dane powinny być bardziej wiarygodne. Zgodnie z obowiązującą dyrektywą w sprawie API dane mogą być gromadzone ręcznie.</w:t>
      </w:r>
    </w:p>
    <w:p w:rsidR="002A0402" w:rsidRPr="009D3306" w:rsidRDefault="00734D25" w:rsidP="00AE1776">
      <w:pPr>
        <w:widowControl/>
        <w:tabs>
          <w:tab w:val="left" w:pos="426"/>
        </w:tabs>
        <w:spacing w:after="120" w:line="264" w:lineRule="auto"/>
        <w:ind w:left="720" w:hanging="360"/>
        <w:jc w:val="both"/>
        <w:rPr>
          <w:szCs w:val="22"/>
        </w:rPr>
      </w:pPr>
      <w:r w:rsidRPr="009D3306">
        <w:rPr>
          <w:rFonts w:ascii="Symbol" w:hAnsi="Symbol"/>
          <w:sz w:val="20"/>
        </w:rPr>
        <w:sym w:font="Symbol" w:char="F0B7"/>
      </w:r>
      <w:r w:rsidRPr="009D3306">
        <w:rPr>
          <w:rFonts w:ascii="Symbol" w:hAnsi="Symbol"/>
          <w:sz w:val="20"/>
        </w:rPr>
        <w:tab/>
      </w:r>
      <w:r w:rsidRPr="009D3306">
        <w:rPr>
          <w:b/>
          <w:bCs/>
        </w:rPr>
        <w:t>Obowiązkowe gromadzenie danych API w celu zwiększenia i ułatwienia skuteczności kontroli</w:t>
      </w:r>
      <w:r w:rsidRPr="009D3306">
        <w:rPr>
          <w:b/>
          <w:bCs/>
        </w:rPr>
        <w:t xml:space="preserve"> granicznych</w:t>
      </w:r>
      <w:r w:rsidRPr="009D3306">
        <w:t xml:space="preserve"> na granicach zewnętrznych oraz zwalczania nielegalnej imigracji w odniesieniu do wszystkich lotów w kierunku Unii. Zgodnie z obowiązującą dyrektywą w sprawie API państwa członkowskie mogą zażądać tych danych, ale nie są do tego zobowiązane.</w:t>
      </w:r>
    </w:p>
    <w:p w:rsidR="002A0402" w:rsidRPr="009D3306" w:rsidRDefault="00734D25" w:rsidP="00AE1776">
      <w:pPr>
        <w:widowControl/>
        <w:tabs>
          <w:tab w:val="left" w:pos="426"/>
        </w:tabs>
        <w:spacing w:after="120" w:line="264" w:lineRule="auto"/>
        <w:ind w:left="720" w:hanging="360"/>
        <w:jc w:val="both"/>
        <w:rPr>
          <w:szCs w:val="22"/>
        </w:rPr>
      </w:pPr>
      <w:r w:rsidRPr="009D3306">
        <w:rPr>
          <w:rFonts w:ascii="Symbol" w:hAnsi="Symbol"/>
          <w:sz w:val="20"/>
        </w:rPr>
        <w:lastRenderedPageBreak/>
        <w:sym w:font="Symbol" w:char="F0B7"/>
      </w:r>
      <w:r w:rsidRPr="009D3306">
        <w:rPr>
          <w:rFonts w:ascii="Symbol" w:hAnsi="Symbol"/>
          <w:sz w:val="20"/>
        </w:rPr>
        <w:tab/>
      </w:r>
      <w:r w:rsidRPr="009D3306">
        <w:rPr>
          <w:b/>
          <w:bCs/>
        </w:rPr>
        <w:t>Obowiązkowe gromadzenie danych API do celów egzekwowania prawa</w:t>
      </w:r>
      <w:r w:rsidRPr="009D3306">
        <w:t xml:space="preserve"> w odniesieniu do wszystkich lotów do i z UE, a także lotów w obrębie UE. Zgodnie z obecną dyrektywą w sprawie API państwa członkowskie mogą wykorzystywać dane osobowe do celów egzekwowania praw</w:t>
      </w:r>
      <w:r w:rsidRPr="009D3306">
        <w:t>a, ale obowiązek gromadzenia danych jest elementem nowym.</w:t>
      </w:r>
    </w:p>
    <w:p w:rsidR="002A0402" w:rsidRPr="009D3306" w:rsidRDefault="00734D25" w:rsidP="00AE1776">
      <w:pPr>
        <w:widowControl/>
        <w:tabs>
          <w:tab w:val="left" w:pos="426"/>
        </w:tabs>
        <w:spacing w:after="120" w:line="264" w:lineRule="auto"/>
        <w:ind w:left="720" w:hanging="360"/>
        <w:jc w:val="both"/>
        <w:rPr>
          <w:szCs w:val="22"/>
        </w:rPr>
      </w:pPr>
      <w:r w:rsidRPr="009D3306">
        <w:rPr>
          <w:rFonts w:ascii="Symbol" w:hAnsi="Symbol"/>
          <w:sz w:val="20"/>
        </w:rPr>
        <w:sym w:font="Symbol" w:char="F0B7"/>
      </w:r>
      <w:r w:rsidRPr="009D3306">
        <w:rPr>
          <w:rFonts w:ascii="Symbol" w:hAnsi="Symbol"/>
          <w:sz w:val="20"/>
        </w:rPr>
        <w:tab/>
      </w:r>
      <w:r w:rsidRPr="009D3306">
        <w:rPr>
          <w:b/>
          <w:bCs/>
        </w:rPr>
        <w:t>Usprawnione przekazywanie danych API</w:t>
      </w:r>
      <w:r w:rsidRPr="009D3306">
        <w:t xml:space="preserve"> przez przewoźników lotniczych do nowego </w:t>
      </w:r>
      <w:r w:rsidRPr="009D3306">
        <w:rPr>
          <w:b/>
          <w:bCs/>
        </w:rPr>
        <w:t>routera</w:t>
      </w:r>
      <w:r w:rsidRPr="009D3306">
        <w:t>, który zostanie opracowany i będzie zarządzany przez Agencję UE ds. Zarządzania Operacyjnego Wielkoskalowymi Sy</w:t>
      </w:r>
      <w:r w:rsidRPr="009D3306">
        <w:t xml:space="preserve">stemami Informatycznymi (eu-LISA). </w:t>
      </w:r>
    </w:p>
    <w:p w:rsidR="002A0402" w:rsidRPr="009D3306" w:rsidRDefault="00734D25" w:rsidP="00AE1776">
      <w:pPr>
        <w:widowControl/>
        <w:tabs>
          <w:tab w:val="left" w:pos="426"/>
        </w:tabs>
        <w:spacing w:after="120" w:line="264" w:lineRule="auto"/>
        <w:ind w:left="720" w:hanging="360"/>
        <w:jc w:val="both"/>
        <w:rPr>
          <w:szCs w:val="22"/>
        </w:rPr>
      </w:pPr>
      <w:r w:rsidRPr="009D3306">
        <w:rPr>
          <w:rFonts w:ascii="Symbol" w:hAnsi="Symbol"/>
          <w:sz w:val="20"/>
        </w:rPr>
        <w:sym w:font="Symbol" w:char="F0B7"/>
      </w:r>
      <w:r w:rsidRPr="009D3306">
        <w:rPr>
          <w:rFonts w:ascii="Symbol" w:hAnsi="Symbol"/>
          <w:sz w:val="20"/>
        </w:rPr>
        <w:tab/>
      </w:r>
      <w:r w:rsidRPr="009D3306">
        <w:rPr>
          <w:b/>
          <w:bCs/>
        </w:rPr>
        <w:t>Automatyczny filtr w routerze</w:t>
      </w:r>
      <w:r w:rsidRPr="009D3306">
        <w:t>, który umożliwia automatyczne przesyłanie z routera danych API dotyczących lotów pozaunijnych i wybranych lotów wewnątrzunijnych do jednostek do spraw informacji o pasażerach (lub „JIP”) w</w:t>
      </w:r>
      <w:r w:rsidRPr="009D3306">
        <w:t xml:space="preserve"> państwach członkowskich oraz automatyczne usuwanie wszystkich innych danych API.</w:t>
      </w:r>
    </w:p>
    <w:p w:rsidR="002A0402" w:rsidRPr="009D3306" w:rsidRDefault="00734D25" w:rsidP="002A0402">
      <w:pPr>
        <w:rPr>
          <w:szCs w:val="24"/>
        </w:rPr>
      </w:pPr>
      <w:r w:rsidRPr="009D3306">
        <w:t>W opinii 6/2023 na temat wniosków dotyczących rozporządzeń w sprawie gromadzenia i przekazywania danych pasażera przekazywanych przed podróżą (API) Europejski Inspektor Ochro</w:t>
      </w:r>
      <w:r w:rsidRPr="009D3306">
        <w:t>ny Danych (EIOD) dokonał oceny propozycji gromadzenia danych API dotyczących wszystkich lotów oraz automatycznego filtrowania tych danych przez proponowany router na podstawie wstępnie wybranych lotów i wydał pozytywną opinię na temat tych propozycji z pun</w:t>
      </w:r>
      <w:r w:rsidRPr="009D3306">
        <w:t>ktu widzenia ochrony danych.</w:t>
      </w:r>
    </w:p>
    <w:p w:rsidR="002A0402" w:rsidRPr="009D3306" w:rsidRDefault="002A0402" w:rsidP="002A0402"/>
    <w:p w:rsidR="002A0402" w:rsidRPr="009D3306" w:rsidRDefault="00734D25" w:rsidP="002A0402">
      <w:pPr>
        <w:rPr>
          <w:b/>
        </w:rPr>
      </w:pPr>
      <w:r w:rsidRPr="009D3306">
        <w:rPr>
          <w:b/>
        </w:rPr>
        <w:t>3. Ocena wniosku przez sprawozdawczynię</w:t>
      </w:r>
    </w:p>
    <w:p w:rsidR="002A0402" w:rsidRPr="009D3306" w:rsidRDefault="002A0402" w:rsidP="002A0402"/>
    <w:p w:rsidR="002A0402" w:rsidRPr="009D3306" w:rsidRDefault="00734D25" w:rsidP="002A0402">
      <w:r w:rsidRPr="009D3306">
        <w:t xml:space="preserve">Sprawozdawczyni odpowiedzialna za dossier w sprawie danych API do celów egzekwowanie prawa z zadowoleniem przyjmuje wniosek Komisji mający na celu zastąpienie przestarzałej dyrektywy w </w:t>
      </w:r>
      <w:r w:rsidRPr="009D3306">
        <w:t>sprawie API dwoma nowymi rozporządzeniami. Sprawozdawczyni zgadza się z Komisją, że konieczne jest zaradzenie obecnej sytuacji w związku ze zróżnicowaną interpretacją i stosowaniem dyrektywy w sprawie API, a także w związku z elementami danych API w dyrekt</w:t>
      </w:r>
      <w:r w:rsidRPr="009D3306">
        <w:t>ywie w sprawie danych PNR. Sprawozdawczyni jest zdania, że dane API i dane PNR wzajemnie się uzupełniają i że razem mogą być źródłem bardziej wiarygodnych informacji. Dzięki temu interwencje organów ścigania będą bardziej ograniczone i ukierunkowane, a ing</w:t>
      </w:r>
      <w:r w:rsidRPr="009D3306">
        <w:t>erencja w prywatność podróżujących będzie mniejsza. Dla przykładu sprawozdawczyni pragnie zwrócić uwagę, że przestępcy często rezerwują loty (generując dane PNR), ale nie stawiają się do wejścia na pokład, nie anulowawszy rezerwacji lotu. Niedostępność dan</w:t>
      </w:r>
      <w:r w:rsidRPr="009D3306">
        <w:t>ych API dotyczących pasażerów, którzy weszli na pokład w takich sytuacjach, prowadzi do niepotrzebnych interwencji organów odbywających się przy wykorzystaniu ograniczonych środków, co niekiedy zakłóca podróż niewinnych podróżnych. Innym przykładem jest kw</w:t>
      </w:r>
      <w:r w:rsidRPr="009D3306">
        <w:t>estia daty urodzenia. Data urodzenia często nie jest podawana przewoźnikom lotniczym w momencie dokonywania rezerwacji i staje się dostępna dopiero w momencie odprawy. Data urodzenia jest niezwykle ważnym elementem danych, który ma kluczowe znaczenie dla u</w:t>
      </w:r>
      <w:r w:rsidRPr="009D3306">
        <w:t>niknięcia fałszywych trafień opartych wyłącznie na nazwisku.</w:t>
      </w:r>
    </w:p>
    <w:p w:rsidR="002A0402" w:rsidRPr="009D3306" w:rsidRDefault="002A0402" w:rsidP="002A0402"/>
    <w:p w:rsidR="002A0402" w:rsidRPr="009D3306" w:rsidRDefault="00734D25" w:rsidP="002A0402">
      <w:pPr>
        <w:rPr>
          <w:noProof/>
        </w:rPr>
      </w:pPr>
      <w:r w:rsidRPr="009D3306">
        <w:t xml:space="preserve">Sprawozdawczyni popiera również gromadzenie danych API przez przewoźników lotniczych w sposób zautomatyzowany. Pozwoliłoby to uniknąć nie tylko niepotrzebnych problemów wynikających ze zwykłych </w:t>
      </w:r>
      <w:r w:rsidRPr="009D3306">
        <w:t>literówek czy błędów w pisowni. Uniemożliwiłoby to również przestępcom świadome wprowadzanie literówek, do czego obecnie powszechnie się uciekają, aby uniknąć wykrycia. Sprawozdawczyni pragnie jednak zapewnić sprawiedliwe traktowanie wszystkich pasażerów w</w:t>
      </w:r>
      <w:r w:rsidRPr="009D3306">
        <w:t xml:space="preserve">e wszystkich sytuacjach. Sprawozdawczyni podkreśla, że nadal możliwe jest ręczne gromadzenie danych API w przypadku dokumentów niezawierających </w:t>
      </w:r>
      <w:r w:rsidRPr="009D3306">
        <w:lastRenderedPageBreak/>
        <w:t xml:space="preserve">„pola przeznaczonego do odczytu maszynowego” (MRZ) oraz w przypadku braku technicznej możliwości automatycznego </w:t>
      </w:r>
      <w:r w:rsidRPr="009D3306">
        <w:t>gromadzenia danych. Ponadto sprawozdawczyni jest zdania, że Komisja powinna dopilnować, by obowiązek stosowania zautomatyzowanych środków gromadzenia danych API nie prowadził do nieproporcjonalnych przeszkód, takich jak dodatkowe opłaty za odprawę w porcie</w:t>
      </w:r>
      <w:r w:rsidRPr="009D3306">
        <w:t xml:space="preserve"> lotniczym dla pasażerów, którzy nie mogą skorzystać z innych środków automatycznej odprawy.</w:t>
      </w:r>
    </w:p>
    <w:p w:rsidR="002A0402" w:rsidRPr="009D3306" w:rsidRDefault="002A0402" w:rsidP="002A0402">
      <w:pPr>
        <w:rPr>
          <w:noProof/>
        </w:rPr>
      </w:pPr>
    </w:p>
    <w:p w:rsidR="002A0402" w:rsidRPr="009D3306" w:rsidRDefault="00734D25" w:rsidP="002A0402">
      <w:r w:rsidRPr="009D3306">
        <w:t>Sprawozdawczyni zdecydowanie popiera włączenie lotów wewnątrzunijnych w zakres stosowania wniosku w sprawie danych API do celów egzekwowania prawa. Podobnie jak u</w:t>
      </w:r>
      <w:r w:rsidRPr="009D3306">
        <w:t>znał TSUE, sprawozdawczyni uważa, że jest to proporcjonalne, biorąc pod uwagę sytuację w zakresie bezpieczeństwa i schematy podróży przestępców i terrorystów. Sprawozdawczyni uważa jednak również, że wybór lotów wewnątrzunijnych musi być ściśle ograniczony</w:t>
      </w:r>
      <w:r w:rsidRPr="009D3306">
        <w:t>, czego domagał się TSUE. W związku z tym, opierając się na orzeczeniu Trybunału, sprawozdawczyni wprowadza w tym zakresie pewne parametry dla państw członkowskich. Ponadto sprawozdawczyni zaleca, by Komisja ułatwiła dalsze działania na rzecz zwiększenia s</w:t>
      </w:r>
      <w:r w:rsidRPr="009D3306">
        <w:t>pójności między państwami członkowskimi w odniesieniu do wyboru lotów wewnątrzunijnych.</w:t>
      </w:r>
    </w:p>
    <w:p w:rsidR="002A0402" w:rsidRPr="009D3306" w:rsidRDefault="002A0402" w:rsidP="002A0402"/>
    <w:p w:rsidR="002A0402" w:rsidRPr="009D3306" w:rsidRDefault="00734D25" w:rsidP="002A0402">
      <w:r w:rsidRPr="009D3306">
        <w:t>Sprawozdawczyni uważa, że rozwiązanie oparte na routerze, gdy router będzie już operacyjny, może być przydatne do przekazywania danych PNR, a także może stanowić bezpi</w:t>
      </w:r>
      <w:r w:rsidRPr="009D3306">
        <w:t>eczne i niezawodne, a dla linii lotniczych opłacalne rozwiązanie. Taki krok byłby zgodny z wymogiem, by państwa członkowskie podjęły jedną decyzję w sprawie wyboru lotów wewnątrzunijnych do celów stosowania zarówno dyrektywy w sprawie PNR, jak i proponowan</w:t>
      </w:r>
      <w:r w:rsidRPr="009D3306">
        <w:t xml:space="preserve">ych rozporządzeń w sprawie danych API. </w:t>
      </w:r>
    </w:p>
    <w:p w:rsidR="002A0402" w:rsidRPr="009D3306" w:rsidRDefault="002A0402" w:rsidP="002A0402"/>
    <w:p w:rsidR="002A0402" w:rsidRPr="009D3306" w:rsidRDefault="00734D25" w:rsidP="002A0402">
      <w:r w:rsidRPr="009D3306">
        <w:t>Sprawozdawczyni domaga się rygorystycznych wymogów w zakresie bezpieczeństwa danych, które powinny zostać zawarte w rozporządzeniu w sprawie danych API w obszarze granic.</w:t>
      </w:r>
    </w:p>
    <w:p w:rsidR="002A0402" w:rsidRPr="009D3306" w:rsidRDefault="002A0402" w:rsidP="002A0402"/>
    <w:p w:rsidR="002A0402" w:rsidRPr="009D3306" w:rsidRDefault="00734D25" w:rsidP="002A0402">
      <w:r w:rsidRPr="009D3306">
        <w:t>Sprawozdawczyni uważa, że państwa członkows</w:t>
      </w:r>
      <w:r w:rsidRPr="009D3306">
        <w:t>kie mogą korzystać z Funduszu Bezpieczeństwa Wewnętrznego, aby ubiegać się o zwrot kosztów poniesionych w związku z proponowanym nowym rozwiązaniem technicznym (routerem).</w:t>
      </w:r>
    </w:p>
    <w:p w:rsidR="002A0402" w:rsidRPr="009D3306" w:rsidRDefault="002A0402" w:rsidP="002A0402"/>
    <w:p w:rsidR="002A0402" w:rsidRPr="009D3306" w:rsidRDefault="00734D25" w:rsidP="002A0402">
      <w:r w:rsidRPr="009D3306">
        <w:t>Sprawozdawczyni uważa, że przekazanie uprawnień Komisji jest właściwe w wielu przyp</w:t>
      </w:r>
      <w:r w:rsidRPr="009D3306">
        <w:t>adkach opisanych w rozporządzeniu. Nalega również na to, by odbywało się to w drodze aktów delegowanych, ponieważ dzięki temu przedstawiciele branży lotniczej będą mieli większe prawo głosu w decyzjach technicznych, takich jak wybór formatów danych, a Parl</w:t>
      </w:r>
      <w:r w:rsidRPr="009D3306">
        <w:t>ament działać będzie na równi z Radą.</w:t>
      </w:r>
    </w:p>
    <w:p w:rsidR="002A0402" w:rsidRPr="009D3306" w:rsidRDefault="002A0402" w:rsidP="002A0402"/>
    <w:p w:rsidR="002A0402" w:rsidRPr="009D3306" w:rsidRDefault="00734D25" w:rsidP="002A0402">
      <w:r w:rsidRPr="009D3306">
        <w:t xml:space="preserve">Sprawozdawczyni nalega, by do regularnie przeprowadzanej przez Komisję oceny włączyć wpływ tego rozporządzenia, również w połączeniu z innymi przepisami mającymi zastosowanie do pasażerskich przewozów lotniczych, </w:t>
      </w:r>
      <w:r w:rsidRPr="009D3306">
        <w:t>skupiając się na wpływie na pasażerów i przewoźników lotniczych.</w:t>
      </w:r>
    </w:p>
    <w:p w:rsidR="002A0402" w:rsidRPr="009D3306" w:rsidRDefault="002A0402" w:rsidP="002A0402"/>
    <w:p w:rsidR="002A0402" w:rsidRPr="009D3306" w:rsidRDefault="002A0402" w:rsidP="002669B6"/>
    <w:sectPr w:rsidR="002A0402" w:rsidRPr="009D3306" w:rsidSect="002A040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D3306" w:rsidRDefault="00734D25">
      <w:r w:rsidRPr="009D3306">
        <w:separator/>
      </w:r>
    </w:p>
  </w:endnote>
  <w:endnote w:type="continuationSeparator" w:id="0">
    <w:p w:rsidR="00000000" w:rsidRPr="009D3306" w:rsidRDefault="00734D25">
      <w:r w:rsidRPr="009D33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306" w:rsidRPr="009D3306" w:rsidRDefault="009D3306" w:rsidP="009D3306">
    <w:pPr>
      <w:pStyle w:val="EPFooter"/>
    </w:pPr>
    <w:r w:rsidRPr="009D3306">
      <w:t>PE</w:t>
    </w:r>
    <w:r w:rsidRPr="009D3306">
      <w:rPr>
        <w:rStyle w:val="HideTWBExt"/>
      </w:rPr>
      <w:t>&lt;NoPE&gt;</w:t>
    </w:r>
    <w:r w:rsidRPr="009D3306">
      <w:t>750.253</w:t>
    </w:r>
    <w:r w:rsidRPr="009D3306">
      <w:rPr>
        <w:rStyle w:val="HideTWBExt"/>
      </w:rPr>
      <w:t>&lt;/NoPE&gt;&lt;Version&gt;</w:t>
    </w:r>
    <w:r w:rsidRPr="009D3306">
      <w:t>v00-01</w:t>
    </w:r>
    <w:r w:rsidRPr="009D3306">
      <w:rPr>
        <w:rStyle w:val="HideTWBExt"/>
      </w:rPr>
      <w:t>&lt;/Version&gt;</w:t>
    </w:r>
    <w:r w:rsidRPr="009D3306">
      <w:tab/>
    </w:r>
    <w:r w:rsidRPr="009D3306">
      <w:fldChar w:fldCharType="begin"/>
    </w:r>
    <w:r w:rsidRPr="009D3306">
      <w:instrText xml:space="preserve"> PAGE  \* MERGEFORMAT </w:instrText>
    </w:r>
    <w:r w:rsidRPr="009D3306">
      <w:fldChar w:fldCharType="separate"/>
    </w:r>
    <w:r w:rsidR="00734D25">
      <w:rPr>
        <w:noProof/>
      </w:rPr>
      <w:t>2</w:t>
    </w:r>
    <w:r w:rsidRPr="009D3306">
      <w:fldChar w:fldCharType="end"/>
    </w:r>
    <w:r w:rsidRPr="009D3306">
      <w:t>/</w:t>
    </w:r>
    <w:fldSimple w:instr=" NUMPAGES  \* MERGEFORMAT ">
      <w:r w:rsidR="00734D25">
        <w:rPr>
          <w:noProof/>
        </w:rPr>
        <w:t>22</w:t>
      </w:r>
    </w:fldSimple>
    <w:r w:rsidRPr="009D3306">
      <w:tab/>
    </w:r>
    <w:r w:rsidRPr="009D3306">
      <w:rPr>
        <w:rStyle w:val="HideTWBExt"/>
      </w:rPr>
      <w:t>&lt;PathFdR&gt;</w:t>
    </w:r>
    <w:r w:rsidRPr="009D3306">
      <w:t>PR\1282221PL.docx</w:t>
    </w:r>
    <w:r w:rsidRPr="009D3306">
      <w:rPr>
        <w:rStyle w:val="HideTWBExt"/>
      </w:rPr>
      <w:t>&lt;/PathFdR&gt;</w:t>
    </w:r>
  </w:p>
  <w:p w:rsidR="005B50F9" w:rsidRPr="009D3306" w:rsidRDefault="009D3306" w:rsidP="009D3306">
    <w:pPr>
      <w:pStyle w:val="EPFooter2"/>
    </w:pPr>
    <w:r w:rsidRPr="009D330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306" w:rsidRPr="009D3306" w:rsidRDefault="009D3306" w:rsidP="009D3306">
    <w:pPr>
      <w:pStyle w:val="EPFooter"/>
    </w:pPr>
    <w:r w:rsidRPr="009D3306">
      <w:rPr>
        <w:rStyle w:val="HideTWBExt"/>
      </w:rPr>
      <w:t>&lt;PathFdR&gt;</w:t>
    </w:r>
    <w:r w:rsidRPr="009D3306">
      <w:t>PR\1282221PL.docx</w:t>
    </w:r>
    <w:r w:rsidRPr="009D3306">
      <w:rPr>
        <w:rStyle w:val="HideTWBExt"/>
      </w:rPr>
      <w:t>&lt;/PathFdR&gt;</w:t>
    </w:r>
    <w:r w:rsidRPr="009D3306">
      <w:tab/>
    </w:r>
    <w:r w:rsidRPr="009D3306">
      <w:fldChar w:fldCharType="begin"/>
    </w:r>
    <w:r w:rsidRPr="009D3306">
      <w:instrText xml:space="preserve"> PAGE  \* MERGEFORMAT </w:instrText>
    </w:r>
    <w:r w:rsidRPr="009D3306">
      <w:fldChar w:fldCharType="separate"/>
    </w:r>
    <w:r w:rsidR="00734D25">
      <w:rPr>
        <w:noProof/>
      </w:rPr>
      <w:t>19</w:t>
    </w:r>
    <w:r w:rsidRPr="009D3306">
      <w:fldChar w:fldCharType="end"/>
    </w:r>
    <w:r w:rsidRPr="009D3306">
      <w:t>/</w:t>
    </w:r>
    <w:fldSimple w:instr=" NUMPAGES  \* MERGEFORMAT ">
      <w:r w:rsidR="00734D25">
        <w:rPr>
          <w:noProof/>
        </w:rPr>
        <w:t>22</w:t>
      </w:r>
    </w:fldSimple>
    <w:r w:rsidRPr="009D3306">
      <w:tab/>
      <w:t>PE</w:t>
    </w:r>
    <w:r w:rsidRPr="009D3306">
      <w:rPr>
        <w:rStyle w:val="HideTWBExt"/>
      </w:rPr>
      <w:t>&lt;NoPE&gt;</w:t>
    </w:r>
    <w:r w:rsidRPr="009D3306">
      <w:t>750.253</w:t>
    </w:r>
    <w:r w:rsidRPr="009D3306">
      <w:rPr>
        <w:rStyle w:val="HideTWBExt"/>
      </w:rPr>
      <w:t>&lt;/NoPE&gt;&lt;Version&gt;</w:t>
    </w:r>
    <w:r w:rsidRPr="009D3306">
      <w:t>v00-01</w:t>
    </w:r>
    <w:r w:rsidRPr="009D3306">
      <w:rPr>
        <w:rStyle w:val="HideTWBExt"/>
      </w:rPr>
      <w:t>&lt;/Version&gt;</w:t>
    </w:r>
  </w:p>
  <w:p w:rsidR="005B50F9" w:rsidRPr="009D3306" w:rsidRDefault="009D3306" w:rsidP="009D3306">
    <w:pPr>
      <w:pStyle w:val="EPFooter2"/>
    </w:pPr>
    <w:r w:rsidRPr="009D3306">
      <w:tab/>
    </w:r>
    <w:r w:rsidRPr="009D330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306" w:rsidRPr="009D3306" w:rsidRDefault="009D3306" w:rsidP="009D3306">
    <w:pPr>
      <w:pStyle w:val="EPFooter"/>
    </w:pPr>
    <w:r w:rsidRPr="009D3306">
      <w:rPr>
        <w:rStyle w:val="HideTWBExt"/>
      </w:rPr>
      <w:t>&lt;PathFdR&gt;</w:t>
    </w:r>
    <w:r w:rsidRPr="009D3306">
      <w:t>PR\1282221PL.docx</w:t>
    </w:r>
    <w:r w:rsidRPr="009D3306">
      <w:rPr>
        <w:rStyle w:val="HideTWBExt"/>
      </w:rPr>
      <w:t>&lt;/PathFdR&gt;</w:t>
    </w:r>
    <w:r w:rsidRPr="009D3306">
      <w:tab/>
    </w:r>
    <w:r w:rsidRPr="009D3306">
      <w:tab/>
      <w:t>PE</w:t>
    </w:r>
    <w:r w:rsidRPr="009D3306">
      <w:rPr>
        <w:rStyle w:val="HideTWBExt"/>
      </w:rPr>
      <w:t>&lt;NoPE&gt;</w:t>
    </w:r>
    <w:r w:rsidRPr="009D3306">
      <w:t>750.253</w:t>
    </w:r>
    <w:r w:rsidRPr="009D3306">
      <w:rPr>
        <w:rStyle w:val="HideTWBExt"/>
      </w:rPr>
      <w:t>&lt;/NoPE&gt;&lt;Version&gt;</w:t>
    </w:r>
    <w:r w:rsidRPr="009D3306">
      <w:t>v00-01</w:t>
    </w:r>
    <w:r w:rsidRPr="009D3306">
      <w:rPr>
        <w:rStyle w:val="HideTWBExt"/>
      </w:rPr>
      <w:t>&lt;/Version&gt;</w:t>
    </w:r>
  </w:p>
  <w:p w:rsidR="005B50F9" w:rsidRPr="009D3306" w:rsidRDefault="009D3306" w:rsidP="009D3306">
    <w:pPr>
      <w:pStyle w:val="EPFooter2"/>
    </w:pPr>
    <w:r w:rsidRPr="009D3306">
      <w:t>PL</w:t>
    </w:r>
    <w:r w:rsidRPr="009D3306">
      <w:tab/>
    </w:r>
    <w:r w:rsidRPr="009D3306">
      <w:rPr>
        <w:b w:val="0"/>
        <w:i/>
        <w:color w:val="C0C0C0"/>
        <w:sz w:val="22"/>
      </w:rPr>
      <w:t>Zjednoczona w różnorodności</w:t>
    </w:r>
    <w:r w:rsidRPr="009D3306">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D3306" w:rsidRDefault="00734D25">
      <w:r w:rsidRPr="009D3306">
        <w:separator/>
      </w:r>
    </w:p>
  </w:footnote>
  <w:footnote w:type="continuationSeparator" w:id="0">
    <w:p w:rsidR="00000000" w:rsidRPr="009D3306" w:rsidRDefault="00734D25">
      <w:r w:rsidRPr="009D33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8AD" w:rsidRDefault="007848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8AD" w:rsidRDefault="007848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8AD" w:rsidRDefault="00784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2D53CB"/>
    <w:multiLevelType w:val="multilevel"/>
    <w:tmpl w:val="D82E1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FD1CE3"/>
    <w:multiLevelType w:val="hybridMultilevel"/>
    <w:tmpl w:val="BC360C30"/>
    <w:lvl w:ilvl="0" w:tplc="5C5C96EC">
      <w:start w:val="1"/>
      <w:numFmt w:val="bullet"/>
      <w:lvlText w:val=""/>
      <w:lvlJc w:val="left"/>
      <w:pPr>
        <w:ind w:left="720" w:hanging="360"/>
      </w:pPr>
      <w:rPr>
        <w:rFonts w:ascii="Symbol" w:hAnsi="Symbol" w:hint="default"/>
      </w:rPr>
    </w:lvl>
    <w:lvl w:ilvl="1" w:tplc="5F5E0FAC">
      <w:start w:val="1"/>
      <w:numFmt w:val="bullet"/>
      <w:lvlText w:val="o"/>
      <w:lvlJc w:val="left"/>
      <w:pPr>
        <w:ind w:left="1440" w:hanging="360"/>
      </w:pPr>
      <w:rPr>
        <w:rFonts w:ascii="Courier New" w:hAnsi="Courier New" w:cs="Courier New" w:hint="default"/>
      </w:rPr>
    </w:lvl>
    <w:lvl w:ilvl="2" w:tplc="8D3487CA">
      <w:start w:val="1"/>
      <w:numFmt w:val="bullet"/>
      <w:lvlText w:val=""/>
      <w:lvlJc w:val="left"/>
      <w:pPr>
        <w:ind w:left="2160" w:hanging="360"/>
      </w:pPr>
      <w:rPr>
        <w:rFonts w:ascii="Wingdings" w:hAnsi="Wingdings" w:hint="default"/>
      </w:rPr>
    </w:lvl>
    <w:lvl w:ilvl="3" w:tplc="EF286186">
      <w:start w:val="1"/>
      <w:numFmt w:val="bullet"/>
      <w:lvlText w:val=""/>
      <w:lvlJc w:val="left"/>
      <w:pPr>
        <w:ind w:left="2880" w:hanging="360"/>
      </w:pPr>
      <w:rPr>
        <w:rFonts w:ascii="Symbol" w:hAnsi="Symbol" w:hint="default"/>
      </w:rPr>
    </w:lvl>
    <w:lvl w:ilvl="4" w:tplc="E4400964">
      <w:start w:val="1"/>
      <w:numFmt w:val="bullet"/>
      <w:lvlText w:val="o"/>
      <w:lvlJc w:val="left"/>
      <w:pPr>
        <w:ind w:left="3600" w:hanging="360"/>
      </w:pPr>
      <w:rPr>
        <w:rFonts w:ascii="Courier New" w:hAnsi="Courier New" w:cs="Courier New" w:hint="default"/>
      </w:rPr>
    </w:lvl>
    <w:lvl w:ilvl="5" w:tplc="957C5DE4">
      <w:start w:val="1"/>
      <w:numFmt w:val="bullet"/>
      <w:lvlText w:val=""/>
      <w:lvlJc w:val="left"/>
      <w:pPr>
        <w:ind w:left="4320" w:hanging="360"/>
      </w:pPr>
      <w:rPr>
        <w:rFonts w:ascii="Wingdings" w:hAnsi="Wingdings" w:hint="default"/>
      </w:rPr>
    </w:lvl>
    <w:lvl w:ilvl="6" w:tplc="5BCE6526">
      <w:start w:val="1"/>
      <w:numFmt w:val="bullet"/>
      <w:lvlText w:val=""/>
      <w:lvlJc w:val="left"/>
      <w:pPr>
        <w:ind w:left="5040" w:hanging="360"/>
      </w:pPr>
      <w:rPr>
        <w:rFonts w:ascii="Symbol" w:hAnsi="Symbol" w:hint="default"/>
      </w:rPr>
    </w:lvl>
    <w:lvl w:ilvl="7" w:tplc="CA222356">
      <w:start w:val="1"/>
      <w:numFmt w:val="bullet"/>
      <w:lvlText w:val="o"/>
      <w:lvlJc w:val="left"/>
      <w:pPr>
        <w:ind w:left="5760" w:hanging="360"/>
      </w:pPr>
      <w:rPr>
        <w:rFonts w:ascii="Courier New" w:hAnsi="Courier New" w:cs="Courier New" w:hint="default"/>
      </w:rPr>
    </w:lvl>
    <w:lvl w:ilvl="8" w:tplc="F926D47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49159 HideTWBExt;}{\*\cs18 \additive \v\f1\fs20\cf15 _x000d__x000a_\spriority0 \styrsid7549159 HideTWBInt;}{\s19\ql \li0\ri0\sa120\nowidctlpar\wrapdefault\aspalpha\aspnum\faauto\adjustright\rin0\lin0\itap0 \rtlch\fcs1 \af0\afs20\alang1025 \ltrch\fcs0 \fs24\lang2057\langfe2057\cgrid\langnp2057\langfenp2057 _x000d__x000a_\sbasedon0 \snext19 \spriority0 \styrsid7549159 Normal6a;}{\s20\ql \li0\ri0\nowidctlpar\wrapdefault\aspalpha\aspnum\faauto\adjustright\rin0\lin0\itap0 \rtlch\fcs1 \af0\afs20\alang1025 \ltrch\fcs0 \b\fs24\lang2057\langfe2057\cgrid\langnp2057\langfenp2057 _x000d__x000a_\sbasedon0 \snext20 \spriority0 \styrsid7549159 NormalBold;}{\s21\ql \li0\ri0\sa240\nowidctlpar\wrapdefault\aspalpha\aspnum\faauto\adjustright\rin0\lin0\itap0 \rtlch\fcs1 \af0\afs20\alang1025 \ltrch\fcs0 _x000d__x000a_\i\fs24\lang2057\langfe2057\cgrid\langnp2057\langfenp2057 \sbasedon0 \snext21 \spriority0 \styrsid7549159 AmJustText;}{\s22\qc \li0\ri0\sb240\sa240\nowidctlpar\wrapdefault\aspalpha\aspnum\faauto\adjustright\rin0\lin0\itap0 \rtlch\fcs1 _x000d__x000a_\af0\afs20\alang1025 \ltrch\fcs0 \i\fs24\lang2057\langfe2057\cgrid\langnp2057\langfenp2057 \sbasedon0 \snext22 \spriority0 \styrsid7549159 AmCrossRef;}{_x000d__x000a_\s23\qc \li0\ri0\sb240\sa240\keepn\nowidctlpar\wrapdefault\aspalpha\aspnum\faauto\adjustright\rin0\lin0\itap0 \rtlch\fcs1 \af0\afs20\alang1025 \ltrch\fcs0 \i\fs24\lang2057\langfe2057\cgrid\langnp2057\langfenp2057 _x000d__x000a_\sbasedon0 \snext21 \spriority0 \styrsid7549159 AmJustTitle;}{\s24\qr \li0\ri0\sb240\sa240\nowidctlpar\wrapdefault\aspalpha\aspnum\faauto\adjustright\rin0\lin0\itap0 \rtlch\fcs1 \af0\afs20\alang1025 \ltrch\fcs0 _x000d__x000a_\fs24\lang2057\langfe2057\cgrid\langnp2057\langfenp2057 \sbasedon0 \snext24 \spriority0 \styrsid7549159 AmOrLang;}{\s25\qc \li0\ri0\sa240\nowidctlpar\wrapdefault\aspalpha\aspnum\faauto\adjustright\rin0\lin0\itap0 \rtlch\fcs1 \af0\afs20\alang1025 _x000d__x000a_\ltrch\fcs0 \i\fs24\lang2057\langfe2057\cgrid\langnp2057\langfenp2057 \sbasedon0 \snext25 \spriority0 \styrsid75491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549159 AmNumberTabs;}{\s27\ql \li0\ri0\sb240\nowidctlpar\wrapdefault\aspalpha\aspnum\faauto\adjustright\rin0\lin0\itap0 \rtlch\fcs1 _x000d__x000a_\af0\afs20\alang1025 \ltrch\fcs0 \b\fs24\lang2057\langfe2057\cgrid\langnp2057\langfenp2057 \sbasedon0 \snext27 \spriority0 \styrsid7549159 NormalBold12b;}}{\*\rsidtbl \rsid24658\rsid223860\rsid735077\rsid1718133\rsid2892074\rsid3565327\rsid4666813_x000d__x000a_\rsid6641733\rsid7549159\rsid7823322\rsid9636012\rsid10377208\rsid11215221\rsid11549030\rsid11690286\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3\hr15}{\revtim\yr2023\mo7\dy3\hr15}{\version1}{\edmins0}{\nofpages1}{\nofwords104}_x000d__x000a_{\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491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690286 \chftnsep _x000d__x000a_\par }}{\*\ftnsepc \ltrpar \pard\plain \ltrpar\ql \li0\ri0\widctlpar\wrapdefault\aspalpha\aspnum\faauto\adjustright\rin0\lin0\itap0 \rtlch\fcs1 \af0\afs20\alang1025 \ltrch\fcs0 \fs24\lang2057\langfe2057\cgrid\langnp2057\langfenp2057 {\rtlch\fcs1 \af0 _x000d__x000a_\ltrch\fcs0 \insrsid11690286 \chftnsepc _x000d__x000a_\par }}{\*\aftnsep \ltrpar \pard\plain \ltrpar\ql \li0\ri0\widctlpar\wrapdefault\aspalpha\aspnum\faauto\adjustright\rin0\lin0\itap0 \rtlch\fcs1 \af0\afs20\alang1025 \ltrch\fcs0 \fs24\lang2057\langfe2057\cgrid\langnp2057\langfenp2057 {\rtlch\fcs1 \af0 _x000d__x000a_\ltrch\fcs0 \insrsid11690286 \chftnsep _x000d__x000a_\par }}{\*\aftnsepc \ltrpar \pard\plain \ltrpar\ql \li0\ri0\widctlpar\wrapdefault\aspalpha\aspnum\faauto\adjustright\rin0\lin0\itap0 \rtlch\fcs1 \af0\afs20\alang1025 \ltrch\fcs0 \fs24\lang2057\langfe2057\cgrid\langnp2057\langfenp2057 {\rtlch\fcs1 \af0 _x000d__x000a_\ltrch\fcs0 \insrsid116902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549159 \rtlch\fcs1 _x000d__x000a_\af0\afs20\alang1025 \ltrch\fcs0 \b\fs24\lang2057\langfe2057\cgrid\langnp2057\langfenp2057 {\rtlch\fcs1 \af0 \ltrch\fcs0 \cs17\b0\v\fs20\cf9\lang1024\langfe1024\loch\af1\hich\af1\dbch\af31501\noproof\insrsid7549159\charrsid6107222 {\*\bkmkstart restart}_x000d__x000a_\hich\af1\dbch\af31501\loch\f1 &lt;Amend&gt;}{\rtlch\fcs1 \af0 \ltrch\fcs0 \insrsid7549159\charrsid6107222 Amendment\tab \tab }{\rtlch\fcs1 \af0 \ltrch\fcs0 _x000d__x000a_\cs17\b0\v\fs20\cf9\lang1024\langfe1024\loch\af1\hich\af1\dbch\af31501\noproof\insrsid7549159\charrsid6107222 \hich\af1\dbch\af31501\loch\f1 &lt;NumAm&gt;}{\rtlch\fcs1 \af0 \ltrch\fcs0 \insrsid7549159\charrsid6107222 #}{\rtlch\fcs1 \af1 \ltrch\fcs0 _x000d__x000a_\cs18\v\f1\fs20\cf15\insrsid7549159\charrsid6107222 ENMIENDA@NRAM@}{\rtlch\fcs1 \af0 \ltrch\fcs0 \insrsid7549159\charrsid6107222 #}{\rtlch\fcs1 \af0 \ltrch\fcs0 _x000d__x000a_\cs17\b0\v\fs20\cf9\lang1024\langfe1024\loch\af1\hich\af1\dbch\af31501\noproof\insrsid7549159\charrsid6107222 \hich\af1\dbch\af31501\loch\f1 &lt;/NumAm&gt;}{\rtlch\fcs1 \af0 \ltrch\fcs0 \insrsid7549159\charrsid6107222 _x000d__x000a_\par }\pard\plain \ltrpar\s27\ql \li0\ri0\sb240\keepn\nowidctlpar\wrapdefault\aspalpha\aspnum\faauto\adjustright\rin0\lin0\itap0\pararsid7549159 \rtlch\fcs1 \af0\afs20\alang1025 \ltrch\fcs0 \b\fs24\lang2057\langfe2057\cgrid\langnp2057\langfenp2057 {_x000d__x000a_\rtlch\fcs1 \af0 \ltrch\fcs0 \cs17\b0\v\fs20\cf9\lang1024\langfe1024\loch\af1\hich\af1\dbch\af31501\noproof\insrsid7549159\charrsid6107222 \hich\af1\dbch\af31501\loch\f1 &lt;DocAmend&gt;}{\rtlch\fcs1 \af0 \ltrch\fcs0 \insrsid7549159\charrsid6107222 _x000d__x000a_Proposal for a #}{\rtlch\fcs1 \af1 \ltrch\fcs0 \cs18\v\f1\fs20\cf15\insrsid7549159\charrsid6107222 MNU[DOC1][DOC2][DOC3]@DOCMSG@DOCMNU}{\rtlch\fcs1 \af0 \ltrch\fcs0 \insrsid7549159\charrsid6107222 ##}{\rtlch\fcs1 \af1 \ltrch\fcs0 _x000d__x000a_\cs18\v\f1\fs20\cf15\insrsid7549159\charrsid6107222 MNU[AMACTYES][NOTAPP]@CHOICE@AMACTMNU}{\rtlch\fcs1 \af0 \ltrch\fcs0 \insrsid7549159\charrsid6107222 #}{\rtlch\fcs1 \af0 \ltrch\fcs0 _x000d__x000a_\cs17\b0\v\fs20\cf9\lang1024\langfe1024\loch\af1\hich\af1\dbch\af31501\noproof\insrsid7549159\charrsid6107222 \hich\af1\dbch\af31501\loch\f1 &lt;/DocAmend&gt;}{\rtlch\fcs1 \af0 \ltrch\fcs0 \insrsid7549159\charrsid6107222 _x000d__x000a_\par }\pard\plain \ltrpar\s20\ql \li0\ri0\keepn\nowidctlpar\wrapdefault\aspalpha\aspnum\faauto\adjustright\rin0\lin0\itap0\pararsid7549159 \rtlch\fcs1 \af0\afs20\alang1025 \ltrch\fcs0 \b\fs24\lang2057\langfe2057\cgrid\langnp2057\langfenp2057 {\rtlch\fcs1 \af0 _x000d__x000a_\ltrch\fcs0 \cs17\b0\v\fs20\cf9\lang1024\langfe1024\loch\af1\hich\af1\dbch\af31501\noproof\insrsid7549159\charrsid6107222 \hich\af1\dbch\af31501\loch\f1 &lt;Article&gt;}{\rtlch\fcs1 \af0 \ltrch\fcs0 \insrsid7549159\charrsid6107222 #}{\rtlch\fcs1 \af1 _x000d__x000a_\ltrch\fcs0 \cs18\v\f1\fs20\cf15\insrsid7549159\charrsid6107222 MNU[AMACTPARTYES][AMACTPARTNO]@CHOICE@AMACTMNU}{\rtlch\fcs1 \af0 \ltrch\fcs0 \insrsid7549159\charrsid6107222 #}{\rtlch\fcs1 \af0 \ltrch\fcs0 _x000d__x000a_\cs17\b0\v\fs20\cf9\lang1024\langfe1024\loch\af1\hich\af1\dbch\af31501\noproof\insrsid7549159\charrsid6107222 \hich\af1\dbch\af31501\loch\f1 &lt;/Article&gt;}{\rtlch\fcs1 \af0 \ltrch\fcs0 \insrsid7549159\charrsid6107222 _x000d__x000a_\par }\pard\plain \ltrpar\ql \li0\ri0\keepn\widctlpar\wrapdefault\aspalpha\aspnum\faauto\adjustright\rin0\lin0\itap0\pararsid7549159 \rtlch\fcs1 \af0\afs20\alang1025 \ltrch\fcs0 \fs24\lang2057\langfe2057\cgrid\langnp2057\langfenp2057 {\rtlch\fcs1 \af0 _x000d__x000a_\ltrch\fcs0 \cs17\v\fs20\cf9\lang1024\langfe1024\loch\af1\hich\af1\dbch\af31501\noproof\insrsid7549159\charrsid6107222 \hich\af1\dbch\af31501\loch\f1 &lt;DocAmend2&gt;&lt;OptDel&gt;}{\rtlch\fcs1 \af0 \ltrch\fcs0 \insrsid7549159\charrsid6107222 #}{\rtlch\fcs1 \af1 _x000d__x000a_\ltrch\fcs0 \cs18\v\f1\fs20\cf15\insrsid7549159\charrsid6107222 MNU[OPTNRACTYES][NOTAPP]@CHOICE@AMACTMNU}{\rtlch\fcs1 \af0 \ltrch\fcs0 \insrsid7549159\charrsid6107222 #}{\rtlch\fcs1 \af0 \ltrch\fcs0 _x000d__x000a_\cs17\v\fs20\cf9\lang1024\langfe1024\loch\af1\hich\af1\dbch\af31501\noproof\insrsid7549159\charrsid6107222 \hich\af1\dbch\af31501\loch\f1 &lt;/OptDel&gt;&lt;/DocAmend2&gt;}{\rtlch\fcs1 \af0 \ltrch\fcs0 \insrsid7549159\charrsid6107222 _x000d__x000a_\par }\pard \ltrpar\ql \li0\ri0\widctlpar\wrapdefault\aspalpha\aspnum\faauto\adjustright\rin0\lin0\itap0\pararsid7549159 {\rtlch\fcs1 \af0 \ltrch\fcs0 \cs17\v\fs20\cf9\lang1024\langfe1024\loch\af1\hich\af1\dbch\af31501\noproof\insrsid7549159\charrsid6107222 _x000d__x000a_\hich\af1\dbch\af31501\loch\f1 &lt;Article2&gt;&lt;OptDel&gt;}{\rtlch\fcs1 \af0 \ltrch\fcs0 \insrsid7549159\charrsid6107222 #}{\rtlch\fcs1 \af1 \ltrch\fcs0 \cs18\v\f1\fs20\cf15\insrsid7549159\charrsid6107222 MNU[OPTACTPARTYES][NOTAPP]@CHOICE@AMACTMNU}{\rtlch\fcs1 _x000d__x000a_\af0 \ltrch\fcs0 \insrsid7549159\charrsid6107222 #}{\rtlch\fcs1 \af0 \ltrch\fcs0 \cs17\v\fs20\cf9\lang1024\langfe1024\loch\af1\hich\af1\dbch\af31501\noproof\insrsid7549159\charrsid6107222 \hich\af1\dbch\af31501\loch\f1 &lt;/OptDel&gt;&lt;/Article2&gt;}{\rtlch\fcs1 _x000d__x000a_\af0 \ltrch\fcs0 \insrsid7549159\charrsid610722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549159\charrsid6107222 #}{\rtlch\fcs1 \af1 \ltrch\fcs0 \cs18\v\f1\fs20\cf15\insrsid7549159\charrsid6107222 MNU[OPTLEFTAMACT][LEFTPROP]@CHOICE@AMACTMNU}{\rtlch\fcs1 \af0 \ltrch\fcs0 \insrsid7549159\charrsid6107222 #\cell Amendment\cell _x000d__x000a_}\pard\plain \ltrpar\ql \li0\ri0\widctlpar\intbl\wrapdefault\aspalpha\aspnum\faauto\adjustright\rin0\lin0 \rtlch\fcs1 \af0\afs20\alang1025 \ltrch\fcs0 \fs24\lang2057\langfe2057\cgrid\langnp2057\langfenp2057 {\rtlch\fcs1 \af0 \ltrch\fcs0 _x000d__x000a_\insrsid7549159\charrsid6107222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549159\charrsid6107222 ##\cell ##}{\rtlch\fcs1 \af0\afs24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549159 \rtlch\fcs1 \af0\afs20\alang1025 \ltrch\fcs0 \fs24\lang2057\langfe2057\cgrid\langnp2057\langfenp2057 {\rtlch\fcs1 \af0 \ltrch\fcs0 _x000d__x000a_\insrsid7549159\charrsid6107222 Or. }{\rtlch\fcs1 \af0 \ltrch\fcs0 \cs17\v\fs20\cf9\lang1024\langfe1024\loch\af1\hich\af1\dbch\af31501\noproof\insrsid7549159\charrsid6107222 \hich\af1\dbch\af31501\loch\f1 &lt;Original&gt;}{\rtlch\fcs1 \af0 \ltrch\fcs0 _x000d__x000a_\insrsid7549159\charrsid6107222 #}{\rtlch\fcs1 \af1 \ltrch\fcs0 \cs18\v\f1\fs20\cf15\insrsid7549159\charrsid6107222 MNU[ORLANGONE][ORLANGMORE]@CHOICE@ORLANGMNU}{\rtlch\fcs1 \af0 \ltrch\fcs0 \insrsid7549159\charrsid6107222 #}{\rtlch\fcs1 \af0 \ltrch\fcs0 _x000d__x000a_\cs17\v\fs20\cf9\lang1024\langfe1024\loch\af1\hich\af1\dbch\af31501\noproof\insrsid7549159\charrsid6107222 \hich\af1\dbch\af31501\loch\f1 &lt;/Original&gt;}{\rtlch\fcs1 \af0 \ltrch\fcs0 \insrsid7549159\charrsid6107222 _x000d__x000a_\par }\pard\plain \ltrpar\s22\qc \li0\ri0\sb240\sa240\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OptDel&gt;}{\rtlch\fcs1 \af0 \ltrch\fcs0 \insrsid7549159\charrsid6107222 #}{_x000d__x000a_\rtlch\fcs1 \af1 \ltrch\fcs0 \cs18\v\f1\fs20\cf15\insrsid7549159\charrsid6107222 MNU[CROSSREFNO][CROSSREFYES]@CHOICE@}{\rtlch\fcs1 \af0 \ltrch\fcs0 \insrsid7549159\charrsid6107222 #}{\rtlch\fcs1 \af0 \ltrch\fcs0 _x000d__x000a_\cs17\i0\v\fs20\cf9\lang1024\langfe1024\loch\af1\hich\af1\dbch\af31501\noproof\insrsid7549159\charrsid6107222 \hich\af1\dbch\af31501\loch\f1 &lt;/OptDel&gt;}{\rtlch\fcs1 \af0 \ltrch\fcs0 \insrsid7549159\charrsid6107222 _x000d__x000a_\par }\pard\plain \ltrpar\s23\qc \li0\ri0\sb240\sa240\keepn\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TitreJust&gt;}{\rtlch\fcs1 \af0 \ltrch\fcs0 \insrsid7549159\charrsid6107222 _x000d__x000a_Justification}{\rtlch\fcs1 \af0 \ltrch\fcs0 \cs17\i0\v\fs20\cf9\lang1024\langfe1024\loch\af1\hich\af1\dbch\af31501\noproof\insrsid7549159\charrsid6107222 \hich\af1\dbch\af31501\loch\f1 &lt;/TitreJust&gt;}{\rtlch\fcs1 \af0 \ltrch\fcs0 _x000d__x000a_\insrsid7549159\charrsid6107222 _x000d__x000a_\par }\pard\plain \ltrpar\s21\ql \li0\ri0\sa240\nowidctlpar\wrapdefault\aspalpha\aspnum\faauto\adjustright\rin0\lin0\itap0\pararsid7549159 \rtlch\fcs1 \af0\afs20\alang1025 \ltrch\fcs0 \i\fs24\lang2057\langfe2057\cgrid\langnp2057\langfenp2057 {\rtlch\fcs1 \af0 _x000d__x000a_\ltrch\fcs0 \cs17\i0\v\fs20\cf9\lang1024\langfe1024\loch\af1\hich\af1\dbch\af31501\noproof\insrsid7549159\charrsid6107222 \hich\af1\dbch\af31501\loch\f1 &lt;OptDelPrev&gt;}{\rtlch\fcs1 \af0 \ltrch\fcs0 \insrsid7549159\charrsid6107222 #}{\rtlch\fcs1 \af1 _x000d__x000a_\ltrch\fcs0 \cs18\v\f1\fs20\cf15\insrsid7549159\charrsid6107222 MNU[TEXTJUSTYES][TEXTJUSTNO]@CHOICE@}{\rtlch\fcs1 \af0 \ltrch\fcs0 \insrsid7549159\charrsid6107222 #}{\rtlch\fcs1 \af0 \ltrch\fcs0 _x000d__x000a_\cs17\i0\v\fs20\cf9\lang1024\langfe1024\loch\af1\hich\af1\dbch\af31501\noproof\insrsid7549159\charrsid6107222 \hich\af1\dbch\af31501\loch\f1 &lt;/OptDelPrev&gt;}{\rtlch\fcs1 \af0 \ltrch\fcs0 \insrsid7549159\charrsid6107222 _x000d__x000a_\par }\pard\plain \ltrpar\ql \li0\ri0\widctlpar\wrapdefault\aspalpha\aspnum\faauto\adjustright\rin0\lin0\itap0\pararsid7549159 \rtlch\fcs1 \af0\afs20\alang1025 \ltrch\fcs0 \fs24\lang2057\langfe2057\cgrid\langnp2057\langfenp2057 {\rtlch\fcs1 \af0 \ltrch\fcs0 _x000d__x000a_\cs17\v\fs20\cf9\lang1024\langfe1024\loch\af1\hich\af1\dbch\af31501\noproof\insrsid7549159\charrsid610722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6_x000d__x000a_2266ae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2"/>
    <w:docVar w:name="TVTAMPART" w:val="xx"/>
    <w:docVar w:name="TXTAUTHOR" w:val="Assita Kanko"/>
    <w:docVar w:name="TXTLANGUE" w:val="PL"/>
    <w:docVar w:name="TXTLANGUEMIN" w:val="pl"/>
    <w:docVar w:name="TXTNRC" w:val="0427/2022"/>
    <w:docVar w:name="TXTNRCOD" w:val="2022/0425"/>
    <w:docVar w:name="TXTNRCOM" w:val="(2022)0731"/>
    <w:docVar w:name="TXTNRFIRSTAM" w:val="1"/>
    <w:docVar w:name="TXTNRLASTAM" w:val="1"/>
    <w:docVar w:name="TXTNRPE" w:val="750.253"/>
    <w:docVar w:name="TXTPEorAP" w:val="PE"/>
    <w:docVar w:name="TXTROUTE" w:val="PR\1282221PL.docx"/>
    <w:docVar w:name="TXTTITLE" w:val="on the collection and transfer of advance passenger information for the prevention, detection, investigation and prosecution of terrorist offences and serious crime, and amending Regulation (EU) 2019/818"/>
    <w:docVar w:name="TXTVERSION" w:val="00-01"/>
  </w:docVars>
  <w:rsids>
    <w:rsidRoot w:val="00D377D0"/>
    <w:rsid w:val="00011AAB"/>
    <w:rsid w:val="00012351"/>
    <w:rsid w:val="000139E5"/>
    <w:rsid w:val="00084DD2"/>
    <w:rsid w:val="00084E89"/>
    <w:rsid w:val="000B7489"/>
    <w:rsid w:val="000D0F74"/>
    <w:rsid w:val="000F1096"/>
    <w:rsid w:val="00120948"/>
    <w:rsid w:val="00123DD5"/>
    <w:rsid w:val="001277AE"/>
    <w:rsid w:val="00142215"/>
    <w:rsid w:val="0015424A"/>
    <w:rsid w:val="001767E2"/>
    <w:rsid w:val="00187008"/>
    <w:rsid w:val="001B3829"/>
    <w:rsid w:val="001C5592"/>
    <w:rsid w:val="001C5B44"/>
    <w:rsid w:val="001C6FFC"/>
    <w:rsid w:val="001F7C7C"/>
    <w:rsid w:val="00212B84"/>
    <w:rsid w:val="002346B0"/>
    <w:rsid w:val="0024489E"/>
    <w:rsid w:val="002667C3"/>
    <w:rsid w:val="002669B6"/>
    <w:rsid w:val="00285FE8"/>
    <w:rsid w:val="00290BED"/>
    <w:rsid w:val="002A0402"/>
    <w:rsid w:val="002D13EE"/>
    <w:rsid w:val="002E33EE"/>
    <w:rsid w:val="002F40BB"/>
    <w:rsid w:val="002F4B02"/>
    <w:rsid w:val="00323EF8"/>
    <w:rsid w:val="00330757"/>
    <w:rsid w:val="003316DD"/>
    <w:rsid w:val="00366A46"/>
    <w:rsid w:val="00370AC3"/>
    <w:rsid w:val="003824EE"/>
    <w:rsid w:val="003B4689"/>
    <w:rsid w:val="003C2068"/>
    <w:rsid w:val="003C37CF"/>
    <w:rsid w:val="003C5AF3"/>
    <w:rsid w:val="003F5ABD"/>
    <w:rsid w:val="004100B1"/>
    <w:rsid w:val="00426E47"/>
    <w:rsid w:val="00455743"/>
    <w:rsid w:val="00461601"/>
    <w:rsid w:val="00487E88"/>
    <w:rsid w:val="004C0915"/>
    <w:rsid w:val="004D424E"/>
    <w:rsid w:val="004E42C8"/>
    <w:rsid w:val="004E733D"/>
    <w:rsid w:val="004F3FA5"/>
    <w:rsid w:val="0051271F"/>
    <w:rsid w:val="00521F46"/>
    <w:rsid w:val="005340CE"/>
    <w:rsid w:val="00541566"/>
    <w:rsid w:val="0054515C"/>
    <w:rsid w:val="00551111"/>
    <w:rsid w:val="00551123"/>
    <w:rsid w:val="00570A6A"/>
    <w:rsid w:val="00586E50"/>
    <w:rsid w:val="005878ED"/>
    <w:rsid w:val="0059583D"/>
    <w:rsid w:val="005A42D9"/>
    <w:rsid w:val="005B50F9"/>
    <w:rsid w:val="005C2BEF"/>
    <w:rsid w:val="005D1A99"/>
    <w:rsid w:val="005D7609"/>
    <w:rsid w:val="005D7EE8"/>
    <w:rsid w:val="00642325"/>
    <w:rsid w:val="0069244C"/>
    <w:rsid w:val="006A2F5D"/>
    <w:rsid w:val="006B14A7"/>
    <w:rsid w:val="006F7907"/>
    <w:rsid w:val="00726E7A"/>
    <w:rsid w:val="00734D25"/>
    <w:rsid w:val="00743189"/>
    <w:rsid w:val="00743D33"/>
    <w:rsid w:val="007848AD"/>
    <w:rsid w:val="007932B3"/>
    <w:rsid w:val="00793EA9"/>
    <w:rsid w:val="007D6F68"/>
    <w:rsid w:val="00823E6B"/>
    <w:rsid w:val="00826780"/>
    <w:rsid w:val="00837CCD"/>
    <w:rsid w:val="008633CC"/>
    <w:rsid w:val="00865190"/>
    <w:rsid w:val="008719B9"/>
    <w:rsid w:val="00894ECE"/>
    <w:rsid w:val="00896BB4"/>
    <w:rsid w:val="008A7FB8"/>
    <w:rsid w:val="008D6A3F"/>
    <w:rsid w:val="009022B8"/>
    <w:rsid w:val="00914537"/>
    <w:rsid w:val="00917CC4"/>
    <w:rsid w:val="009645E7"/>
    <w:rsid w:val="009763DA"/>
    <w:rsid w:val="00996710"/>
    <w:rsid w:val="009975B3"/>
    <w:rsid w:val="009A216D"/>
    <w:rsid w:val="009B4B93"/>
    <w:rsid w:val="009B7153"/>
    <w:rsid w:val="009D3306"/>
    <w:rsid w:val="009F24BE"/>
    <w:rsid w:val="009F6C2F"/>
    <w:rsid w:val="009F767A"/>
    <w:rsid w:val="00A22533"/>
    <w:rsid w:val="00A26F46"/>
    <w:rsid w:val="00A34FD3"/>
    <w:rsid w:val="00A36929"/>
    <w:rsid w:val="00A50548"/>
    <w:rsid w:val="00A60EE7"/>
    <w:rsid w:val="00A910C9"/>
    <w:rsid w:val="00AA35B0"/>
    <w:rsid w:val="00AC53E6"/>
    <w:rsid w:val="00AC5727"/>
    <w:rsid w:val="00AD0024"/>
    <w:rsid w:val="00AD18C8"/>
    <w:rsid w:val="00AD7FA6"/>
    <w:rsid w:val="00AE1776"/>
    <w:rsid w:val="00AE4643"/>
    <w:rsid w:val="00AF0416"/>
    <w:rsid w:val="00B10CB4"/>
    <w:rsid w:val="00B13D6F"/>
    <w:rsid w:val="00B22A22"/>
    <w:rsid w:val="00B23B72"/>
    <w:rsid w:val="00B42702"/>
    <w:rsid w:val="00B46E5E"/>
    <w:rsid w:val="00B503DC"/>
    <w:rsid w:val="00B57B8B"/>
    <w:rsid w:val="00B85407"/>
    <w:rsid w:val="00B86419"/>
    <w:rsid w:val="00B95702"/>
    <w:rsid w:val="00BC6489"/>
    <w:rsid w:val="00BD1ECD"/>
    <w:rsid w:val="00BD480C"/>
    <w:rsid w:val="00BF3AB6"/>
    <w:rsid w:val="00C20954"/>
    <w:rsid w:val="00C23324"/>
    <w:rsid w:val="00C42A41"/>
    <w:rsid w:val="00C47E74"/>
    <w:rsid w:val="00C57A72"/>
    <w:rsid w:val="00C73602"/>
    <w:rsid w:val="00C7624B"/>
    <w:rsid w:val="00CF2242"/>
    <w:rsid w:val="00CF4C87"/>
    <w:rsid w:val="00CF60C8"/>
    <w:rsid w:val="00D00787"/>
    <w:rsid w:val="00D30DE2"/>
    <w:rsid w:val="00D32924"/>
    <w:rsid w:val="00D377D0"/>
    <w:rsid w:val="00D503A3"/>
    <w:rsid w:val="00D867AA"/>
    <w:rsid w:val="00DA6ED0"/>
    <w:rsid w:val="00DC5011"/>
    <w:rsid w:val="00DF021C"/>
    <w:rsid w:val="00E171B6"/>
    <w:rsid w:val="00E72695"/>
    <w:rsid w:val="00EB1753"/>
    <w:rsid w:val="00EB6CFF"/>
    <w:rsid w:val="00ED687D"/>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5BF09A-AB36-4A5A-BA48-6871A4250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B14A7"/>
    <w:pPr>
      <w:tabs>
        <w:tab w:val="right" w:pos="454"/>
        <w:tab w:val="left" w:pos="737"/>
      </w:tabs>
      <w:ind w:left="737" w:hanging="737"/>
    </w:pPr>
    <w:rPr>
      <w:snapToGrid w:val="0"/>
      <w:sz w:val="18"/>
      <w:lang w:eastAsia="en-US"/>
    </w:rPr>
  </w:style>
  <w:style w:type="paragraph" w:customStyle="1" w:styleId="Lgendetitre">
    <w:name w:val="Légende titre"/>
    <w:basedOn w:val="Normal"/>
    <w:rsid w:val="006B14A7"/>
    <w:pPr>
      <w:spacing w:before="240" w:after="240"/>
    </w:pPr>
    <w:rPr>
      <w:b/>
      <w:i/>
      <w:snapToGrid w:val="0"/>
      <w:lang w:eastAsia="en-US"/>
    </w:rPr>
  </w:style>
  <w:style w:type="paragraph" w:customStyle="1" w:styleId="Lgendestandard">
    <w:name w:val="Légende standard"/>
    <w:basedOn w:val="Normal"/>
    <w:rsid w:val="006B14A7"/>
    <w:rPr>
      <w:sz w:val="18"/>
    </w:rPr>
  </w:style>
  <w:style w:type="paragraph" w:styleId="ListParagraph">
    <w:name w:val="List Paragraph"/>
    <w:basedOn w:val="Normal"/>
    <w:uiPriority w:val="34"/>
    <w:qFormat/>
    <w:rsid w:val="002A0402"/>
    <w:pPr>
      <w:widowControl/>
      <w:ind w:left="720"/>
      <w:contextualSpacing/>
      <w:jc w:val="both"/>
    </w:pPr>
    <w:rPr>
      <w:rFonts w:eastAsiaTheme="minorHAnsi"/>
      <w:szCs w:val="24"/>
      <w:lang w:eastAsia="en-US"/>
    </w:rPr>
  </w:style>
  <w:style w:type="character" w:customStyle="1" w:styleId="Normal6Char">
    <w:name w:val="Normal6 Char"/>
    <w:basedOn w:val="DefaultParagraphFont"/>
    <w:link w:val="Normal6"/>
    <w:locked/>
    <w:rsid w:val="00AD0024"/>
    <w:rPr>
      <w:sz w:val="24"/>
      <w:lang w:val="pl-PL"/>
    </w:rPr>
  </w:style>
  <w:style w:type="paragraph" w:customStyle="1" w:styleId="Normal6">
    <w:name w:val="Normal6"/>
    <w:basedOn w:val="Normal"/>
    <w:link w:val="Normal6Char"/>
    <w:rsid w:val="00AD0024"/>
    <w:pPr>
      <w:spacing w:after="120"/>
    </w:pPr>
  </w:style>
  <w:style w:type="character" w:customStyle="1" w:styleId="NormalBoldChar">
    <w:name w:val="NormalBold Char"/>
    <w:basedOn w:val="DefaultParagraphFont"/>
    <w:link w:val="NormalBold"/>
    <w:locked/>
    <w:rsid w:val="00AD0024"/>
    <w:rPr>
      <w:b/>
      <w:sz w:val="24"/>
    </w:rPr>
  </w:style>
  <w:style w:type="paragraph" w:customStyle="1" w:styleId="ColumnHeading">
    <w:name w:val="ColumnHeading"/>
    <w:basedOn w:val="Normal"/>
    <w:rsid w:val="00AD0024"/>
    <w:pPr>
      <w:spacing w:after="240"/>
      <w:jc w:val="center"/>
    </w:pPr>
    <w:rPr>
      <w:i/>
    </w:rPr>
  </w:style>
  <w:style w:type="paragraph" w:customStyle="1" w:styleId="AMNumberTabs0">
    <w:name w:val="AMNumberTabs"/>
    <w:basedOn w:val="Normal"/>
    <w:rsid w:val="00AD00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D0024"/>
    <w:pPr>
      <w:jc w:val="right"/>
    </w:pPr>
  </w:style>
  <w:style w:type="paragraph" w:styleId="Footer">
    <w:name w:val="footer"/>
    <w:basedOn w:val="Normal"/>
    <w:link w:val="FooterChar"/>
    <w:semiHidden/>
    <w:rsid w:val="00AE1776"/>
    <w:pPr>
      <w:tabs>
        <w:tab w:val="center" w:pos="4513"/>
        <w:tab w:val="right" w:pos="9026"/>
      </w:tabs>
    </w:pPr>
  </w:style>
  <w:style w:type="character" w:customStyle="1" w:styleId="FooterChar">
    <w:name w:val="Footer Char"/>
    <w:basedOn w:val="DefaultParagraphFont"/>
    <w:link w:val="Footer"/>
    <w:semiHidden/>
    <w:rsid w:val="00AE1776"/>
    <w:rPr>
      <w:sz w:val="24"/>
    </w:rPr>
  </w:style>
  <w:style w:type="paragraph" w:styleId="BalloonText">
    <w:name w:val="Balloon Text"/>
    <w:basedOn w:val="Normal"/>
    <w:link w:val="BalloonTextChar"/>
    <w:semiHidden/>
    <w:unhideWhenUsed/>
    <w:rsid w:val="00726E7A"/>
    <w:rPr>
      <w:rFonts w:ascii="Segoe UI" w:hAnsi="Segoe UI" w:cs="Segoe UI"/>
      <w:sz w:val="18"/>
      <w:szCs w:val="18"/>
    </w:rPr>
  </w:style>
  <w:style w:type="character" w:customStyle="1" w:styleId="BalloonTextChar">
    <w:name w:val="Balloon Text Char"/>
    <w:basedOn w:val="DefaultParagraphFont"/>
    <w:link w:val="BalloonText"/>
    <w:semiHidden/>
    <w:rsid w:val="00726E7A"/>
    <w:rPr>
      <w:rFonts w:ascii="Segoe UI" w:hAnsi="Segoe UI" w:cs="Segoe UI"/>
      <w:sz w:val="18"/>
      <w:szCs w:val="18"/>
    </w:rPr>
  </w:style>
  <w:style w:type="character" w:styleId="CommentReference">
    <w:name w:val="annotation reference"/>
    <w:basedOn w:val="DefaultParagraphFont"/>
    <w:rsid w:val="00BD1ECD"/>
    <w:rPr>
      <w:sz w:val="16"/>
      <w:szCs w:val="16"/>
    </w:rPr>
  </w:style>
  <w:style w:type="paragraph" w:styleId="CommentText">
    <w:name w:val="annotation text"/>
    <w:basedOn w:val="Normal"/>
    <w:link w:val="CommentTextChar"/>
    <w:rsid w:val="00BD1ECD"/>
    <w:rPr>
      <w:sz w:val="20"/>
    </w:rPr>
  </w:style>
  <w:style w:type="character" w:customStyle="1" w:styleId="CommentTextChar">
    <w:name w:val="Comment Text Char"/>
    <w:basedOn w:val="DefaultParagraphFont"/>
    <w:link w:val="CommentText"/>
    <w:rsid w:val="00BD1ECD"/>
  </w:style>
  <w:style w:type="paragraph" w:styleId="CommentSubject">
    <w:name w:val="annotation subject"/>
    <w:basedOn w:val="CommentText"/>
    <w:next w:val="CommentText"/>
    <w:link w:val="CommentSubjectChar"/>
    <w:semiHidden/>
    <w:unhideWhenUsed/>
    <w:rsid w:val="00BD1ECD"/>
    <w:rPr>
      <w:b/>
      <w:bCs/>
    </w:rPr>
  </w:style>
  <w:style w:type="character" w:customStyle="1" w:styleId="CommentSubjectChar">
    <w:name w:val="Comment Subject Char"/>
    <w:basedOn w:val="CommentTextChar"/>
    <w:link w:val="CommentSubject"/>
    <w:semiHidden/>
    <w:rsid w:val="00BD1E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67067-A04F-4950-A5DD-2F532F17F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5316</Words>
  <Characters>35194</Characters>
  <Application>Microsoft Office Word</Application>
  <DocSecurity>0</DocSecurity>
  <Lines>1135</Lines>
  <Paragraphs>355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WOJCIECHOWSKA Joanna</cp:lastModifiedBy>
  <cp:revision>2</cp:revision>
  <cp:lastPrinted>2004-11-04T09:41:00Z</cp:lastPrinted>
  <dcterms:created xsi:type="dcterms:W3CDTF">2023-08-17T07:21:00Z</dcterms:created>
  <dcterms:modified xsi:type="dcterms:W3CDTF">2023-08-17T07:21:00Z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1282221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PR\1282221PL.docx</vt:lpwstr>
  </property>
  <property fmtid="{D5CDD505-2E9C-101B-9397-08002B2CF9AE}" pid="10" name="LastEdited with">
    <vt:lpwstr>9.14.1 Build [20230315]</vt:lpwstr>
  </property>
  <property fmtid="{D5CDD505-2E9C-101B-9397-08002B2CF9AE}" pid="11" name="PE number">
    <vt:lpwstr>750.253</vt:lpwstr>
  </property>
  <property fmtid="{D5CDD505-2E9C-101B-9397-08002B2CF9AE}" pid="12" name="SDLStudio">
    <vt:lpwstr/>
  </property>
  <property fmtid="{D5CDD505-2E9C-101B-9397-08002B2CF9AE}" pid="13" name="SendToEpades">
    <vt:lpwstr>OK - 2023/07/04 14:38</vt:lpwstr>
  </property>
  <property fmtid="{D5CDD505-2E9C-101B-9397-08002B2CF9AE}" pid="14" name="Bookout">
    <vt:lpwstr>OK - 2023/08/17 09:21</vt:lpwstr>
  </property>
</Properties>
</file>