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D1398B" w:rsidTr="00C85D0F">
        <w:trPr>
          <w:trHeight w:hRule="exact" w:val="1418"/>
        </w:trPr>
        <w:tc>
          <w:tcPr>
            <w:tcW w:w="6804" w:type="dxa"/>
            <w:shd w:val="clear" w:color="auto" w:fill="auto"/>
            <w:vAlign w:val="center"/>
          </w:tcPr>
          <w:p w:rsidR="00B13D6F" w:rsidRPr="007C325F" w:rsidRDefault="00B17970" w:rsidP="00C85D0F">
            <w:pPr>
              <w:pStyle w:val="EPName"/>
            </w:pPr>
            <w:bookmarkStart w:id="0" w:name="_GoBack"/>
            <w:bookmarkEnd w:id="0"/>
            <w:r>
              <w:t>Evropský parlament</w:t>
            </w:r>
          </w:p>
          <w:p w:rsidR="00B13D6F" w:rsidRPr="0030148A" w:rsidRDefault="00B17970" w:rsidP="0030148A">
            <w:pPr>
              <w:pStyle w:val="EPTerm"/>
            </w:pPr>
            <w:r>
              <w:t>2019-2024</w:t>
            </w:r>
          </w:p>
        </w:tc>
        <w:tc>
          <w:tcPr>
            <w:tcW w:w="2268" w:type="dxa"/>
            <w:shd w:val="clear" w:color="auto" w:fill="auto"/>
          </w:tcPr>
          <w:p w:rsidR="00B13D6F" w:rsidRPr="007C325F" w:rsidRDefault="00B17970" w:rsidP="00C85D0F">
            <w:pPr>
              <w:pStyle w:val="EPLogo"/>
            </w:pPr>
            <w:r w:rsidRPr="007C325F">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7C325F" w:rsidRDefault="00461601" w:rsidP="00461601">
      <w:pPr>
        <w:pStyle w:val="LineTop"/>
      </w:pPr>
    </w:p>
    <w:p w:rsidR="00461601" w:rsidRPr="007C325F" w:rsidRDefault="00B17970" w:rsidP="00461601">
      <w:pPr>
        <w:pStyle w:val="EPBody"/>
      </w:pPr>
      <w:r>
        <w:rPr>
          <w:rStyle w:val="HideTWBExt"/>
        </w:rPr>
        <w:t>&lt;</w:t>
      </w:r>
      <w:r>
        <w:rPr>
          <w:rStyle w:val="HideTWBExt"/>
          <w:i w:val="0"/>
        </w:rPr>
        <w:t>Commission</w:t>
      </w:r>
      <w:r>
        <w:rPr>
          <w:rStyle w:val="HideTWBExt"/>
        </w:rPr>
        <w:t>&gt;</w:t>
      </w:r>
      <w:r>
        <w:rPr>
          <w:rStyle w:val="HideTWBInt"/>
          <w:color w:val="auto"/>
        </w:rPr>
        <w:t>{LIBE}</w:t>
      </w:r>
      <w:r>
        <w:t>Výbor pro občanské svobody, spravedlnost a vnitřní věci</w:t>
      </w:r>
      <w:r>
        <w:rPr>
          <w:rStyle w:val="HideTWBExt"/>
        </w:rPr>
        <w:t>&lt;/</w:t>
      </w:r>
      <w:r>
        <w:rPr>
          <w:rStyle w:val="HideTWBExt"/>
          <w:i w:val="0"/>
        </w:rPr>
        <w:t>Commission</w:t>
      </w:r>
      <w:r>
        <w:rPr>
          <w:rStyle w:val="HideTWBExt"/>
        </w:rPr>
        <w:t>&gt;</w:t>
      </w:r>
    </w:p>
    <w:p w:rsidR="00461601" w:rsidRPr="007C325F" w:rsidRDefault="00461601" w:rsidP="00461601">
      <w:pPr>
        <w:pStyle w:val="LineBottom"/>
      </w:pPr>
    </w:p>
    <w:p w:rsidR="00793EA9" w:rsidRPr="007C325F" w:rsidRDefault="00B17970">
      <w:pPr>
        <w:pStyle w:val="CoverReference"/>
      </w:pPr>
      <w:r>
        <w:rPr>
          <w:rStyle w:val="HideTWBExt"/>
          <w:b w:val="0"/>
        </w:rPr>
        <w:t>&lt;RefProc&gt;</w:t>
      </w:r>
      <w:r>
        <w:t>2021/0427</w:t>
      </w:r>
      <w:r>
        <w:rPr>
          <w:rStyle w:val="HideTWBExt"/>
          <w:b w:val="0"/>
        </w:rPr>
        <w:t>&lt;/RefProc&gt;&lt;RefTypeProc&gt;</w:t>
      </w:r>
      <w:r>
        <w:t>(COD)</w:t>
      </w:r>
      <w:r>
        <w:rPr>
          <w:rStyle w:val="HideTWBExt"/>
          <w:b w:val="0"/>
        </w:rPr>
        <w:t>&lt;/RefTypeProc&gt;</w:t>
      </w:r>
    </w:p>
    <w:p w:rsidR="00793EA9" w:rsidRPr="007C325F" w:rsidRDefault="00B17970">
      <w:pPr>
        <w:pStyle w:val="CoverDate"/>
      </w:pPr>
      <w:r>
        <w:rPr>
          <w:rStyle w:val="HideTWBExt"/>
        </w:rPr>
        <w:t>&lt;Date&gt;</w:t>
      </w:r>
      <w:r>
        <w:rPr>
          <w:rStyle w:val="HideTWBInt"/>
          <w:color w:val="auto"/>
        </w:rPr>
        <w:t>{11/09/2023}</w:t>
      </w:r>
      <w:r>
        <w:t>11.9.2023</w:t>
      </w:r>
      <w:r>
        <w:rPr>
          <w:rStyle w:val="HideTWBExt"/>
        </w:rPr>
        <w:t>&lt;/Date&gt;</w:t>
      </w:r>
    </w:p>
    <w:p w:rsidR="00793EA9" w:rsidRPr="007C325F" w:rsidRDefault="00B17970">
      <w:pPr>
        <w:pStyle w:val="CoverDocType"/>
      </w:pPr>
      <w:r>
        <w:rPr>
          <w:rStyle w:val="HideTWBExt"/>
          <w:b w:val="0"/>
        </w:rPr>
        <w:t>&lt;RefProcLect&gt;</w:t>
      </w:r>
      <w:r>
        <w:t>***I</w:t>
      </w:r>
      <w:r>
        <w:rPr>
          <w:rStyle w:val="HideTWBExt"/>
          <w:b w:val="0"/>
        </w:rPr>
        <w:t>&lt;/RefProcLect&gt;</w:t>
      </w:r>
    </w:p>
    <w:p w:rsidR="00793EA9" w:rsidRPr="007C325F" w:rsidRDefault="00B17970">
      <w:pPr>
        <w:pStyle w:val="CoverDocType24a"/>
      </w:pPr>
      <w:r>
        <w:rPr>
          <w:rStyle w:val="HideTWBExt"/>
          <w:b w:val="0"/>
        </w:rPr>
        <w:t>&lt;TitreType&gt;</w:t>
      </w:r>
      <w:r>
        <w:t>NÁVRH ZPRÁVY</w:t>
      </w:r>
      <w:r>
        <w:rPr>
          <w:rStyle w:val="HideTWBExt"/>
          <w:b w:val="0"/>
        </w:rPr>
        <w:t>&lt;/TitreType&gt;</w:t>
      </w:r>
    </w:p>
    <w:p w:rsidR="00793EA9" w:rsidRPr="007C325F" w:rsidRDefault="00B17970">
      <w:pPr>
        <w:pStyle w:val="CoverNormal"/>
      </w:pPr>
      <w:r>
        <w:rPr>
          <w:rStyle w:val="HideTWBExt"/>
        </w:rPr>
        <w:t>&lt;Titre&gt;</w:t>
      </w:r>
      <w:r>
        <w:t>o návrhu nařízení Evropského parlamentu a Rady o řešení situací účelového využívání migrantů v oblasti migrace a azylu</w:t>
      </w:r>
      <w:r>
        <w:rPr>
          <w:rStyle w:val="HideTWBExt"/>
        </w:rPr>
        <w:t>&lt;/Titre&gt;</w:t>
      </w:r>
    </w:p>
    <w:p w:rsidR="00793EA9" w:rsidRPr="007C325F" w:rsidRDefault="00B17970">
      <w:pPr>
        <w:pStyle w:val="CoverNormal24a"/>
      </w:pPr>
      <w:r>
        <w:rPr>
          <w:rStyle w:val="HideTWBExt"/>
        </w:rPr>
        <w:t>&lt;DocRef&gt;</w:t>
      </w:r>
      <w:r>
        <w:t>(COM(2021)0890 – C9</w:t>
      </w:r>
      <w:r>
        <w:noBreakHyphen/>
        <w:t>0474/2021 – 2021/0427(COD))</w:t>
      </w:r>
      <w:r>
        <w:rPr>
          <w:rStyle w:val="HideTWBExt"/>
        </w:rPr>
        <w:t>&lt;/DocRef&gt;</w:t>
      </w:r>
    </w:p>
    <w:p w:rsidR="00793EA9" w:rsidRPr="007C325F" w:rsidRDefault="00B17970">
      <w:pPr>
        <w:pStyle w:val="CoverNormal24a"/>
      </w:pPr>
      <w:r>
        <w:rPr>
          <w:rStyle w:val="HideTWBExt"/>
        </w:rPr>
        <w:t>&lt;Commission&gt;</w:t>
      </w:r>
      <w:r>
        <w:rPr>
          <w:rStyle w:val="HideTWBInt"/>
          <w:color w:val="auto"/>
        </w:rPr>
        <w:t>{LIBE}</w:t>
      </w:r>
      <w:r>
        <w:t>Výbor pro občanské svobody, spravedlnost a vnitřní věci</w:t>
      </w:r>
      <w:r>
        <w:rPr>
          <w:rStyle w:val="HideTWBExt"/>
        </w:rPr>
        <w:t>&lt;/Commission&gt;</w:t>
      </w:r>
    </w:p>
    <w:p w:rsidR="00793EA9" w:rsidRPr="007C325F" w:rsidRDefault="00B17970">
      <w:pPr>
        <w:pStyle w:val="CoverNormal24a"/>
      </w:pPr>
      <w:r>
        <w:t xml:space="preserve">Zpravodaj: </w:t>
      </w:r>
      <w:r>
        <w:rPr>
          <w:rStyle w:val="HideTWBExt"/>
        </w:rPr>
        <w:t>&lt;Depute&gt;</w:t>
      </w:r>
      <w:r>
        <w:t>Patryk Jaki</w:t>
      </w:r>
      <w:r>
        <w:rPr>
          <w:rStyle w:val="HideTWBExt"/>
        </w:rPr>
        <w:t>&lt;/Depute&gt;</w:t>
      </w:r>
    </w:p>
    <w:p w:rsidR="001C5B44" w:rsidRPr="007C325F" w:rsidRDefault="001C5B44" w:rsidP="001C5B44">
      <w:pPr>
        <w:pStyle w:val="CoverNormal"/>
      </w:pPr>
    </w:p>
    <w:p w:rsidR="0030148A" w:rsidRDefault="00B17970" w:rsidP="00894923">
      <w:r>
        <w:br w:type="page"/>
      </w:r>
      <w:fldSimple w:instr=" TITLE  \* MERGEFORMAT ">
        <w:r w:rsidR="00157564" w:rsidRPr="00157564">
          <w:rPr>
            <w:lang w:val="pl-PL"/>
          </w:rPr>
          <w:t>PR_COD_1amCom</w:t>
        </w:r>
      </w:fldSimple>
    </w:p>
    <w:p w:rsidR="0030148A" w:rsidRPr="00B17970" w:rsidRDefault="0030148A" w:rsidP="00894923">
      <w:pPr>
        <w:rPr>
          <w:lang w:val="pl-PL"/>
        </w:rPr>
      </w:pPr>
    </w:p>
    <w:p w:rsidR="0030148A" w:rsidRPr="00B17970" w:rsidRDefault="0030148A" w:rsidP="00894923">
      <w:pPr>
        <w:rPr>
          <w:lang w:val="pl-PL"/>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D1398B">
        <w:tc>
          <w:tcPr>
            <w:tcW w:w="5811" w:type="dxa"/>
          </w:tcPr>
          <w:p w:rsidR="0030148A" w:rsidRDefault="00B17970" w:rsidP="00894923">
            <w:pPr>
              <w:pStyle w:val="Lgendetitre"/>
            </w:pPr>
            <w:r>
              <w:t>Vysvětlivky</w:t>
            </w:r>
          </w:p>
        </w:tc>
      </w:tr>
      <w:tr w:rsidR="00D1398B" w:rsidTr="00D60247">
        <w:trPr>
          <w:cantSplit/>
          <w:trHeight w:val="1807"/>
        </w:trPr>
        <w:tc>
          <w:tcPr>
            <w:tcW w:w="5811" w:type="dxa"/>
            <w:tcBorders>
              <w:bottom w:val="single" w:sz="4" w:space="0" w:color="auto"/>
            </w:tcBorders>
          </w:tcPr>
          <w:p w:rsidR="0030148A" w:rsidRDefault="00B17970" w:rsidP="00291397">
            <w:pPr>
              <w:pStyle w:val="Lgendesigne"/>
            </w:pPr>
            <w:r>
              <w:tab/>
              <w:t>*</w:t>
            </w:r>
            <w:r>
              <w:tab/>
              <w:t>Postup konzultace</w:t>
            </w:r>
          </w:p>
          <w:p w:rsidR="0030148A" w:rsidRPr="00817843" w:rsidRDefault="00B17970" w:rsidP="00291397">
            <w:pPr>
              <w:pStyle w:val="Lgendesigne"/>
            </w:pPr>
            <w:r>
              <w:tab/>
              <w:t>***</w:t>
            </w:r>
            <w:r>
              <w:tab/>
              <w:t>Postup souhlasu</w:t>
            </w:r>
          </w:p>
          <w:p w:rsidR="0030148A" w:rsidRDefault="00B17970" w:rsidP="00291397">
            <w:pPr>
              <w:pStyle w:val="Lgendesigne"/>
            </w:pPr>
            <w:r>
              <w:tab/>
              <w:t>***I</w:t>
            </w:r>
            <w:r>
              <w:tab/>
              <w:t>Řádný legislativní postup (první čtení)</w:t>
            </w:r>
          </w:p>
          <w:p w:rsidR="0030148A" w:rsidRDefault="00B17970" w:rsidP="00291397">
            <w:pPr>
              <w:pStyle w:val="Lgendesigne"/>
            </w:pPr>
            <w:r>
              <w:tab/>
              <w:t>***II</w:t>
            </w:r>
            <w:r>
              <w:tab/>
              <w:t>Řádný legislativní postup (druhé čtení)</w:t>
            </w:r>
          </w:p>
          <w:p w:rsidR="0030148A" w:rsidRDefault="00B17970" w:rsidP="00291397">
            <w:pPr>
              <w:pStyle w:val="Lgendesigne"/>
            </w:pPr>
            <w:r>
              <w:tab/>
              <w:t>***III</w:t>
            </w:r>
            <w:r>
              <w:tab/>
              <w:t>Řádný legislativní postup (třetí čtení)</w:t>
            </w:r>
          </w:p>
          <w:p w:rsidR="0030148A" w:rsidRPr="000C31E2" w:rsidRDefault="0030148A" w:rsidP="0069092A">
            <w:pPr>
              <w:pStyle w:val="Lgendestandard"/>
            </w:pPr>
          </w:p>
          <w:p w:rsidR="0030148A" w:rsidRDefault="00B17970" w:rsidP="0069092A">
            <w:pPr>
              <w:pStyle w:val="Lgendestandard"/>
            </w:pPr>
            <w:r>
              <w:t>(Druh postupu závisí na právním základu navrženém v návrhu aktu.)</w:t>
            </w:r>
          </w:p>
          <w:p w:rsidR="0030148A" w:rsidRPr="00B17970" w:rsidRDefault="0030148A" w:rsidP="008F1BC6">
            <w:pPr>
              <w:pStyle w:val="Lgendestandard"/>
            </w:pPr>
          </w:p>
        </w:tc>
      </w:tr>
    </w:tbl>
    <w:p w:rsidR="0030148A" w:rsidRPr="00B17970" w:rsidRDefault="0030148A" w:rsidP="00894923"/>
    <w:p w:rsidR="0030148A" w:rsidRPr="00B17970" w:rsidRDefault="0030148A" w:rsidP="00894923"/>
    <w:p w:rsidR="0030148A" w:rsidRPr="00B17970" w:rsidRDefault="0030148A" w:rsidP="00894923"/>
    <w:p w:rsidR="0030148A" w:rsidRPr="00B17970" w:rsidRDefault="0030148A" w:rsidP="00291397"/>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D1398B" w:rsidTr="00740116">
        <w:tc>
          <w:tcPr>
            <w:tcW w:w="5811" w:type="dxa"/>
          </w:tcPr>
          <w:p w:rsidR="0030148A" w:rsidRPr="00817843" w:rsidRDefault="00B17970" w:rsidP="00740116">
            <w:pPr>
              <w:pStyle w:val="Lgendetitre"/>
            </w:pPr>
            <w:r>
              <w:t>Pozměňovací návrhy k návrhu aktu</w:t>
            </w:r>
          </w:p>
        </w:tc>
      </w:tr>
      <w:tr w:rsidR="00D1398B" w:rsidTr="00D60247">
        <w:trPr>
          <w:trHeight w:val="4213"/>
        </w:trPr>
        <w:tc>
          <w:tcPr>
            <w:tcW w:w="5811" w:type="dxa"/>
          </w:tcPr>
          <w:p w:rsidR="0030148A" w:rsidRPr="003112AB" w:rsidRDefault="00B17970" w:rsidP="00740116">
            <w:pPr>
              <w:pStyle w:val="Lgendestandard"/>
              <w:rPr>
                <w:szCs w:val="18"/>
              </w:rPr>
            </w:pPr>
            <w:r>
              <w:rPr>
                <w:b/>
              </w:rPr>
              <w:t>Pozměňovacích návrhy Parlamentu předložené ve dvou sloupcích</w:t>
            </w:r>
          </w:p>
          <w:p w:rsidR="0030148A" w:rsidRPr="00B17970" w:rsidRDefault="0030148A" w:rsidP="00740116">
            <w:pPr>
              <w:pStyle w:val="Lgendestandard"/>
              <w:rPr>
                <w:szCs w:val="18"/>
              </w:rPr>
            </w:pPr>
          </w:p>
          <w:p w:rsidR="0030148A" w:rsidRPr="003112AB" w:rsidRDefault="00B17970" w:rsidP="00740116">
            <w:pPr>
              <w:pStyle w:val="Lgendestandard"/>
              <w:rPr>
                <w:szCs w:val="18"/>
              </w:rPr>
            </w:pPr>
            <w:r>
              <w:t xml:space="preserve">Vypuštění textu je označeno </w:t>
            </w:r>
            <w:r>
              <w:rPr>
                <w:b/>
                <w:i/>
              </w:rPr>
              <w:t xml:space="preserve">tučnou kurzivou </w:t>
            </w:r>
            <w:r>
              <w:t xml:space="preserve">v levém sloupci. Nahrazení je označeno </w:t>
            </w:r>
            <w:r>
              <w:rPr>
                <w:b/>
                <w:i/>
              </w:rPr>
              <w:t>tučnou kurzivou</w:t>
            </w:r>
            <w:r>
              <w:t xml:space="preserve"> v obou sloupcích. Nový text je označen </w:t>
            </w:r>
            <w:r>
              <w:rPr>
                <w:b/>
                <w:i/>
              </w:rPr>
              <w:t>tučnou kurzivou</w:t>
            </w:r>
            <w:r>
              <w:t xml:space="preserve"> v pravém sloupci.</w:t>
            </w:r>
          </w:p>
          <w:p w:rsidR="0030148A" w:rsidRPr="003112AB" w:rsidRDefault="0030148A" w:rsidP="00740116">
            <w:pPr>
              <w:pStyle w:val="Lgendestandard"/>
            </w:pPr>
          </w:p>
          <w:p w:rsidR="0030148A" w:rsidRPr="003112AB" w:rsidRDefault="00B17970" w:rsidP="00740116">
            <w:pPr>
              <w:pStyle w:val="Lgendestandard"/>
            </w:pPr>
            <w:r>
              <w:t xml:space="preserve">První a druhý řádek záhlaví každého pozměňovacího návrhu označují příslušnou část projednávaného návrhu aktu. Pokud se pozměňovací návrh týká existujícího aktu, který má být návrhem aktu pozměněn, je v záhlaví mimo to na třetím řádku uveden existující akt a na čtvrtém řádku ustanovení existujícího aktu, kterého se pozměňovací návrh týká. </w:t>
            </w:r>
          </w:p>
          <w:p w:rsidR="0030148A" w:rsidRPr="003112AB" w:rsidRDefault="0030148A" w:rsidP="00740116">
            <w:pPr>
              <w:pStyle w:val="Lgendestandard"/>
            </w:pPr>
          </w:p>
          <w:p w:rsidR="0030148A" w:rsidRPr="003112AB" w:rsidRDefault="00B17970" w:rsidP="00740116">
            <w:pPr>
              <w:pStyle w:val="Lgendestandard"/>
              <w:rPr>
                <w:b/>
                <w:szCs w:val="18"/>
              </w:rPr>
            </w:pPr>
            <w:r>
              <w:rPr>
                <w:b/>
              </w:rPr>
              <w:t>Pozměňovací návrhy Parlamentu v podobě konsolidovaného textu</w:t>
            </w:r>
          </w:p>
          <w:p w:rsidR="0030148A" w:rsidRPr="003112AB" w:rsidRDefault="0030148A" w:rsidP="00740116">
            <w:pPr>
              <w:pStyle w:val="Lgendestandard"/>
              <w:rPr>
                <w:szCs w:val="18"/>
              </w:rPr>
            </w:pPr>
          </w:p>
          <w:p w:rsidR="0030148A" w:rsidRPr="003112AB" w:rsidRDefault="00B17970" w:rsidP="00740116">
            <w:pPr>
              <w:pStyle w:val="Lgendestandard"/>
            </w:pPr>
            <w:r>
              <w:t xml:space="preserve">Nové části textu jsou označeny </w:t>
            </w:r>
            <w:r>
              <w:rPr>
                <w:b/>
                <w:i/>
              </w:rPr>
              <w:t>tučnou kurzivou</w:t>
            </w:r>
            <w:r>
              <w:t xml:space="preserve">. Vypuštěné části textu jsou označeny symbolem ▌nebo přeškrtnuty. Nahrazení se vyznačují tak, že nový text se označí </w:t>
            </w:r>
            <w:r>
              <w:rPr>
                <w:b/>
                <w:i/>
              </w:rPr>
              <w:t>tučnou kurzivou</w:t>
            </w:r>
            <w:r>
              <w:t xml:space="preserve"> a nahrazený text se vymaže nebo přeškrtne. Výjimečně se neoznačují změny výlučně technické povahy, které provedly příslušné útvary za účelem vypracování konečného znění.</w:t>
            </w:r>
          </w:p>
          <w:p w:rsidR="0030148A" w:rsidRPr="003112AB" w:rsidRDefault="0030148A" w:rsidP="00740116">
            <w:pPr>
              <w:pStyle w:val="Lgendestandard"/>
            </w:pPr>
          </w:p>
        </w:tc>
      </w:tr>
    </w:tbl>
    <w:p w:rsidR="0030148A" w:rsidRPr="003112AB" w:rsidRDefault="0030148A" w:rsidP="00291397"/>
    <w:p w:rsidR="0030148A" w:rsidRPr="00B17970" w:rsidRDefault="0030148A" w:rsidP="00291397"/>
    <w:p w:rsidR="00793EA9" w:rsidRPr="0030148A" w:rsidRDefault="00793EA9" w:rsidP="00012351">
      <w:pPr>
        <w:widowControl/>
        <w:tabs>
          <w:tab w:val="center" w:pos="4677"/>
        </w:tabs>
      </w:pPr>
    </w:p>
    <w:p w:rsidR="00793EA9" w:rsidRPr="007C325F" w:rsidRDefault="00B17970">
      <w:pPr>
        <w:pStyle w:val="TOCHeading"/>
      </w:pPr>
      <w:r>
        <w:br w:type="page"/>
      </w:r>
      <w:r>
        <w:lastRenderedPageBreak/>
        <w:t>OBSAH</w:t>
      </w:r>
    </w:p>
    <w:p w:rsidR="00793EA9" w:rsidRPr="007C325F" w:rsidRDefault="00B17970">
      <w:pPr>
        <w:pStyle w:val="TOCPage"/>
      </w:pPr>
      <w:r>
        <w:t>Strana</w:t>
      </w:r>
    </w:p>
    <w:p w:rsidR="00157564" w:rsidRDefault="00B17970">
      <w:pPr>
        <w:pStyle w:val="TOC1"/>
        <w:tabs>
          <w:tab w:val="right" w:leader="dot" w:pos="9060"/>
        </w:tabs>
        <w:rPr>
          <w:rFonts w:asciiTheme="minorHAnsi" w:eastAsiaTheme="minorEastAsia" w:hAnsiTheme="minorHAnsi" w:cstheme="minorBidi"/>
          <w:noProof/>
          <w:sz w:val="22"/>
          <w:szCs w:val="22"/>
          <w:lang w:val="en-GB"/>
        </w:rPr>
      </w:pPr>
      <w:r w:rsidRPr="007C325F">
        <w:rPr>
          <w:b/>
        </w:rPr>
        <w:fldChar w:fldCharType="begin"/>
      </w:r>
      <w:r w:rsidRPr="007C325F">
        <w:rPr>
          <w:b/>
        </w:rPr>
        <w:instrText xml:space="preserve"> TOC \t "PageHeading</w:instrText>
      </w:r>
      <w:r w:rsidR="00157564">
        <w:rPr>
          <w:b/>
        </w:rPr>
        <w:instrText>;</w:instrText>
      </w:r>
      <w:r w:rsidRPr="007C325F">
        <w:rPr>
          <w:b/>
        </w:rPr>
        <w:instrText xml:space="preserve">1" </w:instrText>
      </w:r>
      <w:r w:rsidRPr="007C325F">
        <w:rPr>
          <w:b/>
        </w:rPr>
        <w:fldChar w:fldCharType="separate"/>
      </w:r>
      <w:r w:rsidR="00157564">
        <w:rPr>
          <w:noProof/>
        </w:rPr>
        <w:t>NÁVRH LEGISLATIVNÍHO USNESENÍ EVROPSKÉHO PARLAMENTU</w:t>
      </w:r>
      <w:r w:rsidR="00157564">
        <w:rPr>
          <w:noProof/>
        </w:rPr>
        <w:tab/>
      </w:r>
      <w:r w:rsidR="00157564">
        <w:rPr>
          <w:noProof/>
        </w:rPr>
        <w:fldChar w:fldCharType="begin"/>
      </w:r>
      <w:r w:rsidR="00157564">
        <w:rPr>
          <w:noProof/>
        </w:rPr>
        <w:instrText xml:space="preserve"> PAGEREF _Toc146013212 \h </w:instrText>
      </w:r>
      <w:r w:rsidR="00157564">
        <w:rPr>
          <w:noProof/>
        </w:rPr>
      </w:r>
      <w:r w:rsidR="00157564">
        <w:rPr>
          <w:noProof/>
        </w:rPr>
        <w:fldChar w:fldCharType="separate"/>
      </w:r>
      <w:r w:rsidR="00157564">
        <w:rPr>
          <w:noProof/>
        </w:rPr>
        <w:t>5</w:t>
      </w:r>
      <w:r w:rsidR="00157564">
        <w:rPr>
          <w:noProof/>
        </w:rPr>
        <w:fldChar w:fldCharType="end"/>
      </w:r>
    </w:p>
    <w:p w:rsidR="002346B0" w:rsidRPr="007C325F" w:rsidRDefault="00B17970" w:rsidP="00C23324">
      <w:r w:rsidRPr="007C325F">
        <w:rPr>
          <w:b/>
        </w:rPr>
        <w:fldChar w:fldCharType="end"/>
      </w:r>
    </w:p>
    <w:p w:rsidR="00793EA9" w:rsidRPr="007C325F" w:rsidRDefault="00B17970">
      <w:pPr>
        <w:pStyle w:val="PageHeading"/>
      </w:pPr>
      <w:r>
        <w:br w:type="page"/>
      </w:r>
      <w:r>
        <w:lastRenderedPageBreak/>
        <w:br w:type="page"/>
      </w:r>
      <w:bookmarkStart w:id="1" w:name="_Toc146013212"/>
      <w:r>
        <w:lastRenderedPageBreak/>
        <w:t>NÁVRH LEGISLATIVNÍHO USNESENÍ EVROPSKÉHO PARLAMENTU</w:t>
      </w:r>
      <w:bookmarkEnd w:id="1"/>
    </w:p>
    <w:p w:rsidR="00793EA9" w:rsidRPr="007C325F" w:rsidRDefault="00B17970">
      <w:pPr>
        <w:pStyle w:val="NormalBold"/>
      </w:pPr>
      <w:r>
        <w:t>o návrhu nařízení Evropského parlamentu a Rady o řešení situací účelového využívání migrantů v oblasti migrace a azylu</w:t>
      </w:r>
    </w:p>
    <w:p w:rsidR="00793EA9" w:rsidRPr="007C325F" w:rsidRDefault="00B17970">
      <w:pPr>
        <w:pStyle w:val="NormalBold12a"/>
      </w:pPr>
      <w:r>
        <w:t>(COM(2021)0890 – C9</w:t>
      </w:r>
      <w:r>
        <w:noBreakHyphen/>
        <w:t>0474/2021 – 2021/0427(COD))</w:t>
      </w:r>
    </w:p>
    <w:p w:rsidR="00793EA9" w:rsidRPr="007C325F" w:rsidRDefault="00B17970" w:rsidP="00A910C9">
      <w:pPr>
        <w:pStyle w:val="NormalBold"/>
      </w:pPr>
      <w:r>
        <w:t>(Řádný legislativní postup: první čtení)</w:t>
      </w:r>
    </w:p>
    <w:p w:rsidR="00793EA9" w:rsidRPr="007C325F" w:rsidRDefault="00B17970" w:rsidP="00A910C9">
      <w:pPr>
        <w:pStyle w:val="EPComma"/>
      </w:pPr>
      <w:r>
        <w:rPr>
          <w:i/>
        </w:rPr>
        <w:t>Evropský parlament</w:t>
      </w:r>
      <w:r>
        <w:t>,</w:t>
      </w:r>
    </w:p>
    <w:p w:rsidR="00793EA9" w:rsidRPr="007C325F" w:rsidRDefault="00B17970">
      <w:pPr>
        <w:pStyle w:val="NormalHanging12a"/>
      </w:pPr>
      <w:r>
        <w:t>–</w:t>
      </w:r>
      <w:r>
        <w:tab/>
        <w:t>s ohledem na návrh Komise předložený Evropskému parlamentu a Radě (COM(2021)0890),</w:t>
      </w:r>
    </w:p>
    <w:p w:rsidR="00793EA9" w:rsidRPr="007C325F" w:rsidRDefault="00B17970">
      <w:pPr>
        <w:pStyle w:val="NormalHanging12a"/>
      </w:pPr>
      <w:r>
        <w:t>–</w:t>
      </w:r>
      <w:r>
        <w:tab/>
        <w:t>s ohledem na čl. 294 odst. 2 a článek xx Smlouvy o fungování Evropské unie, v souladu s nimiž Komise předložila svůj návrh Parlamentu (C9</w:t>
      </w:r>
      <w:r>
        <w:noBreakHyphen/>
        <w:t>0474/2021),</w:t>
      </w:r>
    </w:p>
    <w:p w:rsidR="00A26F46" w:rsidRPr="007C325F" w:rsidRDefault="00B17970" w:rsidP="00A26F46">
      <w:pPr>
        <w:pStyle w:val="NormalHanging12a"/>
      </w:pPr>
      <w:r>
        <w:t>–</w:t>
      </w:r>
      <w:r>
        <w:tab/>
        <w:t>s ohledem na čl. 294 odst. 3 Smlouvy o fungování Evropské unie,</w:t>
      </w:r>
    </w:p>
    <w:p w:rsidR="00793EA9" w:rsidRPr="007C325F" w:rsidRDefault="00B17970">
      <w:pPr>
        <w:pStyle w:val="NormalHanging12a"/>
      </w:pPr>
      <w:r>
        <w:t>–</w:t>
      </w:r>
      <w:r>
        <w:tab/>
        <w:t>s ohledem na článek 59 jednacího řádu,</w:t>
      </w:r>
    </w:p>
    <w:p w:rsidR="006A2F5D" w:rsidRPr="007C325F" w:rsidRDefault="00B17970" w:rsidP="006A2F5D">
      <w:pPr>
        <w:pStyle w:val="NormalHanging12a"/>
      </w:pPr>
      <w:r>
        <w:t>–</w:t>
      </w:r>
      <w:r>
        <w:tab/>
        <w:t>s ohledem na zprávu Výboru pro občanské svobody, spravedlnost a vnitřní věci (A9</w:t>
      </w:r>
      <w:r>
        <w:noBreakHyphen/>
        <w:t>0000/2023),</w:t>
      </w:r>
    </w:p>
    <w:p w:rsidR="009F6C2F" w:rsidRPr="007C325F" w:rsidRDefault="00B17970" w:rsidP="009F6C2F">
      <w:pPr>
        <w:pStyle w:val="NormalHanging12a"/>
      </w:pPr>
      <w:r>
        <w:t>1.</w:t>
      </w:r>
      <w:r>
        <w:tab/>
        <w:t>přijímá níže uvedený postoj v prvním čtení;</w:t>
      </w:r>
    </w:p>
    <w:p w:rsidR="00D30DE2" w:rsidRDefault="00D30DE2" w:rsidP="00D30DE2"/>
    <w:p w:rsidR="0030148A" w:rsidRPr="007C325F" w:rsidRDefault="0030148A" w:rsidP="00D30DE2"/>
    <w:p w:rsidR="0030148A" w:rsidRPr="000147E7" w:rsidRDefault="00B17970" w:rsidP="0030148A">
      <w:pPr>
        <w:pStyle w:val="AMNumberTabs0"/>
        <w:keepNext/>
      </w:pPr>
      <w:r w:rsidRPr="00B17970">
        <w:rPr>
          <w:rStyle w:val="HideTWBExt"/>
          <w:b w:val="0"/>
        </w:rPr>
        <w:t>&lt;RepeatBlock-Amend&gt;&lt;Amend&gt;</w:t>
      </w:r>
      <w:r>
        <w:t>Pozměňovací návrh</w:t>
      </w:r>
      <w:r>
        <w:tab/>
      </w:r>
      <w:r>
        <w:tab/>
      </w:r>
      <w:r w:rsidRPr="00B17970">
        <w:rPr>
          <w:rStyle w:val="HideTWBExt"/>
          <w:b w:val="0"/>
        </w:rPr>
        <w:t>&lt;NumAm&gt;</w:t>
      </w:r>
      <w:r>
        <w:t>1</w:t>
      </w:r>
      <w:r w:rsidRPr="00B17970">
        <w:rPr>
          <w:rStyle w:val="HideTWBExt"/>
          <w:b w:val="0"/>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(1)</w:t>
            </w:r>
            <w:r>
              <w:tab/>
              <w:t xml:space="preserve">K situaci účelového využívání migrantů může dojít, když třetí země podněcuje nelegální </w:t>
            </w:r>
            <w:r>
              <w:rPr>
                <w:b/>
                <w:i/>
              </w:rPr>
              <w:t>migrační toky</w:t>
            </w:r>
            <w:r>
              <w:t xml:space="preserve"> do Unie tím, že aktivně podporuje nebo usnadňuje pohyb státních příslušníků třetích zemí na vnější hranice, na</w:t>
            </w:r>
            <w:r>
              <w:rPr>
                <w:b/>
                <w:i/>
              </w:rPr>
              <w:t xml:space="preserve"> své</w:t>
            </w:r>
            <w:r>
              <w:t xml:space="preserve"> území nebo z něj a poté na tyto vnější hranice, kdy z takové činnosti vyplývá úmysl třetí země destabilizovat Unii nebo některý členský stát a kdy povaha takové činnosti může ohrozit základní funkce státu, včetně jeho územní celistvosti, udržování veřejného </w:t>
            </w:r>
            <w:r>
              <w:lastRenderedPageBreak/>
              <w:t>pořádku nebo zajištění jeho národní bezpečnosti.</w:t>
            </w:r>
          </w:p>
        </w:tc>
        <w:tc>
          <w:tcPr>
            <w:tcW w:w="4876" w:type="dxa"/>
          </w:tcPr>
          <w:p w:rsidR="0030148A" w:rsidRPr="000147E7" w:rsidRDefault="00B17970" w:rsidP="00CD7B91">
            <w:pPr>
              <w:pStyle w:val="Normal6"/>
              <w:rPr>
                <w:szCs w:val="24"/>
              </w:rPr>
            </w:pPr>
            <w:r>
              <w:lastRenderedPageBreak/>
              <w:t>(1)</w:t>
            </w:r>
            <w:r>
              <w:tab/>
              <w:t xml:space="preserve">K situaci účelového využívání migrantů může dojít, když třetí země </w:t>
            </w:r>
            <w:r>
              <w:rPr>
                <w:b/>
                <w:i/>
              </w:rPr>
              <w:t xml:space="preserve">nebo nestátní subjekt </w:t>
            </w:r>
            <w:r>
              <w:t xml:space="preserve">podněcuje nelegální </w:t>
            </w:r>
            <w:r>
              <w:rPr>
                <w:b/>
                <w:i/>
              </w:rPr>
              <w:t>migraci</w:t>
            </w:r>
            <w:r>
              <w:t xml:space="preserve"> do Unie tím, že aktivně podporuje nebo usnadňuje</w:t>
            </w:r>
            <w:r>
              <w:rPr>
                <w:b/>
                <w:i/>
              </w:rPr>
              <w:t>, případně vynucuje</w:t>
            </w:r>
            <w:r>
              <w:t xml:space="preserve"> pohyb státních příslušníků třetích zemí </w:t>
            </w:r>
            <w:r>
              <w:rPr>
                <w:b/>
                <w:i/>
              </w:rPr>
              <w:t xml:space="preserve">či osob bez státní příslušnosti </w:t>
            </w:r>
            <w:r>
              <w:t xml:space="preserve">na vnější hranice, na území </w:t>
            </w:r>
            <w:r>
              <w:rPr>
                <w:b/>
                <w:i/>
              </w:rPr>
              <w:t xml:space="preserve">třetího státu </w:t>
            </w:r>
            <w:r>
              <w:t>nebo z něj a poté na tyto vnější hranice</w:t>
            </w:r>
            <w:r>
              <w:rPr>
                <w:b/>
                <w:i/>
              </w:rPr>
              <w:t xml:space="preserve"> či na území jednoho nebo několika členských států</w:t>
            </w:r>
            <w:r>
              <w:t>, kdy z takové činnosti vyplývá úmysl třetí země</w:t>
            </w:r>
            <w:r>
              <w:rPr>
                <w:b/>
                <w:i/>
              </w:rPr>
              <w:t xml:space="preserve"> nebo nestátního subjektu</w:t>
            </w:r>
            <w:r>
              <w:t xml:space="preserve"> destabilizovat </w:t>
            </w:r>
            <w:r>
              <w:lastRenderedPageBreak/>
              <w:t xml:space="preserve">Unii nebo některý členský stát a kdy povaha takové činnosti může ohrozit základní funkce státu, včetně jeho územní celistvosti, udržování veřejného pořádku nebo zajištění jeho národní bezpečnosti. </w:t>
            </w:r>
            <w:r>
              <w:rPr>
                <w:b/>
                <w:i/>
              </w:rPr>
              <w:t>Je vhodné uvést právní definici účelového využívání v tomto nařízení do souladu s definicí použitou v nařízení Evropského parlamentu a Rady (EU) 2016/399</w:t>
            </w:r>
            <w:r>
              <w:rPr>
                <w:b/>
                <w:i/>
                <w:vertAlign w:val="superscript"/>
              </w:rPr>
              <w:t>1a</w:t>
            </w:r>
            <w:r>
              <w:rPr>
                <w:b/>
                <w:i/>
              </w:rPr>
              <w:t>.</w:t>
            </w:r>
          </w:p>
        </w:tc>
      </w:tr>
      <w:tr w:rsidR="00D1398B" w:rsidTr="00CD7B91">
        <w:trPr>
          <w:jc w:val="center"/>
        </w:trPr>
        <w:tc>
          <w:tcPr>
            <w:tcW w:w="4876" w:type="dxa"/>
          </w:tcPr>
          <w:p w:rsidR="0030148A" w:rsidRPr="00B17970" w:rsidRDefault="0030148A" w:rsidP="00CD7B91">
            <w:pPr>
              <w:pStyle w:val="Normal6"/>
            </w:pPr>
          </w:p>
        </w:tc>
        <w:tc>
          <w:tcPr>
            <w:tcW w:w="4876" w:type="dxa"/>
          </w:tcPr>
          <w:p w:rsidR="0030148A" w:rsidRPr="000147E7" w:rsidRDefault="00B17970" w:rsidP="00CD7B91">
            <w:pPr>
              <w:pStyle w:val="Normal6"/>
              <w:rPr>
                <w:szCs w:val="24"/>
              </w:rPr>
            </w:pPr>
            <w:r>
              <w:rPr>
                <w:b/>
                <w:i/>
                <w:vertAlign w:val="superscript"/>
              </w:rPr>
              <w:t>1a</w:t>
            </w:r>
            <w:r>
              <w:t xml:space="preserve"> </w:t>
            </w:r>
            <w:r>
              <w:rPr>
                <w:b/>
                <w:i/>
              </w:rPr>
              <w:t>Nařízení Evropského parlamentu a Rady (EU) 2016/399 ze dne 9. března 2016, kterým se stanoví kodex Unie o pravidlech upravujících přeshraniční pohyb osob (Schengenský hraniční kodex) (Úř. věst. L 77, 23.3.2016, s. 1).</w:t>
            </w:r>
          </w:p>
        </w:tc>
      </w:tr>
    </w:tbl>
    <w:p w:rsidR="0030148A" w:rsidRPr="000147E7" w:rsidRDefault="00B17970" w:rsidP="0030148A">
      <w:pPr>
        <w:pStyle w:val="Olang"/>
      </w:pPr>
      <w:r w:rsidRPr="000147E7">
        <w:rPr>
          <w:noProof w:val="0"/>
          <w:lang w:val="en-GB"/>
        </w:rPr>
        <w:t xml:space="preserve">Or. </w:t>
      </w:r>
      <w:r w:rsidRPr="000147E7">
        <w:rPr>
          <w:rStyle w:val="HideTWBExt"/>
          <w:noProof w:val="0"/>
          <w:lang w:val="en-GB"/>
        </w:rPr>
        <w:t>&lt;Original&gt;</w:t>
      </w:r>
      <w:r w:rsidRPr="000147E7">
        <w:rPr>
          <w:rStyle w:val="HideTWBInt"/>
          <w:noProof w:val="0"/>
          <w:lang w:val="en-GB"/>
        </w:rPr>
        <w:t>{EN}</w:t>
      </w:r>
      <w:r w:rsidRPr="000147E7">
        <w:rPr>
          <w:noProof w:val="0"/>
          <w:lang w:val="en-GB"/>
        </w:rPr>
        <w:t>en</w:t>
      </w:r>
      <w:r w:rsidRPr="000147E7">
        <w:rPr>
          <w:rStyle w:val="HideTWBExt"/>
          <w:noProof w:val="0"/>
          <w:lang w:val="en-GB"/>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Pr>
          <w:rStyle w:val="HideTWBExt"/>
          <w:b w:val="0"/>
          <w:lang w:val="en-GB"/>
        </w:rPr>
        <w:t>&lt;Amend&gt;</w:t>
      </w:r>
      <w:r>
        <w:t>Pozměňovací návrh</w:t>
      </w:r>
      <w:r>
        <w:tab/>
      </w:r>
      <w:r>
        <w:tab/>
      </w:r>
      <w:r>
        <w:rPr>
          <w:rStyle w:val="HideTWBExt"/>
          <w:b w:val="0"/>
          <w:lang w:val="en-GB"/>
        </w:rPr>
        <w:t>&lt;NumAm&gt;</w:t>
      </w:r>
      <w:r>
        <w:t>2</w:t>
      </w:r>
      <w:r>
        <w:rPr>
          <w:rStyle w:val="HideTWBExt"/>
          <w:b w:val="0"/>
          <w:lang w:val="en-GB"/>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1 a (nový)</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30148A" w:rsidP="00CD7B91">
            <w:pPr>
              <w:pStyle w:val="Normal6"/>
              <w:rPr>
                <w:lang w:val="en-GB"/>
              </w:rPr>
            </w:pPr>
          </w:p>
        </w:tc>
        <w:tc>
          <w:tcPr>
            <w:tcW w:w="4876" w:type="dxa"/>
          </w:tcPr>
          <w:p w:rsidR="0030148A" w:rsidRPr="000147E7" w:rsidRDefault="00B17970" w:rsidP="00CD7B91">
            <w:pPr>
              <w:pStyle w:val="Normal6"/>
              <w:rPr>
                <w:szCs w:val="24"/>
              </w:rPr>
            </w:pPr>
            <w:r>
              <w:rPr>
                <w:b/>
                <w:i/>
              </w:rPr>
              <w:t>(1a)</w:t>
            </w:r>
            <w:r>
              <w:rPr>
                <w:b/>
                <w:i/>
              </w:rPr>
              <w:tab/>
              <w:t>Situace, kdy jsou nestátní subjekty zapojeny do organizované trestné činnosti, zejména převaděčství migrantů, by se neměly považovat za účelové využívání migrantů, pokud není cílem destabilizovat Unii nebo některý členský stát. Dále by se za účelové využívání migrantů neměla považovat humanitární pomoc, pokud jejím cílem není destabilizovat Unii nebo některý členský stát.</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3</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(2)</w:t>
            </w:r>
            <w:r>
              <w:tab/>
              <w:t>Toto nařízení navazuje na výzvu Evropské rady obsaženou v závěrech ze dne 22. října 2021, aby Komise navrhla případné nezbytné změny právního rámce Unie a konkrétní opatření s cílem zajistit okamžitou a odpovídající reakci na hybridní hrozbu v souladu s právními předpisy Unie a mezinárodními závazky. Kromě toho přispívá k vytvoření komplexního a trvalého rámce pro vybavení dotčených členských států nezbytnými nástroji, aby mohly účinně a rychle reagovat na situaci účelového využívání</w:t>
            </w:r>
            <w:r>
              <w:rPr>
                <w:b/>
                <w:i/>
              </w:rPr>
              <w:t xml:space="preserve"> migrantů</w:t>
            </w:r>
            <w:r>
              <w:t xml:space="preserve"> při plném dodržování základních práv a mezinárodních závazků.</w:t>
            </w:r>
          </w:p>
        </w:tc>
        <w:tc>
          <w:tcPr>
            <w:tcW w:w="4876" w:type="dxa"/>
          </w:tcPr>
          <w:p w:rsidR="0030148A" w:rsidRPr="000147E7" w:rsidRDefault="00B17970" w:rsidP="00CD7B91">
            <w:pPr>
              <w:pStyle w:val="Normal6"/>
              <w:rPr>
                <w:szCs w:val="24"/>
              </w:rPr>
            </w:pPr>
            <w:r>
              <w:t>(2)</w:t>
            </w:r>
            <w:r>
              <w:tab/>
              <w:t xml:space="preserve">Toto nařízení navazuje na výzvu Evropské rady obsaženou v závěrech ze dne 22. října 2021, aby Komise navrhla případné nezbytné změny právního rámce Unie a konkrétní opatření s cílem zajistit okamžitou a odpovídající reakci na hybridní hrozbu v souladu s právními předpisy Unie a mezinárodními závazky. Kromě toho přispívá k vytvoření komplexního a trvalého rámce pro vybavení dotčených členských států nezbytnými nástroji, aby mohly </w:t>
            </w:r>
            <w:r>
              <w:rPr>
                <w:b/>
                <w:i/>
              </w:rPr>
              <w:t xml:space="preserve">v souladu s postupem stanoveným v tomto nařízení </w:t>
            </w:r>
            <w:r>
              <w:t>účinně a rychle reagovat na situaci účelového využívání při plném dodržování základních práv a mezinárodních závazků.</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4</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(3)</w:t>
            </w:r>
            <w:r>
              <w:tab/>
              <w:t xml:space="preserve">Jedním z takových nástrojů obsažených v tomto nařízení je zavedení nouzového postupu pro řízení </w:t>
            </w:r>
            <w:r>
              <w:rPr>
                <w:b/>
                <w:i/>
              </w:rPr>
              <w:t xml:space="preserve">migrace </w:t>
            </w:r>
            <w:r>
              <w:t xml:space="preserve">a </w:t>
            </w:r>
            <w:r>
              <w:rPr>
                <w:b/>
                <w:i/>
              </w:rPr>
              <w:t>azylu</w:t>
            </w:r>
            <w:r>
              <w:t>, který členským státům poskytuje možnost využít právní nástroje, díky kterým budou moci čelit budoucím případům účelového využívání migrantů.</w:t>
            </w:r>
          </w:p>
        </w:tc>
        <w:tc>
          <w:tcPr>
            <w:tcW w:w="4876" w:type="dxa"/>
          </w:tcPr>
          <w:p w:rsidR="0030148A" w:rsidRPr="000147E7" w:rsidRDefault="00B17970" w:rsidP="00CD7B91">
            <w:pPr>
              <w:pStyle w:val="Normal6"/>
              <w:rPr>
                <w:szCs w:val="24"/>
              </w:rPr>
            </w:pPr>
            <w:r>
              <w:t>(3)</w:t>
            </w:r>
            <w:r>
              <w:tab/>
              <w:t xml:space="preserve">Jedním z takových nástrojů obsažených v tomto nařízení je zavedení nouzového postupu pro </w:t>
            </w:r>
            <w:r>
              <w:rPr>
                <w:b/>
                <w:i/>
              </w:rPr>
              <w:t xml:space="preserve">azylové </w:t>
            </w:r>
            <w:r>
              <w:t xml:space="preserve">řízení a </w:t>
            </w:r>
            <w:r>
              <w:rPr>
                <w:b/>
                <w:i/>
              </w:rPr>
              <w:t>řízení o navrácení</w:t>
            </w:r>
            <w:r>
              <w:t>, který členským státům poskytuje možnost využít právní nástroje, díky kterým budou moci čelit budoucím případům účelového využívání migrantů.</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5</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(4)</w:t>
            </w:r>
            <w:r>
              <w:tab/>
              <w:t xml:space="preserve">Toto nařízení dodržuje základní práva a ctí zásady uznané v Listině základních práv Evropské unie, zejména její články 1, 4, 7, 24, 18 a čl. 19 odst. 2 a 2, jakož i Ženevskou úmluvu o uprchlících ze dne 28. července 1951. Vzhledem ke skutečnosti, že jako prvořadé hledisko je nutné zohledňovat nejlepší zájem dítěte a potřebu respektovat rodinný život a zajistit ochranu zdraví dotčených osob, stanoví toto nařízení zvláštní pravidla a záruky vztahující se na nezletilé osoby bez doprovodu, nezletilé osoby a jejich rodinné příslušníky a na žadatele, jejichž zdravotní stav vyžaduje specifickou a přiměřenou podporu. Na osoby, na něž se vztahuje nouzový postup pro </w:t>
            </w:r>
            <w:r>
              <w:rPr>
                <w:b/>
                <w:i/>
              </w:rPr>
              <w:t>řízení azylu</w:t>
            </w:r>
            <w:r>
              <w:t>, by se měla nadále uplatňovat pravidla a záruky stanovené v nařízení (EU) XXX/XXX</w:t>
            </w:r>
            <w:r>
              <w:rPr>
                <w:b/>
                <w:i/>
                <w:vertAlign w:val="superscript"/>
              </w:rPr>
              <w:t>19</w:t>
            </w:r>
            <w:r>
              <w:t xml:space="preserve"> [nařízení o azylovém řízení], pokud toto nařízení nestanoví jinak. Pravidla stanovená ve směrnici XXX/XXX [přepracované znění směrnice o podmínkách přijímání]</w:t>
            </w:r>
            <w:r>
              <w:rPr>
                <w:vertAlign w:val="superscript"/>
              </w:rPr>
              <w:t>20</w:t>
            </w:r>
            <w:r>
              <w:t>, včetně pravidel týkajících se zajištění žadatelů o mezinárodní ochranu, by se měla nadále uplatňovat od okamžiku podání žádosti o mezinárodní ochranu, pokud toto nařízení nestanoví jinak.</w:t>
            </w:r>
          </w:p>
        </w:tc>
        <w:tc>
          <w:tcPr>
            <w:tcW w:w="4876" w:type="dxa"/>
          </w:tcPr>
          <w:p w:rsidR="0030148A" w:rsidRPr="000147E7" w:rsidRDefault="00B17970" w:rsidP="00CD7B91">
            <w:pPr>
              <w:pStyle w:val="Normal6"/>
              <w:rPr>
                <w:szCs w:val="24"/>
              </w:rPr>
            </w:pPr>
            <w:r>
              <w:t>(4)</w:t>
            </w:r>
            <w:r>
              <w:tab/>
              <w:t xml:space="preserve">Toto nařízení dodržuje základní práva a ctí zásady uznané v Listině základních práv Evropské unie, zejména její články 1, 4, 7, 24, 18 a čl. 19 odst. 2 a 2, jakož i Ženevskou úmluvu o uprchlících ze dne 28. července 1951. Vzhledem ke skutečnosti, že jako prvořadé hledisko je nutné zohledňovat nejlepší zájem dítěte a potřebu respektovat rodinný život a zajistit ochranu zdraví dotčených osob, stanoví toto nařízení zvláštní pravidla a záruky vztahující se na nezletilé osoby bez doprovodu, nezletilé osoby a jejich rodinné příslušníky a na žadatele, jejichž zdravotní stav vyžaduje specifickou a přiměřenou podporu. Na osoby, na něž se vztahuje nouzový postup pro </w:t>
            </w:r>
            <w:r>
              <w:rPr>
                <w:b/>
                <w:i/>
              </w:rPr>
              <w:t>azylové řízení</w:t>
            </w:r>
            <w:r>
              <w:t>, by se měla nadále uplatňovat pravidla a záruky stanovené v nařízení (EU) XXX/XXX [nařízení o azylovém řízení], pokud toto nařízení nestanoví jinak. Pravidla stanovená ve směrnici XXX/XXX [přepracované znění směrnice o podmínkách přijímání]</w:t>
            </w:r>
            <w:r>
              <w:rPr>
                <w:vertAlign w:val="superscript"/>
              </w:rPr>
              <w:t>20</w:t>
            </w:r>
            <w:r>
              <w:t>, včetně pravidel týkajících se zajištění žadatelů o mezinárodní ochranu, by se měla nadále uplatňovat od okamžiku podání žádosti o mezinárodní ochranu, pokud toto nařízení nestanoví jinak.</w:t>
            </w:r>
          </w:p>
        </w:tc>
      </w:tr>
      <w:tr w:rsidR="00D1398B" w:rsidTr="00CD7B91">
        <w:trPr>
          <w:jc w:val="center"/>
        </w:trPr>
        <w:tc>
          <w:tcPr>
            <w:tcW w:w="4876" w:type="dxa"/>
          </w:tcPr>
          <w:p w:rsidR="0030148A" w:rsidRPr="000147E7" w:rsidRDefault="00B17970" w:rsidP="00CD7B91">
            <w:pPr>
              <w:pStyle w:val="Normal6"/>
            </w:pPr>
            <w:r>
              <w:t>__________________</w:t>
            </w:r>
          </w:p>
        </w:tc>
        <w:tc>
          <w:tcPr>
            <w:tcW w:w="4876" w:type="dxa"/>
          </w:tcPr>
          <w:p w:rsidR="0030148A" w:rsidRPr="000147E7" w:rsidRDefault="00B17970" w:rsidP="00CD7B91">
            <w:pPr>
              <w:pStyle w:val="Normal6"/>
              <w:rPr>
                <w:szCs w:val="24"/>
              </w:rPr>
            </w:pPr>
            <w:r>
              <w:t>__________________</w:t>
            </w:r>
          </w:p>
        </w:tc>
      </w:tr>
      <w:tr w:rsidR="00D1398B" w:rsidTr="00CD7B91">
        <w:trPr>
          <w:jc w:val="center"/>
        </w:trPr>
        <w:tc>
          <w:tcPr>
            <w:tcW w:w="4876" w:type="dxa"/>
          </w:tcPr>
          <w:p w:rsidR="0030148A" w:rsidRPr="000147E7" w:rsidRDefault="00B17970" w:rsidP="0030148A">
            <w:pPr>
              <w:pStyle w:val="Normal6"/>
            </w:pPr>
            <w:r>
              <w:rPr>
                <w:vertAlign w:val="superscript"/>
              </w:rPr>
              <w:t>19</w:t>
            </w:r>
            <w:r>
              <w:t xml:space="preserve"> Úř. věst. C , , s. .</w:t>
            </w:r>
          </w:p>
        </w:tc>
        <w:tc>
          <w:tcPr>
            <w:tcW w:w="4876" w:type="dxa"/>
          </w:tcPr>
          <w:p w:rsidR="0030148A" w:rsidRPr="000147E7" w:rsidRDefault="00B17970" w:rsidP="0030148A">
            <w:pPr>
              <w:pStyle w:val="Normal6"/>
              <w:rPr>
                <w:szCs w:val="24"/>
              </w:rPr>
            </w:pPr>
            <w:r>
              <w:rPr>
                <w:vertAlign w:val="superscript"/>
              </w:rPr>
              <w:t>19</w:t>
            </w:r>
            <w:r>
              <w:t xml:space="preserve"> Úř. věst. C , , s. .</w:t>
            </w:r>
          </w:p>
        </w:tc>
      </w:tr>
      <w:tr w:rsidR="00D1398B" w:rsidTr="00CD7B91">
        <w:trPr>
          <w:jc w:val="center"/>
        </w:trPr>
        <w:tc>
          <w:tcPr>
            <w:tcW w:w="4876" w:type="dxa"/>
          </w:tcPr>
          <w:p w:rsidR="0030148A" w:rsidRPr="000147E7" w:rsidRDefault="00B17970" w:rsidP="00CD7B91">
            <w:pPr>
              <w:pStyle w:val="Normal6"/>
            </w:pPr>
            <w:r>
              <w:rPr>
                <w:vertAlign w:val="superscript"/>
              </w:rPr>
              <w:t>20</w:t>
            </w:r>
            <w:r>
              <w:t xml:space="preserve"> Úř. věst. C , , s. .</w:t>
            </w:r>
          </w:p>
        </w:tc>
        <w:tc>
          <w:tcPr>
            <w:tcW w:w="4876" w:type="dxa"/>
          </w:tcPr>
          <w:p w:rsidR="0030148A" w:rsidRPr="000147E7" w:rsidRDefault="00B17970" w:rsidP="00CD7B91">
            <w:pPr>
              <w:pStyle w:val="Normal6"/>
              <w:rPr>
                <w:szCs w:val="24"/>
              </w:rPr>
            </w:pPr>
            <w:r>
              <w:rPr>
                <w:vertAlign w:val="superscript"/>
              </w:rPr>
              <w:t>20</w:t>
            </w:r>
            <w:r>
              <w:t xml:space="preserve"> Úř. věst. C , , s. .</w:t>
            </w:r>
          </w:p>
        </w:tc>
      </w:tr>
    </w:tbl>
    <w:p w:rsidR="0030148A" w:rsidRPr="000147E7" w:rsidRDefault="00B17970" w:rsidP="0030148A">
      <w:pPr>
        <w:pStyle w:val="Olang"/>
      </w:pPr>
      <w:r w:rsidRPr="000147E7">
        <w:rPr>
          <w:noProof w:val="0"/>
          <w:lang w:val="en-GB"/>
        </w:rPr>
        <w:t xml:space="preserve">Or. </w:t>
      </w:r>
      <w:r w:rsidRPr="000147E7">
        <w:rPr>
          <w:rStyle w:val="HideTWBExt"/>
          <w:noProof w:val="0"/>
          <w:lang w:val="en-GB"/>
        </w:rPr>
        <w:t>&lt;Original&gt;</w:t>
      </w:r>
      <w:r w:rsidRPr="000147E7">
        <w:rPr>
          <w:rStyle w:val="HideTWBInt"/>
          <w:noProof w:val="0"/>
          <w:lang w:val="en-GB"/>
        </w:rPr>
        <w:t>{EN}</w:t>
      </w:r>
      <w:r w:rsidRPr="000147E7">
        <w:rPr>
          <w:noProof w:val="0"/>
          <w:lang w:val="en-GB"/>
        </w:rPr>
        <w:t>en</w:t>
      </w:r>
      <w:r w:rsidRPr="000147E7">
        <w:rPr>
          <w:rStyle w:val="HideTWBExt"/>
          <w:noProof w:val="0"/>
          <w:lang w:val="en-GB"/>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Pr>
          <w:rStyle w:val="HideTWBExt"/>
          <w:b w:val="0"/>
          <w:lang w:val="en-GB"/>
        </w:rPr>
        <w:t>&lt;Amend&gt;</w:t>
      </w:r>
      <w:r>
        <w:t>Pozměňovací návrh</w:t>
      </w:r>
      <w:r>
        <w:tab/>
      </w:r>
      <w:r>
        <w:tab/>
      </w:r>
      <w:r>
        <w:rPr>
          <w:rStyle w:val="HideTWBExt"/>
          <w:b w:val="0"/>
          <w:lang w:val="en-GB"/>
        </w:rPr>
        <w:t>&lt;NumAm&gt;</w:t>
      </w:r>
      <w:r>
        <w:t>6</w:t>
      </w:r>
      <w:r>
        <w:rPr>
          <w:rStyle w:val="HideTWBExt"/>
          <w:b w:val="0"/>
          <w:lang w:val="en-GB"/>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(5)</w:t>
            </w:r>
            <w:r>
              <w:tab/>
              <w:t>S cílem pomoci členskému státu čelícímu situaci účelového využívání</w:t>
            </w:r>
            <w:r>
              <w:rPr>
                <w:b/>
                <w:i/>
              </w:rPr>
              <w:t xml:space="preserve"> migrantů</w:t>
            </w:r>
            <w:r>
              <w:t xml:space="preserve"> s řádným řízením migračních toků v rámci nouzového postupu pro </w:t>
            </w:r>
            <w:r>
              <w:rPr>
                <w:b/>
                <w:i/>
              </w:rPr>
              <w:t>řízení azylu</w:t>
            </w:r>
            <w:r>
              <w:t xml:space="preserve"> by dotčený členský stát měl mít možnost se rozhodnout, že bude registraci žádostí o mezinárodní ochranu podaných státními příslušníky třetích zemí nebo osobami bez státní příslušnosti zadrženými nebo nalezenými v blízkosti vnější hranice s třetí zemí, která účelově využívá migranty, po nedovoleném překročení hranice nebo poté, co se dostavili na hraniční přechod, provádět pouze na konkrétních registračních místech určených pro tento účel, která se nacházejí v blízkosti hranic, a že umožní účinně podávat žádosti o mezinárodní ochranu pouze na konkrétních místech určených pro tyto účely, která by měla být snadno přístupná. V souladu s článkem 18 Listiny základních práv Evropské unie a Ženevskou úmluvou ze dne 28. července 1951 musí být zajištěn účinný a skutečný přístup k řízení o mezinárodní ochraně. Dotčený členský stát by proto měl zajistit, aby pro tento účel bylo určeno a otevřeno dost registračních míst, případně včetně hraničních přechodů. Žadatelé by měli být řádně informováni o místech, kde bude jejich žádost zaregistrována a kde ji lze podat.</w:t>
            </w:r>
          </w:p>
        </w:tc>
        <w:tc>
          <w:tcPr>
            <w:tcW w:w="4876" w:type="dxa"/>
          </w:tcPr>
          <w:p w:rsidR="0030148A" w:rsidRPr="000147E7" w:rsidRDefault="00B17970" w:rsidP="00CD7B91">
            <w:pPr>
              <w:pStyle w:val="Normal6"/>
              <w:rPr>
                <w:szCs w:val="24"/>
              </w:rPr>
            </w:pPr>
            <w:r>
              <w:t>(5)</w:t>
            </w:r>
            <w:r>
              <w:tab/>
            </w:r>
            <w:r>
              <w:rPr>
                <w:b/>
                <w:i/>
              </w:rPr>
              <w:t>V situaci účelového využívání by mohl být na vnější hranici nebo v tranzitním prostoru členského státu podán zvýšený počet žádostí o mezinárodní ochranu, často osobami zadrženými v souvislosti s nedovoleným překročením vnější hranice po zemi, po moři nebo vzduchem nebo osobami, které se vylodí po pátracích a záchranných operacích.</w:t>
            </w:r>
            <w:r>
              <w:t xml:space="preserve"> S cílem pomoci členskému státu čelícímu situaci účelového využívání s řádným řízením migračních toků v rámci nouzového postupu pro </w:t>
            </w:r>
            <w:r>
              <w:rPr>
                <w:b/>
                <w:i/>
              </w:rPr>
              <w:t>azylové řízení</w:t>
            </w:r>
            <w:r>
              <w:t xml:space="preserve"> by dotčený členský stát měl mít možnost se rozhodnout, že bude registraci žádostí o mezinárodní ochranu podaných státními příslušníky třetích zemí nebo osobami bez státní příslušnosti zadrženými nebo nalezenými v blízkosti vnější hranice s třetí zemí, která účelově využívá migranty, po nedovoleném překročení hranice </w:t>
            </w:r>
            <w:r>
              <w:rPr>
                <w:b/>
                <w:i/>
              </w:rPr>
              <w:t xml:space="preserve">po zemi, po moři nebo vzduchem, nebo osobami, které se vylodily po pátracích a záchranných operacích, </w:t>
            </w:r>
            <w:r>
              <w:t>nebo poté, co se dostavili na hraniční přechod, provádět pouze na konkrétních registračních místech určených pro tento účel,</w:t>
            </w:r>
            <w:r>
              <w:rPr>
                <w:b/>
                <w:i/>
              </w:rPr>
              <w:t xml:space="preserve"> </w:t>
            </w:r>
            <w:r>
              <w:t xml:space="preserve"> která se nacházejí v blízkosti hranic, a že umožní účinně podávat žádosti o mezinárodní ochranu pouze na konkrétních místech určených pro tyto účely, která by měla být snadno přístupná. V souladu s článkem 18 Listiny základních práv Evropské unie a Ženevskou úmluvou ze dne 28. července 1951 musí být zajištěn účinný a skutečný přístup k řízení o mezinárodní ochraně. Dotčený členský stát by proto měl zajistit, aby pro tento účel bylo určeno a otevřeno dost registračních míst, případně včetně hraničních přechodů. Žadatelé by měli být řádně informováni o místech, kde bude jejich žádost zaregistrována a kde ji lze podat.</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7</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6</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(6)</w:t>
            </w:r>
            <w:r>
              <w:tab/>
              <w:t xml:space="preserve">V situaci účelového využívání migrantů je nezbytné zamezit vstupu osob, které nesplňují podmínky pro vstup, a zároveň zajistit ochranu základních práv. Aby byla zajištěna nezbytná flexibilita členského státu čelícího takové situaci a aby se nepřátelské třetí zemi zabránilo zaměřovat se na konkrétní národnosti nebo kategorie státních příslušníků třetích zemí či osob bez státní příslušnosti, by dotčený členský stát měl mít v rámci nouzového postupu pro </w:t>
            </w:r>
            <w:r>
              <w:rPr>
                <w:b/>
                <w:i/>
              </w:rPr>
              <w:t>řízení azylu a migrace</w:t>
            </w:r>
            <w:r>
              <w:t xml:space="preserve"> stanoveného v tomto nařízení možnost přijmout při řízení na hranicích podle článku 41 nařízení (EU) XXX/XXX [nařízení o azylovém řízení] rozhodnutí o přípustnosti a podstatě všech žádostí o mezinárodní ochranu podaných státními příslušníky třetích zemí nebo osobami bez státní příslušnosti zadrženými nebo nalezenými v blízkosti hranic se třetí zemí po nedovoleném překročení hranice nebo poté, co se dostavili na hraniční přechod. Zásady a záruky stanovené v nařízení (EU) XXX/XXX [nařízení o azylovém řízení] musí být dodrženy.</w:t>
            </w:r>
          </w:p>
        </w:tc>
        <w:tc>
          <w:tcPr>
            <w:tcW w:w="4876" w:type="dxa"/>
          </w:tcPr>
          <w:p w:rsidR="0030148A" w:rsidRPr="000147E7" w:rsidRDefault="00B17970" w:rsidP="00CD7B91">
            <w:pPr>
              <w:pStyle w:val="Normal6"/>
              <w:rPr>
                <w:szCs w:val="24"/>
              </w:rPr>
            </w:pPr>
            <w:r>
              <w:t>(6)</w:t>
            </w:r>
            <w:r>
              <w:tab/>
              <w:t xml:space="preserve">V situaci účelového využívání migrantů je nezbytné zamezit vstupu osob, které nesplňují podmínky pro vstup, a zároveň zajistit ochranu základních práv. Aby byla zajištěna nezbytná flexibilita členského státu čelícího takové situaci a aby se nepřátelské třetí zemi zabránilo zaměřovat se na konkrétní národnosti nebo kategorie státních příslušníků třetích zemí či osob bez státní příslušnosti, by dotčený členský stát měl mít v rámci nouzového postupu pro </w:t>
            </w:r>
            <w:r>
              <w:rPr>
                <w:b/>
                <w:i/>
              </w:rPr>
              <w:t>azylové řízení</w:t>
            </w:r>
            <w:r>
              <w:t xml:space="preserve"> stanoveného v tomto nařízení možnost přijmout při řízení na hranicích podle článku 41 nařízení (EU) XXX/XXX [nařízení o azylovém řízení] rozhodnutí o přípustnosti a podstatě všech žádostí o mezinárodní ochranu podaných státními příslušníky třetích zemí nebo osobami bez státní příslušnosti zadrženými nebo nalezenými v blízkosti hranic se třetí zemí po nedovoleném překročení hranice nebo poté, co se dostavili na hraniční přechod. Zásady a záruky stanovené v nařízení (EU) XXX/XXX [nařízení o azylovém řízení] musí být dodrženy.</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8</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9</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(9)</w:t>
            </w:r>
            <w:r>
              <w:tab/>
            </w:r>
            <w:r>
              <w:rPr>
                <w:b/>
                <w:i/>
              </w:rPr>
              <w:t>V situaci účelového využívání migrantů by měl mít dotčený členský stát možnost zaregistrovat žádosti o mezinárodní ochranu v prodloužené lhůtě čtyř týdnů. Kromě toho by mělo být možné posuzovat žádosti o mezinárodní ochranu na hranicích ve lhůtě maximálně šestnácti týdnů. Pokud není rozhodnutí o žádosti</w:t>
            </w:r>
            <w:r>
              <w:t xml:space="preserve"> včetně </w:t>
            </w:r>
            <w:r>
              <w:rPr>
                <w:b/>
                <w:i/>
              </w:rPr>
              <w:t>rozhodnutí o případném odvolání proti zamítavému rozhodnutí</w:t>
            </w:r>
            <w:r>
              <w:t xml:space="preserve">, </w:t>
            </w:r>
            <w:r>
              <w:rPr>
                <w:b/>
                <w:i/>
              </w:rPr>
              <w:t>které by nemělo mít automatický odkladný účinek, přijato do šestnácti týdnů</w:t>
            </w:r>
            <w:r>
              <w:t>,</w:t>
            </w:r>
            <w:r>
              <w:rPr>
                <w:b/>
                <w:i/>
              </w:rPr>
              <w:t xml:space="preserve"> měl</w:t>
            </w:r>
            <w:r>
              <w:t xml:space="preserve"> by </w:t>
            </w:r>
            <w:r>
              <w:rPr>
                <w:b/>
                <w:i/>
              </w:rPr>
              <w:t>být vstup na území povolen, pokud daná osoba nepodléhá navrácení. Tyto procesní lhůty jsou navrženy tak, aby dotčenému členskému státu pomohly vypořádat se se situací účelového využívání migrantů. V takové situaci musí dotčený členský stát přesouvat zdroje s cílem postarat se</w:t>
            </w:r>
            <w:r>
              <w:t xml:space="preserve"> o </w:t>
            </w:r>
            <w:r>
              <w:rPr>
                <w:b/>
                <w:i/>
              </w:rPr>
              <w:t>státní příslušníky třetích zemí, kteří přijíždějí na jeho hranice</w:t>
            </w:r>
            <w:r>
              <w:t xml:space="preserve"> nebo </w:t>
            </w:r>
            <w:r>
              <w:rPr>
                <w:b/>
                <w:i/>
              </w:rPr>
              <w:t>se již nacházejí na jeho území. Dotčený členský stát může tudíž v takových situacích potřebovat čas na reorganizaci svých zdrojů a zvýšení své kapacity, a to i za podpory ze strany agentur EU. Kromě toho se bude řízení na hranicích týkat vyššího počtu žadatelů než za běžných okolností, takže členský stát čelící situaci účelového využívání migrantů může potřebovat k</w:t>
            </w:r>
            <w:r>
              <w:t xml:space="preserve"> přijetí </w:t>
            </w:r>
            <w:r>
              <w:rPr>
                <w:b/>
                <w:i/>
              </w:rPr>
              <w:t>rozhodnutí delší dobu, aniž by umožnil vstup těchto osob na své území</w:t>
            </w:r>
            <w:r>
              <w:t>.</w:t>
            </w:r>
            <w:r>
              <w:rPr>
                <w:b/>
                <w:i/>
              </w:rPr>
              <w:t xml:space="preserve"> Dotčený členský stát by však měl upřednostňovat registraci opodstatněných žádostí a žádostí podaných nezletilými osobami</w:t>
            </w:r>
            <w:r>
              <w:t xml:space="preserve"> bez doprovodu</w:t>
            </w:r>
            <w:r>
              <w:rPr>
                <w:b/>
                <w:i/>
              </w:rPr>
              <w:t xml:space="preserve"> a nezletilými osobami</w:t>
            </w:r>
            <w:r>
              <w:t xml:space="preserve"> a jejich </w:t>
            </w:r>
            <w:r>
              <w:rPr>
                <w:b/>
                <w:i/>
              </w:rPr>
              <w:t>rodinnými příslušníky</w:t>
            </w:r>
            <w:r>
              <w:t>.</w:t>
            </w:r>
          </w:p>
        </w:tc>
        <w:tc>
          <w:tcPr>
            <w:tcW w:w="4876" w:type="dxa"/>
          </w:tcPr>
          <w:p w:rsidR="0030148A" w:rsidRPr="000147E7" w:rsidRDefault="00B17970" w:rsidP="00CD7B91">
            <w:pPr>
              <w:pStyle w:val="Normal6"/>
              <w:rPr>
                <w:szCs w:val="24"/>
              </w:rPr>
            </w:pPr>
            <w:r>
              <w:t>(9)</w:t>
            </w:r>
            <w:r>
              <w:tab/>
            </w:r>
            <w:r>
              <w:rPr>
                <w:b/>
                <w:i/>
              </w:rPr>
              <w:t>V případě použití nouzového postupu pro azylové řízení</w:t>
            </w:r>
            <w:r>
              <w:t xml:space="preserve"> by </w:t>
            </w:r>
            <w:r>
              <w:rPr>
                <w:b/>
                <w:i/>
              </w:rPr>
              <w:t>příslušné orgány měly především zohledňovat záruky pro žadatele se zvláštními procesními potřebami a zvláštními potřebami při přijetí,</w:t>
            </w:r>
            <w:r>
              <w:t xml:space="preserve"> včetně </w:t>
            </w:r>
            <w:r>
              <w:rPr>
                <w:b/>
                <w:i/>
              </w:rPr>
              <w:t>zohlednění zdravotního stavu. Členský stát</w:t>
            </w:r>
            <w:r>
              <w:t xml:space="preserve">, </w:t>
            </w:r>
            <w:r>
              <w:rPr>
                <w:b/>
                <w:i/>
              </w:rPr>
              <w:t>který čelí situaci účelového využívání</w:t>
            </w:r>
            <w:r>
              <w:t xml:space="preserve">, by </w:t>
            </w:r>
            <w:r>
              <w:rPr>
                <w:b/>
                <w:i/>
              </w:rPr>
              <w:t>proto neměl uplatňovat nouzový postup pro azylové řízení nebo by jej měl přestat uplatňovat v případech</w:t>
            </w:r>
            <w:r>
              <w:t xml:space="preserve">, </w:t>
            </w:r>
            <w:r>
              <w:rPr>
                <w:b/>
                <w:i/>
              </w:rPr>
              <w:t>kdy existují zdravotní důvody pro neuplatnění řízení na hranicích</w:t>
            </w:r>
            <w:r>
              <w:t xml:space="preserve"> v </w:t>
            </w:r>
            <w:r>
              <w:rPr>
                <w:b/>
                <w:i/>
              </w:rPr>
              <w:t>souladu s čl. 41 odst. 9 písm. c) nařízení (EU) XXX/XXX [nařízení</w:t>
            </w:r>
            <w:r>
              <w:t xml:space="preserve"> o </w:t>
            </w:r>
            <w:r>
              <w:rPr>
                <w:b/>
                <w:i/>
              </w:rPr>
              <w:t>azylovém řízení]</w:t>
            </w:r>
            <w:r>
              <w:t xml:space="preserve"> nebo </w:t>
            </w:r>
            <w:r>
              <w:rPr>
                <w:b/>
                <w:i/>
              </w:rPr>
              <w:t>kdy nelze poskytnout přiměřenou podporu žadatelům se zvláštními procesními potřebami</w:t>
            </w:r>
            <w:r>
              <w:t xml:space="preserve"> v </w:t>
            </w:r>
            <w:r>
              <w:rPr>
                <w:b/>
                <w:i/>
              </w:rPr>
              <w:t>souladu s čl. 41 odst. 9 písm. b) nařízení (EU) XXX/XXX [nařízení o azylovém řízení]]</w:t>
            </w:r>
            <w:r>
              <w:t xml:space="preserve">. </w:t>
            </w:r>
            <w:r>
              <w:rPr>
                <w:b/>
                <w:i/>
              </w:rPr>
              <w:t>Dotčený členský stát by měl upřednostňovat posuzování žádostí osob se zvláštními procesními potřebami podle nařízení (EU) XXX/XXX [nařízení o azylovém řízení] a se zvláštními potřebami při</w:t>
            </w:r>
            <w:r>
              <w:t xml:space="preserve"> přijetí </w:t>
            </w:r>
            <w:r>
              <w:rPr>
                <w:b/>
                <w:i/>
              </w:rPr>
              <w:t>ve smyslu definice v [čl</w:t>
            </w:r>
            <w:r>
              <w:t>.</w:t>
            </w:r>
            <w:r>
              <w:rPr>
                <w:b/>
                <w:i/>
              </w:rPr>
              <w:t> 2 bodu 13 směrnice XXX/XXX [přepracované znění směrnice o podmínkách přijímání], zejména nezletilých osob</w:t>
            </w:r>
            <w:r>
              <w:t xml:space="preserve"> bez doprovodu</w:t>
            </w:r>
            <w:r>
              <w:rPr>
                <w:b/>
                <w:i/>
              </w:rPr>
              <w:t>, nezletilých osob</w:t>
            </w:r>
            <w:r>
              <w:t xml:space="preserve"> a jejich </w:t>
            </w:r>
            <w:r>
              <w:rPr>
                <w:b/>
                <w:i/>
              </w:rPr>
              <w:t>rodinných příslušníků</w:t>
            </w:r>
            <w:r>
              <w:t>.</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9</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10</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(10)</w:t>
            </w:r>
            <w:r>
              <w:tab/>
              <w:t xml:space="preserve">Je třeba za každou cenu zabránit jakýmkoli násilným činům na hranicích, a to nejen kvůli ochraně územní celistvosti a bezpečnosti členského státu čelícího situaci účelového využívání migrantů, nýbrž také v zájmu zajištění bezpečnosti a ochrany státních příslušníků třetích zemí či osob bez státní příslušnosti včetně rodin a dětí, kteří pokojně čekají na příležitost požádat o azyl v Unii. Tam, kde je dotčený členský stát konfrontován s násilnými činy na svých vnějších hranicích, včetně pokusů státních příslušníků třetích zemí vynutit si vstup hromadně a za použití </w:t>
            </w:r>
            <w:r>
              <w:rPr>
                <w:b/>
                <w:i/>
              </w:rPr>
              <w:t xml:space="preserve">nepřiměřených </w:t>
            </w:r>
            <w:r>
              <w:t>násilných prostředků, měl by mít možnost přijmout v souladu se svým vnitrostátním právem nezbytná opatření k zachování bezpečnosti a veřejného pořádku, jakož i zajistit účinné uplatňování tohoto nařízení.</w:t>
            </w:r>
          </w:p>
        </w:tc>
        <w:tc>
          <w:tcPr>
            <w:tcW w:w="4876" w:type="dxa"/>
          </w:tcPr>
          <w:p w:rsidR="0030148A" w:rsidRPr="000147E7" w:rsidRDefault="00B17970" w:rsidP="00CD7B91">
            <w:pPr>
              <w:pStyle w:val="Normal6"/>
              <w:rPr>
                <w:szCs w:val="24"/>
              </w:rPr>
            </w:pPr>
            <w:r>
              <w:t>(10)</w:t>
            </w:r>
            <w:r>
              <w:tab/>
              <w:t>Je třeba za každou cenu zabránit jakýmkoli násilným činům na hranicích, a to nejen kvůli ochraně územní celistvosti a bezpečnosti členského státu čelícího situaci účelového využívání migrantů, nýbrž také v zájmu zajištění bezpečnosti a ochrany státních příslušníků třetích zemí či osob bez státní příslušnosti včetně rodin a dětí, kteří pokojně čekají na příležitost požádat o azyl v Unii. Tam, kde je dotčený členský stát konfrontován s násilnými činy na svých vnějších hranicích, včetně pokusů státních příslušníků třetích zemí vynutit si vstup hromadně a za použití násilných prostředků, měl by mít možnost přijmout v souladu se svým vnitrostátním právem nezbytná</w:t>
            </w:r>
            <w:r>
              <w:rPr>
                <w:b/>
                <w:i/>
              </w:rPr>
              <w:t xml:space="preserve"> a přiměřená</w:t>
            </w:r>
            <w:r>
              <w:t xml:space="preserve"> opatření k zachování bezpečnosti a veřejného pořádku, jakož i zajistit účinné uplatňování tohoto nařízení.</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10</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12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(12)</w:t>
            </w:r>
            <w:r>
              <w:tab/>
              <w:t xml:space="preserve">Za účelem doplnění </w:t>
            </w:r>
            <w:r>
              <w:rPr>
                <w:b/>
                <w:i/>
              </w:rPr>
              <w:t>nouzového postupu pro</w:t>
            </w:r>
            <w:r>
              <w:t xml:space="preserve"> řízení </w:t>
            </w:r>
            <w:r>
              <w:rPr>
                <w:b/>
                <w:i/>
              </w:rPr>
              <w:t xml:space="preserve">azylu na vnějších hranicích </w:t>
            </w:r>
            <w:r>
              <w:t xml:space="preserve">a zajištění plné soudržnosti s tímto </w:t>
            </w:r>
            <w:r>
              <w:rPr>
                <w:b/>
                <w:i/>
              </w:rPr>
              <w:t>postupem</w:t>
            </w:r>
            <w:r>
              <w:t xml:space="preserve"> by se příslušným orgánům členského státu čelícího situaci účelového využívání migrantů měla poskytnout potřebná flexibilita</w:t>
            </w:r>
            <w:r>
              <w:rPr>
                <w:b/>
                <w:i/>
              </w:rPr>
              <w:t xml:space="preserve"> po uplatnění nouzového postupu pro řízení azylu</w:t>
            </w:r>
            <w:r>
              <w:t xml:space="preserve"> provádět řízení o </w:t>
            </w:r>
            <w:r>
              <w:rPr>
                <w:b/>
                <w:i/>
              </w:rPr>
              <w:t>navracení</w:t>
            </w:r>
            <w:r>
              <w:t xml:space="preserve">. V situaci účelového využívání </w:t>
            </w:r>
            <w:r>
              <w:rPr>
                <w:b/>
                <w:i/>
              </w:rPr>
              <w:t>migrantů</w:t>
            </w:r>
            <w:r>
              <w:t xml:space="preserve"> by proto měl mít dotčený členský stát možnost odchýlit se od uplatňování směrnice XXX/XXX [přepracované znění směrnice o navracení]</w:t>
            </w:r>
            <w:r>
              <w:rPr>
                <w:b/>
                <w:i/>
                <w:vertAlign w:val="superscript"/>
              </w:rPr>
              <w:t>22</w:t>
            </w:r>
            <w:r>
              <w:rPr>
                <w:b/>
                <w:i/>
              </w:rPr>
              <w:t xml:space="preserve"> ve vztahu ke státním příslušníkům třetích zemí a osobám bez státní příslušnosti, jejichž žádost o mezinárodní ochranu byla zamítnuta v rámci nouzového postupu pro řízení azylu</w:t>
            </w:r>
            <w:r>
              <w:t xml:space="preserve">, </w:t>
            </w:r>
            <w:r>
              <w:rPr>
                <w:b/>
                <w:i/>
              </w:rPr>
              <w:t>jak</w:t>
            </w:r>
            <w:r>
              <w:t xml:space="preserve"> je </w:t>
            </w:r>
            <w:r>
              <w:rPr>
                <w:b/>
                <w:i/>
              </w:rPr>
              <w:t>stanoven</w:t>
            </w:r>
            <w:r>
              <w:t xml:space="preserve"> v </w:t>
            </w:r>
            <w:r>
              <w:rPr>
                <w:b/>
                <w:i/>
              </w:rPr>
              <w:t>tomto nařízení</w:t>
            </w:r>
            <w:r>
              <w:t>. Je-li podána následná žádost pouze za účelem odložení nebo zmaření navrácení, mohou členské státy uplatnit pravidla stanovená v článcích 42 a 43 nařízení (EU) XXX/XXX [nařízení o azylovém řízení</w:t>
            </w:r>
            <w:r>
              <w:rPr>
                <w:b/>
                <w:i/>
              </w:rPr>
              <w:t>].</w:t>
            </w:r>
            <w:r>
              <w:t xml:space="preserve"> </w:t>
            </w:r>
            <w:r>
              <w:rPr>
                <w:b/>
                <w:i/>
              </w:rPr>
              <w:t>Pravidly stanovenými v tomto nařízení není dotčena možnost členského státu odchýlit se od uplatňování směrnice XXX/XXX [přepracované znění směrnice o navracení] na základě čl. 2 odst. 2 písm. a) uvedené směrnice na neoprávněně pobývající státní příslušníky třetích zemí nebo osoby bez státní příslušnosti zadržené v souvislosti s nedovoleným překročením vnější hranice některého členského státu po zemi, po moři nebo vzduchem, kteří následně v tomto členském státě neobdrželi povolení ani oprávnění k pobytu</w:t>
            </w:r>
            <w:r>
              <w:t>.</w:t>
            </w:r>
          </w:p>
        </w:tc>
        <w:tc>
          <w:tcPr>
            <w:tcW w:w="4876" w:type="dxa"/>
          </w:tcPr>
          <w:p w:rsidR="0030148A" w:rsidRPr="000147E7" w:rsidRDefault="00B17970" w:rsidP="00CD7B91">
            <w:pPr>
              <w:pStyle w:val="Normal6"/>
              <w:rPr>
                <w:szCs w:val="24"/>
              </w:rPr>
            </w:pPr>
            <w:r>
              <w:t>(12)</w:t>
            </w:r>
            <w:r>
              <w:tab/>
              <w:t xml:space="preserve">Za účelem doplnění </w:t>
            </w:r>
            <w:r>
              <w:rPr>
                <w:b/>
                <w:i/>
              </w:rPr>
              <w:t>azylového</w:t>
            </w:r>
            <w:r>
              <w:t xml:space="preserve"> řízení a zajištění plné soudržnosti s tímto </w:t>
            </w:r>
            <w:r>
              <w:rPr>
                <w:b/>
                <w:i/>
              </w:rPr>
              <w:t>řízením</w:t>
            </w:r>
            <w:r>
              <w:t xml:space="preserve"> by se příslušným orgánům členského státu čelícího situaci účelového využívání migrantů měla poskytnout potřebná flexibilita provádět </w:t>
            </w:r>
            <w:r>
              <w:rPr>
                <w:b/>
                <w:i/>
              </w:rPr>
              <w:t>po azylovém řízení, které skončilo tím, že žádost byla zamítnuta a mezinárodní ochrana nebyla udělena,</w:t>
            </w:r>
            <w:r>
              <w:t xml:space="preserve"> řízení o </w:t>
            </w:r>
            <w:r>
              <w:rPr>
                <w:b/>
                <w:i/>
              </w:rPr>
              <w:t>navrácení</w:t>
            </w:r>
            <w:r>
              <w:t xml:space="preserve">. V situaci účelového využívání </w:t>
            </w:r>
            <w:r>
              <w:rPr>
                <w:b/>
                <w:i/>
              </w:rPr>
              <w:t>a aniž jsou dotčena ujednání o zpětném přebírání osob mezi Unií a třetí zemí,</w:t>
            </w:r>
            <w:r>
              <w:t xml:space="preserve"> by proto měl mít dotčený členský stát možnost odchýlit se od uplatňování </w:t>
            </w:r>
            <w:r>
              <w:rPr>
                <w:b/>
                <w:i/>
              </w:rPr>
              <w:t xml:space="preserve">článku 41a nařízení (EU) XXX/XXX [nařízení o azylovém řízení], </w:t>
            </w:r>
            <w:r>
              <w:t>směrnice XXX/XXX [přepracované znění směrnice o navracení]</w:t>
            </w:r>
            <w:r>
              <w:rPr>
                <w:b/>
                <w:i/>
              </w:rPr>
              <w:t>, a uplatňovat místo nich vnitrostátní právo provádějící obdobně čl. 4 odst. 4 směrnice XXX/XXX [přepracované znění směrnice o navracení]. Ustanovení čl. 4 odst. 4 této směrnice obsahují základní záruky</w:t>
            </w:r>
            <w:r>
              <w:t xml:space="preserve">, </w:t>
            </w:r>
            <w:r>
              <w:rPr>
                <w:b/>
                <w:i/>
              </w:rPr>
              <w:t>které</w:t>
            </w:r>
            <w:r>
              <w:t xml:space="preserve"> je </w:t>
            </w:r>
            <w:r>
              <w:rPr>
                <w:b/>
                <w:i/>
              </w:rPr>
              <w:t>třeba dodržovat i</w:t>
            </w:r>
            <w:r>
              <w:t xml:space="preserve"> v </w:t>
            </w:r>
            <w:r>
              <w:rPr>
                <w:b/>
                <w:i/>
              </w:rPr>
              <w:t>těchto případech</w:t>
            </w:r>
            <w:r>
              <w:t xml:space="preserve">. Je-li podána následná žádost pouze za účelem odložení nebo zmaření navrácení, mohou členské státy uplatnit pravidla stanovená v </w:t>
            </w:r>
            <w:r>
              <w:rPr>
                <w:b/>
                <w:i/>
              </w:rPr>
              <w:t>[</w:t>
            </w:r>
            <w:r>
              <w:t>článcích 42 a 43 nařízení (EU) XXX/XXX [nařízení o azylovém řízení</w:t>
            </w:r>
            <w:r>
              <w:rPr>
                <w:b/>
                <w:i/>
              </w:rPr>
              <w:t>]]</w:t>
            </w:r>
            <w:r>
              <w:t>.</w:t>
            </w:r>
          </w:p>
        </w:tc>
      </w:tr>
      <w:tr w:rsidR="00D1398B" w:rsidTr="00CD7B91">
        <w:trPr>
          <w:jc w:val="center"/>
        </w:trPr>
        <w:tc>
          <w:tcPr>
            <w:tcW w:w="4876" w:type="dxa"/>
          </w:tcPr>
          <w:p w:rsidR="0030148A" w:rsidRPr="000147E7" w:rsidRDefault="00B17970" w:rsidP="00CD7B91">
            <w:pPr>
              <w:pStyle w:val="Normal6"/>
            </w:pPr>
            <w:r>
              <w:t>__________________</w:t>
            </w:r>
          </w:p>
        </w:tc>
        <w:tc>
          <w:tcPr>
            <w:tcW w:w="4876" w:type="dxa"/>
          </w:tcPr>
          <w:p w:rsidR="0030148A" w:rsidRPr="000147E7" w:rsidRDefault="00B17970" w:rsidP="00CD7B91">
            <w:pPr>
              <w:pStyle w:val="Normal6"/>
              <w:rPr>
                <w:szCs w:val="24"/>
              </w:rPr>
            </w:pPr>
            <w:r>
              <w:t>__________________</w:t>
            </w:r>
          </w:p>
        </w:tc>
      </w:tr>
      <w:tr w:rsidR="00D1398B" w:rsidTr="00CD7B91">
        <w:trPr>
          <w:jc w:val="center"/>
        </w:trPr>
        <w:tc>
          <w:tcPr>
            <w:tcW w:w="4876" w:type="dxa"/>
          </w:tcPr>
          <w:p w:rsidR="0030148A" w:rsidRPr="000147E7" w:rsidRDefault="00B17970" w:rsidP="0030148A">
            <w:pPr>
              <w:pStyle w:val="Normal6"/>
            </w:pPr>
            <w:r>
              <w:rPr>
                <w:vertAlign w:val="superscript"/>
              </w:rPr>
              <w:t>22</w:t>
            </w:r>
            <w:r>
              <w:t xml:space="preserve"> Úř. věst. C , , s. .</w:t>
            </w:r>
          </w:p>
        </w:tc>
        <w:tc>
          <w:tcPr>
            <w:tcW w:w="4876" w:type="dxa"/>
          </w:tcPr>
          <w:p w:rsidR="0030148A" w:rsidRPr="000147E7" w:rsidRDefault="00B17970" w:rsidP="0030148A">
            <w:pPr>
              <w:pStyle w:val="Normal6"/>
              <w:rPr>
                <w:szCs w:val="24"/>
              </w:rPr>
            </w:pPr>
            <w:r>
              <w:rPr>
                <w:vertAlign w:val="superscript"/>
              </w:rPr>
              <w:t>22</w:t>
            </w:r>
            <w:r>
              <w:t xml:space="preserve"> Úř. věst. C , , s. .</w:t>
            </w:r>
          </w:p>
        </w:tc>
      </w:tr>
    </w:tbl>
    <w:p w:rsidR="0030148A" w:rsidRPr="000147E7" w:rsidRDefault="00B17970" w:rsidP="0030148A">
      <w:pPr>
        <w:pStyle w:val="Olang"/>
      </w:pPr>
      <w:r w:rsidRPr="000147E7">
        <w:rPr>
          <w:noProof w:val="0"/>
          <w:lang w:val="en-GB"/>
        </w:rPr>
        <w:t xml:space="preserve">Or. </w:t>
      </w:r>
      <w:r w:rsidRPr="000147E7">
        <w:rPr>
          <w:rStyle w:val="HideTWBExt"/>
          <w:noProof w:val="0"/>
          <w:lang w:val="en-GB"/>
        </w:rPr>
        <w:t>&lt;Original&gt;</w:t>
      </w:r>
      <w:r w:rsidRPr="000147E7">
        <w:rPr>
          <w:rStyle w:val="HideTWBInt"/>
          <w:noProof w:val="0"/>
          <w:lang w:val="en-GB"/>
        </w:rPr>
        <w:t>{EN}</w:t>
      </w:r>
      <w:r w:rsidRPr="000147E7">
        <w:rPr>
          <w:noProof w:val="0"/>
          <w:lang w:val="en-GB"/>
        </w:rPr>
        <w:t>en</w:t>
      </w:r>
      <w:r w:rsidRPr="000147E7">
        <w:rPr>
          <w:rStyle w:val="HideTWBExt"/>
          <w:noProof w:val="0"/>
          <w:lang w:val="en-GB"/>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Pr>
          <w:rStyle w:val="HideTWBExt"/>
          <w:b w:val="0"/>
          <w:lang w:val="en-GB"/>
        </w:rPr>
        <w:t>&lt;Amend&gt;</w:t>
      </w:r>
      <w:r>
        <w:t>Pozměňovací návrh</w:t>
      </w:r>
      <w:r>
        <w:tab/>
      </w:r>
      <w:r>
        <w:tab/>
      </w:r>
      <w:r>
        <w:rPr>
          <w:rStyle w:val="HideTWBExt"/>
          <w:b w:val="0"/>
          <w:lang w:val="en-GB"/>
        </w:rPr>
        <w:t>&lt;NumAm&gt;</w:t>
      </w:r>
      <w:r>
        <w:t>11</w:t>
      </w:r>
      <w:r>
        <w:rPr>
          <w:rStyle w:val="HideTWBExt"/>
          <w:b w:val="0"/>
          <w:lang w:val="en-GB"/>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14 a (nový)</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30148A" w:rsidP="00CD7B91">
            <w:pPr>
              <w:pStyle w:val="Normal6"/>
              <w:rPr>
                <w:lang w:val="en-GB"/>
              </w:rPr>
            </w:pPr>
          </w:p>
        </w:tc>
        <w:tc>
          <w:tcPr>
            <w:tcW w:w="4876" w:type="dxa"/>
          </w:tcPr>
          <w:p w:rsidR="0030148A" w:rsidRPr="000147E7" w:rsidRDefault="00B17970" w:rsidP="0030148A">
            <w:pPr>
              <w:pStyle w:val="Normal6"/>
              <w:rPr>
                <w:szCs w:val="24"/>
              </w:rPr>
            </w:pPr>
            <w:r>
              <w:rPr>
                <w:b/>
                <w:i/>
              </w:rPr>
              <w:t>(14a)</w:t>
            </w:r>
            <w:r>
              <w:rPr>
                <w:b/>
                <w:i/>
              </w:rPr>
              <w:tab/>
              <w:t>V situaci účelového využívání je obzvláště důležité, aby byla přijata veškerá opatření k zabránění nelegální sekundární migraci a zároveň byla poskytnuta plná podpora jednomu nebo více členským státům, které v důsledku této situace čelí přílivu státních příslušníků třetí země nebo osob bez státní příslušnosti. Toto nařízení se navíc nedotýká výkonu odpovědnosti členských států za udržování veřejného pořádku a ochranu vnitřní bezpečnosti.</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12</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18</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(18)</w:t>
            </w:r>
            <w:r>
              <w:tab/>
              <w:t>Požádá-li dotčený členský stát o uplatnění příslušných odchylek stanovených v tomto nařízení</w:t>
            </w:r>
            <w:r>
              <w:rPr>
                <w:b/>
                <w:i/>
              </w:rPr>
              <w:t>, a s přihlédnutím k tomu, zda Evropská rada uznala</w:t>
            </w:r>
            <w:r>
              <w:t xml:space="preserve">, že </w:t>
            </w:r>
            <w:r>
              <w:rPr>
                <w:b/>
                <w:i/>
              </w:rPr>
              <w:t>Unie nebo jeden či více jejích členských států čelí</w:t>
            </w:r>
            <w:r>
              <w:t xml:space="preserve"> situaci účelového využívání</w:t>
            </w:r>
            <w:r>
              <w:rPr>
                <w:b/>
                <w:i/>
              </w:rPr>
              <w:t xml:space="preserve"> migrantů</w:t>
            </w:r>
            <w:r>
              <w:t xml:space="preserve">, Komise by měla </w:t>
            </w:r>
            <w:r>
              <w:rPr>
                <w:b/>
                <w:i/>
              </w:rPr>
              <w:t xml:space="preserve">v případě potřeby </w:t>
            </w:r>
            <w:r>
              <w:t>předložit návrh, který členskému státu umožní uplatňovat odchylná pravidla stanovená v tomto nařízení.</w:t>
            </w:r>
            <w:r>
              <w:rPr>
                <w:b/>
                <w:i/>
              </w:rPr>
              <w:t xml:space="preserve"> </w:t>
            </w:r>
            <w:r>
              <w:t xml:space="preserve">Aby byla zajištěna vysoká úroveň politické kontroly a podpory a </w:t>
            </w:r>
            <w:r>
              <w:rPr>
                <w:b/>
                <w:i/>
              </w:rPr>
              <w:t>posílilo se vyjádření</w:t>
            </w:r>
            <w:r>
              <w:t xml:space="preserve"> solidarity Unie</w:t>
            </w:r>
            <w:r>
              <w:rPr>
                <w:b/>
                <w:i/>
              </w:rPr>
              <w:t xml:space="preserve"> vůči členskému státu</w:t>
            </w:r>
            <w:r>
              <w:t xml:space="preserve">, </w:t>
            </w:r>
            <w:r>
              <w:rPr>
                <w:b/>
                <w:i/>
              </w:rPr>
              <w:t>který</w:t>
            </w:r>
            <w:r>
              <w:t xml:space="preserve"> čelí </w:t>
            </w:r>
            <w:r>
              <w:rPr>
                <w:b/>
                <w:i/>
              </w:rPr>
              <w:t>účelovému</w:t>
            </w:r>
            <w:r>
              <w:t xml:space="preserve"> využívání migrantů, </w:t>
            </w:r>
            <w:r>
              <w:rPr>
                <w:b/>
                <w:i/>
              </w:rPr>
              <w:t>měly by být Radě svěřeny prováděcí pravomoci</w:t>
            </w:r>
            <w:r>
              <w:t>.</w:t>
            </w:r>
            <w:r>
              <w:rPr>
                <w:b/>
                <w:i/>
              </w:rPr>
              <w:t xml:space="preserve"> Rada</w:t>
            </w:r>
            <w:r>
              <w:t xml:space="preserve"> by </w:t>
            </w:r>
            <w:r>
              <w:rPr>
                <w:b/>
                <w:i/>
              </w:rPr>
              <w:t>proto měla přijmout</w:t>
            </w:r>
            <w:r>
              <w:t xml:space="preserve"> prováděcí rozhodnutí, které </w:t>
            </w:r>
            <w:r>
              <w:rPr>
                <w:b/>
                <w:i/>
              </w:rPr>
              <w:t>členským státům povoluje</w:t>
            </w:r>
            <w:r>
              <w:t xml:space="preserve"> uplatňovat </w:t>
            </w:r>
            <w:r>
              <w:rPr>
                <w:b/>
                <w:i/>
              </w:rPr>
              <w:t>odchylná pravidla</w:t>
            </w:r>
            <w:r>
              <w:t>.</w:t>
            </w:r>
          </w:p>
        </w:tc>
        <w:tc>
          <w:tcPr>
            <w:tcW w:w="4876" w:type="dxa"/>
          </w:tcPr>
          <w:p w:rsidR="0030148A" w:rsidRPr="000147E7" w:rsidRDefault="00B17970" w:rsidP="00CD7B91">
            <w:pPr>
              <w:pStyle w:val="Normal6"/>
              <w:rPr>
                <w:szCs w:val="24"/>
              </w:rPr>
            </w:pPr>
            <w:r>
              <w:t>(18)</w:t>
            </w:r>
            <w:r>
              <w:tab/>
              <w:t>Požádá-li dotčený členský stát o uplatnění příslušných odchylek stanovených v tomto nařízení</w:t>
            </w:r>
            <w:r>
              <w:rPr>
                <w:b/>
                <w:i/>
              </w:rPr>
              <w:t xml:space="preserve"> na základě důkazů prokazujících</w:t>
            </w:r>
            <w:r>
              <w:t xml:space="preserve">, že </w:t>
            </w:r>
            <w:r>
              <w:rPr>
                <w:b/>
                <w:i/>
              </w:rPr>
              <w:t>se jedná o</w:t>
            </w:r>
            <w:r>
              <w:t xml:space="preserve"> situaci účelového využívání, Komise by měla předložit návrh, který členskému státu umožní uplatňovat odchylná pravidla stanovená v tomto nařízení.</w:t>
            </w:r>
            <w:r>
              <w:rPr>
                <w:b/>
                <w:i/>
              </w:rPr>
              <w:t xml:space="preserve"> Komise by rovněž měla mít možnost takový návrh předložit, pokud to na základě informací poskytnutých žádajícím členským státem považuje za vhodné. </w:t>
            </w:r>
            <w:r>
              <w:t xml:space="preserve">Aby byla zajištěna vysoká úroveň politické kontroly a podpory a </w:t>
            </w:r>
            <w:r>
              <w:rPr>
                <w:b/>
                <w:i/>
              </w:rPr>
              <w:t>jako výraz</w:t>
            </w:r>
            <w:r>
              <w:t xml:space="preserve"> solidarity Unie</w:t>
            </w:r>
            <w:r>
              <w:rPr>
                <w:b/>
                <w:i/>
              </w:rPr>
              <w:t>, je nezbytné vzít v úvahu</w:t>
            </w:r>
            <w:r>
              <w:t xml:space="preserve">, </w:t>
            </w:r>
            <w:r>
              <w:rPr>
                <w:b/>
                <w:i/>
              </w:rPr>
              <w:t>zda Evropská rada uznala, že Unie nebo jeden či více jejích členských států</w:t>
            </w:r>
            <w:r>
              <w:t xml:space="preserve"> čelí </w:t>
            </w:r>
            <w:r>
              <w:rPr>
                <w:b/>
                <w:i/>
              </w:rPr>
              <w:t>situaci účelového využívání migrantů. Účelové</w:t>
            </w:r>
            <w:r>
              <w:t xml:space="preserve"> využívání migrantů</w:t>
            </w:r>
            <w:r>
              <w:rPr>
                <w:b/>
                <w:i/>
              </w:rPr>
              <w:t xml:space="preserve"> může ohrozit základní funkce členského státu</w:t>
            </w:r>
            <w:r>
              <w:t xml:space="preserve">, </w:t>
            </w:r>
            <w:r>
              <w:rPr>
                <w:b/>
                <w:i/>
              </w:rPr>
              <w:t>včetně udržování veřejného pořádku nebo zajištění jeho národní bezpečnosti</w:t>
            </w:r>
            <w:r>
              <w:t>.</w:t>
            </w:r>
            <w:r>
              <w:rPr>
                <w:b/>
                <w:i/>
              </w:rPr>
              <w:t xml:space="preserve"> Proto</w:t>
            </w:r>
            <w:r>
              <w:t xml:space="preserve"> by </w:t>
            </w:r>
            <w:r>
              <w:rPr>
                <w:b/>
                <w:i/>
              </w:rPr>
              <w:t>Radě měly být svěřeny</w:t>
            </w:r>
            <w:r>
              <w:t xml:space="preserve"> prováděcí </w:t>
            </w:r>
            <w:r>
              <w:rPr>
                <w:b/>
                <w:i/>
              </w:rPr>
              <w:t xml:space="preserve">pravomoci za účelem přijetí prováděcího </w:t>
            </w:r>
            <w:r>
              <w:t xml:space="preserve">rozhodnutí, které </w:t>
            </w:r>
            <w:r>
              <w:rPr>
                <w:b/>
                <w:i/>
              </w:rPr>
              <w:t>členskému státu umožní</w:t>
            </w:r>
            <w:r>
              <w:t xml:space="preserve"> uplatňovat </w:t>
            </w:r>
            <w:r>
              <w:rPr>
                <w:b/>
                <w:i/>
              </w:rPr>
              <w:t>odchylky stanovené tímto nařízením</w:t>
            </w:r>
            <w:r>
              <w:t xml:space="preserve">. </w:t>
            </w:r>
            <w:r>
              <w:rPr>
                <w:b/>
                <w:i/>
              </w:rPr>
              <w:t>Rada by rovněž měla mít pravomoc zrušit na základě návrhu Komise uplatňování odchylek stanovených v tomto nařízení nebo je prodloužit až o šest měsíců v závislosti na tom, zda okolnosti, jimiž bylo zavedení odchylek odůvodněno, přetrvávají, nebo skončily. Rozhodnutí o jejich prodloužení může zahrnovat změnu uplatňovaných odchylek. Komise a Rada by při výkonu svých pravomocí a plnění svých povinností měly zajistit, aby byla vždy dodržena zásada proporcionality.</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13</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18 a (nový)</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30148A" w:rsidP="00CD7B91">
            <w:pPr>
              <w:pStyle w:val="Normal6"/>
              <w:rPr>
                <w:lang w:val="en-GB"/>
              </w:rPr>
            </w:pPr>
          </w:p>
        </w:tc>
        <w:tc>
          <w:tcPr>
            <w:tcW w:w="4876" w:type="dxa"/>
          </w:tcPr>
          <w:p w:rsidR="0030148A" w:rsidRPr="000147E7" w:rsidRDefault="00B17970" w:rsidP="00CD7B91">
            <w:pPr>
              <w:pStyle w:val="Normal6"/>
              <w:rPr>
                <w:szCs w:val="24"/>
              </w:rPr>
            </w:pPr>
            <w:r>
              <w:rPr>
                <w:b/>
                <w:i/>
              </w:rPr>
              <w:t>(18a)</w:t>
            </w:r>
            <w:r>
              <w:rPr>
                <w:b/>
                <w:i/>
              </w:rPr>
              <w:tab/>
              <w:t>Prováděcí rozhodnutí Rady by mělo být nezbytné pouze ve zvláštních případech, zejména pokud účelové využívání představuje mimořádnou situaci vyznačující se podněcovanou nelegální migrací do Unie a povaha této situace nebo její kombinace s jinými hybridními útoky by mohly představovat riziko pro základní funkce státu, včetně jeho územní celistvosti, udržování veřejného pořádku nebo ochranu jeho národní bezpečnosti, nebo pokud účelové využívání představuje mimořádnou situaci vyznačující se neočekávaným výrazně zvýšeným počtem žádostí o azyl na vnějších hranicích.</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14</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19</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(19)</w:t>
            </w:r>
            <w:r>
              <w:tab/>
              <w:t>Prováděcí rozhodnutí Rady by mělo obsahovat povolení konkrétních odchylek, které by členský stát čelící situaci účelového využívání migrantů mohl uplatnit, a mělo by stanovit datum, od kterého se odchylky uplatňují, jakož i dobu jejich trvání.</w:t>
            </w:r>
          </w:p>
        </w:tc>
        <w:tc>
          <w:tcPr>
            <w:tcW w:w="4876" w:type="dxa"/>
          </w:tcPr>
          <w:p w:rsidR="0030148A" w:rsidRPr="000147E7" w:rsidRDefault="00B17970" w:rsidP="00CD7B91">
            <w:pPr>
              <w:pStyle w:val="Normal6"/>
              <w:rPr>
                <w:szCs w:val="24"/>
              </w:rPr>
            </w:pPr>
            <w:r>
              <w:t>(19)</w:t>
            </w:r>
            <w:r>
              <w:tab/>
              <w:t xml:space="preserve">Prováděcí rozhodnutí Rady by mělo obsahovat povolení konkrétních odchylek, které by členský stát čelící situaci účelového využívání migrantů mohl uplatnit, a mělo by stanovit datum, od kterého se odchylky uplatňují, jakož i dobu jejich trvání. </w:t>
            </w:r>
            <w:r>
              <w:rPr>
                <w:b/>
                <w:i/>
              </w:rPr>
              <w:t>Kromě toho by v něm měly být uvedeny důvody, na nichž je založeno, jakož i osobní působnost odchylek.</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15</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Bod odůvodnění 20</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(20)</w:t>
            </w:r>
            <w:r>
              <w:tab/>
              <w:t xml:space="preserve">Aby byl </w:t>
            </w:r>
            <w:r>
              <w:rPr>
                <w:b/>
                <w:i/>
              </w:rPr>
              <w:t xml:space="preserve">podpořen </w:t>
            </w:r>
            <w:r>
              <w:t>dotčený členský stát při poskytování nezbytné pomoci státním příslušníkům třetích zemí</w:t>
            </w:r>
            <w:r>
              <w:rPr>
                <w:b/>
                <w:i/>
              </w:rPr>
              <w:t>, kteří spadají</w:t>
            </w:r>
            <w:r>
              <w:t xml:space="preserve"> do oblasti působnosti tohoto nařízení, včetně podpory činností v oblasti dobrovolného návratu nebo plnění jeho humanitárních povinností, </w:t>
            </w:r>
            <w:r>
              <w:rPr>
                <w:b/>
                <w:i/>
              </w:rPr>
              <w:t>by agentury</w:t>
            </w:r>
            <w:r>
              <w:t xml:space="preserve"> OSN a další příslušné partnerské organizace, zejména Mezinárodní organizace pro migraci a Mezinárodní federace společností Červeného kříže a Červeného půlměsíce, </w:t>
            </w:r>
            <w:r>
              <w:rPr>
                <w:b/>
                <w:i/>
              </w:rPr>
              <w:t>měly mít</w:t>
            </w:r>
            <w:r>
              <w:t xml:space="preserve"> účinný přístup na hranice za podmínek stanovených ve směrnici (EU) XXX/XXX [přepracované znění směrnice o podmínkách přijímání] a v nařízení (EU) XXX/XXX [nařízení o azylovém řízení]</w:t>
            </w:r>
            <w:r>
              <w:rPr>
                <w:b/>
                <w:i/>
              </w:rPr>
              <w:t>.</w:t>
            </w:r>
            <w:r>
              <w:t xml:space="preserve"> </w:t>
            </w:r>
            <w:r>
              <w:rPr>
                <w:b/>
                <w:i/>
              </w:rPr>
              <w:t>V souladu s nařízením (EU) XXX/XXX [nařízení o azylovém řízení]</w:t>
            </w:r>
            <w:r>
              <w:t xml:space="preserve"> by měl mít </w:t>
            </w:r>
            <w:r>
              <w:rPr>
                <w:b/>
                <w:i/>
              </w:rPr>
              <w:t xml:space="preserve">vysoký komisař OSN pro uprchlíky </w:t>
            </w:r>
            <w:r>
              <w:t xml:space="preserve">přístup k žadatelům, včetně těch, kteří se nacházejí na hranicích. Dotčený členský stát by měl za tímto účelem </w:t>
            </w:r>
            <w:r>
              <w:rPr>
                <w:b/>
                <w:i/>
              </w:rPr>
              <w:t xml:space="preserve">úzce spolupracovat </w:t>
            </w:r>
            <w:r>
              <w:t xml:space="preserve">s </w:t>
            </w:r>
            <w:r>
              <w:rPr>
                <w:b/>
                <w:i/>
              </w:rPr>
              <w:t>agenturami OSN a příslušnými partnerskými organizacemi</w:t>
            </w:r>
            <w:r>
              <w:t>.</w:t>
            </w:r>
          </w:p>
        </w:tc>
        <w:tc>
          <w:tcPr>
            <w:tcW w:w="4876" w:type="dxa"/>
          </w:tcPr>
          <w:p w:rsidR="0030148A" w:rsidRPr="000147E7" w:rsidRDefault="00B17970" w:rsidP="00CD7B91">
            <w:pPr>
              <w:pStyle w:val="Normal6"/>
              <w:rPr>
                <w:szCs w:val="24"/>
              </w:rPr>
            </w:pPr>
            <w:r>
              <w:t>(20)</w:t>
            </w:r>
            <w:r>
              <w:tab/>
              <w:t>Aby byl dotčený členský stát</w:t>
            </w:r>
            <w:r>
              <w:rPr>
                <w:b/>
                <w:i/>
              </w:rPr>
              <w:t xml:space="preserve"> podpořen</w:t>
            </w:r>
            <w:r>
              <w:t xml:space="preserve"> při poskytování nezbytné pomoci státním příslušníkům třetích zemí</w:t>
            </w:r>
            <w:r>
              <w:rPr>
                <w:b/>
                <w:i/>
              </w:rPr>
              <w:t xml:space="preserve"> nebo osobám bez státní příslušnosti spadajícím</w:t>
            </w:r>
            <w:r>
              <w:t xml:space="preserve"> do oblasti působnosti tohoto nařízení, včetně podpory činností v oblasti dobrovolného návratu nebo plnění jeho humanitárních povinností, </w:t>
            </w:r>
            <w:r>
              <w:rPr>
                <w:b/>
                <w:i/>
              </w:rPr>
              <w:t>měly by mít agentury OSN, zejména Úřad vysokého komisaře</w:t>
            </w:r>
            <w:r>
              <w:t xml:space="preserve"> OSN </w:t>
            </w:r>
            <w:r>
              <w:rPr>
                <w:b/>
                <w:i/>
              </w:rPr>
              <w:t xml:space="preserve">pro uprchlíky </w:t>
            </w:r>
            <w:r>
              <w:t>a další příslušné partnerské organizace</w:t>
            </w:r>
            <w:r>
              <w:rPr>
                <w:b/>
                <w:i/>
              </w:rPr>
              <w:t>, které členské státy pověřily zvláštními úkoly</w:t>
            </w:r>
            <w:r>
              <w:t xml:space="preserve">, zejména Mezinárodní organizace pro migraci a Mezinárodní federace společností Červeného kříže a Červeného půlměsíce, účinný přístup na hranice za podmínek stanovených ve směrnici (EU) XXX/XXX [přepracované znění směrnice o podmínkách přijímání] a v nařízení (EU) XXX/XXX [nařízení o azylovém řízení] </w:t>
            </w:r>
            <w:r>
              <w:rPr>
                <w:b/>
                <w:i/>
              </w:rPr>
              <w:t>Vysoký komisař pro uprchlíky</w:t>
            </w:r>
            <w:r>
              <w:t xml:space="preserve"> by měl mít přístup k žadatelům, včetně těch, kteří se nacházejí na hranicích. Dotčený členský stát by měl za tímto účelem s </w:t>
            </w:r>
            <w:r>
              <w:rPr>
                <w:b/>
                <w:i/>
              </w:rPr>
              <w:t>těmito organizacemi udržovat spolupráci</w:t>
            </w:r>
            <w:r>
              <w:t>.</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16</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1 – odst.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Toto nařízení stanoví zvláštní pravidla</w:t>
            </w:r>
            <w:r>
              <w:rPr>
                <w:b/>
                <w:i/>
              </w:rPr>
              <w:t xml:space="preserve"> odchylující</w:t>
            </w:r>
            <w:r>
              <w:t xml:space="preserve"> se od pravidel stanovených v nařízení (EU) XXX/XXX [nařízení o azylovém řízení], směrnici (EU) XXX/XXX [přepracované znění směrnice o podmínkách přijímání] a ve směrnici (EU) XXX/XXX [přepracované znění směrnice o navracení]</w:t>
            </w:r>
            <w:r>
              <w:rPr>
                <w:b/>
                <w:i/>
              </w:rPr>
              <w:t>,</w:t>
            </w:r>
            <w:r>
              <w:t xml:space="preserve"> která může členský stát uplatnit v situaci účelového využívání</w:t>
            </w:r>
            <w:r>
              <w:rPr>
                <w:b/>
                <w:i/>
              </w:rPr>
              <w:t xml:space="preserve"> migrantů</w:t>
            </w:r>
            <w:r>
              <w:t xml:space="preserve">, jak je definována v </w:t>
            </w:r>
            <w:r>
              <w:rPr>
                <w:b/>
                <w:i/>
              </w:rPr>
              <w:t>[čl. 2 odst. 27] Schengenského hraničního kodexu</w:t>
            </w:r>
            <w:r>
              <w:t>, je-li to nezbytné pro reakci na takovou situaci. Rovněž stanoví zvláštní pravidla pro podpůrná a solidární opatření, která lze v takové situaci přijmout.</w:t>
            </w:r>
          </w:p>
        </w:tc>
        <w:tc>
          <w:tcPr>
            <w:tcW w:w="4876" w:type="dxa"/>
          </w:tcPr>
          <w:p w:rsidR="0030148A" w:rsidRPr="000147E7" w:rsidRDefault="00B17970" w:rsidP="00CD7B91">
            <w:pPr>
              <w:pStyle w:val="Normal6"/>
              <w:rPr>
                <w:szCs w:val="24"/>
              </w:rPr>
            </w:pPr>
            <w:r>
              <w:rPr>
                <w:b/>
                <w:i/>
              </w:rPr>
              <w:t>1.</w:t>
            </w:r>
            <w:r>
              <w:t xml:space="preserve"> Toto nařízení stanoví zvláštní pravidla</w:t>
            </w:r>
            <w:r>
              <w:rPr>
                <w:b/>
                <w:i/>
              </w:rPr>
              <w:t>, která</w:t>
            </w:r>
            <w:r>
              <w:t xml:space="preserve"> se</w:t>
            </w:r>
            <w:r>
              <w:rPr>
                <w:b/>
                <w:i/>
              </w:rPr>
              <w:t xml:space="preserve"> výjimečně odchylují</w:t>
            </w:r>
            <w:r>
              <w:t xml:space="preserve"> od pravidel stanovených v nařízení (EU) XXX/XXX [nařízení o azylovém řízení], směrnici (EU) XXX/XXX [přepracované znění směrnice o podmínkách přijímání] a ve směrnici (EU) XXX/XXX [přepracované znění směrnice o navracení]</w:t>
            </w:r>
            <w:r>
              <w:rPr>
                <w:b/>
                <w:i/>
              </w:rPr>
              <w:t xml:space="preserve"> a</w:t>
            </w:r>
            <w:r>
              <w:t xml:space="preserve"> která může členský stát uplatnit v situaci účelového využívání, jak je definována v </w:t>
            </w:r>
            <w:r>
              <w:rPr>
                <w:b/>
                <w:i/>
              </w:rPr>
              <w:t>odstavci 1a</w:t>
            </w:r>
            <w:r>
              <w:t>, je-li to nezbytné</w:t>
            </w:r>
            <w:r>
              <w:rPr>
                <w:b/>
                <w:i/>
              </w:rPr>
              <w:t xml:space="preserve"> a přiměřené</w:t>
            </w:r>
            <w:r>
              <w:t xml:space="preserve"> pro reakci na takovou situaci. Rovněž stanoví zvláštní pravidla pro podpůrná a solidární opatření, která lze v takové situaci přijmout. </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17</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1 – odst. 1 a (nový)</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30148A" w:rsidP="00CD7B91">
            <w:pPr>
              <w:pStyle w:val="Normal6"/>
              <w:rPr>
                <w:lang w:val="en-GB"/>
              </w:rPr>
            </w:pPr>
          </w:p>
        </w:tc>
        <w:tc>
          <w:tcPr>
            <w:tcW w:w="4876" w:type="dxa"/>
          </w:tcPr>
          <w:p w:rsidR="0030148A" w:rsidRPr="000147E7" w:rsidRDefault="00B17970" w:rsidP="00CD7B91">
            <w:pPr>
              <w:pStyle w:val="Normal6"/>
              <w:rPr>
                <w:szCs w:val="24"/>
              </w:rPr>
            </w:pPr>
            <w:r>
              <w:rPr>
                <w:b/>
                <w:i/>
              </w:rPr>
              <w:t>1a. Situací účelového využívání migrantů se rozumí situace, kdy třetí země nebo nestátní subjekt podporuje nebo usnadňuje pohyb státních příslušníků třetích zemí či osob bez státní příslušnosti na vnější hranice ve smyslu čl. 2 odst. 2 nařízení (EU) 2016/0399 nebo do členského státu s cílem destabilizovat Unii nebo některý členský stát a kdy takové činnosti mohou ohrozit základní funkce členského státu, včetně udržování veřejného pořádku nebo zajištění jeho národní bezpečnosti.</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18</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2 – odst. 1 – návětí</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1.</w:t>
            </w:r>
            <w:r>
              <w:tab/>
              <w:t xml:space="preserve">V situaci účelového využívání </w:t>
            </w:r>
            <w:r>
              <w:rPr>
                <w:b/>
                <w:i/>
              </w:rPr>
              <w:t xml:space="preserve">migrantů, jak je uvedena v článku 1, </w:t>
            </w:r>
            <w:r>
              <w:t xml:space="preserve">může členský stát, který </w:t>
            </w:r>
            <w:r>
              <w:rPr>
                <w:b/>
                <w:i/>
              </w:rPr>
              <w:t xml:space="preserve">v důsledku takové situace </w:t>
            </w:r>
            <w:r>
              <w:t>čelí příchodu státních příslušníků třetích zemí nebo osob bez státní příslušnosti</w:t>
            </w:r>
            <w:r>
              <w:rPr>
                <w:b/>
                <w:i/>
              </w:rPr>
              <w:t xml:space="preserve"> na svou vnější hranici</w:t>
            </w:r>
            <w:r>
              <w:t xml:space="preserve">, </w:t>
            </w:r>
            <w:r>
              <w:rPr>
                <w:b/>
                <w:i/>
              </w:rPr>
              <w:t>ve vztahu ke státním příslušníkům třetích zemí nebo osobám bez státní příslušnosti,</w:t>
            </w:r>
            <w:r>
              <w:t xml:space="preserve"> kteří byli zadrženi nebo nalezeni v blízkosti vnější hranice </w:t>
            </w:r>
            <w:r>
              <w:rPr>
                <w:b/>
                <w:i/>
              </w:rPr>
              <w:t xml:space="preserve">se třetí zemí účelově využívající migranty </w:t>
            </w:r>
            <w:r>
              <w:t xml:space="preserve">v souvislosti s nedovoleným překročením hranice nebo </w:t>
            </w:r>
            <w:r>
              <w:rPr>
                <w:b/>
                <w:i/>
              </w:rPr>
              <w:t>poté</w:t>
            </w:r>
            <w:r>
              <w:t xml:space="preserve">, </w:t>
            </w:r>
            <w:r>
              <w:rPr>
                <w:b/>
                <w:i/>
              </w:rPr>
              <w:t>co</w:t>
            </w:r>
            <w:r>
              <w:t xml:space="preserve"> se dostavili na hraniční přechod, uplatnit </w:t>
            </w:r>
            <w:r>
              <w:rPr>
                <w:b/>
                <w:i/>
              </w:rPr>
              <w:t>v souladu s postupem stanoveným v článku 6</w:t>
            </w:r>
            <w:r>
              <w:t xml:space="preserve"> jednu nebo více z následujících odchylek:</w:t>
            </w:r>
          </w:p>
        </w:tc>
        <w:tc>
          <w:tcPr>
            <w:tcW w:w="4876" w:type="dxa"/>
          </w:tcPr>
          <w:p w:rsidR="0030148A" w:rsidRPr="000147E7" w:rsidRDefault="00B17970" w:rsidP="00CD7B91">
            <w:pPr>
              <w:pStyle w:val="Normal6"/>
              <w:rPr>
                <w:szCs w:val="24"/>
              </w:rPr>
            </w:pPr>
            <w:r>
              <w:t>1.</w:t>
            </w:r>
            <w:r>
              <w:tab/>
              <w:t xml:space="preserve">V situaci účelového využívání může členský stát, který čelí příchodu státních příslušníků třetích zemí nebo osob bez státní příslušnosti, </w:t>
            </w:r>
            <w:r>
              <w:rPr>
                <w:b/>
                <w:i/>
              </w:rPr>
              <w:t>kteří jsou účelově využíváni a</w:t>
            </w:r>
            <w:r>
              <w:t xml:space="preserve"> kteří byli </w:t>
            </w:r>
            <w:r>
              <w:rPr>
                <w:b/>
                <w:i/>
              </w:rPr>
              <w:t xml:space="preserve">buď </w:t>
            </w:r>
            <w:r>
              <w:t xml:space="preserve">zadrženi nebo nalezeni v blízkosti vnější hranice v souvislosti s nedovoleným překročením hranice </w:t>
            </w:r>
            <w:r>
              <w:rPr>
                <w:b/>
                <w:i/>
              </w:rPr>
              <w:t xml:space="preserve">po zemi, po moři, </w:t>
            </w:r>
            <w:r>
              <w:t xml:space="preserve">nebo </w:t>
            </w:r>
            <w:r>
              <w:rPr>
                <w:b/>
                <w:i/>
              </w:rPr>
              <w:t>vzduchem, kteří se vylodili po pátracích a záchranných operacích</w:t>
            </w:r>
            <w:r>
              <w:t xml:space="preserve">, </w:t>
            </w:r>
            <w:r>
              <w:rPr>
                <w:b/>
                <w:i/>
              </w:rPr>
              <w:t>nebo kteří</w:t>
            </w:r>
            <w:r>
              <w:t xml:space="preserve"> se dostavili na hraniční přechod, uplatnit </w:t>
            </w:r>
            <w:r>
              <w:rPr>
                <w:b/>
                <w:i/>
              </w:rPr>
              <w:t>ve vztahu k těmto státním příslušníkům třetích zemí a osobám bez státní příslušnosti</w:t>
            </w:r>
            <w:r>
              <w:t xml:space="preserve"> jednu nebo více z následujících odchylek:</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19</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2 – odst. 1 – písm. a – pododstavec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 xml:space="preserve">Při uplatnění této odchylky dotčený členský stát upřednostní registraci žádostí, </w:t>
            </w:r>
            <w:r>
              <w:rPr>
                <w:b/>
                <w:i/>
              </w:rPr>
              <w:t>které</w:t>
            </w:r>
            <w:r>
              <w:t xml:space="preserve"> jsou </w:t>
            </w:r>
            <w:r>
              <w:rPr>
                <w:b/>
                <w:i/>
              </w:rPr>
              <w:t>pravděpodobně opodstatněné</w:t>
            </w:r>
            <w:r>
              <w:t>, a žádostí podaných nezletilými osobami bez doprovodu</w:t>
            </w:r>
            <w:r>
              <w:rPr>
                <w:b/>
                <w:i/>
              </w:rPr>
              <w:t xml:space="preserve"> a</w:t>
            </w:r>
            <w:r>
              <w:t xml:space="preserve"> nezletilými osobami a jejich rodinnými příslušníky;</w:t>
            </w:r>
          </w:p>
        </w:tc>
        <w:tc>
          <w:tcPr>
            <w:tcW w:w="4876" w:type="dxa"/>
          </w:tcPr>
          <w:p w:rsidR="0030148A" w:rsidRPr="000147E7" w:rsidRDefault="00B17970" w:rsidP="00CD7B91">
            <w:pPr>
              <w:pStyle w:val="Normal6"/>
              <w:rPr>
                <w:szCs w:val="24"/>
              </w:rPr>
            </w:pPr>
            <w:r>
              <w:t>Při uplatnění této odchylky dotčený členský stát upřednostní registraci žádostí</w:t>
            </w:r>
            <w:r>
              <w:rPr>
                <w:b/>
                <w:i/>
              </w:rPr>
              <w:t xml:space="preserve"> osob se zvláštními potřebami při přijetí</w:t>
            </w:r>
            <w:r>
              <w:t xml:space="preserve">, </w:t>
            </w:r>
            <w:r>
              <w:rPr>
                <w:b/>
                <w:i/>
              </w:rPr>
              <w:t>jak</w:t>
            </w:r>
            <w:r>
              <w:t xml:space="preserve"> jsou </w:t>
            </w:r>
            <w:r>
              <w:rPr>
                <w:b/>
                <w:i/>
              </w:rPr>
              <w:t>vymezeny v [přepracovaném znění směrnice o podmínkách přijímání]</w:t>
            </w:r>
            <w:r>
              <w:t>, a žádostí podaných nezletilými osobami bez doprovodu</w:t>
            </w:r>
            <w:r>
              <w:rPr>
                <w:b/>
                <w:i/>
              </w:rPr>
              <w:t>,</w:t>
            </w:r>
            <w:r>
              <w:t xml:space="preserve"> nezletilými osobami a jejich rodinnými příslušníky</w:t>
            </w:r>
            <w:r>
              <w:rPr>
                <w:b/>
                <w:i/>
              </w:rPr>
              <w:t>.</w:t>
            </w:r>
            <w:r>
              <w:t xml:space="preserve"> </w:t>
            </w:r>
            <w:r>
              <w:rPr>
                <w:b/>
                <w:i/>
              </w:rPr>
              <w:t>Dotčený členský stát může rovněž upřednostnit registraci žádostí, které jsou pravděpodobně opodstatněné;</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pt-PT"/>
        </w:rPr>
        <w:t>&lt;Amend&gt;</w:t>
      </w:r>
      <w:r>
        <w:t>Pozměňovací návrh</w:t>
      </w:r>
      <w:r>
        <w:tab/>
      </w:r>
      <w:r>
        <w:tab/>
      </w:r>
      <w:r w:rsidRPr="00B17970">
        <w:rPr>
          <w:rStyle w:val="HideTWBExt"/>
          <w:b w:val="0"/>
          <w:lang w:val="pt-PT"/>
        </w:rPr>
        <w:t>&lt;NumAm&gt;</w:t>
      </w:r>
      <w:r>
        <w:t>20</w:t>
      </w:r>
      <w:r w:rsidRPr="00B17970">
        <w:rPr>
          <w:rStyle w:val="HideTWBExt"/>
          <w:b w:val="0"/>
          <w:lang w:val="pt-PT"/>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2 – odst. 1 – písm. b – pododstavec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b)</w:t>
            </w:r>
            <w:r>
              <w:tab/>
              <w:t xml:space="preserve">odchylně od </w:t>
            </w:r>
            <w:r>
              <w:rPr>
                <w:b/>
                <w:i/>
              </w:rPr>
              <w:t>čl</w:t>
            </w:r>
            <w:r>
              <w:t>. 41 odst. 2 písm. a) a b)</w:t>
            </w:r>
            <w:r>
              <w:rPr>
                <w:b/>
                <w:i/>
              </w:rPr>
              <w:t xml:space="preserve"> a</w:t>
            </w:r>
            <w:r>
              <w:t xml:space="preserve"> čl. 41 odst. 5 nařízení (EU) XXX/XXX </w:t>
            </w:r>
            <w:r>
              <w:rPr>
                <w:b/>
                <w:i/>
              </w:rPr>
              <w:t>[pozměněné nařízení</w:t>
            </w:r>
            <w:r>
              <w:t xml:space="preserve"> o azylovém řízení] rozhodnout na </w:t>
            </w:r>
            <w:r>
              <w:rPr>
                <w:b/>
                <w:i/>
              </w:rPr>
              <w:t>svých hranicích</w:t>
            </w:r>
            <w:r>
              <w:t xml:space="preserve"> nebo v tranzitních </w:t>
            </w:r>
            <w:r>
              <w:rPr>
                <w:b/>
                <w:i/>
              </w:rPr>
              <w:t>zónách</w:t>
            </w:r>
            <w:r>
              <w:t xml:space="preserve"> o přípustnosti a podstatě všech žádostí </w:t>
            </w:r>
            <w:r>
              <w:rPr>
                <w:b/>
                <w:i/>
              </w:rPr>
              <w:t>zaregistrovaných</w:t>
            </w:r>
            <w:r>
              <w:t xml:space="preserve"> v období, během kterého se toto písmeno uplatňuje.</w:t>
            </w:r>
          </w:p>
        </w:tc>
        <w:tc>
          <w:tcPr>
            <w:tcW w:w="4876" w:type="dxa"/>
          </w:tcPr>
          <w:p w:rsidR="0030148A" w:rsidRPr="000147E7" w:rsidRDefault="00B17970" w:rsidP="00CD7B91">
            <w:pPr>
              <w:pStyle w:val="Normal6"/>
              <w:rPr>
                <w:szCs w:val="24"/>
              </w:rPr>
            </w:pPr>
            <w:r>
              <w:t>b)</w:t>
            </w:r>
            <w:r>
              <w:tab/>
              <w:t xml:space="preserve">odchylně od </w:t>
            </w:r>
            <w:r>
              <w:rPr>
                <w:b/>
                <w:i/>
              </w:rPr>
              <w:t>[čl</w:t>
            </w:r>
            <w:r>
              <w:t>. 41 odst. 2 písm. a) a b)</w:t>
            </w:r>
            <w:r>
              <w:rPr>
                <w:b/>
                <w:i/>
              </w:rPr>
              <w:t>,</w:t>
            </w:r>
            <w:r>
              <w:t xml:space="preserve"> čl. 41 odst. 5 </w:t>
            </w:r>
            <w:r>
              <w:rPr>
                <w:b/>
                <w:i/>
              </w:rPr>
              <w:t xml:space="preserve">a čl. 41 odst. 9 písm. a) </w:t>
            </w:r>
            <w:r>
              <w:t xml:space="preserve">nařízení (EU) XXX/XXX </w:t>
            </w:r>
            <w:r>
              <w:rPr>
                <w:b/>
                <w:i/>
              </w:rPr>
              <w:t>[nařízení</w:t>
            </w:r>
            <w:r>
              <w:t xml:space="preserve"> o azylovém řízení] </w:t>
            </w:r>
            <w:r>
              <w:rPr>
                <w:b/>
                <w:i/>
              </w:rPr>
              <w:t xml:space="preserve">a v souladu s čl. 41 odst. 13 a 14 tohoto nařízení </w:t>
            </w:r>
            <w:r>
              <w:t xml:space="preserve">rozhodnout na </w:t>
            </w:r>
            <w:r>
              <w:rPr>
                <w:b/>
                <w:i/>
              </w:rPr>
              <w:t>místech na vnější hranici, v blízkosti vnější hranice</w:t>
            </w:r>
            <w:r>
              <w:t xml:space="preserve"> nebo v tranzitních </w:t>
            </w:r>
            <w:r>
              <w:rPr>
                <w:b/>
                <w:i/>
              </w:rPr>
              <w:t>prostorech, nebo pokud dotčený členský stát na těchto místech nemůže zajistit potřebnou ubytovací kapacitu, na jiných určených místech na jeho území</w:t>
            </w:r>
            <w:r>
              <w:t xml:space="preserve"> o přípustnosti a podstatě všech žádostí </w:t>
            </w:r>
            <w:r>
              <w:rPr>
                <w:b/>
                <w:i/>
              </w:rPr>
              <w:t>podaných státními příslušníky třetích zemí či osobami bez státní příslušnosti</w:t>
            </w:r>
            <w:r>
              <w:t xml:space="preserve"> </w:t>
            </w:r>
            <w:r>
              <w:rPr>
                <w:b/>
                <w:i/>
              </w:rPr>
              <w:t>zaregistrovaných</w:t>
            </w:r>
            <w:r>
              <w:t xml:space="preserve"> v období, během kterého se toto písmeno uplatňuje.</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rPr>
          <w:rStyle w:val="HideTWBExt"/>
          <w:rFonts w:ascii="Times New Roman" w:hAnsi="Times New Roman"/>
          <w:noProof w:val="0"/>
          <w:vanish w:val="0"/>
          <w:color w:val="auto"/>
          <w:sz w:val="24"/>
        </w:rPr>
      </w:pPr>
      <w:r w:rsidRPr="00B17970">
        <w:rPr>
          <w:rStyle w:val="HideTWBExt"/>
          <w:b w:val="0"/>
          <w:lang w:val="fr-FR"/>
        </w:rPr>
        <w:t>&lt;Amend&gt;</w:t>
      </w:r>
      <w:r>
        <w:t>Pozměňovací návrh</w:t>
      </w:r>
      <w:r>
        <w:tab/>
      </w:r>
      <w:r w:rsidRPr="00B17970">
        <w:rPr>
          <w:rStyle w:val="HideTWBExt"/>
          <w:b w:val="0"/>
          <w:lang w:val="fr-FR"/>
        </w:rPr>
        <w:t>&lt;NumAm&gt;</w:t>
      </w:r>
      <w:r>
        <w:t>21</w:t>
      </w:r>
      <w:r w:rsidRPr="00B17970">
        <w:rPr>
          <w:rStyle w:val="HideTWBExt"/>
          <w:b w:val="0"/>
          <w:lang w:val="fr-FR"/>
        </w:rPr>
        <w:t>&lt;/NumAm&gt;</w:t>
      </w:r>
    </w:p>
    <w:p w:rsidR="0030148A" w:rsidRPr="000147E7" w:rsidRDefault="00B17970" w:rsidP="0030148A">
      <w:pPr>
        <w:pStyle w:val="AMNumberTabs0"/>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2 – odst. 1 – písm. b – odst.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 xml:space="preserve">Při uplatnění této odchylky dotčený členský stát upřednostní posouzení žádostí o mezinárodní ochranu, které jsou </w:t>
            </w:r>
            <w:r>
              <w:rPr>
                <w:b/>
                <w:i/>
              </w:rPr>
              <w:t>pravděpodobně opodstatněné</w:t>
            </w:r>
            <w:r>
              <w:t>, a žádostí podaných nezletilými osobami bez doprovodu a nezletilými osobami a jejich rodinnými příslušníky</w:t>
            </w:r>
            <w:r>
              <w:rPr>
                <w:b/>
                <w:i/>
              </w:rPr>
              <w:t>;</w:t>
            </w:r>
          </w:p>
        </w:tc>
        <w:tc>
          <w:tcPr>
            <w:tcW w:w="4876" w:type="dxa"/>
          </w:tcPr>
          <w:p w:rsidR="0030148A" w:rsidRPr="000147E7" w:rsidRDefault="00B17970" w:rsidP="00CD7B91">
            <w:pPr>
              <w:pStyle w:val="Normal6"/>
              <w:rPr>
                <w:szCs w:val="24"/>
              </w:rPr>
            </w:pPr>
            <w:r>
              <w:t xml:space="preserve">Při uplatnění této odchylky dotčený členský stát upřednostní posouzení žádostí o mezinárodní ochranu, které </w:t>
            </w:r>
            <w:r>
              <w:rPr>
                <w:b/>
                <w:i/>
              </w:rPr>
              <w:t xml:space="preserve">podaly osoby se zvláštními procesními potřebami či zvláštními potřebami při přijetí, jak </w:t>
            </w:r>
            <w:r>
              <w:t xml:space="preserve">jsou </w:t>
            </w:r>
            <w:r>
              <w:rPr>
                <w:b/>
                <w:i/>
              </w:rPr>
              <w:t>definovány v [přepracovaném znění směrnice o podmínkách přijímání a v nařízení o azylovém řízení]</w:t>
            </w:r>
            <w:r>
              <w:t>, a žádostí podaných nezletilými osobami bez doprovodu a nezletilými osobami a jejich rodinnými příslušníky</w:t>
            </w:r>
            <w:r>
              <w:rPr>
                <w:b/>
                <w:i/>
              </w:rPr>
              <w:t>.</w:t>
            </w:r>
            <w:r>
              <w:t xml:space="preserve"> </w:t>
            </w:r>
            <w:r>
              <w:rPr>
                <w:b/>
                <w:i/>
              </w:rPr>
              <w:t>Dotčený členský stát může rovněž upřednostnit posouzení žádostí o mezinárodní ochranu, které jsou pravděpodobně opodstatněné.</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22</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2 – odst. 1 – písm. c</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c)</w:t>
            </w:r>
            <w:r>
              <w:tab/>
              <w:t xml:space="preserve">odchylně od čl. 41 odst. 11 nařízení (EU) XXX/XXX [nařízení o azylovém řízení] </w:t>
            </w:r>
            <w:r>
              <w:rPr>
                <w:b/>
                <w:i/>
              </w:rPr>
              <w:t>se v rámci</w:t>
            </w:r>
            <w:r>
              <w:t xml:space="preserve"> nouzového postupu pro </w:t>
            </w:r>
            <w:r>
              <w:rPr>
                <w:b/>
                <w:i/>
              </w:rPr>
              <w:t>řízení azylu maximální doba</w:t>
            </w:r>
            <w:r>
              <w:t xml:space="preserve"> pro posouzení žádostí zaregistrovaných v období, </w:t>
            </w:r>
            <w:r>
              <w:rPr>
                <w:b/>
                <w:i/>
              </w:rPr>
              <w:t>kdy se toto písmeno</w:t>
            </w:r>
            <w:r>
              <w:t xml:space="preserve"> uplatňuje</w:t>
            </w:r>
            <w:r>
              <w:rPr>
                <w:b/>
                <w:i/>
              </w:rPr>
              <w:t>, stanoví na šestnáct týdnů. Po uplynutí této doby je žadatel oprávněn vstoupit na území členského státu za účelem dokončení řízení o mezinárodní ochraně</w:t>
            </w:r>
            <w:r>
              <w:t xml:space="preserve">, </w:t>
            </w:r>
            <w:r>
              <w:rPr>
                <w:b/>
                <w:i/>
              </w:rPr>
              <w:t>nevztahuje-li se na žadatele řízení o navrácení podle článku 4</w:t>
            </w:r>
            <w:r>
              <w:t>.</w:t>
            </w:r>
          </w:p>
        </w:tc>
        <w:tc>
          <w:tcPr>
            <w:tcW w:w="4876" w:type="dxa"/>
          </w:tcPr>
          <w:p w:rsidR="0030148A" w:rsidRPr="000147E7" w:rsidRDefault="00B17970" w:rsidP="00CD7B91">
            <w:pPr>
              <w:pStyle w:val="Normal6"/>
              <w:rPr>
                <w:szCs w:val="24"/>
              </w:rPr>
            </w:pPr>
            <w:r>
              <w:t>c)</w:t>
            </w:r>
            <w:r>
              <w:tab/>
              <w:t xml:space="preserve">odchylně od </w:t>
            </w:r>
            <w:r>
              <w:rPr>
                <w:b/>
                <w:i/>
              </w:rPr>
              <w:t>[</w:t>
            </w:r>
            <w:r>
              <w:t xml:space="preserve">čl. 41 odst. 11 nařízení (EU) XXX/XXX [nařízení o azylovém řízení] </w:t>
            </w:r>
            <w:r>
              <w:rPr>
                <w:b/>
                <w:i/>
              </w:rPr>
              <w:t>je doba trvání</w:t>
            </w:r>
            <w:r>
              <w:t xml:space="preserve"> nouzového postupu pro </w:t>
            </w:r>
            <w:r>
              <w:rPr>
                <w:b/>
                <w:i/>
              </w:rPr>
              <w:t>azylové řízení</w:t>
            </w:r>
            <w:r>
              <w:t xml:space="preserve"> pro </w:t>
            </w:r>
            <w:r>
              <w:rPr>
                <w:b/>
                <w:i/>
              </w:rPr>
              <w:t>účely</w:t>
            </w:r>
            <w:r>
              <w:t xml:space="preserve"> posouzení žádostí zaregistrovaných v období, </w:t>
            </w:r>
            <w:r>
              <w:rPr>
                <w:b/>
                <w:i/>
              </w:rPr>
              <w:t>během něhož se</w:t>
            </w:r>
            <w:r>
              <w:t xml:space="preserve"> uplatňuje</w:t>
            </w:r>
            <w:r>
              <w:rPr>
                <w:b/>
                <w:i/>
              </w:rPr>
              <w:t xml:space="preserve"> odchylka v souladu s tímto písmenem, co nejkratší a nesmí přesáhnout dvacet týdnů ode dne registrace uvedené žádosti</w:t>
            </w:r>
            <w:r>
              <w:t xml:space="preserve">, </w:t>
            </w:r>
            <w:r>
              <w:rPr>
                <w:b/>
                <w:i/>
              </w:rPr>
              <w:t>a to včetně odvolání</w:t>
            </w:r>
            <w:r>
              <w:t>.</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23</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2 – odst. 1 – písm. c a (nové)</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30148A" w:rsidP="00CD7B91">
            <w:pPr>
              <w:pStyle w:val="Normal6"/>
              <w:rPr>
                <w:lang w:val="en-GB"/>
              </w:rPr>
            </w:pPr>
          </w:p>
        </w:tc>
        <w:tc>
          <w:tcPr>
            <w:tcW w:w="4876" w:type="dxa"/>
          </w:tcPr>
          <w:p w:rsidR="0030148A" w:rsidRPr="000147E7" w:rsidRDefault="00B17970" w:rsidP="00CD7B91">
            <w:pPr>
              <w:pStyle w:val="Normal6"/>
              <w:rPr>
                <w:szCs w:val="24"/>
              </w:rPr>
            </w:pPr>
            <w:r>
              <w:rPr>
                <w:b/>
                <w:i/>
              </w:rPr>
              <w:t>ca)</w:t>
            </w:r>
            <w:r>
              <w:rPr>
                <w:b/>
                <w:i/>
              </w:rPr>
              <w:tab/>
              <w:t>odchylně od [čl. 12 odst. 5 nařízení (EU) XXX/XXX [nařízení o azylovém řízení]] lze upustit od osobního pohovoru v případě, že rozhodující orgán může na základě dostupných důkazů přijmout kladné rozhodnutí, pokud jde o status doplňkové ochrany.</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24</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4 – odst. 1 – návětí</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rPr>
                <w:b/>
                <w:i/>
              </w:rPr>
              <w:t>V</w:t>
            </w:r>
            <w:r>
              <w:t xml:space="preserve"> situaci účelového využívání </w:t>
            </w:r>
            <w:r>
              <w:rPr>
                <w:b/>
                <w:i/>
              </w:rPr>
              <w:t>migrantů a v souladu s postupem stanoveným v článku 6 může členský stát</w:t>
            </w:r>
            <w:r>
              <w:t xml:space="preserve">, </w:t>
            </w:r>
            <w:r>
              <w:rPr>
                <w:b/>
                <w:i/>
              </w:rPr>
              <w:t>který v důsledku takové situace čelí příchodu státních příslušníků třetích zemí nebo osob bez státní příslušnosti na svou vnější hranici, ve vztahu ke státním příslušníkům třetích zemí nebo osob bez státní příslušnosti, kteří nesplňují podmínky vstupu a jejichž žádosti byly zamítnuty v rámci nouzového postupu pro řízení azylu na hranicích v souladu s čl. 2 odst. 1 písm. b) a c)</w:t>
            </w:r>
            <w:r>
              <w:t xml:space="preserve"> a </w:t>
            </w:r>
            <w:r>
              <w:rPr>
                <w:b/>
                <w:i/>
              </w:rPr>
              <w:t>kteří nemají právo setrvat a nemohou setrvat na území, rozhodnout o neuplatnění článku 41a nařízení (EU) XXX/XXX [nařízení</w:t>
            </w:r>
            <w:r>
              <w:t xml:space="preserve"> o </w:t>
            </w:r>
            <w:r>
              <w:rPr>
                <w:b/>
                <w:i/>
              </w:rPr>
              <w:t>azylovém řízení]</w:t>
            </w:r>
            <w:r>
              <w:t xml:space="preserve"> a </w:t>
            </w:r>
            <w:r>
              <w:rPr>
                <w:b/>
                <w:i/>
              </w:rPr>
              <w:t>směrnice XXX/XXX [přepracované znění směrnice o navracení].</w:t>
            </w:r>
            <w:r>
              <w:t xml:space="preserve"> </w:t>
            </w:r>
            <w:r>
              <w:rPr>
                <w:b/>
                <w:i/>
              </w:rPr>
              <w:t>Při použití této odchylky dotčený členský stát:</w:t>
            </w:r>
          </w:p>
        </w:tc>
        <w:tc>
          <w:tcPr>
            <w:tcW w:w="4876" w:type="dxa"/>
          </w:tcPr>
          <w:p w:rsidR="0030148A" w:rsidRPr="000147E7" w:rsidRDefault="00B17970" w:rsidP="00CD7B91">
            <w:pPr>
              <w:pStyle w:val="Normal6"/>
              <w:rPr>
                <w:szCs w:val="24"/>
              </w:rPr>
            </w:pPr>
            <w:r>
              <w:rPr>
                <w:b/>
                <w:i/>
              </w:rPr>
              <w:t>Členský stát, který čelí</w:t>
            </w:r>
            <w:r>
              <w:t xml:space="preserve"> situaci účelového využívání </w:t>
            </w:r>
            <w:r>
              <w:rPr>
                <w:b/>
                <w:i/>
              </w:rPr>
              <w:t>a příchod státních příslušníků třetích zemí nebo osob bez státní příslušnosti na své vnější hranice</w:t>
            </w:r>
            <w:r>
              <w:t xml:space="preserve">, </w:t>
            </w:r>
            <w:r>
              <w:rPr>
                <w:b/>
                <w:i/>
              </w:rPr>
              <w:t xml:space="preserve">se může rozhodnout neuplatňovat článek 41a nařízení (EU) XXX/XXX [nařízení o azylovém řízení nebo [přepracované znění směrnice o navracení] a namísto toho použít vnitrostátní právo, přičemž se čl. 4 odst. 4 směrnice XXX/XXX [přepracované znění směrnice o navracení] použije obdobně ve vztahu k těm státním příslušníkům třetích zemí nebo osobám bez státní příslušnosti, kteří jsou účelově využíváni </w:t>
            </w:r>
            <w:r>
              <w:t xml:space="preserve"> a </w:t>
            </w:r>
            <w:r>
              <w:rPr>
                <w:b/>
                <w:i/>
              </w:rPr>
              <w:t>kteří buď byli zadrženi nebo nalezeni v blízkosti vnějších hranic, nebo se dostavili na hraniční přechod a požádali</w:t>
            </w:r>
            <w:r>
              <w:t xml:space="preserve"> o </w:t>
            </w:r>
            <w:r>
              <w:rPr>
                <w:b/>
                <w:i/>
              </w:rPr>
              <w:t>mezinárodní ochranu,</w:t>
            </w:r>
            <w:r>
              <w:t xml:space="preserve"> </w:t>
            </w:r>
            <w:r>
              <w:rPr>
                <w:b/>
                <w:i/>
              </w:rPr>
              <w:t>jejichž žádosti byly následně zamítnuty a nemají právo setrvat a nemohou setrvat na území.</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25</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5 – odst. 1 – návětí</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1.</w:t>
            </w:r>
            <w:r>
              <w:tab/>
            </w:r>
            <w:r>
              <w:rPr>
                <w:b/>
                <w:i/>
              </w:rPr>
              <w:t>Když</w:t>
            </w:r>
            <w:r>
              <w:t xml:space="preserve"> členský stát čelí situaci účelového využívání</w:t>
            </w:r>
            <w:r>
              <w:rPr>
                <w:b/>
                <w:i/>
              </w:rPr>
              <w:t xml:space="preserve"> migrantů</w:t>
            </w:r>
            <w:r>
              <w:t xml:space="preserve">, může požádat ostatní členské státy o podpůrná a solidární opatření, aby tuto situaci zvládl. </w:t>
            </w:r>
            <w:r>
              <w:rPr>
                <w:b/>
                <w:i/>
              </w:rPr>
              <w:t>Podpůrná</w:t>
            </w:r>
            <w:r>
              <w:t xml:space="preserve"> a solidární opatření ve prospěch členského státu čelícího situaci účelového využívání </w:t>
            </w:r>
            <w:r>
              <w:rPr>
                <w:b/>
                <w:i/>
              </w:rPr>
              <w:t>migrantů</w:t>
            </w:r>
            <w:r>
              <w:t xml:space="preserve"> mohou zahrnovat tyto typy podpory:</w:t>
            </w:r>
          </w:p>
        </w:tc>
        <w:tc>
          <w:tcPr>
            <w:tcW w:w="4876" w:type="dxa"/>
          </w:tcPr>
          <w:p w:rsidR="0030148A" w:rsidRPr="000147E7" w:rsidRDefault="00B17970" w:rsidP="00CD7B91">
            <w:pPr>
              <w:pStyle w:val="Normal6"/>
              <w:rPr>
                <w:szCs w:val="24"/>
              </w:rPr>
            </w:pPr>
            <w:r>
              <w:t>1.</w:t>
            </w:r>
            <w:r>
              <w:tab/>
            </w:r>
            <w:r>
              <w:rPr>
                <w:b/>
                <w:i/>
              </w:rPr>
              <w:t>Pokud</w:t>
            </w:r>
            <w:r>
              <w:t xml:space="preserve"> členský stát čelí situaci účelového využívání, může požádat ostatní členské státy o podpůrná a solidární opatření, aby tuto situaci zvládl</w:t>
            </w:r>
            <w:r>
              <w:rPr>
                <w:b/>
                <w:i/>
              </w:rPr>
              <w:t>, a uvést povahu potřebných podpůrných a solidárních opatření</w:t>
            </w:r>
            <w:r>
              <w:t xml:space="preserve">. </w:t>
            </w:r>
            <w:r>
              <w:rPr>
                <w:b/>
                <w:i/>
              </w:rPr>
              <w:t>Podpora ostatních členských států</w:t>
            </w:r>
            <w:r>
              <w:t xml:space="preserve"> a solidární opatření ve prospěch členského státu čelícího situaci účelového využívání </w:t>
            </w:r>
            <w:r>
              <w:rPr>
                <w:b/>
                <w:i/>
              </w:rPr>
              <w:t>jsou dobrovolné a</w:t>
            </w:r>
            <w:r>
              <w:t xml:space="preserve"> mohou zahrnovat tyto typy podpory:</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26</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7 – odst. 1</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1.</w:t>
            </w:r>
            <w:r>
              <w:tab/>
              <w:t xml:space="preserve">Členský stát, který čelí </w:t>
            </w:r>
            <w:r>
              <w:rPr>
                <w:b/>
                <w:i/>
              </w:rPr>
              <w:t>příchodu státních příslušníků třetích zemí nebo osob bez státní příslušnosti</w:t>
            </w:r>
            <w:r>
              <w:t xml:space="preserve"> na </w:t>
            </w:r>
            <w:r>
              <w:rPr>
                <w:b/>
                <w:i/>
              </w:rPr>
              <w:t>svou vnější hranici v důsledku situace účelového využívání migrantů, může</w:t>
            </w:r>
            <w:r>
              <w:t xml:space="preserve"> požádat o povolení uplatnit odchylky stanovené v článcích 2, 3 </w:t>
            </w:r>
            <w:r>
              <w:rPr>
                <w:b/>
                <w:i/>
              </w:rPr>
              <w:t>a</w:t>
            </w:r>
            <w:r>
              <w:t xml:space="preserve"> 4.</w:t>
            </w:r>
          </w:p>
        </w:tc>
        <w:tc>
          <w:tcPr>
            <w:tcW w:w="4876" w:type="dxa"/>
          </w:tcPr>
          <w:p w:rsidR="0030148A" w:rsidRPr="000147E7" w:rsidRDefault="00B17970" w:rsidP="00CD7B91">
            <w:pPr>
              <w:pStyle w:val="Normal6"/>
              <w:rPr>
                <w:szCs w:val="24"/>
              </w:rPr>
            </w:pPr>
            <w:r>
              <w:t>1.</w:t>
            </w:r>
            <w:r>
              <w:tab/>
              <w:t xml:space="preserve">Členský stát, který čelí </w:t>
            </w:r>
            <w:r>
              <w:rPr>
                <w:b/>
                <w:i/>
              </w:rPr>
              <w:t>situaci účelového využívání, může s ohledem</w:t>
            </w:r>
            <w:r>
              <w:t xml:space="preserve"> na </w:t>
            </w:r>
            <w:r>
              <w:rPr>
                <w:b/>
                <w:i/>
              </w:rPr>
              <w:t>tuto situaci</w:t>
            </w:r>
            <w:r>
              <w:t xml:space="preserve"> požádat o povolení uplatnit odchylky stanovené v článcích 2, 3 </w:t>
            </w:r>
            <w:r>
              <w:rPr>
                <w:b/>
                <w:i/>
              </w:rPr>
              <w:t>nebo</w:t>
            </w:r>
            <w:r>
              <w:t xml:space="preserve"> 4.</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27</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7 – odst.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2.</w:t>
            </w:r>
            <w:r>
              <w:tab/>
            </w:r>
            <w:r>
              <w:rPr>
                <w:b/>
                <w:i/>
              </w:rPr>
              <w:t>Pokud to Komise na základě informací poskytnutých žádajícím členským státem, který čelí situaci</w:t>
            </w:r>
            <w:r>
              <w:t xml:space="preserve"> účelového využívání</w:t>
            </w:r>
            <w:r>
              <w:rPr>
                <w:b/>
                <w:i/>
              </w:rPr>
              <w:t xml:space="preserve"> migrantů, považuje za vhodné,</w:t>
            </w:r>
            <w:r>
              <w:t xml:space="preserve"> neprodleně předloží návrh prováděcího rozhodnutí Rady uvedeného v odstavci 3.</w:t>
            </w:r>
          </w:p>
        </w:tc>
        <w:tc>
          <w:tcPr>
            <w:tcW w:w="4876" w:type="dxa"/>
          </w:tcPr>
          <w:p w:rsidR="0030148A" w:rsidRPr="000147E7" w:rsidRDefault="00B17970" w:rsidP="00CD7B91">
            <w:pPr>
              <w:pStyle w:val="Normal6"/>
              <w:rPr>
                <w:szCs w:val="24"/>
              </w:rPr>
            </w:pPr>
            <w:r>
              <w:t>2.</w:t>
            </w:r>
            <w:r>
              <w:tab/>
            </w:r>
            <w:r>
              <w:rPr>
                <w:b/>
                <w:i/>
              </w:rPr>
              <w:t>Předloží-li žádající členský stát Komisi důkazy prokazující existenci situace</w:t>
            </w:r>
            <w:r>
              <w:t xml:space="preserve"> účelového využívání</w:t>
            </w:r>
            <w:r>
              <w:rPr>
                <w:b/>
                <w:i/>
              </w:rPr>
              <w:t>, Komise na základě těchto důkazů</w:t>
            </w:r>
            <w:r>
              <w:t xml:space="preserve"> neprodleně předloží návrh prováděcího rozhodnutí Rady uvedeného v odstavci 3. </w:t>
            </w:r>
            <w:r>
              <w:rPr>
                <w:b/>
                <w:i/>
              </w:rPr>
              <w:t>Komise může tento návrh předložit také, pokud to na základě informací poskytnutých žádajícím členským státem a jakýchkoli jiných informací, které má k dispozici, považuje za vhodné.</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28</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7 – odst. 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3.</w:t>
            </w:r>
            <w:r>
              <w:tab/>
              <w:t xml:space="preserve">Rada tento návrh urychleně posoudí a přijme prováděcí rozhodnutí, které dotčenému členskému státu umožní uplatňovat zvláštní odchylky stanovené v článcích 2, 3 </w:t>
            </w:r>
            <w:r>
              <w:rPr>
                <w:b/>
                <w:i/>
              </w:rPr>
              <w:t>a</w:t>
            </w:r>
            <w:r>
              <w:t xml:space="preserve"> 4.</w:t>
            </w:r>
          </w:p>
        </w:tc>
        <w:tc>
          <w:tcPr>
            <w:tcW w:w="4876" w:type="dxa"/>
          </w:tcPr>
          <w:p w:rsidR="0030148A" w:rsidRPr="000147E7" w:rsidRDefault="00B17970" w:rsidP="00CD7B91">
            <w:pPr>
              <w:pStyle w:val="Normal6"/>
              <w:rPr>
                <w:szCs w:val="24"/>
              </w:rPr>
            </w:pPr>
            <w:r>
              <w:t>3.</w:t>
            </w:r>
            <w:r>
              <w:tab/>
              <w:t xml:space="preserve">Rada tento návrh urychleně posoudí a </w:t>
            </w:r>
            <w:r>
              <w:rPr>
                <w:b/>
                <w:i/>
              </w:rPr>
              <w:t xml:space="preserve">v závislosti na výsledku tohoto posouzení </w:t>
            </w:r>
            <w:r>
              <w:t xml:space="preserve">přijme prováděcí rozhodnutí, které dotčenému členskému státu umožní uplatňovat zvláštní odchylky stanovené v článcích 2, 3 </w:t>
            </w:r>
            <w:r>
              <w:rPr>
                <w:b/>
                <w:i/>
              </w:rPr>
              <w:t>nebo</w:t>
            </w:r>
            <w:r>
              <w:t xml:space="preserve"> 4.</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29</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7 – odst. 4</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4.</w:t>
            </w:r>
            <w:r>
              <w:tab/>
              <w:t xml:space="preserve">Prováděcí rozhodnutí Rady uvedené v odstavci 3 stanoví datum, od kterého lze uplatňovat pravidla uvedená v článcích 2, 3 </w:t>
            </w:r>
            <w:r>
              <w:rPr>
                <w:b/>
                <w:i/>
              </w:rPr>
              <w:t>a</w:t>
            </w:r>
            <w:r>
              <w:t xml:space="preserve"> 4, jakož i lhůtu pro jejich uplatňování, která nepřesáhne počáteční dobu šesti měsíců.</w:t>
            </w:r>
          </w:p>
        </w:tc>
        <w:tc>
          <w:tcPr>
            <w:tcW w:w="4876" w:type="dxa"/>
          </w:tcPr>
          <w:p w:rsidR="0030148A" w:rsidRPr="000147E7" w:rsidRDefault="00B17970" w:rsidP="00CD7B91">
            <w:pPr>
              <w:pStyle w:val="Normal6"/>
              <w:rPr>
                <w:szCs w:val="24"/>
              </w:rPr>
            </w:pPr>
            <w:r>
              <w:t>4.</w:t>
            </w:r>
            <w:r>
              <w:tab/>
              <w:t xml:space="preserve">Prováděcí rozhodnutí Rady uvedené v odstavci 3 </w:t>
            </w:r>
            <w:r>
              <w:rPr>
                <w:b/>
                <w:i/>
              </w:rPr>
              <w:t xml:space="preserve">obsahuje důvody, na nichž je založeno, a </w:t>
            </w:r>
            <w:r>
              <w:t xml:space="preserve">stanoví datum, od kterého lze uplatňovat pravidla uvedená v článcích 2, 3 </w:t>
            </w:r>
            <w:r>
              <w:rPr>
                <w:b/>
                <w:i/>
              </w:rPr>
              <w:t>nebo</w:t>
            </w:r>
            <w:r>
              <w:t xml:space="preserve"> 4, jakož i lhůtu pro jejich uplatňování, která nepřesáhne počáteční dobu šesti měsíců</w:t>
            </w:r>
            <w:r>
              <w:rPr>
                <w:b/>
                <w:i/>
              </w:rPr>
              <w:t>, a uvádí informace o státních příslušnících třetích zemí či osobách bez státní příslušnosti, kteří jsou účelově využíváni</w:t>
            </w:r>
            <w:r>
              <w:t>.</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30</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7 – odst. 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5.</w:t>
            </w:r>
            <w:r>
              <w:tab/>
              <w:t xml:space="preserve">Komise situaci účelového využívání </w:t>
            </w:r>
            <w:r>
              <w:rPr>
                <w:b/>
                <w:i/>
              </w:rPr>
              <w:t xml:space="preserve">migrantů </w:t>
            </w:r>
            <w:r>
              <w:t xml:space="preserve">neustále </w:t>
            </w:r>
            <w:r>
              <w:rPr>
                <w:b/>
                <w:i/>
              </w:rPr>
              <w:t>monitoruje</w:t>
            </w:r>
            <w:r>
              <w:t xml:space="preserve"> a </w:t>
            </w:r>
            <w:r>
              <w:rPr>
                <w:b/>
                <w:i/>
              </w:rPr>
              <w:t>přezkoumává</w:t>
            </w:r>
            <w:r>
              <w:t>. Pokud to Komise považuje za vhodné, může navrhnout zrušení prováděcího rozhodnutí Rady uvedeného v odstavci 3 nebo přijetí nového prováděcího rozhodnutí Rady</w:t>
            </w:r>
            <w:r>
              <w:rPr>
                <w:b/>
                <w:i/>
              </w:rPr>
              <w:t xml:space="preserve"> povolujícího prodloužení uplatňování zvláštních</w:t>
            </w:r>
            <w:r>
              <w:t xml:space="preserve"> odchylek uvedených v článcích 2, 3 </w:t>
            </w:r>
            <w:r>
              <w:rPr>
                <w:b/>
                <w:i/>
              </w:rPr>
              <w:t>a</w:t>
            </w:r>
            <w:r>
              <w:t xml:space="preserve"> 4 na dobu, která nepřesáhne </w:t>
            </w:r>
            <w:r>
              <w:rPr>
                <w:b/>
                <w:i/>
              </w:rPr>
              <w:t>šest</w:t>
            </w:r>
            <w:r>
              <w:t xml:space="preserve"> měsíců. Dotčený členský stát poskytne Komisi specifické informace nezbytné k tomu, aby mohla tento přezkum provést a předložit návrh na zrušení nebo prodloužení použitelnosti tohoto rozhodnutí, jakož i veškeré další informace, které si Komise vyžádá.</w:t>
            </w:r>
          </w:p>
        </w:tc>
        <w:tc>
          <w:tcPr>
            <w:tcW w:w="4876" w:type="dxa"/>
          </w:tcPr>
          <w:p w:rsidR="0030148A" w:rsidRPr="000147E7" w:rsidRDefault="00B17970" w:rsidP="00CD7B91">
            <w:pPr>
              <w:pStyle w:val="Normal6"/>
              <w:rPr>
                <w:szCs w:val="24"/>
              </w:rPr>
            </w:pPr>
            <w:r>
              <w:t>5.</w:t>
            </w:r>
            <w:r>
              <w:tab/>
              <w:t xml:space="preserve">Komise </w:t>
            </w:r>
            <w:r>
              <w:rPr>
                <w:b/>
                <w:i/>
              </w:rPr>
              <w:t xml:space="preserve">a Rada </w:t>
            </w:r>
            <w:r>
              <w:t xml:space="preserve">situaci účelového využívání neustále </w:t>
            </w:r>
            <w:r>
              <w:rPr>
                <w:b/>
                <w:i/>
              </w:rPr>
              <w:t>monitorují</w:t>
            </w:r>
            <w:r>
              <w:t xml:space="preserve"> a </w:t>
            </w:r>
            <w:r>
              <w:rPr>
                <w:b/>
                <w:i/>
              </w:rPr>
              <w:t>přezkoumávají</w:t>
            </w:r>
            <w:r>
              <w:t>. Pokud to Komise</w:t>
            </w:r>
            <w:r>
              <w:rPr>
                <w:b/>
                <w:i/>
              </w:rPr>
              <w:t xml:space="preserve"> na základě relevantních informací</w:t>
            </w:r>
            <w:r>
              <w:t xml:space="preserve"> považuje za vhodné, může navrhnout zrušení prováděcího rozhodnutí Rady uvedeného v odstavci 3 nebo přijetí nového prováděcího rozhodnutí Rady</w:t>
            </w:r>
            <w:r>
              <w:rPr>
                <w:b/>
                <w:i/>
              </w:rPr>
              <w:t xml:space="preserve">, kterým se povolí změna nebo prodloužení zvláštních </w:t>
            </w:r>
            <w:r>
              <w:t xml:space="preserve"> odchylek uvedených v článcích 2, 3 </w:t>
            </w:r>
            <w:r>
              <w:rPr>
                <w:b/>
                <w:i/>
              </w:rPr>
              <w:t>nebo</w:t>
            </w:r>
            <w:r>
              <w:t xml:space="preserve"> 4 na dobu, která nepřesáhne </w:t>
            </w:r>
            <w:r>
              <w:rPr>
                <w:b/>
                <w:i/>
              </w:rPr>
              <w:t>dodatečné období šesti měsíců. Pokud žádající členský stát předloží Komisi důkazy, které prokazují, že situace účelového využívání nadále existuje, Komise na základě těchto důkazů předloží návrh nového prováděcího rozhodnutí Rady, kterým se změní nebo prodlouží zvláštní odchylky uvedené v článcích 2, 3 nebo 4 na dobu, která nepřesáhne dodatečné období šesti</w:t>
            </w:r>
            <w:r>
              <w:t xml:space="preserve"> měsíců. Dotčený členský stát poskytne Komisi specifické informace nezbytné k tomu, aby mohla tento přezkum provést a předložit návrh na zrušení nebo prodloužení použitelnosti tohoto rozhodnutí, jakož i veškeré další informace, které si Komise vyžádá.</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31</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7 – odst. 5 a (nový)</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30148A" w:rsidP="00CD7B91">
            <w:pPr>
              <w:pStyle w:val="Normal6"/>
              <w:rPr>
                <w:lang w:val="en-GB"/>
              </w:rPr>
            </w:pPr>
          </w:p>
        </w:tc>
        <w:tc>
          <w:tcPr>
            <w:tcW w:w="4876" w:type="dxa"/>
          </w:tcPr>
          <w:p w:rsidR="0030148A" w:rsidRPr="000147E7" w:rsidRDefault="00B17970" w:rsidP="00CD7B91">
            <w:pPr>
              <w:pStyle w:val="Normal6"/>
              <w:rPr>
                <w:szCs w:val="24"/>
              </w:rPr>
            </w:pPr>
            <w:r>
              <w:rPr>
                <w:b/>
                <w:i/>
              </w:rPr>
              <w:t>5a.</w:t>
            </w:r>
            <w:r>
              <w:rPr>
                <w:b/>
                <w:i/>
              </w:rPr>
              <w:tab/>
              <w:t>Členské státy pokračují ve vztahu k žadatelům, jejichž žádosti o mezinárodní ochranu byly zaregistrovány ve lhůtě, během které mohou být zvláštní odchylky uplatňovány, v uplatňování procesních odchylek stanovených v prováděcím rozhodnutí Rady podle odstavce 3 nanejvýš po dobu uvedenou v článku 2 až do přijetí konečného rozhodnutí o jejich žádosti nebo do doby, než budou dotčení státní příslušníci třetích zemí nebo osoby bez státní příslušnosti navráceni v souladu s článkem 4.</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32</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7 – odst. 5 b (nový)</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30148A" w:rsidP="00CD7B91">
            <w:pPr>
              <w:pStyle w:val="Normal6"/>
              <w:rPr>
                <w:lang w:val="en-GB"/>
              </w:rPr>
            </w:pPr>
          </w:p>
        </w:tc>
        <w:tc>
          <w:tcPr>
            <w:tcW w:w="4876" w:type="dxa"/>
          </w:tcPr>
          <w:p w:rsidR="0030148A" w:rsidRPr="000147E7" w:rsidRDefault="00B17970" w:rsidP="00CD7B91">
            <w:pPr>
              <w:pStyle w:val="Normal6"/>
              <w:rPr>
                <w:szCs w:val="24"/>
              </w:rPr>
            </w:pPr>
            <w:r>
              <w:rPr>
                <w:b/>
                <w:i/>
              </w:rPr>
              <w:t>5b.</w:t>
            </w:r>
            <w:r>
              <w:rPr>
                <w:b/>
                <w:i/>
              </w:rPr>
              <w:tab/>
              <w:t>Komise a Rada při výkonu svých pravomocí a plnění svých povinností podle tohoto článku zajistí, aby byla vždy dodržena zásada proporcionality.</w:t>
            </w:r>
          </w:p>
        </w:tc>
      </w:tr>
    </w:tbl>
    <w:p w:rsidR="0030148A" w:rsidRPr="000147E7" w:rsidRDefault="00B17970" w:rsidP="0030148A">
      <w:pPr>
        <w:pStyle w:val="Olang"/>
      </w:pPr>
      <w:r w:rsidRPr="00B17970">
        <w:rPr>
          <w:noProof w:val="0"/>
          <w:lang w:val="fr-FR"/>
        </w:rPr>
        <w:t xml:space="preserve">Or. </w:t>
      </w:r>
      <w:r w:rsidRPr="00B17970">
        <w:rPr>
          <w:rStyle w:val="HideTWBExt"/>
          <w:noProof w:val="0"/>
          <w:lang w:val="fr-FR"/>
        </w:rPr>
        <w:t>&lt;Original&gt;</w:t>
      </w:r>
      <w:r w:rsidRPr="00B17970">
        <w:rPr>
          <w:rStyle w:val="HideTWBInt"/>
          <w:noProof w:val="0"/>
          <w:lang w:val="fr-FR"/>
        </w:rPr>
        <w:t>{EN}</w:t>
      </w:r>
      <w:r w:rsidRPr="00B17970">
        <w:rPr>
          <w:noProof w:val="0"/>
          <w:lang w:val="fr-FR"/>
        </w:rPr>
        <w:t>en</w:t>
      </w:r>
      <w:r w:rsidRPr="00B17970">
        <w:rPr>
          <w:rStyle w:val="HideTWBExt"/>
          <w:noProof w:val="0"/>
          <w:lang w:val="fr-FR"/>
        </w:rPr>
        <w:t>&lt;/Original&gt;</w:t>
      </w:r>
    </w:p>
    <w:p w:rsidR="0030148A" w:rsidRPr="000147E7" w:rsidRDefault="00B17970" w:rsidP="0030148A">
      <w:r>
        <w:rPr>
          <w:rStyle w:val="HideTWBExt"/>
        </w:rPr>
        <w:t>&lt;/Amend&gt;</w:t>
      </w:r>
    </w:p>
    <w:p w:rsidR="0030148A" w:rsidRPr="000147E7" w:rsidRDefault="00B17970" w:rsidP="0030148A">
      <w:pPr>
        <w:pStyle w:val="AMNumberTabs0"/>
        <w:keepNext/>
      </w:pPr>
      <w:r w:rsidRPr="00B17970">
        <w:rPr>
          <w:rStyle w:val="HideTWBExt"/>
          <w:b w:val="0"/>
          <w:lang w:val="fr-FR"/>
        </w:rPr>
        <w:t>&lt;Amend&gt;</w:t>
      </w:r>
      <w:r>
        <w:t>Pozměňovací návrh</w:t>
      </w:r>
      <w:r>
        <w:tab/>
      </w:r>
      <w:r>
        <w:tab/>
      </w:r>
      <w:r w:rsidRPr="00B17970">
        <w:rPr>
          <w:rStyle w:val="HideTWBExt"/>
          <w:b w:val="0"/>
          <w:lang w:val="fr-FR"/>
        </w:rPr>
        <w:t>&lt;NumAm&gt;</w:t>
      </w:r>
      <w:r>
        <w:t>33</w:t>
      </w:r>
      <w:r w:rsidRPr="00B17970">
        <w:rPr>
          <w:rStyle w:val="HideTWBExt"/>
          <w:b w:val="0"/>
          <w:lang w:val="fr-FR"/>
        </w:rPr>
        <w:t>&lt;/NumAm&gt;</w:t>
      </w:r>
    </w:p>
    <w:p w:rsidR="0030148A" w:rsidRPr="000147E7" w:rsidRDefault="00B17970" w:rsidP="0030148A">
      <w:pPr>
        <w:pStyle w:val="NormalBold12b"/>
        <w:keepNext/>
      </w:pPr>
      <w:r>
        <w:rPr>
          <w:rStyle w:val="HideTWBExt"/>
          <w:b w:val="0"/>
        </w:rPr>
        <w:t>&lt;DocAmend&gt;</w:t>
      </w:r>
      <w:r>
        <w:t>Návrh nařízení</w:t>
      </w:r>
      <w:r>
        <w:rPr>
          <w:rStyle w:val="HideTWBExt"/>
          <w:b w:val="0"/>
        </w:rPr>
        <w:t>&lt;/DocAmend&gt;</w:t>
      </w:r>
    </w:p>
    <w:p w:rsidR="0030148A" w:rsidRPr="000147E7" w:rsidRDefault="00B17970" w:rsidP="0030148A">
      <w:pPr>
        <w:pStyle w:val="NormalBold"/>
      </w:pPr>
      <w:r>
        <w:rPr>
          <w:rStyle w:val="HideTWBExt"/>
          <w:b w:val="0"/>
        </w:rPr>
        <w:t>&lt;Article&gt;</w:t>
      </w:r>
      <w:r>
        <w:t>Čl. 8 – odst. 2</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1398B" w:rsidTr="00CD7B91">
        <w:trPr>
          <w:jc w:val="center"/>
        </w:trPr>
        <w:tc>
          <w:tcPr>
            <w:tcW w:w="9752" w:type="dxa"/>
            <w:gridSpan w:val="2"/>
          </w:tcPr>
          <w:p w:rsidR="0030148A" w:rsidRPr="000147E7" w:rsidRDefault="0030148A" w:rsidP="00CD7B91">
            <w:pPr>
              <w:keepNext/>
            </w:pPr>
          </w:p>
        </w:tc>
      </w:tr>
      <w:tr w:rsidR="00D1398B" w:rsidTr="00CD7B91">
        <w:trPr>
          <w:jc w:val="center"/>
        </w:trPr>
        <w:tc>
          <w:tcPr>
            <w:tcW w:w="4876" w:type="dxa"/>
          </w:tcPr>
          <w:p w:rsidR="0030148A" w:rsidRPr="000147E7" w:rsidRDefault="00B17970" w:rsidP="00CD7B91">
            <w:pPr>
              <w:pStyle w:val="ColumnHeading"/>
              <w:keepNext/>
            </w:pPr>
            <w:r>
              <w:t>Znění navržené Komisí</w:t>
            </w:r>
          </w:p>
        </w:tc>
        <w:tc>
          <w:tcPr>
            <w:tcW w:w="4876" w:type="dxa"/>
          </w:tcPr>
          <w:p w:rsidR="0030148A" w:rsidRPr="000147E7" w:rsidRDefault="00B17970" w:rsidP="00CD7B91">
            <w:pPr>
              <w:pStyle w:val="ColumnHeading"/>
              <w:keepNext/>
            </w:pPr>
            <w:r>
              <w:t>Pozměňovací návrh</w:t>
            </w:r>
          </w:p>
        </w:tc>
      </w:tr>
      <w:tr w:rsidR="00D1398B" w:rsidTr="00CD7B91">
        <w:trPr>
          <w:jc w:val="center"/>
        </w:trPr>
        <w:tc>
          <w:tcPr>
            <w:tcW w:w="4876" w:type="dxa"/>
          </w:tcPr>
          <w:p w:rsidR="0030148A" w:rsidRPr="000147E7" w:rsidRDefault="00B17970" w:rsidP="00CD7B91">
            <w:pPr>
              <w:pStyle w:val="Normal6"/>
            </w:pPr>
            <w:r>
              <w:t>2.</w:t>
            </w:r>
            <w:r>
              <w:tab/>
              <w:t xml:space="preserve">Členský stát čelící situaci účelového využívání </w:t>
            </w:r>
            <w:r>
              <w:rPr>
                <w:b/>
                <w:i/>
              </w:rPr>
              <w:t>migrantů zajistí</w:t>
            </w:r>
            <w:r>
              <w:t xml:space="preserve"> úzkou spolupráci s Vysokým komisařem OSN pro uprchlíky a příslušnými partnerskými organizacemi</w:t>
            </w:r>
            <w:r>
              <w:rPr>
                <w:b/>
                <w:i/>
              </w:rPr>
              <w:t xml:space="preserve"> s cílem určit způsoby podpory žadatelů nacházejících se v situaci účelového využívání migrantů</w:t>
            </w:r>
            <w:r>
              <w:t xml:space="preserve"> v souladu s </w:t>
            </w:r>
            <w:r>
              <w:rPr>
                <w:b/>
                <w:i/>
              </w:rPr>
              <w:t>pravidly stanovenými v této kapitole, v nařízení</w:t>
            </w:r>
            <w:r>
              <w:t xml:space="preserve"> (EU) XXX/XXX [nařízení o azylovém řízení] a </w:t>
            </w:r>
            <w:r>
              <w:rPr>
                <w:b/>
                <w:i/>
              </w:rPr>
              <w:t>ve směrnici</w:t>
            </w:r>
            <w:r>
              <w:t xml:space="preserve"> XXX/XXX [přepracované znění směrnice o podmínkách přijímání].</w:t>
            </w:r>
          </w:p>
        </w:tc>
        <w:tc>
          <w:tcPr>
            <w:tcW w:w="4876" w:type="dxa"/>
          </w:tcPr>
          <w:p w:rsidR="0030148A" w:rsidRPr="000147E7" w:rsidRDefault="00B17970" w:rsidP="00CD7B91">
            <w:pPr>
              <w:pStyle w:val="Normal6"/>
              <w:rPr>
                <w:szCs w:val="24"/>
              </w:rPr>
            </w:pPr>
            <w:r>
              <w:t>2.</w:t>
            </w:r>
            <w:r>
              <w:tab/>
              <w:t xml:space="preserve">Členský stát čelící situaci účelového využívání </w:t>
            </w:r>
            <w:r>
              <w:rPr>
                <w:b/>
                <w:i/>
              </w:rPr>
              <w:t>udržuje</w:t>
            </w:r>
            <w:r>
              <w:t xml:space="preserve"> úzkou spolupráci s vysokým komisařem OSN pro uprchlíky a </w:t>
            </w:r>
            <w:r>
              <w:rPr>
                <w:b/>
                <w:i/>
              </w:rPr>
              <w:t xml:space="preserve">dalšími </w:t>
            </w:r>
            <w:r>
              <w:t>příslušnými partnerskými organizacemi</w:t>
            </w:r>
            <w:r>
              <w:rPr>
                <w:b/>
                <w:i/>
              </w:rPr>
              <w:t>, které tento členský stát pověřil zvláštními úkoly</w:t>
            </w:r>
            <w:r>
              <w:t xml:space="preserve"> v souladu s </w:t>
            </w:r>
            <w:r>
              <w:rPr>
                <w:b/>
                <w:i/>
              </w:rPr>
              <w:t>touto kapitolou a s nařízením</w:t>
            </w:r>
            <w:r>
              <w:t xml:space="preserve"> (EU) XXX/XXX [nařízení o azylovém řízení] a </w:t>
            </w:r>
            <w:r>
              <w:rPr>
                <w:b/>
                <w:i/>
              </w:rPr>
              <w:t>směrnicí</w:t>
            </w:r>
            <w:r>
              <w:t xml:space="preserve"> XXX/XXX [přepracované znění směrnice o podmínkách přijímání].</w:t>
            </w:r>
          </w:p>
        </w:tc>
      </w:tr>
    </w:tbl>
    <w:p w:rsidR="0030148A" w:rsidRPr="000147E7" w:rsidRDefault="00B17970" w:rsidP="0030148A">
      <w:pPr>
        <w:pStyle w:val="Olang"/>
      </w:pPr>
      <w:r w:rsidRPr="000147E7">
        <w:rPr>
          <w:noProof w:val="0"/>
          <w:lang w:val="en-GB"/>
        </w:rPr>
        <w:t xml:space="preserve">Or. </w:t>
      </w:r>
      <w:r w:rsidRPr="000147E7">
        <w:rPr>
          <w:rStyle w:val="HideTWBExt"/>
          <w:noProof w:val="0"/>
          <w:lang w:val="en-GB"/>
        </w:rPr>
        <w:t>&lt;Original&gt;</w:t>
      </w:r>
      <w:r w:rsidRPr="000147E7">
        <w:rPr>
          <w:rStyle w:val="HideTWBInt"/>
          <w:noProof w:val="0"/>
          <w:lang w:val="en-GB"/>
        </w:rPr>
        <w:t>{EN}</w:t>
      </w:r>
      <w:r w:rsidRPr="000147E7">
        <w:rPr>
          <w:noProof w:val="0"/>
          <w:lang w:val="en-GB"/>
        </w:rPr>
        <w:t>en</w:t>
      </w:r>
      <w:r w:rsidRPr="000147E7">
        <w:rPr>
          <w:rStyle w:val="HideTWBExt"/>
          <w:noProof w:val="0"/>
          <w:lang w:val="en-GB"/>
        </w:rPr>
        <w:t>&lt;/Original&gt;</w:t>
      </w:r>
    </w:p>
    <w:p w:rsidR="002669B6" w:rsidRPr="007C325F" w:rsidRDefault="00B17970" w:rsidP="0030148A">
      <w:r>
        <w:rPr>
          <w:rStyle w:val="HideTWBExt"/>
        </w:rPr>
        <w:t>&lt;/Amend&gt;&lt;/RepeatBlock-Amend&gt;</w:t>
      </w:r>
    </w:p>
    <w:p w:rsidR="002669B6" w:rsidRPr="007C325F" w:rsidRDefault="002669B6" w:rsidP="002669B6"/>
    <w:sectPr w:rsidR="002669B6" w:rsidRPr="007C325F" w:rsidSect="0045574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ABB" w:rsidRDefault="00B17970">
      <w:r>
        <w:separator/>
      </w:r>
    </w:p>
  </w:endnote>
  <w:endnote w:type="continuationSeparator" w:id="0">
    <w:p w:rsidR="00E63ABB" w:rsidRDefault="00B17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7C325F" w:rsidRDefault="00B17970" w:rsidP="00F07062">
    <w:pPr>
      <w:pStyle w:val="EPFooter"/>
    </w:pPr>
    <w:r w:rsidRPr="007C325F">
      <w:t>PE</w:t>
    </w:r>
    <w:r w:rsidRPr="007C325F">
      <w:rPr>
        <w:rStyle w:val="HideTWBExt"/>
      </w:rPr>
      <w:t>&lt;NoPE&gt;</w:t>
    </w:r>
    <w:r w:rsidR="0030148A" w:rsidRPr="0030148A">
      <w:t>752.890</w:t>
    </w:r>
    <w:r w:rsidRPr="007C325F">
      <w:rPr>
        <w:rStyle w:val="HideTWBExt"/>
      </w:rPr>
      <w:t>&lt;/NoPE&gt;&lt;Version&gt;</w:t>
    </w:r>
    <w:r w:rsidR="007C325F" w:rsidRPr="007C325F">
      <w:t>v</w:t>
    </w:r>
    <w:r w:rsidR="0030148A" w:rsidRPr="0030148A">
      <w:t>01-00</w:t>
    </w:r>
    <w:r w:rsidRPr="007C325F">
      <w:rPr>
        <w:rStyle w:val="HideTWBExt"/>
      </w:rPr>
      <w:t>&lt;/Version&gt;</w:t>
    </w:r>
    <w:r w:rsidRPr="007C325F">
      <w:tab/>
    </w:r>
    <w:r w:rsidR="00914537" w:rsidRPr="007C325F">
      <w:fldChar w:fldCharType="begin"/>
    </w:r>
    <w:r w:rsidR="00914537" w:rsidRPr="007C325F">
      <w:instrText xml:space="preserve"> PAGE </w:instrText>
    </w:r>
    <w:r w:rsidR="00914537" w:rsidRPr="007C325F">
      <w:fldChar w:fldCharType="separate"/>
    </w:r>
    <w:r w:rsidR="00157564">
      <w:rPr>
        <w:noProof/>
      </w:rPr>
      <w:t>2</w:t>
    </w:r>
    <w:r w:rsidR="00914537" w:rsidRPr="007C325F">
      <w:fldChar w:fldCharType="end"/>
    </w:r>
    <w:r w:rsidR="00914537" w:rsidRPr="007C325F">
      <w:t>/</w:t>
    </w:r>
    <w:r w:rsidR="00914537" w:rsidRPr="007C325F">
      <w:rPr>
        <w:rStyle w:val="PageNumber"/>
      </w:rPr>
      <w:fldChar w:fldCharType="begin"/>
    </w:r>
    <w:r w:rsidR="00914537" w:rsidRPr="007C325F">
      <w:rPr>
        <w:rStyle w:val="PageNumber"/>
      </w:rPr>
      <w:instrText xml:space="preserve"> NUMPAGES </w:instrText>
    </w:r>
    <w:r w:rsidR="00914537" w:rsidRPr="007C325F">
      <w:rPr>
        <w:rStyle w:val="PageNumber"/>
      </w:rPr>
      <w:fldChar w:fldCharType="separate"/>
    </w:r>
    <w:r w:rsidR="00157564">
      <w:rPr>
        <w:rStyle w:val="PageNumber"/>
        <w:noProof/>
      </w:rPr>
      <w:t>25</w:t>
    </w:r>
    <w:r w:rsidR="00914537" w:rsidRPr="007C325F">
      <w:rPr>
        <w:rStyle w:val="PageNumber"/>
      </w:rPr>
      <w:fldChar w:fldCharType="end"/>
    </w:r>
    <w:r w:rsidRPr="007C325F">
      <w:tab/>
    </w:r>
    <w:r w:rsidRPr="007C325F">
      <w:rPr>
        <w:rStyle w:val="HideTWBExt"/>
      </w:rPr>
      <w:t>&lt;PathFdR&gt;</w:t>
    </w:r>
    <w:r w:rsidR="0030148A" w:rsidRPr="0030148A">
      <w:t>PR\1285389CS.docx</w:t>
    </w:r>
    <w:r w:rsidRPr="007C325F">
      <w:rPr>
        <w:rStyle w:val="HideTWBExt"/>
      </w:rPr>
      <w:t>&lt;/PathFdR&gt;</w:t>
    </w:r>
  </w:p>
  <w:p w:rsidR="00FB52FE" w:rsidRPr="007C325F" w:rsidRDefault="00B17970">
    <w:pPr>
      <w:pStyle w:val="EPFooter2"/>
    </w:pPr>
    <w:fldSimple w:instr=" DOCPROPERTY &quot;&lt;Extension&gt;&quot; ">
      <w:r w:rsidR="00157564">
        <w:t>CS</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7C325F" w:rsidRDefault="00B17970" w:rsidP="00F07062">
    <w:pPr>
      <w:pStyle w:val="EPFooter"/>
    </w:pPr>
    <w:r w:rsidRPr="007C325F">
      <w:rPr>
        <w:rStyle w:val="HideTWBExt"/>
      </w:rPr>
      <w:t>&lt;PathFdR&gt;</w:t>
    </w:r>
    <w:r w:rsidR="0030148A" w:rsidRPr="0030148A">
      <w:t>PR\1285389CS.docx</w:t>
    </w:r>
    <w:r w:rsidRPr="007C325F">
      <w:rPr>
        <w:rStyle w:val="HideTWBExt"/>
      </w:rPr>
      <w:t>&lt;/PathFdR&gt;</w:t>
    </w:r>
    <w:r w:rsidRPr="007C325F">
      <w:tab/>
    </w:r>
    <w:r w:rsidR="00914537" w:rsidRPr="007C325F">
      <w:fldChar w:fldCharType="begin"/>
    </w:r>
    <w:r w:rsidR="00914537" w:rsidRPr="007C325F">
      <w:instrText xml:space="preserve"> PAGE </w:instrText>
    </w:r>
    <w:r w:rsidR="00914537" w:rsidRPr="007C325F">
      <w:fldChar w:fldCharType="separate"/>
    </w:r>
    <w:r w:rsidR="00157564">
      <w:rPr>
        <w:noProof/>
      </w:rPr>
      <w:t>3</w:t>
    </w:r>
    <w:r w:rsidR="00914537" w:rsidRPr="007C325F">
      <w:fldChar w:fldCharType="end"/>
    </w:r>
    <w:r w:rsidR="00914537" w:rsidRPr="007C325F">
      <w:t>/</w:t>
    </w:r>
    <w:r w:rsidR="00914537" w:rsidRPr="007C325F">
      <w:rPr>
        <w:rStyle w:val="PageNumber"/>
      </w:rPr>
      <w:fldChar w:fldCharType="begin"/>
    </w:r>
    <w:r w:rsidR="00914537" w:rsidRPr="007C325F">
      <w:rPr>
        <w:rStyle w:val="PageNumber"/>
      </w:rPr>
      <w:instrText xml:space="preserve"> NUMPAGES </w:instrText>
    </w:r>
    <w:r w:rsidR="00914537" w:rsidRPr="007C325F">
      <w:rPr>
        <w:rStyle w:val="PageNumber"/>
      </w:rPr>
      <w:fldChar w:fldCharType="separate"/>
    </w:r>
    <w:r w:rsidR="00157564">
      <w:rPr>
        <w:rStyle w:val="PageNumber"/>
        <w:noProof/>
      </w:rPr>
      <w:t>25</w:t>
    </w:r>
    <w:r w:rsidR="00914537" w:rsidRPr="007C325F">
      <w:rPr>
        <w:rStyle w:val="PageNumber"/>
      </w:rPr>
      <w:fldChar w:fldCharType="end"/>
    </w:r>
    <w:r w:rsidRPr="007C325F">
      <w:tab/>
      <w:t>PE</w:t>
    </w:r>
    <w:r w:rsidRPr="007C325F">
      <w:rPr>
        <w:rStyle w:val="HideTWBExt"/>
      </w:rPr>
      <w:t>&lt;NoPE&gt;</w:t>
    </w:r>
    <w:r w:rsidR="0030148A" w:rsidRPr="0030148A">
      <w:t>752.890</w:t>
    </w:r>
    <w:r w:rsidRPr="007C325F">
      <w:rPr>
        <w:rStyle w:val="HideTWBExt"/>
      </w:rPr>
      <w:t>&lt;/NoPE&gt;&lt;Version&gt;</w:t>
    </w:r>
    <w:r w:rsidR="007C325F" w:rsidRPr="007C325F">
      <w:t>v</w:t>
    </w:r>
    <w:r w:rsidR="0030148A" w:rsidRPr="0030148A">
      <w:t>01-00</w:t>
    </w:r>
    <w:r w:rsidRPr="007C325F">
      <w:rPr>
        <w:rStyle w:val="HideTWBExt"/>
      </w:rPr>
      <w:t>&lt;/Version&gt;</w:t>
    </w:r>
  </w:p>
  <w:p w:rsidR="00FB52FE" w:rsidRPr="007C325F" w:rsidRDefault="00B17970">
    <w:pPr>
      <w:pStyle w:val="EPFooter2"/>
    </w:pPr>
    <w:r w:rsidRPr="007C325F">
      <w:tab/>
    </w:r>
    <w:r w:rsidRPr="007C325F">
      <w:tab/>
    </w:r>
    <w:r w:rsidR="00157564">
      <w:fldChar w:fldCharType="begin"/>
    </w:r>
    <w:r w:rsidR="00157564">
      <w:instrText xml:space="preserve"> DOCPROPERTY "&lt;Extension&gt;" </w:instrText>
    </w:r>
    <w:r w:rsidR="00157564">
      <w:fldChar w:fldCharType="separate"/>
    </w:r>
    <w:r w:rsidR="00157564">
      <w:t>CS</w:t>
    </w:r>
    <w:r w:rsidR="0015756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7C325F" w:rsidRDefault="00B17970" w:rsidP="00F07062">
    <w:pPr>
      <w:pStyle w:val="EPFooter"/>
    </w:pPr>
    <w:r w:rsidRPr="007C325F">
      <w:rPr>
        <w:rStyle w:val="HideTWBExt"/>
      </w:rPr>
      <w:t>&lt;PathFdR&gt;</w:t>
    </w:r>
    <w:r w:rsidR="0030148A" w:rsidRPr="0030148A">
      <w:t>PR\1285389CS.docx</w:t>
    </w:r>
    <w:r w:rsidRPr="007C325F">
      <w:rPr>
        <w:rStyle w:val="HideTWBExt"/>
      </w:rPr>
      <w:t>&lt;/PathFdR&gt;</w:t>
    </w:r>
    <w:r w:rsidRPr="007C325F">
      <w:tab/>
    </w:r>
    <w:r w:rsidRPr="007C325F">
      <w:tab/>
      <w:t>PE</w:t>
    </w:r>
    <w:r w:rsidRPr="007C325F">
      <w:rPr>
        <w:rStyle w:val="HideTWBExt"/>
      </w:rPr>
      <w:t>&lt;NoPE&gt;</w:t>
    </w:r>
    <w:r w:rsidR="0030148A" w:rsidRPr="0030148A">
      <w:t>752.890</w:t>
    </w:r>
    <w:r w:rsidRPr="007C325F">
      <w:rPr>
        <w:rStyle w:val="HideTWBExt"/>
      </w:rPr>
      <w:t>&lt;/NoPE&gt;&lt;Version&gt;</w:t>
    </w:r>
    <w:r w:rsidR="007C325F" w:rsidRPr="007C325F">
      <w:t>v</w:t>
    </w:r>
    <w:r w:rsidR="0030148A" w:rsidRPr="0030148A">
      <w:t>01-00</w:t>
    </w:r>
    <w:r w:rsidRPr="007C325F">
      <w:rPr>
        <w:rStyle w:val="HideTWBExt"/>
      </w:rPr>
      <w:t>&lt;/Version&gt;</w:t>
    </w:r>
  </w:p>
  <w:p w:rsidR="00FB52FE" w:rsidRPr="007C325F" w:rsidRDefault="00B17970" w:rsidP="00461601">
    <w:pPr>
      <w:pStyle w:val="EPFooter2"/>
      <w:tabs>
        <w:tab w:val="clear" w:pos="4535"/>
        <w:tab w:val="center" w:pos="4536"/>
      </w:tabs>
    </w:pPr>
    <w:fldSimple w:instr=" DOCPROPERTY &quot;&lt;Extension&gt;&quot; ">
      <w:r w:rsidR="00157564">
        <w:t>CS</w:t>
      </w:r>
    </w:fldSimple>
    <w:r w:rsidRPr="007C325F">
      <w:tab/>
    </w:r>
    <w:r w:rsidR="0030148A">
      <w:rPr>
        <w:b w:val="0"/>
        <w:i/>
        <w:color w:val="C0C0C0"/>
        <w:sz w:val="22"/>
        <w:szCs w:val="22"/>
      </w:rPr>
      <w:t>Jednotná v rozmanitosti</w:t>
    </w:r>
    <w:r w:rsidRPr="007C325F">
      <w:tab/>
    </w:r>
    <w:fldSimple w:instr=" DOCPROPERTY &quot;&lt;Extension&gt;&quot; ">
      <w:r w:rsidR="00157564">
        <w:t>CS</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ABB" w:rsidRDefault="00B17970">
      <w:r>
        <w:separator/>
      </w:r>
    </w:p>
  </w:footnote>
  <w:footnote w:type="continuationSeparator" w:id="0">
    <w:p w:rsidR="00E63ABB" w:rsidRDefault="00B179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48A" w:rsidRDefault="003014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48A" w:rsidRDefault="003014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48A" w:rsidRDefault="00301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MKEY" w:val="LIBE"/>
    <w:docVar w:name="DOCMNU" w:val=" 1"/>
    <w:docVar w:name="EPSTATMNU" w:val=" 5"/>
    <w:docVar w:name="INSTITUTIONSMNU" w:val=" 2"/>
    <w:docVar w:name="JURI1MNU" w:val=" 2"/>
    <w:docVar w:name="JURI2MNU" w:val=" 2"/>
    <w:docVar w:name="LastEditedSection" w:val=" 1"/>
    <w:docVar w:name="OTHERSTATMNU" w:val=" 4"/>
    <w:docVar w:name="PARLIAMENTSMNU" w:val=" 2"/>
    <w:docVar w:name="RepeatBlock-AmendCS"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050465 HideTWBExt;}{\*\cs18 \additive \v\f1\fs20\cf15 _x000d__x000a_\spriority0 \styrsid6050465 HideTWBInt;}{\s19\ql \li0\ri0\sa120\nowidctlpar\wrapdefault\aspalpha\aspnum\faauto\adjustright\rin0\lin0\itap0 \rtlch\fcs1 \af0\afs20\alang1025 \ltrch\fcs0 \fs24\lang1029\langfe2057\cgrid\langnp1029\langfenp2057 _x000d__x000a_\sbasedon0 \snext19 \spriority0 \styrsid6050465 Normal6a;}{\s20\ql \li0\ri0\nowidctlpar\wrapdefault\aspalpha\aspnum\faauto\adjustright\rin0\lin0\itap0 \rtlch\fcs1 \af0\afs20\alang1025 \ltrch\fcs0 \b\fs24\lang1029\langfe2057\cgrid\langnp1029\langfenp2057 _x000d__x000a_\sbasedon0 \snext20 \spriority0 \styrsid6050465 NormalBold;}{\s21\ql \li0\ri0\sa240\nowidctlpar\wrapdefault\aspalpha\aspnum\faauto\adjustright\rin0\lin0\itap0 \rtlch\fcs1 \af0\afs20\alang1025 \ltrch\fcs0 _x000d__x000a_\i\fs24\lang1029\langfe2057\cgrid\langnp1029\langfenp2057 \sbasedon0 \snext21 \spriority0 \styrsid6050465 AmJustText;}{\s22\qc \li0\ri0\sb240\sa240\nowidctlpar\wrapdefault\aspalpha\aspnum\faauto\adjustright\rin0\lin0\itap0 \rtlch\fcs1 _x000d__x000a_\af0\afs20\alang1025 \ltrch\fcs0 \i\fs24\lang1029\langfe2057\cgrid\langnp1029\langfenp2057 \sbasedon0 \snext22 \spriority0 \styrsid6050465 AmCrossRef;}{_x000d__x000a_\s23\qc \li0\ri0\sb240\sa240\keepn\nowidctlpar\wrapdefault\aspalpha\aspnum\faauto\adjustright\rin0\lin0\itap0 \rtlch\fcs1 \af0\afs20\alang1025 \ltrch\fcs0 \i\fs24\lang1029\langfe2057\cgrid\langnp1029\langfenp2057 _x000d__x000a_\sbasedon0 \snext21 \spriority0 \styrsid6050465 AmJustTitle;}{\s24\qr \li0\ri0\sb240\sa240\nowidctlpar\wrapdefault\aspalpha\aspnum\faauto\adjustright\rin0\lin0\itap0 \rtlch\fcs1 \af0\afs20\alang1025 \ltrch\fcs0 _x000d__x000a_\fs24\lang1029\langfe2057\cgrid\langnp1029\langfenp2057 \sbasedon0 \snext24 \spriority0 \styrsid6050465 AmOrLang;}{\s25\qc \li0\ri0\sa240\nowidctlpar\wrapdefault\aspalpha\aspnum\faauto\adjustright\rin0\lin0\itap0 \rtlch\fcs1 \af0\afs20\alang1025 _x000d__x000a_\ltrch\fcs0 \i\fs24\lang1029\langfe2057\cgrid\langnp1029\langfenp2057 \sbasedon0 \snext25 \spriority0 \styrsid605046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6 \spriority0 \styrsid6050465 AmNumberTabs;}{\s27\ql \li0\ri0\sb240\nowidctlpar\wrapdefault\aspalpha\aspnum\faauto\adjustright\rin0\lin0\itap0 \rtlch\fcs1 _x000d__x000a_\af0\afs20\alang1025 \ltrch\fcs0 \b\fs24\lang1029\langfe2057\cgrid\langnp1029\langfenp2057 \sbasedon0 \snext27 \spriority0 \styrsid6050465 NormalBold12b;}}{\*\rsidtbl \rsid24658\rsid223860\rsid735077\rsid1718133\rsid2892074\rsid3299981\rsid3565327_x000d__x000a_\rsid4666813\rsid6050465\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GOESSINGER SKLENAROVA Ruzena}{\operator GOESSINGER SKLENAROVA Ruzena}{\creatim\yr2022\mo9\dy19\hr9\min19}{\revtim\yr2022\mo9\dy19\hr9\min19}{\version1}_x000d__x000a_{\edmins0}{\nofpages1}{\nofwords105}{\nofchars599}{\nofcharsws70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viewnobound1\snaptogridincell\allowfieldendsel_x000d__x000a_\wrppunct\asianbrkrule\nojkernpunct\rsidroot6050465\newtblstyruls\nogrowautofit\usenormstyforlist\noindnmbrts\felnbrelev\nocxsptable\indrlsweleven\noafcnsttbl\afelev\utinl\hwelev\spltpgpar\notcvasp\notbrkcnstfrctbl\notvatxbx\krnprsnet\cachedcolbal _x000d__x000a_\nouicompat \fet0{\*\wgrffmtfilter 013f}\nofeaturethrottle1\ilfomacatclnup0{\*\template C:\\Users\\RGOESS~1\\AppData\\Local\\Temp\\Blank1.dotx}{\*\ftnsep \ltrpar \pard\plain \ltrpar_x000d__x000a_\ql \li0\ri0\widctlpar\wrapdefault\aspalpha\aspnum\faauto\adjustright\rin0\lin0\itap0 \rtlch\fcs1 \af0\afs20\alang1025 \ltrch\fcs0 \fs24\lang2057\langfe2057\cgrid\langnp2057\langfenp2057 {\rtlch\fcs1 \af0 \ltrch\fcs0 \insrsid3299981 \chftnsep _x000d__x000a_\par }}{\*\ftnsepc \ltrpar \pard\plain \ltrpar\ql \li0\ri0\widctlpar\wrapdefault\aspalpha\aspnum\faauto\adjustright\rin0\lin0\itap0 \rtlch\fcs1 \af0\afs20\alang1025 \ltrch\fcs0 \fs24\lang2057\langfe2057\cgrid\langnp2057\langfenp2057 {\rtlch\fcs1 \af0 _x000d__x000a_\ltrch\fcs0 \insrsid3299981 \chftnsepc _x000d__x000a_\par }}{\*\aftnsep \ltrpar \pard\plain \ltrpar\ql \li0\ri0\widctlpar\wrapdefault\aspalpha\aspnum\faauto\adjustright\rin0\lin0\itap0 \rtlch\fcs1 \af0\afs20\alang1025 \ltrch\fcs0 \fs24\lang2057\langfe2057\cgrid\langnp2057\langfenp2057 {\rtlch\fcs1 \af0 _x000d__x000a_\ltrch\fcs0 \insrsid3299981 \chftnsep _x000d__x000a_\par }}{\*\aftnsepc \ltrpar \pard\plain \ltrpar\ql \li0\ri0\widctlpar\wrapdefault\aspalpha\aspnum\faauto\adjustright\rin0\lin0\itap0 \rtlch\fcs1 \af0\afs20\alang1025 \ltrch\fcs0 \fs24\lang2057\langfe2057\cgrid\langnp2057\langfenp2057 {\rtlch\fcs1 \af0 _x000d__x000a_\ltrch\fcs0 \insrsid329998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050465 \rtlch\fcs1 _x000d__x000a_\af0\afs20\alang1025 \ltrch\fcs0 \b\fs24\lang1029\langfe2057\cgrid\langnp1029\langfenp2057 {\rtlch\fcs1 \af0 \ltrch\fcs0 \cs17\b0\v\fs20\cf9\loch\af1\hich\af1\dbch\af31501\insrsid6050465\charrsid12155098 {\*\bkmkstart restart}_x000d__x000a_\hich\af1\dbch\af31501\loch\f1 &lt;Amend&gt;}{\rtlch\fcs1 \af303 \ltrch\fcs0 \f303\insrsid6050465\charrsid12155098 Pozm\'ec\'f2o}{\rtlch\fcs1 \af0 \ltrch\fcs0 \insrsid6050465\charrsid12155098 vac\'ed n\'e1vrh\tab \tab }{\rtlch\fcs1 \af0 \ltrch\fcs0 _x000d__x000a_\cs17\b0\v\fs20\cf9\loch\af1\hich\af1\dbch\af31501\insrsid6050465\charrsid12155098 \hich\af1\dbch\af31501\loch\f1 &lt;NumAm&gt;}{\rtlch\fcs1 \af0 \ltrch\fcs0 \insrsid6050465\charrsid12155098 #}{\rtlch\fcs1 \af1 \ltrch\fcs0 _x000d__x000a_\cs18\v\f1\fs20\cf15\insrsid6050465\charrsid12155098 ENMIENDA@NRAM@}{\rtlch\fcs1 \af0 \ltrch\fcs0 \insrsid6050465\charrsid12155098 #}{\rtlch\fcs1 \af0 \ltrch\fcs0 \cs17\b0\v\fs20\cf9\loch\af1\hich\af1\dbch\af31501\insrsid6050465\charrsid12155098 _x000d__x000a_\hich\af1\dbch\af31501\loch\f1 &lt;/NumAm&gt;}{\rtlch\fcs1 \af0 \ltrch\fcs0 \insrsid6050465\charrsid12155098 _x000d__x000a_\par }\pard\plain \ltrpar\s27\ql \li0\ri0\sb240\keepn\nowidctlpar\wrapdefault\aspalpha\aspnum\faauto\adjustright\rin0\lin0\itap0\pararsid6050465 \rtlch\fcs1 \af0\afs20\alang1025 \ltrch\fcs0 \b\fs24\lang1029\langfe2057\cgrid\langnp1029\langfenp2057 {_x000d__x000a_\rtlch\fcs1 \af0 \ltrch\fcs0 \cs17\b0\v\fs20\cf9\loch\af1\hich\af1\dbch\af31501\insrsid6050465\charrsid12155098 \hich\af1\dbch\af31501\loch\f1 &lt;DocAmend&gt;}{\rtlch\fcs1 \af0 \ltrch\fcs0 \insrsid6050465\charrsid12155098 N\'e1vrh #}{\rtlch\fcs1 \af1 _x000d__x000a_\ltrch\fcs0 \cs18\v\f1\fs20\cf15\insrsid6050465\charrsid12155098 MNU[DOC1][DOC2][DOC3]@DOCMSG@DOCMNU}{\rtlch\fcs1 \af0 \ltrch\fcs0 \insrsid6050465\charrsid12155098 ##}{\rtlch\fcs1 \af1 \ltrch\fcs0 \cs18\v\f1\fs20\cf15\insrsid6050465\charrsid12155098 _x000d__x000a_MNU[AMACTYES][NOTAPP]@CHOICE@AMACTMNU}{\rtlch\fcs1 \af0 \ltrch\fcs0 \insrsid6050465\charrsid12155098 #}{\rtlch\fcs1 \af0 \ltrch\fcs0 \cs17\b0\v\fs20\cf9\loch\af1\hich\af1\dbch\af31501\insrsid6050465\charrsid12155098 \hich\af1\dbch\af31501\loch\f1 _x000d__x000a_&lt;/DocAmend&gt;}{\rtlch\fcs1 \af0 \ltrch\fcs0 \insrsid6050465\charrsid12155098 _x000d__x000a_\par }\pard\plain \ltrpar\s20\ql \li0\ri0\keepn\nowidctlpar\wrapdefault\aspalpha\aspnum\faauto\adjustright\rin0\lin0\itap0\pararsid6050465 \rtlch\fcs1 \af0\afs20\alang1025 \ltrch\fcs0 \b\fs24\lang1029\langfe2057\cgrid\langnp1029\langfenp2057 {\rtlch\fcs1 \af0 _x000d__x000a_\ltrch\fcs0 \cs17\b0\v\fs20\cf9\loch\af1\hich\af1\dbch\af31501\insrsid6050465\charrsid12155098 \hich\af1\dbch\af31501\loch\f1 &lt;Article&gt;}{\rtlch\fcs1 \af0 \ltrch\fcs0 \insrsid6050465\charrsid12155098 #}{\rtlch\fcs1 \af1 \ltrch\fcs0 _x000d__x000a_\cs18\v\f1\fs20\cf15\insrsid6050465\charrsid12155098 MNU[AMACTPARTYES][AMACTPARTNO]@CHOICE@AMACTMNU}{\rtlch\fcs1 \af0 \ltrch\fcs0 \insrsid6050465\charrsid12155098 #}{\rtlch\fcs1 \af0 \ltrch\fcs0 _x000d__x000a_\cs17\b0\v\fs20\cf9\loch\af1\hich\af1\dbch\af31501\insrsid6050465\charrsid12155098 \hich\af1\dbch\af31501\loch\f1 &lt;/Article&gt;}{\rtlch\fcs1 \af0 \ltrch\fcs0 \insrsid6050465\charrsid12155098 _x000d__x000a_\par }\pard\plain \ltrpar\ql \li0\ri0\keepn\widctlpar\wrapdefault\aspalpha\aspnum\faauto\adjustright\rin0\lin0\itap0\pararsid6050465 \rtlch\fcs1 \af0\afs20\alang1025 \ltrch\fcs0 \fs24\lang2057\langfe2057\cgrid\langnp2057\langfenp2057 {\rtlch\fcs1 \af0 _x000d__x000a_\ltrch\fcs0 \cs17\v\fs20\cf9\lang1029\langfe2057\loch\af1\hich\af1\dbch\af31501\langnp1029\insrsid6050465\charrsid12155098 \hich\af1\dbch\af31501\loch\f1 &lt;DocAmend2&gt;&lt;OptDel&gt;}{\rtlch\fcs1 \af0 \ltrch\fcs0 _x000d__x000a_\lang1029\langfe2057\langnp1029\insrsid6050465\charrsid12155098 #}{\rtlch\fcs1 \af1 \ltrch\fcs0 \cs18\v\f1\fs20\cf15\lang1029\langfe2057\langnp1029\insrsid6050465\charrsid12155098 MNU[OPTNRACTYES][NOTAPP]@CHOICE@AMACTMNU}{\rtlch\fcs1 \af0 \ltrch\fcs0 _x000d__x000a_\lang1029\langfe2057\langnp1029\insrsid6050465\charrsid12155098 #}{\rtlch\fcs1 \af0 \ltrch\fcs0 \cs17\v\fs20\cf9\lang1029\langfe2057\loch\af1\hich\af1\dbch\af31501\langnp1029\insrsid6050465\charrsid12155098 \hich\af1\dbch\af31501\loch\f1 _x000d__x000a_&lt;/OptDel&gt;&lt;/DocAmend2&gt;}{\rtlch\fcs1 \af0 \ltrch\fcs0 \lang1029\langfe2057\langnp1029\insrsid6050465\charrsid12155098 _x000d__x000a_\par }\pard \ltrpar\ql \li0\ri0\widctlpar\wrapdefault\aspalpha\aspnum\faauto\adjustright\rin0\lin0\itap0\pararsid6050465 {\rtlch\fcs1 \af0 \ltrch\fcs0 _x000d__x000a_\cs17\v\fs20\cf9\lang1029\langfe2057\loch\af1\hich\af1\dbch\af31501\langnp1029\insrsid6050465\charrsid12155098 \hich\af1\dbch\af31501\loch\f1 &lt;Article2&gt;&lt;OptDel&gt;}{\rtlch\fcs1 \af0 \ltrch\fcs0 \lang1029\langfe2057\langnp1029\insrsid6050465\charrsid12155098 _x000d__x000a_#}{\rtlch\fcs1 \af1 \ltrch\fcs0 \cs18\v\f1\fs20\cf15\lang1029\langfe2057\langnp1029\insrsid6050465\charrsid12155098 MNU[OPTACTPARTYES][NOTAPP]@CHOICE@AMACTMNU}{\rtlch\fcs1 \af0 \ltrch\fcs0 \lang1029\langfe2057\langnp1029\insrsid6050465\charrsid12155098 #}_x000d__x000a_{\rtlch\fcs1 \af0 \ltrch\fcs0 \cs17\v\fs20\cf9\lang1029\langfe2057\loch\af1\hich\af1\dbch\af31501\langnp1029\insrsid6050465\charrsid12155098 \hich\af1\dbch\af31501\loch\f1 &lt;/OptDel&gt;&lt;/Article2&gt;}{\rtlch\fcs1 \af0 \ltrch\fcs0 _x000d__x000a_\lang1029\langfe2057\langnp1029\insrsid6050465\charrsid12155098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29\langfe2057\langnp1029\insrsid6050465\charrsid12155098 \cell }\pard\plain \ltrpar_x000d__x000a_\ql \li0\ri0\widctlpar\intbl\wrapdefault\aspalpha\aspnum\faauto\adjustright\rin0\lin0 \rtlch\fcs1 \af0\afs20\alang1025 \ltrch\fcs0 \fs24\lang2057\langfe2057\cgrid\langnp2057\langfenp2057 {\rtlch\fcs1 \af0 \ltrch\fcs0 _x000d__x000a_\lang1029\langfe2057\langnp1029\insrsid6050465\charrsid12155098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29\langfe2057\cgrid\langnp1029\langfenp2057 {\rtlch\fcs1 \af0 \ltrch\fcs0 _x000d__x000a_\insrsid6050465\charrsid12155098 #}{\rtlch\fcs1 \af1 \ltrch\fcs0 \cs18\v\f1\fs20\cf15\insrsid6050465\charrsid12155098 MNU[OPTLEFTAMACT][LEFTPROP]@CHOICE@AMACTMNU}{\rtlch\fcs1 \af0 \ltrch\fcs0 \insrsid6050465\charrsid12155098 #\cell }{\rtlch\fcs1 \af303 _x000d__x000a_\ltrch\fcs0 \f303\insrsid6050465\charrsid12155098 Pozm\'ec\'f2ovac\'ed n\'e1vrh}{\rtlch\fcs1 \af0 \ltrch\fcs0 \insrsid6050465\charrsid12155098 \cell }\pard\plain \ltrpar\ql \li0\ri0\widctlpar\intbl\wrapdefault\aspalpha\aspnum\faauto\adjustright\rin0\lin0 _x000d__x000a_\rtlch\fcs1 \af0\afs20\alang1025 \ltrch\fcs0 \fs24\lang2057\langfe2057\cgrid\langnp2057\langfenp2057 {\rtlch\fcs1 \af0 \ltrch\fcs0 \lang1029\langfe2057\langnp1029\insrsid6050465\charrsid12155098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2517430 \rtlch\fcs1 \af0\afs20\alang1025 \ltrch\fcs0 \fs24\lang1029\langfe2057\cgrid\langnp1029\langfenp2057 {\rtlch\fcs1 \af0 \ltrch\fcs0 _x000d__x000a_\insrsid6050465\charrsid12155098 ##\cell ##}{\rtlch\fcs1 \af0\afs24 \ltrch\fcs0 \insrsid6050465\charrsid12155098 \cell }\pard\plain \ltrpar\ql \li0\ri0\widctlpar\intbl\wrapdefault\aspalpha\aspnum\faauto\adjustright\rin0\lin0 \rtlch\fcs1 _x000d__x000a_\af0\afs20\alang1025 \ltrch\fcs0 \fs24\lang2057\langfe2057\cgrid\langnp2057\langfenp2057 {\rtlch\fcs1 \af0 \ltrch\fcs0 \lang1029\langfe2057\langnp1029\insrsid6050465\charrsid12155098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6050465 \rtlch\fcs1 \af0\afs20\alang1025 \ltrch\fcs0 \fs24\lang1029\langfe2057\cgrid\langnp1029\langfenp2057 {\rtlch\fcs1 \af0 \ltrch\fcs0 _x000d__x000a_\insrsid6050465\charrsid12155098 Or. }{\rtlch\fcs1 \af0 \ltrch\fcs0 \cs17\v\fs20\cf9\loch\af1\hich\af1\dbch\af31501\insrsid6050465\charrsid12155098 \hich\af1\dbch\af31501\loch\f1 &lt;Original&gt;}{\rtlch\fcs1 \af0 \ltrch\fcs0 \insrsid6050465\charrsid12155098 #}_x000d__x000a_{\rtlch\fcs1 \af1 \ltrch\fcs0 \cs18\v\f1\fs20\cf15\insrsid6050465\charrsid12155098 MNU[ORLANGONE][ORLANGMORE]@CHOICE@ORLANGMNU}{\rtlch\fcs1 \af0 \ltrch\fcs0 \insrsid6050465\charrsid12155098 #}{\rtlch\fcs1 \af0 \ltrch\fcs0 _x000d__x000a_\cs17\v\fs20\cf9\loch\af1\hich\af1\dbch\af31501\insrsid6050465\charrsid12155098 \hich\af1\dbch\af31501\loch\f1 &lt;/Original&gt;}{\rtlch\fcs1 \af0 \ltrch\fcs0 \insrsid6050465\charrsid12155098 _x000d__x000a_\par }\pard\plain \ltrpar\s22\qc \li0\ri0\sb240\sa240\nowidctlpar\wrapdefault\aspalpha\aspnum\faauto\adjustright\rin0\lin0\itap0\pararsid6050465 \rtlch\fcs1 \af0\afs20\alang1025 \ltrch\fcs0 \i\fs24\lang1029\langfe2057\cgrid\langnp1029\langfenp2057 {_x000d__x000a_\rtlch\fcs1 \af0 \ltrch\fcs0 \cs17\i0\v\fs20\cf9\loch\af1\hich\af1\dbch\af31501\insrsid6050465\charrsid12155098 \hich\af1\dbch\af31501\loch\f1 &lt;OptDel&gt;}{\rtlch\fcs1 \af0 \ltrch\fcs0 \insrsid6050465\charrsid12155098 #}{\rtlch\fcs1 \af1 \ltrch\fcs0 _x000d__x000a_\cs18\v\f1\fs20\cf15\insrsid6050465\charrsid12155098 MNU[CROSSREFNO][CROSSREFYES]@CHOICE@}{\rtlch\fcs1 \af0 \ltrch\fcs0 \insrsid6050465\charrsid12155098 #}{\rtlch\fcs1 \af0 \ltrch\fcs0 _x000d__x000a_\cs17\i0\v\fs20\cf9\loch\af1\hich\af1\dbch\af31501\insrsid6050465\charrsid12155098 \hich\af1\dbch\af31501\loch\f1 &lt;/OptDel&gt;}{\rtlch\fcs1 \af0 \ltrch\fcs0 \insrsid6050465\charrsid12155098 _x000d__x000a_\par }\pard\plain \ltrpar\s23\qc \li0\ri0\sb240\sa240\keepn\nowidctlpar\wrapdefault\aspalpha\aspnum\faauto\adjustright\rin0\lin0\itap0\pararsid6050465 \rtlch\fcs1 \af0\afs20\alang1025 \ltrch\fcs0 \i\fs24\lang1029\langfe2057\cgrid\langnp1029\langfenp2057 {_x000d__x000a_\rtlch\fcs1 \af0 \ltrch\fcs0 \cs17\i0\v\fs20\cf9\loch\af1\hich\af1\dbch\af31501\insrsid6050465\charrsid12155098 \hich\af1\dbch\af31501\loch\f1 &lt;TitreJust&gt;}{\rtlch\fcs1 \af303 \ltrch\fcs0 \f303\insrsid6050465\charrsid12155098 Od\'f9vodn\'ecn\'ed}{_x000d__x000a_\rtlch\fcs1 \af0 \ltrch\fcs0 \cs17\i0\v\fs20\cf9\loch\af1\hich\af1\dbch\af31501\insrsid6050465\charrsid12155098 \hich\af1\dbch\af31501\loch\f1 &lt;/TitreJust&gt;}{\rtlch\fcs1 \af0 \ltrch\fcs0 \insrsid6050465\charrsid12155098 _x000d__x000a_\par }\pard\plain \ltrpar\s21\ql \li0\ri0\sa240\nowidctlpar\wrapdefault\aspalpha\aspnum\faauto\adjustright\rin0\lin0\itap0\pararsid6050465 \rtlch\fcs1 \af0\afs20\alang1025 \ltrch\fcs0 \i\fs24\lang1029\langfe2057\cgrid\langnp1029\langfenp2057 {\rtlch\fcs1 \af0 _x000d__x000a_\ltrch\fcs0 \cs17\i0\v\fs20\cf9\loch\af1\hich\af1\dbch\af31501\insrsid6050465\charrsid12155098 \hich\af1\dbch\af31501\loch\f1 &lt;OptDelPrev&gt;}{\rtlch\fcs1 \af0 \ltrch\fcs0 \insrsid6050465\charrsid12155098 #}{\rtlch\fcs1 \af1 \ltrch\fcs0 _x000d__x000a_\cs18\v\f1\fs20\cf15\insrsid6050465\charrsid12155098 MNU[TEXTJUSTYES][TEXTJUSTNO]@CHOICE@}{\rtlch\fcs1 \af0 \ltrch\fcs0 \insrsid6050465\charrsid12155098 #}{\rtlch\fcs1 \af0 \ltrch\fcs0 _x000d__x000a_\cs17\i0\v\fs20\cf9\loch\af1\hich\af1\dbch\af31501\insrsid6050465\charrsid12155098 \hich\af1\dbch\af31501\loch\f1 &lt;/OptDelPrev&gt;}{\rtlch\fcs1 \af0 \ltrch\fcs0 \insrsid6050465\charrsid12155098 _x000d__x000a_\par }\pard\plain \ltrpar\ql \li0\ri0\widctlpar\wrapdefault\aspalpha\aspnum\faauto\adjustright\rin0\lin0\itap0\pararsid6050465 \rtlch\fcs1 \af0\afs20\alang1025 \ltrch\fcs0 \fs24\lang2057\langfe2057\cgrid\langnp2057\langfenp2057 {\rtlch\fcs1 \af0 \ltrch\fcs0 _x000d__x000a_\cs17\v\fs20\cf9\lang1029\langfe2057\loch\af1\hich\af1\dbch\af31501\langnp1029\insrsid6050465\charrsid12155098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0a_x000d__x000a_c631f8cb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85"/>
    <w:docVar w:name="TXTAUTHOR" w:val="Patryk Jaki"/>
    <w:docVar w:name="TXTLANGUE" w:val="CS"/>
    <w:docVar w:name="TXTLANGUEMIN" w:val="cs"/>
    <w:docVar w:name="TXTNRC" w:val="0474/2021"/>
    <w:docVar w:name="TXTNRCOD" w:val="2021/0427"/>
    <w:docVar w:name="TXTNRCOM" w:val="(2021)0890"/>
    <w:docVar w:name="TXTNRPE" w:val="752.890"/>
    <w:docVar w:name="TXTPEorAP" w:val="PE"/>
    <w:docVar w:name="TXTROUTE" w:val="PR\1285389CS.docx"/>
    <w:docVar w:name="TXTTITLE" w:val="o řešení situací účelového využívání migrantů v oblasti migrace a azylu"/>
    <w:docVar w:name="TXTVERSION" w:val="01-00"/>
  </w:docVars>
  <w:rsids>
    <w:rsidRoot w:val="007C325F"/>
    <w:rsid w:val="00011AAB"/>
    <w:rsid w:val="00012351"/>
    <w:rsid w:val="000139E5"/>
    <w:rsid w:val="000147E7"/>
    <w:rsid w:val="000445B8"/>
    <w:rsid w:val="00084DD2"/>
    <w:rsid w:val="00084E89"/>
    <w:rsid w:val="000B7489"/>
    <w:rsid w:val="000C31E2"/>
    <w:rsid w:val="000F1096"/>
    <w:rsid w:val="00120948"/>
    <w:rsid w:val="00123DD5"/>
    <w:rsid w:val="001277AE"/>
    <w:rsid w:val="00142215"/>
    <w:rsid w:val="00157564"/>
    <w:rsid w:val="001767E2"/>
    <w:rsid w:val="00187008"/>
    <w:rsid w:val="001B3829"/>
    <w:rsid w:val="001C5592"/>
    <w:rsid w:val="001C5B44"/>
    <w:rsid w:val="001C6FFC"/>
    <w:rsid w:val="001F7C7C"/>
    <w:rsid w:val="00212B84"/>
    <w:rsid w:val="002346B0"/>
    <w:rsid w:val="002667C3"/>
    <w:rsid w:val="002669B6"/>
    <w:rsid w:val="00290BED"/>
    <w:rsid w:val="00291397"/>
    <w:rsid w:val="002D13EE"/>
    <w:rsid w:val="002E33EE"/>
    <w:rsid w:val="002F40BB"/>
    <w:rsid w:val="002F4B02"/>
    <w:rsid w:val="0030148A"/>
    <w:rsid w:val="003112AB"/>
    <w:rsid w:val="00323EF8"/>
    <w:rsid w:val="003316DD"/>
    <w:rsid w:val="00366A46"/>
    <w:rsid w:val="00370AC3"/>
    <w:rsid w:val="003824EE"/>
    <w:rsid w:val="003B4689"/>
    <w:rsid w:val="003C2068"/>
    <w:rsid w:val="003C37CF"/>
    <w:rsid w:val="004100B1"/>
    <w:rsid w:val="00426E47"/>
    <w:rsid w:val="00432B3D"/>
    <w:rsid w:val="00455743"/>
    <w:rsid w:val="00461601"/>
    <w:rsid w:val="004C0915"/>
    <w:rsid w:val="004D424E"/>
    <w:rsid w:val="004E42C8"/>
    <w:rsid w:val="004E733D"/>
    <w:rsid w:val="004F3FA5"/>
    <w:rsid w:val="0051271F"/>
    <w:rsid w:val="00521F46"/>
    <w:rsid w:val="00551111"/>
    <w:rsid w:val="00551123"/>
    <w:rsid w:val="00570A6A"/>
    <w:rsid w:val="00586E50"/>
    <w:rsid w:val="0059583D"/>
    <w:rsid w:val="005A42D9"/>
    <w:rsid w:val="005C2BEF"/>
    <w:rsid w:val="005D1A99"/>
    <w:rsid w:val="005D7609"/>
    <w:rsid w:val="005D7EE8"/>
    <w:rsid w:val="00632E30"/>
    <w:rsid w:val="00642325"/>
    <w:rsid w:val="0069092A"/>
    <w:rsid w:val="006A2F5D"/>
    <w:rsid w:val="006A64AD"/>
    <w:rsid w:val="006F7907"/>
    <w:rsid w:val="00740116"/>
    <w:rsid w:val="00743189"/>
    <w:rsid w:val="00743D33"/>
    <w:rsid w:val="007932B3"/>
    <w:rsid w:val="00793EA9"/>
    <w:rsid w:val="007C325F"/>
    <w:rsid w:val="007D6F68"/>
    <w:rsid w:val="00817843"/>
    <w:rsid w:val="00823E6B"/>
    <w:rsid w:val="00826780"/>
    <w:rsid w:val="00837CCD"/>
    <w:rsid w:val="008633CC"/>
    <w:rsid w:val="00865190"/>
    <w:rsid w:val="008719B9"/>
    <w:rsid w:val="00894923"/>
    <w:rsid w:val="00894ECE"/>
    <w:rsid w:val="00896BB4"/>
    <w:rsid w:val="008A7FB8"/>
    <w:rsid w:val="008F1BC6"/>
    <w:rsid w:val="009022B8"/>
    <w:rsid w:val="00914537"/>
    <w:rsid w:val="00917CC4"/>
    <w:rsid w:val="009763DA"/>
    <w:rsid w:val="009975B3"/>
    <w:rsid w:val="009A216D"/>
    <w:rsid w:val="009A2DF6"/>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17970"/>
    <w:rsid w:val="00B23B72"/>
    <w:rsid w:val="00B42702"/>
    <w:rsid w:val="00B57B8B"/>
    <w:rsid w:val="00B85407"/>
    <w:rsid w:val="00B95702"/>
    <w:rsid w:val="00BC6489"/>
    <w:rsid w:val="00BD480C"/>
    <w:rsid w:val="00C20954"/>
    <w:rsid w:val="00C23324"/>
    <w:rsid w:val="00C42A41"/>
    <w:rsid w:val="00C47E74"/>
    <w:rsid w:val="00C57A72"/>
    <w:rsid w:val="00C73602"/>
    <w:rsid w:val="00C85D0F"/>
    <w:rsid w:val="00CD7B91"/>
    <w:rsid w:val="00CE449B"/>
    <w:rsid w:val="00CF60C8"/>
    <w:rsid w:val="00D1398B"/>
    <w:rsid w:val="00D30DE2"/>
    <w:rsid w:val="00D32924"/>
    <w:rsid w:val="00D503A3"/>
    <w:rsid w:val="00DA6ED0"/>
    <w:rsid w:val="00DC5011"/>
    <w:rsid w:val="00E171B6"/>
    <w:rsid w:val="00E63ABB"/>
    <w:rsid w:val="00E72695"/>
    <w:rsid w:val="00EB1753"/>
    <w:rsid w:val="00EB6CFF"/>
    <w:rsid w:val="00EE3996"/>
    <w:rsid w:val="00F07062"/>
    <w:rsid w:val="00F23CFC"/>
    <w:rsid w:val="00F433E2"/>
    <w:rsid w:val="00F46C37"/>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835C065-8B38-42B3-B6FC-004F049CC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30148A"/>
    <w:pPr>
      <w:tabs>
        <w:tab w:val="right" w:pos="454"/>
        <w:tab w:val="left" w:pos="737"/>
      </w:tabs>
      <w:ind w:left="737" w:hanging="737"/>
    </w:pPr>
    <w:rPr>
      <w:snapToGrid w:val="0"/>
      <w:sz w:val="18"/>
      <w:lang w:eastAsia="en-US"/>
    </w:rPr>
  </w:style>
  <w:style w:type="paragraph" w:customStyle="1" w:styleId="Lgendetitre">
    <w:name w:val="Légende titre"/>
    <w:basedOn w:val="Normal"/>
    <w:rsid w:val="0030148A"/>
    <w:pPr>
      <w:spacing w:before="240" w:after="240"/>
    </w:pPr>
    <w:rPr>
      <w:b/>
      <w:i/>
      <w:snapToGrid w:val="0"/>
      <w:lang w:eastAsia="en-US"/>
    </w:rPr>
  </w:style>
  <w:style w:type="paragraph" w:customStyle="1" w:styleId="Lgendestandard">
    <w:name w:val="Légende standard"/>
    <w:basedOn w:val="Normal"/>
    <w:rsid w:val="0030148A"/>
    <w:rPr>
      <w:sz w:val="18"/>
    </w:rPr>
  </w:style>
  <w:style w:type="character" w:customStyle="1" w:styleId="NormalBoldChar">
    <w:name w:val="NormalBold Char"/>
    <w:basedOn w:val="DefaultParagraphFont"/>
    <w:link w:val="NormalBold"/>
    <w:rsid w:val="0030148A"/>
    <w:rPr>
      <w:b/>
      <w:sz w:val="24"/>
      <w:lang w:val="cs-CZ"/>
    </w:rPr>
  </w:style>
  <w:style w:type="paragraph" w:customStyle="1" w:styleId="EntPE">
    <w:name w:val="EntPE"/>
    <w:basedOn w:val="Normal12"/>
    <w:rsid w:val="0030148A"/>
    <w:pPr>
      <w:jc w:val="center"/>
    </w:pPr>
    <w:rPr>
      <w:noProof w:val="0"/>
      <w:sz w:val="56"/>
    </w:rPr>
  </w:style>
  <w:style w:type="paragraph" w:customStyle="1" w:styleId="Normal12">
    <w:name w:val="Normal12"/>
    <w:basedOn w:val="Normal"/>
    <w:link w:val="Normal12Char"/>
    <w:rsid w:val="0030148A"/>
    <w:pPr>
      <w:spacing w:after="240"/>
    </w:pPr>
    <w:rPr>
      <w:noProof/>
    </w:rPr>
  </w:style>
  <w:style w:type="character" w:customStyle="1" w:styleId="Normal12Char">
    <w:name w:val="Normal12 Char"/>
    <w:basedOn w:val="DefaultParagraphFont"/>
    <w:link w:val="Normal12"/>
    <w:locked/>
    <w:rsid w:val="0030148A"/>
    <w:rPr>
      <w:noProof/>
      <w:sz w:val="24"/>
    </w:rPr>
  </w:style>
  <w:style w:type="paragraph" w:customStyle="1" w:styleId="Normal6">
    <w:name w:val="Normal6"/>
    <w:basedOn w:val="Normal"/>
    <w:link w:val="Normal6Char"/>
    <w:rsid w:val="0030148A"/>
    <w:pPr>
      <w:spacing w:after="120"/>
    </w:pPr>
  </w:style>
  <w:style w:type="character" w:customStyle="1" w:styleId="Normal6Char">
    <w:name w:val="Normal6 Char"/>
    <w:basedOn w:val="DefaultParagraphFont"/>
    <w:link w:val="Normal6"/>
    <w:rsid w:val="0030148A"/>
    <w:rPr>
      <w:sz w:val="24"/>
      <w:lang w:val="cs-CZ"/>
    </w:rPr>
  </w:style>
  <w:style w:type="paragraph" w:customStyle="1" w:styleId="Normal12Italic">
    <w:name w:val="Normal12Italic"/>
    <w:basedOn w:val="Normal12"/>
    <w:rsid w:val="0030148A"/>
    <w:rPr>
      <w:i/>
    </w:rPr>
  </w:style>
  <w:style w:type="character" w:customStyle="1" w:styleId="FooterChar">
    <w:name w:val="Footer Char"/>
    <w:basedOn w:val="DefaultParagraphFont"/>
    <w:link w:val="Footer"/>
    <w:rsid w:val="0030148A"/>
    <w:rPr>
      <w:sz w:val="22"/>
    </w:rPr>
  </w:style>
  <w:style w:type="paragraph" w:styleId="Footer">
    <w:name w:val="footer"/>
    <w:link w:val="FooterChar"/>
    <w:rsid w:val="0030148A"/>
    <w:pPr>
      <w:tabs>
        <w:tab w:val="center" w:pos="4536"/>
        <w:tab w:val="right" w:pos="9072"/>
      </w:tabs>
      <w:spacing w:before="240" w:after="240" w:line="221" w:lineRule="auto"/>
    </w:pPr>
    <w:rPr>
      <w:sz w:val="22"/>
    </w:rPr>
  </w:style>
  <w:style w:type="character" w:customStyle="1" w:styleId="FooterChar1">
    <w:name w:val="Footer Char1"/>
    <w:basedOn w:val="DefaultParagraphFont"/>
    <w:semiHidden/>
    <w:rsid w:val="0030148A"/>
    <w:rPr>
      <w:sz w:val="24"/>
      <w:lang w:val="cs-CZ"/>
    </w:rPr>
  </w:style>
  <w:style w:type="paragraph" w:customStyle="1" w:styleId="Footer2">
    <w:name w:val="Footer2"/>
    <w:basedOn w:val="Normal12"/>
    <w:rsid w:val="0030148A"/>
    <w:pPr>
      <w:tabs>
        <w:tab w:val="center" w:pos="4535"/>
        <w:tab w:val="right" w:pos="9923"/>
      </w:tabs>
      <w:spacing w:line="480" w:lineRule="auto"/>
      <w:ind w:left="-851"/>
    </w:pPr>
    <w:rPr>
      <w:rFonts w:ascii="Arial" w:cs="Arial"/>
      <w:b/>
      <w:sz w:val="48"/>
    </w:rPr>
  </w:style>
  <w:style w:type="character" w:styleId="CommentReference">
    <w:name w:val="annotation reference"/>
    <w:basedOn w:val="DefaultParagraphFont"/>
    <w:rsid w:val="0030148A"/>
    <w:rPr>
      <w:sz w:val="16"/>
      <w:szCs w:val="16"/>
    </w:rPr>
  </w:style>
  <w:style w:type="paragraph" w:styleId="CommentText">
    <w:name w:val="annotation text"/>
    <w:basedOn w:val="Normal"/>
    <w:link w:val="CommentTextChar"/>
    <w:rsid w:val="0030148A"/>
    <w:rPr>
      <w:sz w:val="20"/>
    </w:rPr>
  </w:style>
  <w:style w:type="character" w:customStyle="1" w:styleId="CommentTextChar">
    <w:name w:val="Comment Text Char"/>
    <w:basedOn w:val="DefaultParagraphFont"/>
    <w:link w:val="CommentText"/>
    <w:rsid w:val="0030148A"/>
  </w:style>
  <w:style w:type="paragraph" w:styleId="CommentSubject">
    <w:name w:val="annotation subject"/>
    <w:basedOn w:val="CommentText"/>
    <w:next w:val="CommentText"/>
    <w:link w:val="CommentSubjectChar"/>
    <w:semiHidden/>
    <w:unhideWhenUsed/>
    <w:rsid w:val="0030148A"/>
    <w:rPr>
      <w:b/>
      <w:bCs/>
    </w:rPr>
  </w:style>
  <w:style w:type="character" w:customStyle="1" w:styleId="CommentSubjectChar">
    <w:name w:val="Comment Subject Char"/>
    <w:basedOn w:val="CommentTextChar"/>
    <w:link w:val="CommentSubject"/>
    <w:semiHidden/>
    <w:rsid w:val="0030148A"/>
    <w:rPr>
      <w:b/>
      <w:bCs/>
    </w:rPr>
  </w:style>
  <w:style w:type="paragraph" w:styleId="BalloonText">
    <w:name w:val="Balloon Text"/>
    <w:basedOn w:val="Normal"/>
    <w:link w:val="BalloonTextChar"/>
    <w:semiHidden/>
    <w:unhideWhenUsed/>
    <w:rsid w:val="0030148A"/>
    <w:rPr>
      <w:rFonts w:ascii="Segoe UI" w:hAnsi="Segoe UI" w:cs="Segoe UI"/>
      <w:sz w:val="18"/>
      <w:szCs w:val="18"/>
    </w:rPr>
  </w:style>
  <w:style w:type="character" w:customStyle="1" w:styleId="BalloonTextChar">
    <w:name w:val="Balloon Text Char"/>
    <w:basedOn w:val="DefaultParagraphFont"/>
    <w:link w:val="BalloonText"/>
    <w:semiHidden/>
    <w:rsid w:val="0030148A"/>
    <w:rPr>
      <w:rFonts w:ascii="Segoe UI" w:hAnsi="Segoe UI" w:cs="Segoe UI"/>
      <w:sz w:val="18"/>
      <w:szCs w:val="18"/>
    </w:rPr>
  </w:style>
  <w:style w:type="paragraph" w:customStyle="1" w:styleId="AMNumberTabs0">
    <w:name w:val="AMNumberTabs"/>
    <w:basedOn w:val="Normal"/>
    <w:rsid w:val="0030148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30148A"/>
    <w:pPr>
      <w:spacing w:after="240"/>
      <w:jc w:val="center"/>
    </w:pPr>
    <w:rPr>
      <w:i/>
    </w:rPr>
  </w:style>
  <w:style w:type="paragraph" w:customStyle="1" w:styleId="Olang">
    <w:name w:val="Olang"/>
    <w:basedOn w:val="Normal"/>
    <w:rsid w:val="0030148A"/>
    <w:pPr>
      <w:spacing w:before="240" w:after="240"/>
      <w:jc w:val="right"/>
    </w:pPr>
    <w:rPr>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904A1-D9C6-4BA7-998E-2E470A5A0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6796</Words>
  <Characters>39621</Characters>
  <Application>Microsoft Office Word</Application>
  <DocSecurity>0</DocSecurity>
  <Lines>1467</Lines>
  <Paragraphs>390</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46027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GOESSINGER SKLENAROVA Ruzena</dc:creator>
  <cp:lastModifiedBy>EINHORNOVA Marta</cp:lastModifiedBy>
  <cp:revision>2</cp:revision>
  <cp:lastPrinted>2004-11-04T09:41:00Z</cp:lastPrinted>
  <dcterms:created xsi:type="dcterms:W3CDTF">2023-09-19T08:53:00Z</dcterms:created>
  <dcterms:modified xsi:type="dcterms:W3CDTF">2023-09-19T08:53:00Z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1285389</vt:lpwstr>
  </property>
  <property fmtid="{D5CDD505-2E9C-101B-9397-08002B2CF9AE}" pid="4" name="&lt;Model&gt;">
    <vt:lpwstr>PR_COD_1amCom</vt:lpwstr>
  </property>
  <property fmtid="{D5CDD505-2E9C-101B-9397-08002B2CF9AE}" pid="5" name="&lt;ModelCod&gt;">
    <vt:lpwstr>\\eiciLUXpr1\pdocep$\DocEP\DOCS\General\PR\PR_Leg\COD\COD_1st\PR_COD_1amCom.dotx(17/04/2020 19:27:09)</vt:lpwstr>
  </property>
  <property fmtid="{D5CDD505-2E9C-101B-9397-08002B2CF9AE}" pid="6" name="&lt;ModelTra&gt;">
    <vt:lpwstr>\\eiciLUXpr1\pdocep$\DocEP\TRANSFIL\CS\PR_COD_1amCom.CS(29/06/2022 10:20:42)</vt:lpwstr>
  </property>
  <property fmtid="{D5CDD505-2E9C-101B-9397-08002B2CF9AE}" pid="7" name="&lt;Type&gt;">
    <vt:lpwstr>PR</vt:lpwstr>
  </property>
  <property fmtid="{D5CDD505-2E9C-101B-9397-08002B2CF9AE}" pid="8" name="Bookout">
    <vt:lpwstr>OK - 2023/09/19 10:53</vt:lpwstr>
  </property>
  <property fmtid="{D5CDD505-2E9C-101B-9397-08002B2CF9AE}" pid="9" name="Created with">
    <vt:lpwstr>9.14.1 Build [20230315]</vt:lpwstr>
  </property>
  <property fmtid="{D5CDD505-2E9C-101B-9397-08002B2CF9AE}" pid="10" name="FooterPath">
    <vt:lpwstr>PR\1285389CS.docx</vt:lpwstr>
  </property>
  <property fmtid="{D5CDD505-2E9C-101B-9397-08002B2CF9AE}" pid="11" name="LastEdited with">
    <vt:lpwstr>9.14.1 Build [20230315]</vt:lpwstr>
  </property>
  <property fmtid="{D5CDD505-2E9C-101B-9397-08002B2CF9AE}" pid="12" name="PE number">
    <vt:lpwstr>752.890</vt:lpwstr>
  </property>
  <property fmtid="{D5CDD505-2E9C-101B-9397-08002B2CF9AE}" pid="13" name="SDLStudio">
    <vt:lpwstr/>
  </property>
</Properties>
</file>