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D55B5" w:rsidRPr="007224B7" w:rsidTr="00103A80">
        <w:trPr>
          <w:trHeight w:hRule="exact" w:val="1418"/>
        </w:trPr>
        <w:tc>
          <w:tcPr>
            <w:tcW w:w="6804" w:type="dxa"/>
            <w:shd w:val="clear" w:color="auto" w:fill="auto"/>
            <w:vAlign w:val="center"/>
          </w:tcPr>
          <w:p w:rsidR="00B13D6F" w:rsidRPr="007224B7" w:rsidRDefault="00870768" w:rsidP="00103A80">
            <w:pPr>
              <w:pStyle w:val="EPName"/>
            </w:pPr>
            <w:r w:rsidRPr="007224B7">
              <w:t>Europa-Parlamentet</w:t>
            </w:r>
          </w:p>
          <w:p w:rsidR="00B13D6F" w:rsidRPr="007224B7" w:rsidRDefault="00870768" w:rsidP="005E6280">
            <w:pPr>
              <w:pStyle w:val="EPTerm"/>
            </w:pPr>
            <w:r w:rsidRPr="007224B7">
              <w:t>2019-2024</w:t>
            </w:r>
          </w:p>
        </w:tc>
        <w:tc>
          <w:tcPr>
            <w:tcW w:w="2268" w:type="dxa"/>
            <w:shd w:val="clear" w:color="auto" w:fill="auto"/>
          </w:tcPr>
          <w:p w:rsidR="00B13D6F" w:rsidRPr="007224B7" w:rsidRDefault="00870768" w:rsidP="00103A80">
            <w:pPr>
              <w:pStyle w:val="EPLogo"/>
            </w:pPr>
            <w:r w:rsidRPr="007224B7">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7224B7" w:rsidRDefault="00461601" w:rsidP="00461601">
      <w:pPr>
        <w:pStyle w:val="LineTop"/>
      </w:pPr>
    </w:p>
    <w:p w:rsidR="00461601" w:rsidRPr="007224B7" w:rsidRDefault="00870768" w:rsidP="00461601">
      <w:pPr>
        <w:pStyle w:val="EPBody"/>
      </w:pPr>
      <w:r w:rsidRPr="007224B7">
        <w:rPr>
          <w:rStyle w:val="HideTWBExt"/>
        </w:rPr>
        <w:t>&lt;</w:t>
      </w:r>
      <w:r w:rsidRPr="007224B7">
        <w:rPr>
          <w:rStyle w:val="HideTWBExt"/>
          <w:i w:val="0"/>
        </w:rPr>
        <w:t>Commission</w:t>
      </w:r>
      <w:r w:rsidRPr="007224B7">
        <w:rPr>
          <w:rStyle w:val="HideTWBExt"/>
        </w:rPr>
        <w:t>&gt;</w:t>
      </w:r>
      <w:r w:rsidRPr="007224B7">
        <w:rPr>
          <w:rStyle w:val="HideTWBInt"/>
          <w:color w:val="auto"/>
        </w:rPr>
        <w:t>{LIBE}</w:t>
      </w:r>
      <w:r w:rsidRPr="007224B7">
        <w:t>Udvalget om Borgernes Rettigheder og Retlige og Indre Anliggender</w:t>
      </w:r>
      <w:r w:rsidRPr="007224B7">
        <w:rPr>
          <w:rStyle w:val="HideTWBExt"/>
        </w:rPr>
        <w:t>&lt;/</w:t>
      </w:r>
      <w:r w:rsidRPr="007224B7">
        <w:rPr>
          <w:rStyle w:val="HideTWBExt"/>
          <w:i w:val="0"/>
        </w:rPr>
        <w:t>Commission</w:t>
      </w:r>
      <w:r w:rsidRPr="007224B7">
        <w:rPr>
          <w:rStyle w:val="HideTWBExt"/>
        </w:rPr>
        <w:t>&gt;</w:t>
      </w:r>
    </w:p>
    <w:p w:rsidR="00461601" w:rsidRPr="007224B7" w:rsidRDefault="00461601" w:rsidP="00461601">
      <w:pPr>
        <w:pStyle w:val="LineBottom"/>
      </w:pPr>
    </w:p>
    <w:p w:rsidR="00793EA9" w:rsidRPr="007224B7" w:rsidRDefault="00870768">
      <w:pPr>
        <w:pStyle w:val="CoverReference"/>
      </w:pPr>
      <w:r w:rsidRPr="007224B7">
        <w:rPr>
          <w:rStyle w:val="HideTWBExt"/>
          <w:b w:val="0"/>
        </w:rPr>
        <w:t>&lt;RefProc&gt;</w:t>
      </w:r>
      <w:r w:rsidRPr="007224B7">
        <w:t>2021/0427</w:t>
      </w:r>
      <w:r w:rsidRPr="007224B7">
        <w:rPr>
          <w:rStyle w:val="HideTWBExt"/>
          <w:b w:val="0"/>
        </w:rPr>
        <w:t>&lt;/RefProc&gt;&lt;RefTypeProc&gt;</w:t>
      </w:r>
      <w:r w:rsidRPr="007224B7">
        <w:t>(COD)</w:t>
      </w:r>
      <w:r w:rsidRPr="007224B7">
        <w:rPr>
          <w:rStyle w:val="HideTWBExt"/>
          <w:b w:val="0"/>
        </w:rPr>
        <w:t>&lt;/RefTypeProc&gt;</w:t>
      </w:r>
    </w:p>
    <w:p w:rsidR="00793EA9" w:rsidRPr="007224B7" w:rsidRDefault="00870768">
      <w:pPr>
        <w:pStyle w:val="CoverDate"/>
      </w:pPr>
      <w:r w:rsidRPr="007224B7">
        <w:rPr>
          <w:rStyle w:val="HideTWBExt"/>
        </w:rPr>
        <w:t>&lt;Date&gt;</w:t>
      </w:r>
      <w:r w:rsidRPr="007224B7">
        <w:rPr>
          <w:rStyle w:val="HideTWBInt"/>
          <w:color w:val="auto"/>
        </w:rPr>
        <w:t>{07/09/2023}</w:t>
      </w:r>
      <w:r w:rsidRPr="007224B7">
        <w:t>11.9.2023</w:t>
      </w:r>
      <w:r w:rsidRPr="007224B7">
        <w:rPr>
          <w:rStyle w:val="HideTWBExt"/>
        </w:rPr>
        <w:t>&lt;/Date&gt;</w:t>
      </w:r>
    </w:p>
    <w:p w:rsidR="00793EA9" w:rsidRPr="007224B7" w:rsidRDefault="00870768">
      <w:pPr>
        <w:pStyle w:val="CoverDocType"/>
      </w:pPr>
      <w:r w:rsidRPr="007224B7">
        <w:rPr>
          <w:rStyle w:val="HideTWBExt"/>
          <w:b w:val="0"/>
        </w:rPr>
        <w:t>&lt;RefProcLect&gt;</w:t>
      </w:r>
      <w:r w:rsidRPr="007224B7">
        <w:t>***I</w:t>
      </w:r>
      <w:r w:rsidRPr="007224B7">
        <w:rPr>
          <w:rStyle w:val="HideTWBExt"/>
          <w:b w:val="0"/>
        </w:rPr>
        <w:t>&lt;/RefProcLect&gt;</w:t>
      </w:r>
    </w:p>
    <w:p w:rsidR="00793EA9" w:rsidRPr="007224B7" w:rsidRDefault="00870768">
      <w:pPr>
        <w:pStyle w:val="CoverDocType24a"/>
      </w:pPr>
      <w:r w:rsidRPr="007224B7">
        <w:rPr>
          <w:rStyle w:val="HideTWBExt"/>
          <w:b w:val="0"/>
        </w:rPr>
        <w:t>&lt;TitreType&gt;</w:t>
      </w:r>
      <w:r w:rsidRPr="007224B7">
        <w:t>UDKAST TIL BETÆNKNING</w:t>
      </w:r>
      <w:r w:rsidRPr="007224B7">
        <w:rPr>
          <w:rStyle w:val="HideTWBExt"/>
          <w:b w:val="0"/>
        </w:rPr>
        <w:t>&lt;/TitreType&gt;</w:t>
      </w:r>
    </w:p>
    <w:p w:rsidR="00793EA9" w:rsidRPr="007224B7" w:rsidRDefault="00870768">
      <w:pPr>
        <w:pStyle w:val="CoverNormal"/>
      </w:pPr>
      <w:r w:rsidRPr="007224B7">
        <w:rPr>
          <w:rStyle w:val="HideTWBExt"/>
        </w:rPr>
        <w:t>&lt;Titre&gt;</w:t>
      </w:r>
      <w:r w:rsidRPr="007224B7">
        <w:t>om forslag til Europa-Parlamentets og Rådets forordning om håndtering af tilfælde af instrumentalisering på migrations- og asylområdet</w:t>
      </w:r>
      <w:r w:rsidRPr="007224B7">
        <w:cr/>
      </w:r>
      <w:r w:rsidRPr="007224B7">
        <w:br/>
      </w:r>
      <w:r w:rsidRPr="007224B7">
        <w:rPr>
          <w:rStyle w:val="HideTWBExt"/>
        </w:rPr>
        <w:t>&lt;/Titre&gt;</w:t>
      </w:r>
    </w:p>
    <w:p w:rsidR="00793EA9" w:rsidRPr="007224B7" w:rsidRDefault="00870768">
      <w:pPr>
        <w:pStyle w:val="CoverNormal24a"/>
      </w:pPr>
      <w:r w:rsidRPr="007224B7">
        <w:rPr>
          <w:rStyle w:val="HideTWBExt"/>
        </w:rPr>
        <w:t>&lt;DocRef&gt;</w:t>
      </w:r>
      <w:r w:rsidRPr="007224B7">
        <w:t>(COM2021/0890 – C9</w:t>
      </w:r>
      <w:r w:rsidRPr="007224B7">
        <w:noBreakHyphen/>
        <w:t>0474/2021 – 2021/</w:t>
      </w:r>
      <w:r w:rsidRPr="007224B7">
        <w:t>0427(COD))</w:t>
      </w:r>
      <w:r w:rsidRPr="007224B7">
        <w:rPr>
          <w:rStyle w:val="HideTWBExt"/>
        </w:rPr>
        <w:t>&lt;/DocRef&gt;</w:t>
      </w:r>
    </w:p>
    <w:p w:rsidR="00793EA9" w:rsidRPr="007224B7" w:rsidRDefault="00870768">
      <w:pPr>
        <w:pStyle w:val="CoverNormal24a"/>
      </w:pPr>
      <w:r w:rsidRPr="007224B7">
        <w:rPr>
          <w:rStyle w:val="HideTWBExt"/>
        </w:rPr>
        <w:t>&lt;Commission&gt;</w:t>
      </w:r>
      <w:r w:rsidRPr="007224B7">
        <w:rPr>
          <w:rStyle w:val="HideTWBInt"/>
          <w:color w:val="auto"/>
        </w:rPr>
        <w:t>{LIBE}</w:t>
      </w:r>
      <w:r w:rsidRPr="007224B7">
        <w:t>Udvalget om Borgernes Rettigheder og Retlige og Indre Anliggender</w:t>
      </w:r>
      <w:r w:rsidRPr="007224B7">
        <w:rPr>
          <w:rStyle w:val="HideTWBExt"/>
        </w:rPr>
        <w:t>&lt;/Commission&gt;</w:t>
      </w:r>
    </w:p>
    <w:p w:rsidR="00793EA9" w:rsidRPr="007224B7" w:rsidRDefault="00870768">
      <w:pPr>
        <w:pStyle w:val="CoverNormal24a"/>
      </w:pPr>
      <w:r w:rsidRPr="007224B7">
        <w:t xml:space="preserve">Ordfører (for udtalelse): </w:t>
      </w:r>
      <w:r w:rsidRPr="007224B7">
        <w:rPr>
          <w:rStyle w:val="HideTWBExt"/>
        </w:rPr>
        <w:t>&lt;Depute&gt;</w:t>
      </w:r>
      <w:r w:rsidRPr="007224B7">
        <w:t>Patryk Jaki</w:t>
      </w:r>
      <w:r w:rsidRPr="007224B7">
        <w:rPr>
          <w:rStyle w:val="HideTWBExt"/>
        </w:rPr>
        <w:t>&lt;/Depute&gt;</w:t>
      </w:r>
    </w:p>
    <w:p w:rsidR="001C5B44" w:rsidRPr="007224B7" w:rsidRDefault="001C5B44" w:rsidP="001C5B44">
      <w:pPr>
        <w:pStyle w:val="CoverNormal"/>
      </w:pPr>
    </w:p>
    <w:p w:rsidR="005E6280" w:rsidRPr="007224B7" w:rsidRDefault="00870768" w:rsidP="00103A80">
      <w:r w:rsidRPr="007224B7">
        <w:br w:type="page"/>
      </w:r>
      <w:r w:rsidRPr="007224B7">
        <w:lastRenderedPageBreak/>
        <w:fldChar w:fldCharType="begin"/>
      </w:r>
      <w:r w:rsidRPr="007224B7">
        <w:instrText xml:space="preserve"> TITLE  \* MERGEFORMAT </w:instrText>
      </w:r>
      <w:r w:rsidRPr="007224B7">
        <w:fldChar w:fldCharType="separate"/>
      </w:r>
      <w:r>
        <w:t>PR_COD_1amCom</w:t>
      </w:r>
      <w:r w:rsidRPr="007224B7">
        <w:fldChar w:fldCharType="end"/>
      </w:r>
    </w:p>
    <w:p w:rsidR="005E6280" w:rsidRPr="007224B7" w:rsidRDefault="005E6280" w:rsidP="00103A80"/>
    <w:p w:rsidR="005E6280" w:rsidRPr="007224B7" w:rsidRDefault="005E6280" w:rsidP="00103A80"/>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2D55B5" w:rsidRPr="007224B7">
        <w:tc>
          <w:tcPr>
            <w:tcW w:w="5811" w:type="dxa"/>
          </w:tcPr>
          <w:p w:rsidR="005E6280" w:rsidRPr="007224B7" w:rsidRDefault="00870768" w:rsidP="00103A80">
            <w:pPr>
              <w:pStyle w:val="Lgendetitre"/>
            </w:pPr>
            <w:r w:rsidRPr="007224B7">
              <w:t>Tegnforklaring</w:t>
            </w:r>
          </w:p>
        </w:tc>
      </w:tr>
      <w:tr w:rsidR="002D55B5" w:rsidRPr="007224B7" w:rsidTr="00103A80">
        <w:trPr>
          <w:cantSplit/>
          <w:trHeight w:val="1807"/>
        </w:trPr>
        <w:tc>
          <w:tcPr>
            <w:tcW w:w="5811" w:type="dxa"/>
            <w:tcBorders>
              <w:bottom w:val="single" w:sz="4" w:space="0" w:color="auto"/>
            </w:tcBorders>
          </w:tcPr>
          <w:p w:rsidR="005E6280" w:rsidRPr="007224B7" w:rsidRDefault="00870768" w:rsidP="00103A80">
            <w:pPr>
              <w:pStyle w:val="Lgendesigne"/>
            </w:pPr>
            <w:r w:rsidRPr="007224B7">
              <w:tab/>
              <w:t>*</w:t>
            </w:r>
            <w:r w:rsidRPr="007224B7">
              <w:tab/>
              <w:t>Høringsprocedure</w:t>
            </w:r>
          </w:p>
          <w:p w:rsidR="005E6280" w:rsidRPr="007224B7" w:rsidRDefault="00870768" w:rsidP="00103A80">
            <w:pPr>
              <w:pStyle w:val="Lgendesigne"/>
            </w:pPr>
            <w:r w:rsidRPr="007224B7">
              <w:tab/>
              <w:t>***</w:t>
            </w:r>
            <w:r w:rsidRPr="007224B7">
              <w:tab/>
              <w:t>Godkendelsesprocedure</w:t>
            </w:r>
          </w:p>
          <w:p w:rsidR="005E6280" w:rsidRPr="007224B7" w:rsidRDefault="00870768" w:rsidP="00103A80">
            <w:pPr>
              <w:pStyle w:val="Lgendesigne"/>
            </w:pPr>
            <w:r w:rsidRPr="007224B7">
              <w:tab/>
              <w:t>***I</w:t>
            </w:r>
            <w:r w:rsidRPr="007224B7">
              <w:tab/>
              <w:t>Almindelig lovgivningsprocedure (førstebehandling)</w:t>
            </w:r>
          </w:p>
          <w:p w:rsidR="005E6280" w:rsidRPr="007224B7" w:rsidRDefault="00870768" w:rsidP="00103A80">
            <w:pPr>
              <w:pStyle w:val="Lgendesigne"/>
            </w:pPr>
            <w:r w:rsidRPr="007224B7">
              <w:tab/>
              <w:t>***II</w:t>
            </w:r>
            <w:r w:rsidRPr="007224B7">
              <w:tab/>
              <w:t>Almindelig lovgivningsprocedure (andenbehandling)</w:t>
            </w:r>
          </w:p>
          <w:p w:rsidR="005E6280" w:rsidRPr="007224B7" w:rsidRDefault="00870768" w:rsidP="00103A80">
            <w:pPr>
              <w:pStyle w:val="Lgendesigne"/>
            </w:pPr>
            <w:r w:rsidRPr="007224B7">
              <w:tab/>
              <w:t>***III</w:t>
            </w:r>
            <w:r w:rsidRPr="007224B7">
              <w:tab/>
              <w:t>Almindelig lovgivningsprocedure (tredjebehandling)</w:t>
            </w:r>
          </w:p>
          <w:p w:rsidR="005E6280" w:rsidRPr="007224B7" w:rsidRDefault="005E6280" w:rsidP="00103A80">
            <w:pPr>
              <w:pStyle w:val="Lgendestandard"/>
            </w:pPr>
          </w:p>
          <w:p w:rsidR="005E6280" w:rsidRPr="007224B7" w:rsidRDefault="00870768" w:rsidP="00103A80">
            <w:pPr>
              <w:pStyle w:val="Lgendestandard"/>
            </w:pPr>
            <w:r w:rsidRPr="007224B7">
              <w:t xml:space="preserve">(Proceduren afhænger af, hvilket retsgrundlag der er valgt </w:t>
            </w:r>
            <w:r w:rsidRPr="007224B7">
              <w:t>i udkastet til retsakt)</w:t>
            </w:r>
          </w:p>
          <w:p w:rsidR="005E6280" w:rsidRPr="007224B7" w:rsidRDefault="005E6280" w:rsidP="00103A80">
            <w:pPr>
              <w:pStyle w:val="Lgendestandard"/>
            </w:pPr>
          </w:p>
        </w:tc>
      </w:tr>
    </w:tbl>
    <w:p w:rsidR="005E6280" w:rsidRPr="007224B7" w:rsidRDefault="005E6280" w:rsidP="00103A80"/>
    <w:p w:rsidR="005E6280" w:rsidRPr="007224B7" w:rsidRDefault="005E6280" w:rsidP="00103A80"/>
    <w:p w:rsidR="005E6280" w:rsidRPr="007224B7" w:rsidRDefault="005E6280" w:rsidP="00103A80"/>
    <w:p w:rsidR="005E6280" w:rsidRPr="007224B7" w:rsidRDefault="005E6280" w:rsidP="00103A80"/>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2D55B5" w:rsidRPr="007224B7">
        <w:tc>
          <w:tcPr>
            <w:tcW w:w="5811" w:type="dxa"/>
          </w:tcPr>
          <w:p w:rsidR="005E6280" w:rsidRPr="007224B7" w:rsidRDefault="00870768" w:rsidP="00103A80">
            <w:pPr>
              <w:pStyle w:val="Lgendetitre"/>
            </w:pPr>
            <w:r w:rsidRPr="007224B7">
              <w:t>Ændringsforslag til et udkast til retsakt</w:t>
            </w:r>
          </w:p>
        </w:tc>
      </w:tr>
      <w:tr w:rsidR="002D55B5" w:rsidRPr="007224B7" w:rsidTr="00103A80">
        <w:trPr>
          <w:trHeight w:val="4496"/>
        </w:trPr>
        <w:tc>
          <w:tcPr>
            <w:tcW w:w="5811" w:type="dxa"/>
          </w:tcPr>
          <w:p w:rsidR="005E6280" w:rsidRPr="007224B7" w:rsidRDefault="00870768" w:rsidP="00103A80">
            <w:pPr>
              <w:pStyle w:val="Lgendestandard"/>
              <w:rPr>
                <w:szCs w:val="24"/>
              </w:rPr>
            </w:pPr>
            <w:r w:rsidRPr="007224B7">
              <w:rPr>
                <w:b/>
              </w:rPr>
              <w:t>Ændringsforslag fra Parlamentet opstillet i to kolonner</w:t>
            </w:r>
          </w:p>
          <w:p w:rsidR="005E6280" w:rsidRPr="007224B7" w:rsidRDefault="005E6280" w:rsidP="00103A80">
            <w:pPr>
              <w:pStyle w:val="Lgendestandard"/>
              <w:rPr>
                <w:szCs w:val="24"/>
              </w:rPr>
            </w:pPr>
          </w:p>
          <w:p w:rsidR="005E6280" w:rsidRPr="007224B7" w:rsidRDefault="00870768" w:rsidP="00103A80">
            <w:pPr>
              <w:pStyle w:val="Lgendestandard"/>
              <w:rPr>
                <w:szCs w:val="24"/>
              </w:rPr>
            </w:pPr>
            <w:r w:rsidRPr="007224B7">
              <w:t xml:space="preserve">Tekst, der udgår, er markeret med fede typer og kursiv i venstre kolonne. Tekst, der udskiftes, er markeret med fede typer og </w:t>
            </w:r>
            <w:r w:rsidRPr="007224B7">
              <w:t>kursiv i begge kolonner. Ny tekst er markeret med fede typer og kursiv i højre kolonne.</w:t>
            </w:r>
          </w:p>
          <w:p w:rsidR="005E6280" w:rsidRPr="007224B7" w:rsidRDefault="005E6280" w:rsidP="00103A80">
            <w:pPr>
              <w:pStyle w:val="Lgendestandard"/>
              <w:rPr>
                <w:szCs w:val="24"/>
              </w:rPr>
            </w:pPr>
          </w:p>
          <w:p w:rsidR="005E6280" w:rsidRPr="007224B7" w:rsidRDefault="00870768" w:rsidP="00103A80">
            <w:pPr>
              <w:pStyle w:val="Lgendestandard"/>
              <w:rPr>
                <w:szCs w:val="24"/>
              </w:rPr>
            </w:pPr>
            <w:r w:rsidRPr="007224B7">
              <w:t xml:space="preserve">Den første og den anden linje i informationsblokken til hvert ændringsforslag angiver den relevante passage i det pågældende udkast til retsakt. Hvis et </w:t>
            </w:r>
            <w:r w:rsidRPr="007224B7">
              <w:t>ændringsforslag angår en eksisterende retsakt, som udkastet til retsakt har til formål at ændre, indeholder informationsblokken tillige en tredje og en fjerde linje, hvori det er anført, hvilken eksisterende retsakt og hvilken bestemmelse heri der er berør</w:t>
            </w:r>
            <w:r w:rsidRPr="007224B7">
              <w:t>t.</w:t>
            </w:r>
          </w:p>
          <w:p w:rsidR="005E6280" w:rsidRPr="007224B7" w:rsidRDefault="005E6280" w:rsidP="00103A80">
            <w:pPr>
              <w:pStyle w:val="Lgendestandard"/>
              <w:rPr>
                <w:szCs w:val="24"/>
              </w:rPr>
            </w:pPr>
          </w:p>
          <w:p w:rsidR="005E6280" w:rsidRPr="007224B7" w:rsidRDefault="00870768" w:rsidP="00103A80">
            <w:pPr>
              <w:pStyle w:val="Lgendestandard"/>
              <w:rPr>
                <w:b/>
                <w:szCs w:val="24"/>
              </w:rPr>
            </w:pPr>
            <w:r w:rsidRPr="007224B7">
              <w:rPr>
                <w:b/>
              </w:rPr>
              <w:t>Ændringsforslag fra Parlamentet i form af en konsolideret tekst</w:t>
            </w:r>
          </w:p>
          <w:p w:rsidR="005E6280" w:rsidRPr="007224B7" w:rsidRDefault="005E6280" w:rsidP="00103A80">
            <w:pPr>
              <w:pStyle w:val="Lgendestandard"/>
              <w:rPr>
                <w:szCs w:val="24"/>
              </w:rPr>
            </w:pPr>
          </w:p>
          <w:p w:rsidR="005E6280" w:rsidRPr="007224B7" w:rsidRDefault="00870768" w:rsidP="00103A80">
            <w:pPr>
              <w:pStyle w:val="Lgendestandard"/>
              <w:rPr>
                <w:szCs w:val="24"/>
              </w:rPr>
            </w:pPr>
            <w:r w:rsidRPr="007224B7">
              <w:t>Ny tekst er markeret med fede typer og kursiv. Tekst, som er bortfaldet, markeres med symbolet ▌eller med overstregning. Ved udskiftninger markeres den nye tekst med fede typer og kursiv,</w:t>
            </w:r>
            <w:r w:rsidRPr="007224B7">
              <w:t xml:space="preserve"> og den udskiftede tekst slettes eller overstreges. </w:t>
            </w:r>
          </w:p>
          <w:p w:rsidR="005E6280" w:rsidRPr="007224B7" w:rsidRDefault="00870768" w:rsidP="00103A80">
            <w:pPr>
              <w:pStyle w:val="Lgendestandard"/>
            </w:pPr>
            <w:r w:rsidRPr="007224B7">
              <w:t>Som en undtagelse bliver rent tekniske justeringer, der er foretaget af de berørte tjenestegrene med henblik på udarbejdelsen af den endelige tekst, ikke markeret.</w:t>
            </w:r>
          </w:p>
          <w:p w:rsidR="005E6280" w:rsidRPr="007224B7" w:rsidRDefault="005E6280" w:rsidP="00103A80">
            <w:pPr>
              <w:pStyle w:val="Lgendestandard"/>
            </w:pPr>
          </w:p>
        </w:tc>
      </w:tr>
    </w:tbl>
    <w:p w:rsidR="005E6280" w:rsidRPr="007224B7" w:rsidRDefault="005E6280" w:rsidP="00103A80"/>
    <w:p w:rsidR="00793EA9" w:rsidRPr="007224B7" w:rsidRDefault="00793EA9" w:rsidP="00012351">
      <w:pPr>
        <w:widowControl/>
        <w:tabs>
          <w:tab w:val="center" w:pos="4677"/>
        </w:tabs>
      </w:pPr>
    </w:p>
    <w:p w:rsidR="00793EA9" w:rsidRPr="007224B7" w:rsidRDefault="00870768">
      <w:pPr>
        <w:pStyle w:val="TOCHeading"/>
      </w:pPr>
      <w:r w:rsidRPr="007224B7">
        <w:br w:type="page"/>
      </w:r>
      <w:r w:rsidRPr="007224B7">
        <w:lastRenderedPageBreak/>
        <w:t>INDHOLD</w:t>
      </w:r>
    </w:p>
    <w:p w:rsidR="00793EA9" w:rsidRPr="007224B7" w:rsidRDefault="00870768">
      <w:pPr>
        <w:pStyle w:val="TOCPage"/>
      </w:pPr>
      <w:r w:rsidRPr="007224B7">
        <w:t>Side</w:t>
      </w:r>
    </w:p>
    <w:p w:rsidR="00870768" w:rsidRDefault="00870768">
      <w:pPr>
        <w:pStyle w:val="TOC1"/>
        <w:tabs>
          <w:tab w:val="right" w:leader="dot" w:pos="9060"/>
        </w:tabs>
        <w:rPr>
          <w:rFonts w:asciiTheme="minorHAnsi" w:eastAsiaTheme="minorEastAsia" w:hAnsiTheme="minorHAnsi" w:cstheme="minorBidi"/>
          <w:noProof/>
          <w:sz w:val="22"/>
          <w:szCs w:val="22"/>
          <w:lang w:val="en-GB"/>
        </w:rPr>
      </w:pPr>
      <w:r w:rsidRPr="007224B7">
        <w:rPr>
          <w:b/>
        </w:rPr>
        <w:fldChar w:fldCharType="begin"/>
      </w:r>
      <w:r w:rsidRPr="007224B7">
        <w:rPr>
          <w:b/>
        </w:rPr>
        <w:instrText xml:space="preserve"> TOC \t "PageHeading</w:instrText>
      </w:r>
      <w:r w:rsidR="00341BCE" w:rsidRPr="007224B7">
        <w:rPr>
          <w:b/>
        </w:rPr>
        <w:instrText>;</w:instrText>
      </w:r>
      <w:r w:rsidRPr="007224B7">
        <w:rPr>
          <w:b/>
        </w:rPr>
        <w:instrText xml:space="preserve">1" </w:instrText>
      </w:r>
      <w:r w:rsidRPr="007224B7">
        <w:rPr>
          <w:b/>
        </w:rPr>
        <w:fldChar w:fldCharType="separate"/>
      </w:r>
      <w:r>
        <w:rPr>
          <w:noProof/>
        </w:rPr>
        <w:t>FORSLAG TIL EUROPA-PARLAMENTETS LOVGIVNINGSMÆSSIGE BESLUTNING</w:t>
      </w:r>
      <w:r>
        <w:rPr>
          <w:noProof/>
        </w:rPr>
        <w:tab/>
      </w:r>
      <w:r>
        <w:rPr>
          <w:noProof/>
        </w:rPr>
        <w:fldChar w:fldCharType="begin"/>
      </w:r>
      <w:r>
        <w:rPr>
          <w:noProof/>
        </w:rPr>
        <w:instrText xml:space="preserve"> PAGEREF _Toc146021216 \h </w:instrText>
      </w:r>
      <w:r>
        <w:rPr>
          <w:noProof/>
        </w:rPr>
      </w:r>
      <w:r>
        <w:rPr>
          <w:noProof/>
        </w:rPr>
        <w:fldChar w:fldCharType="separate"/>
      </w:r>
      <w:r>
        <w:rPr>
          <w:noProof/>
        </w:rPr>
        <w:t>5</w:t>
      </w:r>
      <w:r>
        <w:rPr>
          <w:noProof/>
        </w:rPr>
        <w:fldChar w:fldCharType="end"/>
      </w:r>
    </w:p>
    <w:p w:rsidR="002346B0" w:rsidRPr="007224B7" w:rsidRDefault="00870768" w:rsidP="00C23324">
      <w:r w:rsidRPr="007224B7">
        <w:rPr>
          <w:b/>
        </w:rPr>
        <w:fldChar w:fldCharType="end"/>
      </w:r>
    </w:p>
    <w:p w:rsidR="00793EA9" w:rsidRPr="007224B7" w:rsidRDefault="00870768">
      <w:pPr>
        <w:pStyle w:val="PageHeading"/>
      </w:pPr>
      <w:r w:rsidRPr="007224B7">
        <w:br w:type="page"/>
      </w:r>
      <w:r w:rsidRPr="007224B7">
        <w:lastRenderedPageBreak/>
        <w:br w:type="page"/>
      </w:r>
      <w:bookmarkStart w:id="0" w:name="_Toc146021216"/>
      <w:r w:rsidRPr="007224B7">
        <w:lastRenderedPageBreak/>
        <w:t>FORSLAG TIL EUROPA-PARLAMENTETS LOVGIVNINGSMÆSSIGE BESLUTNING</w:t>
      </w:r>
      <w:bookmarkEnd w:id="0"/>
    </w:p>
    <w:p w:rsidR="00793EA9" w:rsidRPr="007224B7" w:rsidRDefault="00870768">
      <w:pPr>
        <w:pStyle w:val="NormalBold"/>
      </w:pPr>
      <w:r w:rsidRPr="007224B7">
        <w:t>om forslag til Europa-Parlamentets og Råd</w:t>
      </w:r>
      <w:r w:rsidRPr="007224B7">
        <w:t>ets forordning om håndtering af tilfælde af instrumentalisering på migrations- og asylområdet</w:t>
      </w:r>
    </w:p>
    <w:p w:rsidR="00793EA9" w:rsidRPr="007224B7" w:rsidRDefault="00870768">
      <w:pPr>
        <w:pStyle w:val="NormalBold12a"/>
      </w:pPr>
      <w:r w:rsidRPr="007224B7">
        <w:t>(COM2021/0890 – C9</w:t>
      </w:r>
      <w:r w:rsidRPr="007224B7">
        <w:noBreakHyphen/>
        <w:t>0474/2021 – 2021/0427(COD))</w:t>
      </w:r>
    </w:p>
    <w:p w:rsidR="00793EA9" w:rsidRPr="007224B7" w:rsidRDefault="00870768" w:rsidP="00A910C9">
      <w:pPr>
        <w:pStyle w:val="NormalBold"/>
      </w:pPr>
      <w:r w:rsidRPr="007224B7">
        <w:t>(Almindelig lovgivningsprocedure: førstebehandling)</w:t>
      </w:r>
    </w:p>
    <w:p w:rsidR="00793EA9" w:rsidRPr="007224B7" w:rsidRDefault="00870768" w:rsidP="00A910C9">
      <w:pPr>
        <w:pStyle w:val="EPComma"/>
      </w:pPr>
      <w:r w:rsidRPr="007224B7">
        <w:rPr>
          <w:i/>
          <w:iCs/>
        </w:rPr>
        <w:t>Europa-Parlamentet,</w:t>
      </w:r>
    </w:p>
    <w:p w:rsidR="00793EA9" w:rsidRPr="007224B7" w:rsidRDefault="00870768">
      <w:pPr>
        <w:pStyle w:val="NormalHanging12a"/>
      </w:pPr>
      <w:r w:rsidRPr="007224B7">
        <w:t>–</w:t>
      </w:r>
      <w:r w:rsidRPr="007224B7">
        <w:tab/>
        <w:t xml:space="preserve">der henviser til Kommissionens forslag </w:t>
      </w:r>
      <w:r w:rsidRPr="007224B7">
        <w:t>til Europa-Parlamentet og Rådet (COM(2021)0890),</w:t>
      </w:r>
    </w:p>
    <w:p w:rsidR="00A26F46" w:rsidRPr="007224B7" w:rsidRDefault="00870768" w:rsidP="00653AAE">
      <w:pPr>
        <w:pStyle w:val="NormalHanging12a"/>
      </w:pPr>
      <w:r w:rsidRPr="007224B7">
        <w:t>–</w:t>
      </w:r>
      <w:r w:rsidRPr="007224B7">
        <w:tab/>
        <w:t>der henviser til artikel 294, stk. 2, og artikel xx i traktaten om Den Europæiske Unions funktionsmåde, på grundlag af hvilke Kommissionen har forelagt forslaget for Parlamentet (C9</w:t>
      </w:r>
      <w:r w:rsidRPr="007224B7">
        <w:noBreakHyphen/>
        <w:t>0474/2021),</w:t>
      </w:r>
    </w:p>
    <w:p w:rsidR="00A26F46" w:rsidRPr="007224B7" w:rsidRDefault="00870768" w:rsidP="00A26F46">
      <w:pPr>
        <w:pStyle w:val="NormalHanging12a"/>
      </w:pPr>
      <w:r w:rsidRPr="007224B7">
        <w:t>–</w:t>
      </w:r>
      <w:r w:rsidRPr="007224B7">
        <w:tab/>
        <w:t>der henvi</w:t>
      </w:r>
      <w:r w:rsidRPr="007224B7">
        <w:t>ser til artikel 294, stk. 3, i traktaten om Den Europæiske Unions funktionsmåde,</w:t>
      </w:r>
    </w:p>
    <w:p w:rsidR="00793EA9" w:rsidRPr="007224B7" w:rsidRDefault="00870768">
      <w:pPr>
        <w:pStyle w:val="NormalHanging12a"/>
      </w:pPr>
      <w:r w:rsidRPr="007224B7">
        <w:t>–</w:t>
      </w:r>
      <w:r w:rsidRPr="007224B7">
        <w:tab/>
        <w:t>der henviser til forretningsordenens artikel 59,</w:t>
      </w:r>
    </w:p>
    <w:p w:rsidR="006A2F5D" w:rsidRPr="007224B7" w:rsidRDefault="00870768" w:rsidP="006A2F5D">
      <w:pPr>
        <w:pStyle w:val="NormalHanging12a"/>
      </w:pPr>
      <w:r w:rsidRPr="007224B7">
        <w:t>–</w:t>
      </w:r>
      <w:r w:rsidRPr="007224B7">
        <w:tab/>
        <w:t>der henviser til betænkning fra Udvalget om Borgernes Rettigheder og Retlige og Indre Anliggender (A9</w:t>
      </w:r>
      <w:r w:rsidRPr="007224B7">
        <w:noBreakHyphen/>
        <w:t>0000/2023),</w:t>
      </w:r>
    </w:p>
    <w:p w:rsidR="009F6C2F" w:rsidRPr="007224B7" w:rsidRDefault="00870768" w:rsidP="009F6C2F">
      <w:pPr>
        <w:pStyle w:val="NormalHanging12a"/>
      </w:pPr>
      <w:r w:rsidRPr="007224B7">
        <w:t>1.</w:t>
      </w:r>
      <w:r w:rsidRPr="007224B7">
        <w:tab/>
        <w:t>vedta</w:t>
      </w:r>
      <w:r w:rsidRPr="007224B7">
        <w:t>ger nedenstående holdning ved førstebehandling;</w:t>
      </w:r>
    </w:p>
    <w:p w:rsidR="009F6C2F" w:rsidRPr="007224B7" w:rsidRDefault="009F6C2F" w:rsidP="009F6C2F">
      <w:pPr>
        <w:pStyle w:val="NormalHanging12a"/>
      </w:pPr>
    </w:p>
    <w:p w:rsidR="00D30DE2" w:rsidRPr="007224B7" w:rsidRDefault="00D30DE2" w:rsidP="00D30DE2"/>
    <w:p w:rsidR="00200600" w:rsidRPr="007224B7" w:rsidRDefault="00870768" w:rsidP="00200600">
      <w:pPr>
        <w:pStyle w:val="AMNumberTabs0"/>
        <w:keepNext/>
      </w:pPr>
      <w:r w:rsidRPr="007224B7">
        <w:rPr>
          <w:rStyle w:val="HideTWBExt"/>
          <w:b w:val="0"/>
        </w:rPr>
        <w:t>&lt;RepeatBlock-Amend&gt;</w:t>
      </w:r>
      <w:bookmarkStart w:id="1" w:name="restart"/>
      <w:r w:rsidRPr="007224B7">
        <w:rPr>
          <w:rStyle w:val="HideTWBExt"/>
          <w:b w:val="0"/>
        </w:rPr>
        <w:t>&lt;Amend&gt;</w:t>
      </w:r>
      <w:r w:rsidRPr="007224B7">
        <w:t xml:space="preserve"> Ændringsforslag</w:t>
      </w:r>
      <w:r w:rsidRPr="007224B7">
        <w:tab/>
      </w:r>
      <w:r w:rsidRPr="007224B7">
        <w:tab/>
      </w:r>
      <w:r w:rsidRPr="007224B7">
        <w:rPr>
          <w:rStyle w:val="HideTWBExt"/>
          <w:b w:val="0"/>
        </w:rPr>
        <w:t>&lt;NumAm&gt;</w:t>
      </w:r>
      <w:r w:rsidRPr="007224B7">
        <w:t>1</w:t>
      </w:r>
      <w:r w:rsidRPr="007224B7">
        <w:rPr>
          <w:rStyle w:val="HideTWBExt"/>
          <w:b w:val="0"/>
        </w:rPr>
        <w:t>&lt;/NumAm&gt;</w:t>
      </w:r>
    </w:p>
    <w:p w:rsidR="00103A80" w:rsidRPr="007224B7" w:rsidRDefault="00103A80" w:rsidP="00103A80">
      <w:pPr>
        <w:pStyle w:val="AMNumberTabs0"/>
        <w:keepNext/>
      </w:pP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1</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(1)</w:t>
            </w:r>
            <w:r w:rsidRPr="007224B7">
              <w:tab/>
            </w:r>
            <w:r w:rsidRPr="007224B7">
              <w:t xml:space="preserve">Tilfælde af instrumentalisering af migranter kan opstå, hvis et tredjeland </w:t>
            </w:r>
            <w:r w:rsidRPr="007224B7">
              <w:rPr>
                <w:b/>
                <w:i/>
              </w:rPr>
              <w:t>ansporer til strømme af irregulære migranter</w:t>
            </w:r>
            <w:r w:rsidRPr="007224B7">
              <w:t xml:space="preserve"> til Unionen ved aktivt at tilskynde tredjelandsstatsborgere til eller gøre det lettere for dem at rejse til de ydre grænser, til eller f</w:t>
            </w:r>
            <w:r w:rsidRPr="007224B7">
              <w:t xml:space="preserve">ra </w:t>
            </w:r>
            <w:r w:rsidRPr="007224B7">
              <w:rPr>
                <w:b/>
                <w:i/>
              </w:rPr>
              <w:t>sit område</w:t>
            </w:r>
            <w:r w:rsidRPr="007224B7">
              <w:t xml:space="preserve"> og derefter videre til de ydre grænser, når sådanne foranstaltninger tyder på, at </w:t>
            </w:r>
            <w:r w:rsidRPr="007224B7">
              <w:rPr>
                <w:b/>
                <w:i/>
              </w:rPr>
              <w:t>hensigten</w:t>
            </w:r>
            <w:r w:rsidRPr="007224B7">
              <w:t xml:space="preserve"> er at </w:t>
            </w:r>
            <w:r w:rsidRPr="007224B7">
              <w:lastRenderedPageBreak/>
              <w:t>destabilisere Unionen eller en medlemsstat, og når arten af sådanne foranstaltninger kan bringe væsentlige statslige funktioner i fare, herunder</w:t>
            </w:r>
            <w:r w:rsidRPr="007224B7">
              <w:t xml:space="preserve"> dens territoriale integritet, opretholdelsen af lov og orden eller beskyttelsen af den nationale sikkerhed.</w:t>
            </w:r>
          </w:p>
        </w:tc>
        <w:tc>
          <w:tcPr>
            <w:tcW w:w="4876" w:type="dxa"/>
          </w:tcPr>
          <w:p w:rsidR="00103A80" w:rsidRPr="007224B7" w:rsidRDefault="00870768" w:rsidP="00103A80">
            <w:pPr>
              <w:pStyle w:val="Normal6"/>
              <w:rPr>
                <w:szCs w:val="24"/>
              </w:rPr>
            </w:pPr>
            <w:r w:rsidRPr="007224B7">
              <w:lastRenderedPageBreak/>
              <w:t>(1)</w:t>
            </w:r>
            <w:r w:rsidRPr="007224B7">
              <w:tab/>
              <w:t xml:space="preserve">Tilfælde af instrumentalisering af migranter kan opstå, hvis et tredjeland </w:t>
            </w:r>
            <w:r w:rsidRPr="007224B7">
              <w:rPr>
                <w:b/>
                <w:i/>
              </w:rPr>
              <w:t>eller en ikkestatslig aktør ansporer til irregulær migration</w:t>
            </w:r>
            <w:r w:rsidRPr="007224B7">
              <w:t xml:space="preserve"> til Uni</w:t>
            </w:r>
            <w:r w:rsidRPr="007224B7">
              <w:t xml:space="preserve">onen ved aktivt at tilskynde tredjelandsstatsborgere </w:t>
            </w:r>
            <w:r w:rsidRPr="007224B7">
              <w:rPr>
                <w:b/>
                <w:i/>
              </w:rPr>
              <w:t xml:space="preserve">eller statsløse personer </w:t>
            </w:r>
            <w:r w:rsidRPr="007224B7">
              <w:t>til eller gøre det lettere for</w:t>
            </w:r>
            <w:r w:rsidRPr="007224B7">
              <w:rPr>
                <w:b/>
                <w:i/>
              </w:rPr>
              <w:t xml:space="preserve"> dem, eller endda tvinge</w:t>
            </w:r>
            <w:r w:rsidRPr="007224B7">
              <w:t xml:space="preserve"> dem </w:t>
            </w:r>
            <w:r w:rsidRPr="007224B7">
              <w:rPr>
                <w:b/>
                <w:i/>
              </w:rPr>
              <w:t xml:space="preserve">til </w:t>
            </w:r>
            <w:r w:rsidRPr="007224B7">
              <w:t xml:space="preserve">at rejse til de ydre grænser, til eller fra </w:t>
            </w:r>
            <w:r w:rsidRPr="007224B7">
              <w:rPr>
                <w:b/>
                <w:i/>
              </w:rPr>
              <w:t>et tredjelands territorium</w:t>
            </w:r>
            <w:r w:rsidRPr="007224B7">
              <w:t xml:space="preserve"> og derefter videre </w:t>
            </w:r>
            <w:r w:rsidRPr="007224B7">
              <w:lastRenderedPageBreak/>
              <w:t>til de ydre grænser</w:t>
            </w:r>
            <w:r w:rsidRPr="007224B7">
              <w:rPr>
                <w:b/>
                <w:i/>
              </w:rPr>
              <w:t xml:space="preserve"> eller</w:t>
            </w:r>
            <w:r w:rsidRPr="007224B7">
              <w:rPr>
                <w:b/>
                <w:i/>
              </w:rPr>
              <w:t xml:space="preserve"> til en eller flere medlemsstaters territorier</w:t>
            </w:r>
            <w:r w:rsidRPr="007224B7">
              <w:t xml:space="preserve">, når sådanne foranstaltninger tyder på, at </w:t>
            </w:r>
            <w:r w:rsidRPr="007224B7">
              <w:rPr>
                <w:b/>
                <w:i/>
              </w:rPr>
              <w:t>tredjelandets eller den ikkestatslige aktørs hensigt</w:t>
            </w:r>
            <w:r w:rsidRPr="007224B7">
              <w:t xml:space="preserve"> er at destabilisere Unionen eller en medlemsstat, og når arten af sådanne foranstaltninger kan bringe væsentlige statslige funktioner i fare, herunder dens territoriale integritet, opretholdelsen af lov og orden eller beskyttelsen af den nationale sikkerh</w:t>
            </w:r>
            <w:r w:rsidRPr="007224B7">
              <w:t xml:space="preserve">ed. </w:t>
            </w:r>
            <w:r w:rsidRPr="007224B7">
              <w:rPr>
                <w:b/>
                <w:i/>
              </w:rPr>
              <w:t>Det er hensigtsmæssigt at tilpasse den retlige definition af instrumentalisering i denne forordning til den definition, der anvendes i Europa-Parlamentets og Rådets forordning (EU) 2016/399</w:t>
            </w:r>
            <w:r w:rsidRPr="007224B7">
              <w:rPr>
                <w:b/>
                <w:i/>
                <w:vertAlign w:val="superscript"/>
              </w:rPr>
              <w:t>1a</w:t>
            </w:r>
            <w:r w:rsidRPr="007224B7">
              <w:rPr>
                <w:b/>
                <w:i/>
              </w:rPr>
              <w:t>.</w:t>
            </w:r>
          </w:p>
        </w:tc>
      </w:tr>
      <w:tr w:rsidR="002D55B5" w:rsidRPr="007224B7" w:rsidTr="00103A80">
        <w:trPr>
          <w:jc w:val="center"/>
        </w:trPr>
        <w:tc>
          <w:tcPr>
            <w:tcW w:w="4876" w:type="dxa"/>
          </w:tcPr>
          <w:p w:rsidR="00103A80" w:rsidRPr="007224B7" w:rsidRDefault="00103A80" w:rsidP="00103A80">
            <w:pPr>
              <w:pStyle w:val="Normal6"/>
            </w:pPr>
          </w:p>
        </w:tc>
        <w:tc>
          <w:tcPr>
            <w:tcW w:w="4876" w:type="dxa"/>
          </w:tcPr>
          <w:p w:rsidR="00103A80" w:rsidRPr="007224B7" w:rsidRDefault="00870768" w:rsidP="00103A80">
            <w:pPr>
              <w:pStyle w:val="Normal6"/>
              <w:rPr>
                <w:szCs w:val="24"/>
              </w:rPr>
            </w:pPr>
            <w:r w:rsidRPr="007224B7">
              <w:rPr>
                <w:b/>
                <w:i/>
                <w:vertAlign w:val="superscript"/>
              </w:rPr>
              <w:t>1a</w:t>
            </w:r>
            <w:r w:rsidRPr="007224B7">
              <w:rPr>
                <w:b/>
                <w:i/>
              </w:rPr>
              <w:t xml:space="preserve"> Europa-Parlamentets og Rådets forordning (EU) 2016/399</w:t>
            </w:r>
            <w:r w:rsidRPr="007224B7">
              <w:rPr>
                <w:b/>
                <w:i/>
              </w:rPr>
              <w:t xml:space="preserve"> af 9. marts 2016 om en EU-kodeks for personers grænsepassage (Schengengrænsekodeks) (EUT L 77 af 23.3.2016, s. 1).</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2</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1 a (ny)</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103A80" w:rsidP="00103A80">
            <w:pPr>
              <w:pStyle w:val="Normal6"/>
            </w:pPr>
          </w:p>
        </w:tc>
        <w:tc>
          <w:tcPr>
            <w:tcW w:w="4876" w:type="dxa"/>
          </w:tcPr>
          <w:p w:rsidR="00103A80" w:rsidRPr="007224B7" w:rsidRDefault="00870768" w:rsidP="00103A80">
            <w:pPr>
              <w:pStyle w:val="Normal6"/>
              <w:rPr>
                <w:szCs w:val="24"/>
              </w:rPr>
            </w:pPr>
            <w:r w:rsidRPr="007224B7">
              <w:rPr>
                <w:b/>
                <w:i/>
              </w:rPr>
              <w:t>(1a)</w:t>
            </w:r>
            <w:r w:rsidRPr="007224B7">
              <w:rPr>
                <w:b/>
                <w:i/>
              </w:rPr>
              <w:tab/>
              <w:t>Situationer, hvor ikkestatslige aktører er involveret i organiseret kriminalitet, navnlig smugling af migranter, bør ikke betragtes som instrumentalisering af migranter, når form</w:t>
            </w:r>
            <w:r w:rsidRPr="007224B7">
              <w:rPr>
                <w:b/>
                <w:i/>
              </w:rPr>
              <w:t>ålet ikke er at destabilisere Unionen eller en medlemsstat. Endvidere bør humanitære bistandsaktioner ikke betragtes som instrumentalisering af migranter, når der ikke er noget mål om at destabilisere Unionen eller en medlemsstat.</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w:t>
      </w:r>
      <w:r w:rsidRPr="007224B7">
        <w:rPr>
          <w:rStyle w:val="HideTWBExt"/>
          <w:noProof w:val="0"/>
        </w:rPr>
        <w:t>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lastRenderedPageBreak/>
        <w:t>&lt;Amend&gt;</w:t>
      </w:r>
      <w:r w:rsidRPr="007224B7">
        <w:t>Ændringsforslag</w:t>
      </w:r>
      <w:r w:rsidRPr="007224B7">
        <w:tab/>
      </w:r>
      <w:r w:rsidRPr="007224B7">
        <w:tab/>
      </w:r>
      <w:r w:rsidRPr="007224B7">
        <w:rPr>
          <w:rStyle w:val="HideTWBExt"/>
          <w:b w:val="0"/>
        </w:rPr>
        <w:t>&lt;NumAm&gt;</w:t>
      </w:r>
      <w:r w:rsidRPr="007224B7">
        <w:t>3</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2</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(2)</w:t>
            </w:r>
            <w:r w:rsidRPr="007224B7">
              <w:tab/>
              <w:t xml:space="preserve">Denne forordning følger af opfordringen fra Det Europæiske Råd til </w:t>
            </w:r>
            <w:r w:rsidRPr="007224B7">
              <w:t>Kommissionen i konklusionerne af 22. oktober 2021 om at foreslå eventuelle nødvendige ændringer af EU's retlige ramme og konkrete foranstaltninger for at sikre en øjeblikkelig og passende reaktion på det hybride angreb i overensstemmelse med EU-retten og i</w:t>
            </w:r>
            <w:r w:rsidRPr="007224B7">
              <w:t>nternationale forpligtelser. Den bidrager endvidere til at få indført en omfattende og permanent ramme, der udstyrer de berørte medlemsstater med de værktøjer, der er nødvendige for at sætte effektivt og hurtigt ind over for en instrumentalisering under fu</w:t>
            </w:r>
            <w:r w:rsidRPr="007224B7">
              <w:t>ld overholdelse af de grundlæggende rettigheder og internationale forpligtelser.</w:t>
            </w:r>
          </w:p>
        </w:tc>
        <w:tc>
          <w:tcPr>
            <w:tcW w:w="4876" w:type="dxa"/>
          </w:tcPr>
          <w:p w:rsidR="00103A80" w:rsidRPr="007224B7" w:rsidRDefault="00870768" w:rsidP="00103A80">
            <w:pPr>
              <w:pStyle w:val="Normal6"/>
              <w:rPr>
                <w:szCs w:val="24"/>
              </w:rPr>
            </w:pPr>
            <w:r w:rsidRPr="007224B7">
              <w:t>(2)</w:t>
            </w:r>
            <w:r w:rsidRPr="007224B7">
              <w:tab/>
              <w:t xml:space="preserve">Denne forordning følger af opfordringen fra Det Europæiske Råd til Kommissionen i konklusionerne af 22. oktober 2021 om at foreslå eventuelle nødvendige ændringer af EU's </w:t>
            </w:r>
            <w:r w:rsidRPr="007224B7">
              <w:t xml:space="preserve">retlige ramme og konkrete foranstaltninger for at sikre en øjeblikkelig og passende reaktion på det hybride angreb i overensstemmelse med EU-retten og internationale forpligtelser. Den bidrager endvidere til at få indført en omfattende og permanent ramme, </w:t>
            </w:r>
            <w:r w:rsidRPr="007224B7">
              <w:t xml:space="preserve">der udstyrer de berørte medlemsstater med de værktøjer, der er nødvendige for </w:t>
            </w:r>
            <w:r w:rsidRPr="007224B7">
              <w:rPr>
                <w:b/>
                <w:i/>
              </w:rPr>
              <w:t xml:space="preserve">i overensstemmelse med proceduren i denne forordning </w:t>
            </w:r>
            <w:r w:rsidRPr="007224B7">
              <w:t xml:space="preserve">at sætte effektivt og hurtigt ind over for en instrumentalisering under fuld overholdelse af de grundlæggende rettigheder og </w:t>
            </w:r>
            <w:r w:rsidRPr="007224B7">
              <w:t>internationale forpligtelser.</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4</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3</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(3)</w:t>
            </w:r>
            <w:r w:rsidRPr="007224B7">
              <w:tab/>
            </w:r>
            <w:r w:rsidRPr="007224B7">
              <w:t xml:space="preserve">Et af de værktøjer, der indføres ved forordningen, er en nødprocedure for </w:t>
            </w:r>
            <w:r w:rsidRPr="007224B7">
              <w:rPr>
                <w:b/>
                <w:i/>
              </w:rPr>
              <w:t>asylforvaltning</w:t>
            </w:r>
            <w:r w:rsidRPr="007224B7">
              <w:t xml:space="preserve"> og </w:t>
            </w:r>
            <w:r w:rsidRPr="007224B7">
              <w:rPr>
                <w:b/>
                <w:i/>
              </w:rPr>
              <w:t>migrationsstyring</w:t>
            </w:r>
            <w:r w:rsidRPr="007224B7">
              <w:t>, som giver medlemsstaterne mulighed for at anvende retlige værktøjer til at håndtere fremtidige tilfælde af instrumentalisering af migranter.</w:t>
            </w:r>
          </w:p>
        </w:tc>
        <w:tc>
          <w:tcPr>
            <w:tcW w:w="4876" w:type="dxa"/>
          </w:tcPr>
          <w:p w:rsidR="00103A80" w:rsidRPr="007224B7" w:rsidRDefault="00870768" w:rsidP="00103A80">
            <w:pPr>
              <w:pStyle w:val="Normal6"/>
              <w:rPr>
                <w:szCs w:val="24"/>
              </w:rPr>
            </w:pPr>
            <w:r w:rsidRPr="007224B7">
              <w:t>(3)</w:t>
            </w:r>
            <w:r w:rsidRPr="007224B7">
              <w:tab/>
              <w:t xml:space="preserve">Et af de værktøjer, der indføres ved forordningen, er en nødprocedure for </w:t>
            </w:r>
            <w:r w:rsidRPr="007224B7">
              <w:rPr>
                <w:b/>
                <w:i/>
              </w:rPr>
              <w:t>asyl</w:t>
            </w:r>
            <w:r w:rsidRPr="007224B7">
              <w:t xml:space="preserve"> og </w:t>
            </w:r>
            <w:r w:rsidRPr="007224B7">
              <w:rPr>
                <w:b/>
                <w:i/>
              </w:rPr>
              <w:t>tilbagesendelse</w:t>
            </w:r>
            <w:r w:rsidRPr="007224B7">
              <w:t>, som giver medlemsstaterne mulighed for at anvende retlige værktøjer til at håndtere fremtidige tilfælde af instrumentalisering af migranter.</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lastRenderedPageBreak/>
        <w:t>&lt;Amend&gt;</w:t>
      </w:r>
      <w:r w:rsidRPr="007224B7">
        <w:t>Ændringsforslag</w:t>
      </w:r>
      <w:r w:rsidRPr="007224B7">
        <w:tab/>
      </w:r>
      <w:r w:rsidRPr="007224B7">
        <w:tab/>
      </w:r>
      <w:r w:rsidRPr="007224B7">
        <w:rPr>
          <w:rStyle w:val="HideTWBExt"/>
          <w:b w:val="0"/>
        </w:rPr>
        <w:t>&lt;NumAm&gt;</w:t>
      </w:r>
      <w:r w:rsidRPr="007224B7">
        <w:t>5</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4</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(4)</w:t>
            </w:r>
            <w:r w:rsidRPr="007224B7">
              <w:tab/>
              <w:t xml:space="preserve">Forordningen er i overensstemmelse med grundlæggende rettigheder </w:t>
            </w:r>
            <w:r w:rsidRPr="007224B7">
              <w:t>og de principper, der anerkendes ved Den Europæiske Unions charter om grundlæggende rettigheder, især artikel 1, 4, 7, 24, 18 og 19, stk. 2 og 2, samt Genèvekonventionen af 28. juli 1951. For at afspejle navnlig det primære hensyn, der skal tages til barne</w:t>
            </w:r>
            <w:r w:rsidRPr="007224B7">
              <w:t>ts tarv, og nødvendigheden af at respektere familielivet og for at sikre beskyttelsen de berørte personers helbred, indeholder forordningen særlige regler og garantier, som gælder uledsagede mindreårige, mindreårige og deres familiemedlemmer samt de ansøge</w:t>
            </w:r>
            <w:r w:rsidRPr="007224B7">
              <w:t>re, hvis helbred kræver særlig og passende støtte. De regler og garantier, der er fastsat i forordning (EU) XXX/XXX</w:t>
            </w:r>
            <w:r w:rsidRPr="007224B7">
              <w:rPr>
                <w:vertAlign w:val="superscript"/>
              </w:rPr>
              <w:t>19</w:t>
            </w:r>
            <w:r w:rsidRPr="007224B7">
              <w:t xml:space="preserve"> </w:t>
            </w:r>
            <w:r w:rsidRPr="007224B7">
              <w:rPr>
                <w:b/>
                <w:i/>
              </w:rPr>
              <w:t xml:space="preserve"> </w:t>
            </w:r>
            <w:r w:rsidRPr="007224B7">
              <w:t>[forordningen om asylprocedurer], bør fortsat finde anvendelse på personer, der er underkastet nødproceduren for asyl, medmindre andet fa</w:t>
            </w:r>
            <w:r w:rsidRPr="007224B7">
              <w:t>stsættes i denne forordning. De regler, der er fastsat i direktiv XXX/XXX [direktivet om modtagelsesforhold (omarbejdning)]</w:t>
            </w:r>
            <w:r w:rsidRPr="007224B7">
              <w:rPr>
                <w:vertAlign w:val="superscript"/>
              </w:rPr>
              <w:t>20</w:t>
            </w:r>
            <w:r w:rsidRPr="007224B7">
              <w:rPr>
                <w:b/>
                <w:i/>
              </w:rPr>
              <w:t xml:space="preserve"> </w:t>
            </w:r>
            <w:r w:rsidRPr="007224B7">
              <w:t>, herunder dem vedrørende frihedsberøvelse af ansøgere om international beskyttelse, bør fortsat finde anvendelse fra det tidspunk</w:t>
            </w:r>
            <w:r w:rsidRPr="007224B7">
              <w:t>t, hvor der indgives en ansøgning om international beskyttelse, medmindre andet fastsættes i denne forordning.</w:t>
            </w:r>
          </w:p>
        </w:tc>
        <w:tc>
          <w:tcPr>
            <w:tcW w:w="4876" w:type="dxa"/>
          </w:tcPr>
          <w:p w:rsidR="00103A80" w:rsidRPr="007224B7" w:rsidRDefault="00870768" w:rsidP="00103A80">
            <w:pPr>
              <w:pStyle w:val="Normal6"/>
              <w:rPr>
                <w:szCs w:val="24"/>
              </w:rPr>
            </w:pPr>
            <w:r w:rsidRPr="007224B7">
              <w:t>(4)</w:t>
            </w:r>
            <w:r w:rsidRPr="007224B7">
              <w:tab/>
              <w:t>Forordningen er i overensstemmelse med grundlæggende rettigheder og de principper, der anerkendes ved Den Europæiske Unions charter om grundl</w:t>
            </w:r>
            <w:r w:rsidRPr="007224B7">
              <w:t>æggende rettigheder, især artikel 1, 4, 7, 24, 18 og 19, stk. 2 og 2, samt Genèvekonventionen af 28. juli 1951. For at afspejle navnlig det primære hensyn, der skal tages til barnets tarv, og nødvendigheden af at respektere familielivet og for at sikre bes</w:t>
            </w:r>
            <w:r w:rsidRPr="007224B7">
              <w:t>kyttelsen de berørte personers helbred, indeholder forordningen særlige regler og garantier, som gælder uledsagede mindreårige, mindreårige og deres familiemedlemmer samt de ansøgere, hvis helbred kræver særlig og passende støtte. De regler og garantier, d</w:t>
            </w:r>
            <w:r w:rsidRPr="007224B7">
              <w:t>er er fastsat i forordning (EU) XXX/XXX</w:t>
            </w:r>
            <w:r w:rsidRPr="007224B7">
              <w:rPr>
                <w:vertAlign w:val="superscript"/>
              </w:rPr>
              <w:t>19</w:t>
            </w:r>
            <w:r w:rsidRPr="007224B7">
              <w:t xml:space="preserve"> [forordningen om asylprocedurer], bør fortsat finde anvendelse på personer, der er underkastet nødproceduren for asyl, medmindre andet fastsættes i denne forordning. De regler, der er fastsat i direktiv XXX/XXX [di</w:t>
            </w:r>
            <w:r w:rsidRPr="007224B7">
              <w:t>rektivet om modtagelsesforhold (omarbejdning)]</w:t>
            </w:r>
            <w:r w:rsidRPr="007224B7">
              <w:rPr>
                <w:vertAlign w:val="superscript"/>
              </w:rPr>
              <w:t>20</w:t>
            </w:r>
            <w:r w:rsidRPr="007224B7">
              <w:t>, herunder dem vedrørende frihedsberøvelse af ansøgere om international beskyttelse, bør fortsat finde anvendelse fra det tidspunkt, hvor der indgives en ansøgning om international beskyttelse, medmindre ande</w:t>
            </w:r>
            <w:r w:rsidRPr="007224B7">
              <w:t>t fastsættes i denne forordning.</w:t>
            </w:r>
          </w:p>
        </w:tc>
      </w:tr>
      <w:tr w:rsidR="002D55B5" w:rsidRPr="007224B7" w:rsidTr="00103A80">
        <w:trPr>
          <w:jc w:val="center"/>
        </w:trPr>
        <w:tc>
          <w:tcPr>
            <w:tcW w:w="4876" w:type="dxa"/>
          </w:tcPr>
          <w:p w:rsidR="00103A80" w:rsidRPr="007224B7" w:rsidRDefault="00870768" w:rsidP="00103A80">
            <w:pPr>
              <w:pStyle w:val="Normal6"/>
            </w:pPr>
            <w:r w:rsidRPr="007224B7">
              <w:t>__________________</w:t>
            </w:r>
          </w:p>
        </w:tc>
        <w:tc>
          <w:tcPr>
            <w:tcW w:w="4876" w:type="dxa"/>
          </w:tcPr>
          <w:p w:rsidR="00103A80" w:rsidRPr="007224B7" w:rsidRDefault="00870768" w:rsidP="00103A80">
            <w:pPr>
              <w:pStyle w:val="Normal6"/>
              <w:rPr>
                <w:szCs w:val="24"/>
              </w:rPr>
            </w:pPr>
            <w:r w:rsidRPr="007224B7">
              <w:t>__________________</w:t>
            </w:r>
          </w:p>
        </w:tc>
      </w:tr>
      <w:tr w:rsidR="002D55B5" w:rsidRPr="007224B7" w:rsidTr="00103A80">
        <w:trPr>
          <w:jc w:val="center"/>
        </w:trPr>
        <w:tc>
          <w:tcPr>
            <w:tcW w:w="4876" w:type="dxa"/>
          </w:tcPr>
          <w:p w:rsidR="00103A80" w:rsidRPr="007224B7" w:rsidRDefault="00870768" w:rsidP="00103A80">
            <w:pPr>
              <w:pStyle w:val="Normal6"/>
            </w:pPr>
            <w:r w:rsidRPr="007224B7">
              <w:rPr>
                <w:vertAlign w:val="superscript"/>
              </w:rPr>
              <w:t>19</w:t>
            </w:r>
            <w:r w:rsidRPr="007224B7">
              <w:t xml:space="preserve"> EUT C, , s . .</w:t>
            </w:r>
          </w:p>
        </w:tc>
        <w:tc>
          <w:tcPr>
            <w:tcW w:w="4876" w:type="dxa"/>
          </w:tcPr>
          <w:p w:rsidR="00103A80" w:rsidRPr="007224B7" w:rsidRDefault="00870768" w:rsidP="00103A80">
            <w:pPr>
              <w:pStyle w:val="Normal6"/>
              <w:rPr>
                <w:szCs w:val="24"/>
              </w:rPr>
            </w:pPr>
            <w:r w:rsidRPr="007224B7">
              <w:rPr>
                <w:vertAlign w:val="superscript"/>
              </w:rPr>
              <w:t>19</w:t>
            </w:r>
            <w:r w:rsidRPr="007224B7">
              <w:t xml:space="preserve"> EUT C, , s . .</w:t>
            </w:r>
          </w:p>
        </w:tc>
      </w:tr>
      <w:tr w:rsidR="002D55B5" w:rsidRPr="007224B7" w:rsidTr="00103A80">
        <w:trPr>
          <w:jc w:val="center"/>
        </w:trPr>
        <w:tc>
          <w:tcPr>
            <w:tcW w:w="4876" w:type="dxa"/>
          </w:tcPr>
          <w:p w:rsidR="00103A80" w:rsidRPr="007224B7" w:rsidRDefault="00870768" w:rsidP="00103A80">
            <w:pPr>
              <w:pStyle w:val="Normal6"/>
            </w:pPr>
            <w:r w:rsidRPr="007224B7">
              <w:rPr>
                <w:vertAlign w:val="superscript"/>
              </w:rPr>
              <w:t>20</w:t>
            </w:r>
            <w:r w:rsidRPr="007224B7">
              <w:t xml:space="preserve"> EUT C, , s . .</w:t>
            </w:r>
          </w:p>
        </w:tc>
        <w:tc>
          <w:tcPr>
            <w:tcW w:w="4876" w:type="dxa"/>
          </w:tcPr>
          <w:p w:rsidR="00103A80" w:rsidRPr="007224B7" w:rsidRDefault="00870768" w:rsidP="00103A80">
            <w:pPr>
              <w:pStyle w:val="Normal6"/>
              <w:rPr>
                <w:szCs w:val="24"/>
              </w:rPr>
            </w:pPr>
            <w:r w:rsidRPr="007224B7">
              <w:rPr>
                <w:vertAlign w:val="superscript"/>
              </w:rPr>
              <w:t>20</w:t>
            </w:r>
            <w:r w:rsidRPr="007224B7">
              <w:t xml:space="preserve"> EUT C, , s . .</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lastRenderedPageBreak/>
        <w:t>&lt;Amend&gt;</w:t>
      </w:r>
      <w:r w:rsidRPr="007224B7">
        <w:t>Ændringsforslag</w:t>
      </w:r>
      <w:r w:rsidRPr="007224B7">
        <w:tab/>
      </w:r>
      <w:r w:rsidRPr="007224B7">
        <w:tab/>
      </w:r>
      <w:r w:rsidRPr="007224B7">
        <w:rPr>
          <w:rStyle w:val="HideTWBExt"/>
          <w:b w:val="0"/>
        </w:rPr>
        <w:t>&lt;NumAm&gt;</w:t>
      </w:r>
      <w:r w:rsidRPr="007224B7">
        <w:t>6</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 xml:space="preserve">Forslag til </w:t>
      </w:r>
      <w:r w:rsidRPr="007224B7">
        <w:t>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5</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(5)</w:t>
            </w:r>
            <w:r w:rsidRPr="007224B7">
              <w:tab/>
            </w:r>
            <w:r w:rsidRPr="007224B7">
              <w:t>For at bidrage til, at den medlemsstat, der er konfronteret med en instrumentalisering, kan sikre en velordnet forvaltning af strømmene, bør den berørte medlemsstat i forbindelse med tredjelandsstatsborgere eller statsløse personer, der pågribes eller find</w:t>
            </w:r>
            <w:r w:rsidRPr="007224B7">
              <w:t xml:space="preserve">es i nærheden af den ydre grænse med det tredjeland, som instrumentaliserer migranter, efter en ulovlig </w:t>
            </w:r>
            <w:r w:rsidRPr="007224B7">
              <w:rPr>
                <w:b/>
                <w:i/>
              </w:rPr>
              <w:t>grænsepassage</w:t>
            </w:r>
            <w:r w:rsidRPr="007224B7">
              <w:t xml:space="preserve">, eller efter at de selv har meldt sig ved et grænseovergangssted, ifølge nødproceduren for </w:t>
            </w:r>
            <w:r w:rsidRPr="007224B7">
              <w:rPr>
                <w:b/>
                <w:i/>
              </w:rPr>
              <w:t>asylforvaltning</w:t>
            </w:r>
            <w:r w:rsidRPr="007224B7">
              <w:t xml:space="preserve"> have mulighed for at beslutte, </w:t>
            </w:r>
            <w:r w:rsidRPr="007224B7">
              <w:t>at ansøgninger om international beskyttelse kun registreres ved særlige registreringssteder, der er udpeget til formålet, og som ligger i nærheden af grænsen, og at der kun gives effektiv mulighed for at indgive en ansøgning om international beskyttelse ve</w:t>
            </w:r>
            <w:r w:rsidRPr="007224B7">
              <w:t>d de særlige steder, der er udpeget til formålet, og som bør være let tilgængelige. Der skal sikres effektiv og reel adgang til proceduren for international beskyttelse, jf. artikel 18 i Den Europæiske Unions charter om grundlæggende rettigheder og Genèvek</w:t>
            </w:r>
            <w:r w:rsidRPr="007224B7">
              <w:t>onventionen af 28. juli 1951. Den berørte medlemsstat bør derfor sikre, at der udpeges et tilstrækkeligt antal registreringssteder, som kan omfatte grænseovergangssteder, og at de er åbne. Ansøgerne bør oplyses behørigt om, hvor deres ansøgning vil blive r</w:t>
            </w:r>
            <w:r w:rsidRPr="007224B7">
              <w:t>egistreret og kan indgives.</w:t>
            </w:r>
          </w:p>
        </w:tc>
        <w:tc>
          <w:tcPr>
            <w:tcW w:w="4876" w:type="dxa"/>
          </w:tcPr>
          <w:p w:rsidR="00103A80" w:rsidRPr="007224B7" w:rsidRDefault="00870768" w:rsidP="006825E7">
            <w:pPr>
              <w:pStyle w:val="Normal6"/>
              <w:rPr>
                <w:szCs w:val="24"/>
              </w:rPr>
            </w:pPr>
            <w:r w:rsidRPr="007224B7">
              <w:t>(5)</w:t>
            </w:r>
            <w:r w:rsidRPr="007224B7">
              <w:tab/>
            </w:r>
            <w:r w:rsidRPr="007224B7">
              <w:rPr>
                <w:b/>
                <w:i/>
              </w:rPr>
              <w:t>I tilfælde af instrumentalisering kan et øget antal asylansøgninger om international beskyttelse indgives ved den ydre grænse eller i en medlemsstats transitområde, ofte af personer, der pågribes i forbindelse med ulovlig pa</w:t>
            </w:r>
            <w:r w:rsidRPr="007224B7">
              <w:rPr>
                <w:b/>
                <w:i/>
              </w:rPr>
              <w:t>ssage af den ydre grænse ad land-, sø- eller luftvejen eller som sættes i land efter eftersøgnings- og redningsoperationer.</w:t>
            </w:r>
            <w:r w:rsidRPr="007224B7">
              <w:t xml:space="preserve"> For at bidrage til, at den medlemsstat, der er konfronteret med en instrumentalisering, kan sikre en velordnet forvaltning af strømm</w:t>
            </w:r>
            <w:r w:rsidRPr="007224B7">
              <w:t xml:space="preserve">ene, bør den berørte medlemsstat i forbindelse med tredjelandsstatsborgere eller statsløse personer, der pågribes eller findes i nærheden af den ydre grænse med det tredjeland, som instrumentaliserer migranter, efter en ulovlig </w:t>
            </w:r>
            <w:r w:rsidRPr="007224B7">
              <w:rPr>
                <w:b/>
                <w:i/>
              </w:rPr>
              <w:t xml:space="preserve">passage ad land-, sø- eller </w:t>
            </w:r>
            <w:r w:rsidRPr="007224B7">
              <w:rPr>
                <w:b/>
                <w:i/>
              </w:rPr>
              <w:t>luftvejen, eller som er sat i land efter en eftersøgnings- og redningsaktion</w:t>
            </w:r>
            <w:r w:rsidRPr="007224B7">
              <w:t xml:space="preserve">, eller efter at de selv har meldt sig ved et grænseovergangssted, ifølge nødproceduren for </w:t>
            </w:r>
            <w:r w:rsidRPr="007224B7">
              <w:rPr>
                <w:b/>
                <w:i/>
              </w:rPr>
              <w:t>asyl</w:t>
            </w:r>
            <w:r w:rsidRPr="007224B7">
              <w:t xml:space="preserve"> have mulighed for at beslutte, at ansøgninger om international beskyttelse kun regi</w:t>
            </w:r>
            <w:r w:rsidRPr="007224B7">
              <w:t>streres ved særlige registreringssteder, der er udpeget til formålet, og som ligger i nærheden af grænsen, og at der kun gives effektiv mulighed for at indgive en ansøgning om international beskyttelse ved de særlige steder, der er udpeget til formålet, og</w:t>
            </w:r>
            <w:r w:rsidRPr="007224B7">
              <w:t xml:space="preserve"> som bør være let tilgængelige. Der skal sikres effektiv og reel adgang til proceduren for international beskyttelse, jf. artikel 18 i Den Europæiske Unions charter om grundlæggende rettigheder og Genèvekonventionen af 28. juli 1951. Den berørte medlemssta</w:t>
            </w:r>
            <w:r w:rsidRPr="007224B7">
              <w:t xml:space="preserve">t bør derfor sikre, at der udpeges et tilstrækkeligt antal registreringssteder, som kan omfatte grænseovergangssteder, og at de er åbne. Ansøgerne bør oplyses behørigt om, hvor deres ansøgning vil blive registreret og kan </w:t>
            </w:r>
            <w:r w:rsidRPr="007224B7">
              <w:lastRenderedPageBreak/>
              <w:t>indgives.</w:t>
            </w:r>
          </w:p>
        </w:tc>
      </w:tr>
    </w:tbl>
    <w:p w:rsidR="00103A80" w:rsidRPr="007224B7" w:rsidRDefault="00870768" w:rsidP="00103A80">
      <w:pPr>
        <w:pStyle w:val="Olang"/>
      </w:pPr>
      <w:r w:rsidRPr="007224B7">
        <w:rPr>
          <w:noProof w:val="0"/>
        </w:rPr>
        <w:lastRenderedPageBreak/>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w:t>
      </w:r>
      <w:r w:rsidRPr="007224B7">
        <w:rPr>
          <w:rStyle w:val="HideTWBExt"/>
          <w:noProof w:val="0"/>
        </w:rPr>
        <w:t>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7</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6</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(6)</w:t>
            </w:r>
            <w:r w:rsidRPr="007224B7">
              <w:tab/>
              <w:t>I tilfælde af instrumentalisering af migranter er det vigtigt at forhindre,</w:t>
            </w:r>
            <w:r w:rsidRPr="007224B7">
              <w:t xml:space="preserve"> at personer, der ikke opfylder indrejsebetingelserne, rejser ind i landet, og samtidig sikre, at de grundlæggende rettigheder beskyttes. For at sikre, at den medlemsstat, der er konfronteret med en instrumentalisering, har den fornødne fleksibilitet, og u</w:t>
            </w:r>
            <w:r w:rsidRPr="007224B7">
              <w:t xml:space="preserve">ndgå, at et fjendtligtsindet tredjeland retter sin indsats mod bestemte nationaliteter eller særlige kategorier af tredjelandsstatsborgere eller statsløse personer, bør det efter nødproceduren for </w:t>
            </w:r>
            <w:r w:rsidRPr="007224B7">
              <w:rPr>
                <w:b/>
                <w:i/>
              </w:rPr>
              <w:t>asylforvaltning og migrationsstyring</w:t>
            </w:r>
            <w:r w:rsidRPr="007224B7">
              <w:t xml:space="preserve"> i denne forordning vær</w:t>
            </w:r>
            <w:r w:rsidRPr="007224B7">
              <w:t>e muligt for den berørte medlemsstat inden for rammerne af grænseproceduren som fastsat i artikel 41 i forordning (EU) XXX/XXX [forordningen om asylprocedurer] at træffe afgørelse om antageligheden og berettigelsen af alle ansøgninger om international besk</w:t>
            </w:r>
            <w:r w:rsidRPr="007224B7">
              <w:t>yttelse, der indgives af tredjelandsstatsborgere eller statsløse personer, som pågribes eller findes i nærheden af grænsen med tredjelandet efter en ulovlig grænsepassage eller efter, at de selv har meldt sig ved et grænseovergangssted. Principperne og gar</w:t>
            </w:r>
            <w:r w:rsidRPr="007224B7">
              <w:t>antierne i forordning (EU) XXX/XXX [forordningen om asylprocedurer] skal overholdes.</w:t>
            </w:r>
          </w:p>
        </w:tc>
        <w:tc>
          <w:tcPr>
            <w:tcW w:w="4876" w:type="dxa"/>
          </w:tcPr>
          <w:p w:rsidR="00103A80" w:rsidRPr="007224B7" w:rsidRDefault="00870768" w:rsidP="00103A80">
            <w:pPr>
              <w:pStyle w:val="Normal6"/>
              <w:rPr>
                <w:szCs w:val="24"/>
              </w:rPr>
            </w:pPr>
            <w:r w:rsidRPr="007224B7">
              <w:t>(6)</w:t>
            </w:r>
            <w:r w:rsidRPr="007224B7">
              <w:tab/>
              <w:t>I tilfælde af instrumentalisering af migranter er det vigtigt at forhindre, at personer, der ikke opfylder indrejsebetingelserne, rejser ind i landet, og samtidig sikr</w:t>
            </w:r>
            <w:r w:rsidRPr="007224B7">
              <w:t>e, at de grundlæggende rettigheder beskyttes. For at sikre, at den medlemsstat, der er konfronteret med en instrumentalisering, har den fornødne fleksibilitet, og undgå, at et fjendtligtsindet tredjeland retter sin indsats mod bestemte nationaliteter eller</w:t>
            </w:r>
            <w:r w:rsidRPr="007224B7">
              <w:t xml:space="preserve"> særlige kategorier af tredjelandsstatsborgere eller statsløse personer, bør det efter nødproceduren for </w:t>
            </w:r>
            <w:r w:rsidRPr="007224B7">
              <w:rPr>
                <w:b/>
                <w:i/>
              </w:rPr>
              <w:t>asyl</w:t>
            </w:r>
            <w:r w:rsidRPr="007224B7">
              <w:t xml:space="preserve"> i denne forordning være muligt for den berørte medlemsstat inden for rammerne af grænseproceduren som fastsat i artikel 41 i forordning (EU) XXX/X</w:t>
            </w:r>
            <w:r w:rsidRPr="007224B7">
              <w:t>XX [forordningen om asylprocedurer] at træffe afgørelse om antageligheden og berettigelsen af alle ansøgninger om international beskyttelse, der indgives af tredjelandsstatsborgere eller statsløse personer, som pågribes eller findes i nærheden af grænsen m</w:t>
            </w:r>
            <w:r w:rsidRPr="007224B7">
              <w:t>ed tredjelandet efter en ulovlig grænsepassage eller efter, at de selv har meldt sig ved et grænseovergangssted. Principperne og garantierne i forordning (EU) XXX/XXX [forordningen om asylprocedurer] skal overholdes.</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lastRenderedPageBreak/>
        <w:t>&lt;Amend&gt;</w:t>
      </w:r>
      <w:r w:rsidRPr="007224B7">
        <w:t>Ændringsforslag</w:t>
      </w:r>
      <w:r w:rsidRPr="007224B7">
        <w:tab/>
      </w:r>
      <w:r w:rsidRPr="007224B7">
        <w:tab/>
      </w:r>
      <w:r w:rsidRPr="007224B7">
        <w:rPr>
          <w:rStyle w:val="HideTWBExt"/>
          <w:b w:val="0"/>
        </w:rPr>
        <w:t>&lt;NumAm&gt;</w:t>
      </w:r>
      <w:r w:rsidRPr="007224B7">
        <w:t>8</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9</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(9)</w:t>
            </w:r>
            <w:r w:rsidRPr="007224B7">
              <w:tab/>
            </w:r>
            <w:r w:rsidRPr="007224B7">
              <w:rPr>
                <w:b/>
                <w:i/>
              </w:rPr>
              <w:t xml:space="preserve">I tilfælde af instrumentalisering af migranter bør det være muligt for den berørte </w:t>
            </w:r>
            <w:r w:rsidRPr="007224B7">
              <w:rPr>
                <w:b/>
                <w:i/>
              </w:rPr>
              <w:t>medlemsstat at registrere ansøgninger om international beskyttelse inden for en forlænget periode på fire uger. Det bør derudover være muligt at behandle ansøgninger om international beskyttelse ved grænsen i en periode på højst seksten uger. Hvis der ikke</w:t>
            </w:r>
            <w:r w:rsidRPr="007224B7">
              <w:rPr>
                <w:b/>
                <w:i/>
              </w:rPr>
              <w:t xml:space="preserve"> inden</w:t>
            </w:r>
            <w:r w:rsidRPr="007224B7">
              <w:t xml:space="preserve"> for </w:t>
            </w:r>
            <w:r w:rsidRPr="007224B7">
              <w:rPr>
                <w:b/>
                <w:i/>
              </w:rPr>
              <w:t>de 16 uger træffes afgørelse om ansøgningen</w:t>
            </w:r>
            <w:r w:rsidRPr="007224B7">
              <w:t xml:space="preserve">, </w:t>
            </w:r>
            <w:r w:rsidRPr="007224B7">
              <w:rPr>
                <w:b/>
                <w:i/>
              </w:rPr>
              <w:t>inklusive en afgørelse om en eventuel klage over en negativ afgørelse, som ikke automatisk bør have opsættende virkning</w:t>
            </w:r>
            <w:r w:rsidRPr="007224B7">
              <w:t xml:space="preserve">, </w:t>
            </w:r>
            <w:r w:rsidRPr="007224B7">
              <w:rPr>
                <w:b/>
                <w:i/>
              </w:rPr>
              <w:t>bør der gives tilladelse til indrejse i området</w:t>
            </w:r>
            <w:r w:rsidRPr="007224B7">
              <w:t xml:space="preserve">, </w:t>
            </w:r>
            <w:r w:rsidRPr="007224B7">
              <w:rPr>
                <w:b/>
                <w:i/>
              </w:rPr>
              <w:t>medmindre personen er omfattet</w:t>
            </w:r>
            <w:r w:rsidRPr="007224B7">
              <w:rPr>
                <w:b/>
                <w:i/>
              </w:rPr>
              <w:t xml:space="preserve"> af tilbagesendelsesproceduren. Disse proceduremæssige frister er udformet med henblik på at hjælpe den berørte medlemsstat med at håndtere instrumentaliseringen af migranter. Den berørte medlemsstat bliver</w:t>
            </w:r>
            <w:r w:rsidRPr="007224B7">
              <w:t xml:space="preserve"> i </w:t>
            </w:r>
            <w:r w:rsidRPr="007224B7">
              <w:rPr>
                <w:b/>
                <w:i/>
              </w:rPr>
              <w:t>en sådan situation nødt til at omfordele ressou</w:t>
            </w:r>
            <w:r w:rsidRPr="007224B7">
              <w:rPr>
                <w:b/>
                <w:i/>
              </w:rPr>
              <w:t>rcer for at kunne håndtere situationen med tredjelandsstatsborgere</w:t>
            </w:r>
            <w:r w:rsidRPr="007224B7">
              <w:t xml:space="preserve">, der </w:t>
            </w:r>
            <w:r w:rsidRPr="007224B7">
              <w:rPr>
                <w:b/>
                <w:i/>
              </w:rPr>
              <w:t>kommer til dens grænser</w:t>
            </w:r>
            <w:r w:rsidRPr="007224B7">
              <w:t xml:space="preserve">, </w:t>
            </w:r>
            <w:r w:rsidRPr="007224B7">
              <w:rPr>
                <w:b/>
                <w:i/>
              </w:rPr>
              <w:t>eller som allerede befinder sig på dens område. Den berørte medlemsstat kan derfor i sådanne tilfælde have brug for tid til at omfordele sine ressourcer og øge</w:t>
            </w:r>
            <w:r w:rsidRPr="007224B7">
              <w:rPr>
                <w:b/>
                <w:i/>
              </w:rPr>
              <w:t xml:space="preserve"> sin kapacitet, bl.a. med støtte fra EU-agenturer. Antallet af ansøgere</w:t>
            </w:r>
            <w:r w:rsidRPr="007224B7">
              <w:t xml:space="preserve">, </w:t>
            </w:r>
            <w:r w:rsidRPr="007224B7">
              <w:rPr>
                <w:b/>
                <w:i/>
              </w:rPr>
              <w:t>der underkastes grænseproceduren</w:t>
            </w:r>
            <w:r w:rsidRPr="007224B7">
              <w:t xml:space="preserve">, </w:t>
            </w:r>
            <w:r w:rsidRPr="007224B7">
              <w:rPr>
                <w:b/>
                <w:i/>
              </w:rPr>
              <w:t>vil desuden være højere end under normale omstændigheder</w:t>
            </w:r>
            <w:r w:rsidRPr="007224B7">
              <w:t xml:space="preserve">, </w:t>
            </w:r>
            <w:r w:rsidRPr="007224B7">
              <w:rPr>
                <w:b/>
                <w:i/>
              </w:rPr>
              <w:t>og</w:t>
            </w:r>
            <w:r w:rsidRPr="007224B7">
              <w:t xml:space="preserve"> den </w:t>
            </w:r>
            <w:r w:rsidRPr="007224B7">
              <w:rPr>
                <w:b/>
                <w:i/>
              </w:rPr>
              <w:t>medlemsstat, der er konfronteret med en instrumentalisering,</w:t>
            </w:r>
            <w:r w:rsidRPr="007224B7">
              <w:t xml:space="preserve"> kan </w:t>
            </w:r>
            <w:r w:rsidRPr="007224B7">
              <w:rPr>
                <w:b/>
                <w:i/>
              </w:rPr>
              <w:t xml:space="preserve">have brug for mere </w:t>
            </w:r>
            <w:r w:rsidRPr="007224B7">
              <w:rPr>
                <w:b/>
                <w:i/>
              </w:rPr>
              <w:t>tid</w:t>
            </w:r>
            <w:r w:rsidRPr="007224B7">
              <w:t xml:space="preserve"> til </w:t>
            </w:r>
            <w:r w:rsidRPr="007224B7">
              <w:rPr>
                <w:b/>
                <w:i/>
              </w:rPr>
              <w:t>at træffe afgørelser uden at give tilladelse til indrejse på området</w:t>
            </w:r>
            <w:r w:rsidRPr="007224B7">
              <w:t>.</w:t>
            </w:r>
            <w:r w:rsidRPr="007224B7">
              <w:rPr>
                <w:b/>
                <w:i/>
              </w:rPr>
              <w:t xml:space="preserve"> Den berørte medlemsstat bør prioritere registreringen af ansøgninger</w:t>
            </w:r>
            <w:r w:rsidRPr="007224B7">
              <w:t xml:space="preserve">, </w:t>
            </w:r>
            <w:r w:rsidRPr="007224B7">
              <w:rPr>
                <w:b/>
                <w:i/>
              </w:rPr>
              <w:t>der er velbegrundede</w:t>
            </w:r>
            <w:r w:rsidRPr="007224B7">
              <w:t xml:space="preserve">, </w:t>
            </w:r>
            <w:r w:rsidRPr="007224B7">
              <w:rPr>
                <w:b/>
                <w:i/>
              </w:rPr>
              <w:t xml:space="preserve">og ansøgninger fra uledsagede mindreårige og mindreårige </w:t>
            </w:r>
            <w:r w:rsidRPr="007224B7">
              <w:rPr>
                <w:b/>
                <w:i/>
              </w:rPr>
              <w:lastRenderedPageBreak/>
              <w:t>og deres familiemedlemmer</w:t>
            </w:r>
            <w:r w:rsidRPr="007224B7">
              <w:t>.</w:t>
            </w:r>
          </w:p>
        </w:tc>
        <w:tc>
          <w:tcPr>
            <w:tcW w:w="4876" w:type="dxa"/>
          </w:tcPr>
          <w:p w:rsidR="00103A80" w:rsidRPr="007224B7" w:rsidRDefault="00870768" w:rsidP="006825E7">
            <w:pPr>
              <w:pStyle w:val="Normal6"/>
              <w:rPr>
                <w:szCs w:val="24"/>
              </w:rPr>
            </w:pPr>
            <w:r w:rsidRPr="007224B7">
              <w:lastRenderedPageBreak/>
              <w:t>(9</w:t>
            </w:r>
            <w:r w:rsidRPr="007224B7">
              <w:t>)</w:t>
            </w:r>
            <w:r w:rsidRPr="007224B7">
              <w:tab/>
            </w:r>
            <w:r w:rsidRPr="007224B7">
              <w:rPr>
                <w:b/>
                <w:i/>
              </w:rPr>
              <w:t>Når nødproceduren for asyl anvendes,</w:t>
            </w:r>
            <w:r w:rsidRPr="007224B7">
              <w:t xml:space="preserve"> bør </w:t>
            </w:r>
            <w:r w:rsidRPr="007224B7">
              <w:rPr>
                <w:b/>
                <w:i/>
              </w:rPr>
              <w:t>de kompetente myndigheders primære hensyn være garantier</w:t>
            </w:r>
            <w:r w:rsidRPr="007224B7">
              <w:t xml:space="preserve"> for </w:t>
            </w:r>
            <w:r w:rsidRPr="007224B7">
              <w:rPr>
                <w:b/>
                <w:i/>
              </w:rPr>
              <w:t>ansøgere med særlige modtagelsesbehov, herunder helbredsproblemer</w:t>
            </w:r>
            <w:r w:rsidRPr="007224B7">
              <w:t>.</w:t>
            </w:r>
            <w:r w:rsidRPr="007224B7">
              <w:rPr>
                <w:b/>
                <w:i/>
              </w:rPr>
              <w:t xml:space="preserve"> Derfor</w:t>
            </w:r>
            <w:r w:rsidRPr="007224B7">
              <w:t xml:space="preserve"> bør </w:t>
            </w:r>
            <w:r w:rsidRPr="007224B7">
              <w:rPr>
                <w:b/>
                <w:i/>
              </w:rPr>
              <w:t>den medlemsstat, der er konfronteret med</w:t>
            </w:r>
            <w:r w:rsidRPr="007224B7">
              <w:t xml:space="preserve"> en </w:t>
            </w:r>
            <w:r w:rsidRPr="007224B7">
              <w:rPr>
                <w:b/>
                <w:i/>
              </w:rPr>
              <w:t xml:space="preserve">instrumentalisering, ikke </w:t>
            </w:r>
            <w:r w:rsidRPr="007224B7">
              <w:rPr>
                <w:b/>
                <w:i/>
              </w:rPr>
              <w:t>anvende eller ophøre med at anvende nødproceduren</w:t>
            </w:r>
            <w:r w:rsidRPr="007224B7">
              <w:t xml:space="preserve"> for </w:t>
            </w:r>
            <w:r w:rsidRPr="007224B7">
              <w:rPr>
                <w:b/>
                <w:i/>
              </w:rPr>
              <w:t>asyl</w:t>
            </w:r>
            <w:r w:rsidRPr="007224B7">
              <w:t xml:space="preserve">, </w:t>
            </w:r>
            <w:r w:rsidRPr="007224B7">
              <w:rPr>
                <w:b/>
                <w:i/>
              </w:rPr>
              <w:t>hvis der er lægelige grunde til ikke at anvende grænseproceduren i overensstemmelse med artikel 41, stk. 9</w:t>
            </w:r>
            <w:r w:rsidRPr="007224B7">
              <w:t xml:space="preserve">, </w:t>
            </w:r>
            <w:r w:rsidRPr="007224B7">
              <w:rPr>
                <w:b/>
                <w:i/>
              </w:rPr>
              <w:t>litra c), i forordning (EU) XXX/XXX [forordningen om asylprocedurer]</w:t>
            </w:r>
            <w:r w:rsidRPr="007224B7">
              <w:t xml:space="preserve">, </w:t>
            </w:r>
            <w:r w:rsidRPr="007224B7">
              <w:rPr>
                <w:b/>
                <w:i/>
              </w:rPr>
              <w:t>eller hvor den nød</w:t>
            </w:r>
            <w:r w:rsidRPr="007224B7">
              <w:rPr>
                <w:b/>
                <w:i/>
              </w:rPr>
              <w:t>vendige støtte ikke kan ydes til ansøgere</w:t>
            </w:r>
            <w:r w:rsidRPr="007224B7">
              <w:t xml:space="preserve"> med </w:t>
            </w:r>
            <w:r w:rsidRPr="007224B7">
              <w:rPr>
                <w:b/>
                <w:i/>
              </w:rPr>
              <w:t>særlige proceduremæssige behov i overensstemmelse</w:t>
            </w:r>
            <w:r w:rsidRPr="007224B7">
              <w:t xml:space="preserve"> med </w:t>
            </w:r>
            <w:r w:rsidRPr="007224B7">
              <w:rPr>
                <w:b/>
                <w:i/>
              </w:rPr>
              <w:t>artikel 41, stk</w:t>
            </w:r>
            <w:r w:rsidRPr="007224B7">
              <w:t>.</w:t>
            </w:r>
            <w:r w:rsidRPr="007224B7">
              <w:rPr>
                <w:b/>
                <w:i/>
              </w:rPr>
              <w:t> 9, litra b),</w:t>
            </w:r>
            <w:r w:rsidRPr="007224B7">
              <w:t xml:space="preserve"> i </w:t>
            </w:r>
            <w:r w:rsidRPr="007224B7">
              <w:rPr>
                <w:b/>
                <w:i/>
              </w:rPr>
              <w:t>forordning (EU) XXX/XXX [forordningen om asylprocedurer].</w:t>
            </w:r>
            <w:r w:rsidRPr="007224B7">
              <w:t xml:space="preserve"> </w:t>
            </w:r>
            <w:r w:rsidRPr="007224B7">
              <w:rPr>
                <w:b/>
                <w:i/>
              </w:rPr>
              <w:t>Derfor bør den medlemsstat</w:t>
            </w:r>
            <w:r w:rsidRPr="007224B7">
              <w:t xml:space="preserve">, der </w:t>
            </w:r>
            <w:r w:rsidRPr="007224B7">
              <w:rPr>
                <w:b/>
                <w:i/>
              </w:rPr>
              <w:t>er konfronteret med en instrumenta</w:t>
            </w:r>
            <w:r w:rsidRPr="007224B7">
              <w:rPr>
                <w:b/>
                <w:i/>
              </w:rPr>
              <w:t>lisering</w:t>
            </w:r>
            <w:r w:rsidRPr="007224B7">
              <w:t xml:space="preserve">, </w:t>
            </w:r>
            <w:r w:rsidRPr="007224B7">
              <w:rPr>
                <w:b/>
                <w:i/>
              </w:rPr>
              <w:t>ikke anvende eller ophøre med at anvende nødproceduren for asyl, hvis der er lægelige grunde</w:t>
            </w:r>
            <w:r w:rsidRPr="007224B7">
              <w:t xml:space="preserve"> til </w:t>
            </w:r>
            <w:r w:rsidRPr="007224B7">
              <w:rPr>
                <w:b/>
                <w:i/>
              </w:rPr>
              <w:t xml:space="preserve">ikke </w:t>
            </w:r>
            <w:r w:rsidRPr="007224B7">
              <w:t xml:space="preserve">at </w:t>
            </w:r>
            <w:r w:rsidRPr="007224B7">
              <w:rPr>
                <w:b/>
                <w:i/>
              </w:rPr>
              <w:t>anvende grænseproceduren i overensstemmelse med artikel 41</w:t>
            </w:r>
            <w:r w:rsidRPr="007224B7">
              <w:t xml:space="preserve">, </w:t>
            </w:r>
            <w:r w:rsidRPr="007224B7">
              <w:rPr>
                <w:b/>
                <w:i/>
              </w:rPr>
              <w:t>stk</w:t>
            </w:r>
            <w:r w:rsidRPr="007224B7">
              <w:t>.</w:t>
            </w:r>
            <w:r w:rsidRPr="007224B7">
              <w:rPr>
                <w:b/>
                <w:i/>
              </w:rPr>
              <w:t> 9</w:t>
            </w:r>
            <w:r w:rsidRPr="007224B7">
              <w:t xml:space="preserve">, </w:t>
            </w:r>
            <w:r w:rsidRPr="007224B7">
              <w:rPr>
                <w:b/>
                <w:i/>
              </w:rPr>
              <w:t>litra c)</w:t>
            </w:r>
            <w:r w:rsidRPr="007224B7">
              <w:t xml:space="preserve">, </w:t>
            </w:r>
            <w:r w:rsidRPr="007224B7">
              <w:rPr>
                <w:b/>
                <w:i/>
              </w:rPr>
              <w:t>i forordning (EU) XXX/XXX [forordningen om asylprocedurer]</w:t>
            </w:r>
            <w:r w:rsidRPr="007224B7">
              <w:t xml:space="preserve">, </w:t>
            </w:r>
            <w:r w:rsidRPr="007224B7">
              <w:rPr>
                <w:b/>
                <w:i/>
              </w:rPr>
              <w:t>ell</w:t>
            </w:r>
            <w:r w:rsidRPr="007224B7">
              <w:rPr>
                <w:b/>
                <w:i/>
              </w:rPr>
              <w:t>er hvor</w:t>
            </w:r>
            <w:r w:rsidRPr="007224B7">
              <w:t xml:space="preserve"> den </w:t>
            </w:r>
            <w:r w:rsidRPr="007224B7">
              <w:rPr>
                <w:b/>
                <w:i/>
              </w:rPr>
              <w:t>nødvendige støtte ikke</w:t>
            </w:r>
            <w:r w:rsidRPr="007224B7">
              <w:t xml:space="preserve"> kan </w:t>
            </w:r>
            <w:r w:rsidRPr="007224B7">
              <w:rPr>
                <w:b/>
                <w:i/>
              </w:rPr>
              <w:t>ydes</w:t>
            </w:r>
            <w:r w:rsidRPr="007224B7">
              <w:t xml:space="preserve"> til </w:t>
            </w:r>
            <w:r w:rsidRPr="007224B7">
              <w:rPr>
                <w:b/>
                <w:i/>
              </w:rPr>
              <w:t>ansøgere med særlige proceduremæssige behov i overensstemmelse med artikel 41, stk</w:t>
            </w:r>
            <w:r w:rsidRPr="007224B7">
              <w:t>.</w:t>
            </w:r>
            <w:r w:rsidRPr="007224B7">
              <w:rPr>
                <w:b/>
                <w:i/>
              </w:rPr>
              <w:t> 9</w:t>
            </w:r>
            <w:r w:rsidRPr="007224B7">
              <w:t xml:space="preserve">, </w:t>
            </w:r>
            <w:r w:rsidRPr="007224B7">
              <w:rPr>
                <w:b/>
                <w:i/>
              </w:rPr>
              <w:t>litra b)</w:t>
            </w:r>
            <w:r w:rsidRPr="007224B7">
              <w:t xml:space="preserve">, </w:t>
            </w:r>
            <w:r w:rsidRPr="007224B7">
              <w:rPr>
                <w:b/>
                <w:i/>
              </w:rPr>
              <w:t>i forordning (EU) XXX/XXX [forordningen om asylprocedurer]</w:t>
            </w:r>
            <w:r w:rsidRPr="007224B7">
              <w:t>.</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9</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10</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(10)</w:t>
            </w:r>
            <w:r w:rsidRPr="007224B7">
              <w:tab/>
              <w:t>Enhver form for voldshandling ved grænsen skal for enhver pris undgås ikke kun for at beskytte den</w:t>
            </w:r>
            <w:r w:rsidRPr="007224B7">
              <w:t xml:space="preserve"> territoriale integritet og sikkerhed i den medlemsstat, der er konfronteret med en instrumentalisering, men også for at garantere tredjelandsstatsborgeres eller statsløse personers sikkerhed, herunder familiers og børns sikkerhed, mens de venter på muligh</w:t>
            </w:r>
            <w:r w:rsidRPr="007224B7">
              <w:t>eden for at ansøge om asyl i Unionen på fredelig vis. Hvis den berørte medlemsstat udsættes for voldelige foranstaltninger ved sin ydre grænse, herunder i forbindelse med tredjelandsstatsborgeres forsøg på at rejse ind i landet i hobetal og ved hjælp af uf</w:t>
            </w:r>
            <w:r w:rsidRPr="007224B7">
              <w:t>orholdsmæssige voldelige midler, bør den berørte medlemsstat træffe de nødvendige foranstaltninger i overensstemmelse med national lovgivning til at beskytte sikkerheden og opretholde ro og orden og sikre en effektiv anvendelse af denne forordning.</w:t>
            </w:r>
          </w:p>
        </w:tc>
        <w:tc>
          <w:tcPr>
            <w:tcW w:w="4876" w:type="dxa"/>
          </w:tcPr>
          <w:p w:rsidR="00103A80" w:rsidRPr="007224B7" w:rsidRDefault="00870768" w:rsidP="00103A80">
            <w:pPr>
              <w:pStyle w:val="Normal6"/>
              <w:rPr>
                <w:szCs w:val="24"/>
              </w:rPr>
            </w:pPr>
            <w:r w:rsidRPr="007224B7">
              <w:t>(10)</w:t>
            </w:r>
            <w:r w:rsidRPr="007224B7">
              <w:tab/>
              <w:t>En</w:t>
            </w:r>
            <w:r w:rsidRPr="007224B7">
              <w:t>hver form for voldshandling ved grænsen skal for enhver pris undgås ikke kun for at beskytte den territoriale integritet og sikkerhed i den medlemsstat, der er konfronteret med en instrumentalisering, men også for at garantere tredjelandsstatsborgeres elle</w:t>
            </w:r>
            <w:r w:rsidRPr="007224B7">
              <w:t>r statsløse personers sikkerhed, herunder familiers og børns sikkerhed, mens de venter på muligheden for at ansøge om asyl i Unionen på fredelig vis. Hvis den berørte medlemsstat udsættes for voldelige foranstaltninger ved sin ydre grænse, herunder i forbi</w:t>
            </w:r>
            <w:r w:rsidRPr="007224B7">
              <w:t xml:space="preserve">ndelse med tredjelandsstatsborgeres forsøg på at rejse ind i landet i hobetal og ved hjælp af uforholdsmæssige voldelige midler, bør den berørte medlemsstat træffe de nødvendige </w:t>
            </w:r>
            <w:r w:rsidRPr="007224B7">
              <w:rPr>
                <w:b/>
                <w:i/>
              </w:rPr>
              <w:t xml:space="preserve">og rimelige </w:t>
            </w:r>
            <w:r w:rsidRPr="007224B7">
              <w:t>foranstaltninger i overensstemmelse med national lovgivning til at</w:t>
            </w:r>
            <w:r w:rsidRPr="007224B7">
              <w:t xml:space="preserve"> beskytte sikkerheden og opretholde ro og orden og sikre en effektiv anvendelse af denne forordning.</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10</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12</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(12)</w:t>
            </w:r>
            <w:r w:rsidRPr="007224B7">
              <w:tab/>
            </w:r>
            <w:r w:rsidRPr="007224B7">
              <w:rPr>
                <w:b/>
                <w:i/>
              </w:rPr>
              <w:t>Med henblik på</w:t>
            </w:r>
            <w:r w:rsidRPr="007224B7">
              <w:t xml:space="preserve"> at supplere og sikre fuld </w:t>
            </w:r>
            <w:r w:rsidRPr="007224B7">
              <w:rPr>
                <w:b/>
                <w:i/>
              </w:rPr>
              <w:t>overensstemmelse</w:t>
            </w:r>
            <w:r w:rsidRPr="007224B7">
              <w:t xml:space="preserve"> med </w:t>
            </w:r>
            <w:r w:rsidRPr="007224B7">
              <w:rPr>
                <w:b/>
                <w:i/>
              </w:rPr>
              <w:lastRenderedPageBreak/>
              <w:t>nødproceduren for asylforvaltning ved den ydre grænse</w:t>
            </w:r>
            <w:r w:rsidRPr="007224B7">
              <w:t xml:space="preserve"> bør de kompetente myndigheder i den medlemsstat, der er konfronteret med en instrum</w:t>
            </w:r>
            <w:r w:rsidRPr="007224B7">
              <w:t xml:space="preserve">entalisering af migranter, </w:t>
            </w:r>
            <w:r w:rsidRPr="007224B7">
              <w:rPr>
                <w:b/>
                <w:i/>
              </w:rPr>
              <w:t>gives</w:t>
            </w:r>
            <w:r w:rsidRPr="007224B7">
              <w:t xml:space="preserve"> den </w:t>
            </w:r>
            <w:r w:rsidRPr="007224B7">
              <w:rPr>
                <w:b/>
                <w:i/>
              </w:rPr>
              <w:t>fornødne</w:t>
            </w:r>
            <w:r w:rsidRPr="007224B7">
              <w:t xml:space="preserve"> fleksibilitet til at gennemføre tilbagesendelsesprocedurer</w:t>
            </w:r>
            <w:r w:rsidRPr="007224B7">
              <w:rPr>
                <w:b/>
                <w:i/>
              </w:rPr>
              <w:t>, når der er anvendt en nødprocedure for asylforvaltning.</w:t>
            </w:r>
            <w:r w:rsidRPr="007224B7">
              <w:t xml:space="preserve"> </w:t>
            </w:r>
            <w:r w:rsidRPr="007224B7">
              <w:rPr>
                <w:b/>
                <w:i/>
              </w:rPr>
              <w:t>Den berørte medlemsstat bør derfor i tilfælde af instrumentalisering have mulighed for at frav</w:t>
            </w:r>
            <w:r w:rsidRPr="007224B7">
              <w:rPr>
                <w:b/>
                <w:i/>
              </w:rPr>
              <w:t>ige anvendelsen</w:t>
            </w:r>
            <w:r w:rsidRPr="007224B7">
              <w:t xml:space="preserve"> af </w:t>
            </w:r>
            <w:r w:rsidRPr="007224B7">
              <w:rPr>
                <w:b/>
                <w:i/>
              </w:rPr>
              <w:t>direktiv XXX/XXX [tilbagesendelsesdirektivet (omarbejdning)]</w:t>
            </w:r>
            <w:r w:rsidRPr="007224B7">
              <w:rPr>
                <w:b/>
                <w:i/>
                <w:vertAlign w:val="superscript"/>
              </w:rPr>
              <w:t>22</w:t>
            </w:r>
            <w:r w:rsidRPr="007224B7">
              <w:rPr>
                <w:b/>
                <w:i/>
              </w:rPr>
              <w:t xml:space="preserve"> i forbindelse med tredjelandsstatsborgere og statsløse personer</w:t>
            </w:r>
            <w:r w:rsidRPr="007224B7">
              <w:t xml:space="preserve">, </w:t>
            </w:r>
            <w:r w:rsidRPr="007224B7">
              <w:rPr>
                <w:b/>
                <w:i/>
              </w:rPr>
              <w:t>som har fået afslag på deres ansøgning om</w:t>
            </w:r>
            <w:r w:rsidRPr="007224B7">
              <w:t xml:space="preserve"> international beskyttelse</w:t>
            </w:r>
            <w:r w:rsidRPr="007224B7">
              <w:rPr>
                <w:b/>
                <w:i/>
              </w:rPr>
              <w:t xml:space="preserve"> efter nødproceduren for asylforvaltning som beskrevet</w:t>
            </w:r>
            <w:r w:rsidRPr="007224B7">
              <w:t xml:space="preserve"> i </w:t>
            </w:r>
            <w:r w:rsidRPr="007224B7">
              <w:rPr>
                <w:b/>
                <w:i/>
              </w:rPr>
              <w:t>denne forordning.</w:t>
            </w:r>
            <w:r w:rsidRPr="007224B7">
              <w:t xml:space="preserve"> </w:t>
            </w:r>
            <w:r w:rsidRPr="007224B7">
              <w:rPr>
                <w:b/>
                <w:i/>
              </w:rPr>
              <w:t>Hvis der indgives en fornyet ansøgning alene for at forsinke eller hindre tilbagesendelsen, kan medlemsstaterne anvende reglerne i artikel 42 og 43</w:t>
            </w:r>
            <w:r w:rsidRPr="007224B7">
              <w:t xml:space="preserve"> i forordning (EU) XXX/XXX [forord</w:t>
            </w:r>
            <w:r w:rsidRPr="007224B7">
              <w:t>ningen om asylprocedurer]</w:t>
            </w:r>
            <w:r w:rsidRPr="007224B7">
              <w:rPr>
                <w:b/>
                <w:i/>
              </w:rPr>
              <w:t>.</w:t>
            </w:r>
            <w:r w:rsidRPr="007224B7">
              <w:t xml:space="preserve"> </w:t>
            </w:r>
            <w:r w:rsidRPr="007224B7">
              <w:rPr>
                <w:b/>
                <w:i/>
              </w:rPr>
              <w:t>Reglerne i denne forordning berører ikke medlemsstaternes mulighed for at fravige anvendelsen af</w:t>
            </w:r>
            <w:r w:rsidRPr="007224B7">
              <w:t xml:space="preserve"> direktiv XXX/XXX </w:t>
            </w:r>
            <w:r w:rsidRPr="007224B7">
              <w:rPr>
                <w:b/>
                <w:i/>
              </w:rPr>
              <w:t>[tilbagesendelsesdirektivet</w:t>
            </w:r>
            <w:r w:rsidRPr="007224B7">
              <w:t xml:space="preserve"> (omarbejdning)]</w:t>
            </w:r>
            <w:r w:rsidRPr="007224B7">
              <w:rPr>
                <w:b/>
                <w:i/>
              </w:rPr>
              <w:t>, jf</w:t>
            </w:r>
            <w:r w:rsidRPr="007224B7">
              <w:t xml:space="preserve">. </w:t>
            </w:r>
            <w:r w:rsidRPr="007224B7">
              <w:rPr>
                <w:b/>
                <w:i/>
              </w:rPr>
              <w:t xml:space="preserve">samme direktivs </w:t>
            </w:r>
            <w:r w:rsidRPr="007224B7">
              <w:t>artikel</w:t>
            </w:r>
            <w:r w:rsidRPr="007224B7">
              <w:rPr>
                <w:b/>
                <w:i/>
              </w:rPr>
              <w:t xml:space="preserve"> 2</w:t>
            </w:r>
            <w:r w:rsidRPr="007224B7">
              <w:t>, stk.</w:t>
            </w:r>
            <w:r w:rsidRPr="007224B7">
              <w:rPr>
                <w:b/>
                <w:i/>
              </w:rPr>
              <w:t xml:space="preserve"> 2, litra a)</w:t>
            </w:r>
            <w:r w:rsidRPr="007224B7">
              <w:t xml:space="preserve">, i </w:t>
            </w:r>
            <w:r w:rsidRPr="007224B7">
              <w:rPr>
                <w:b/>
                <w:i/>
              </w:rPr>
              <w:t>forbindelse med tre</w:t>
            </w:r>
            <w:r w:rsidRPr="007224B7">
              <w:rPr>
                <w:b/>
                <w:i/>
              </w:rPr>
              <w:t>djelandsstatsborgere eller statsløse personer med ulovligt ophold, som pågribes</w:t>
            </w:r>
            <w:r w:rsidRPr="007224B7">
              <w:t xml:space="preserve"> i </w:t>
            </w:r>
            <w:r w:rsidRPr="007224B7">
              <w:rPr>
                <w:b/>
                <w:i/>
              </w:rPr>
              <w:t>forbindelse med ulovlig passage af medlemsstatens ydre grænse ad land-, sø-</w:t>
            </w:r>
            <w:r w:rsidRPr="007224B7">
              <w:t xml:space="preserve"> eller </w:t>
            </w:r>
            <w:r w:rsidRPr="007224B7">
              <w:rPr>
                <w:b/>
                <w:i/>
              </w:rPr>
              <w:t>luftvejen</w:t>
            </w:r>
            <w:r w:rsidRPr="007224B7">
              <w:t xml:space="preserve">, </w:t>
            </w:r>
            <w:r w:rsidRPr="007224B7">
              <w:rPr>
                <w:b/>
                <w:i/>
              </w:rPr>
              <w:t>og som ikke efterfølgende har opnået tilladelse eller ret til ophold i den pågæld</w:t>
            </w:r>
            <w:r w:rsidRPr="007224B7">
              <w:rPr>
                <w:b/>
                <w:i/>
              </w:rPr>
              <w:t>ende medlemsstat</w:t>
            </w:r>
            <w:r w:rsidRPr="007224B7">
              <w:t>.</w:t>
            </w:r>
          </w:p>
        </w:tc>
        <w:tc>
          <w:tcPr>
            <w:tcW w:w="4876" w:type="dxa"/>
          </w:tcPr>
          <w:p w:rsidR="00103A80" w:rsidRPr="007224B7" w:rsidRDefault="00870768" w:rsidP="006825E7">
            <w:pPr>
              <w:pStyle w:val="Normal6"/>
              <w:rPr>
                <w:szCs w:val="24"/>
              </w:rPr>
            </w:pPr>
            <w:r w:rsidRPr="007224B7">
              <w:lastRenderedPageBreak/>
              <w:t>(12)</w:t>
            </w:r>
            <w:r w:rsidRPr="007224B7">
              <w:tab/>
            </w:r>
            <w:r w:rsidRPr="007224B7">
              <w:rPr>
                <w:b/>
                <w:i/>
              </w:rPr>
              <w:t>For</w:t>
            </w:r>
            <w:r w:rsidRPr="007224B7">
              <w:t xml:space="preserve"> at supplere og sikre fuld </w:t>
            </w:r>
            <w:r w:rsidRPr="007224B7">
              <w:rPr>
                <w:b/>
                <w:i/>
              </w:rPr>
              <w:t>sammenhæng</w:t>
            </w:r>
            <w:r w:rsidRPr="007224B7">
              <w:t xml:space="preserve"> med </w:t>
            </w:r>
            <w:r w:rsidRPr="007224B7">
              <w:rPr>
                <w:b/>
                <w:i/>
              </w:rPr>
              <w:t>asylproceduren</w:t>
            </w:r>
            <w:r w:rsidRPr="007224B7">
              <w:t xml:space="preserve"> bør de </w:t>
            </w:r>
            <w:r w:rsidRPr="007224B7">
              <w:lastRenderedPageBreak/>
              <w:t xml:space="preserve">kompetente myndigheder i den medlemsstat, der er konfronteret med en instrumentalisering af migranter, </w:t>
            </w:r>
            <w:r w:rsidRPr="007224B7">
              <w:rPr>
                <w:b/>
                <w:i/>
              </w:rPr>
              <w:t>have</w:t>
            </w:r>
            <w:r w:rsidRPr="007224B7">
              <w:t xml:space="preserve"> den </w:t>
            </w:r>
            <w:r w:rsidRPr="007224B7">
              <w:rPr>
                <w:b/>
                <w:i/>
              </w:rPr>
              <w:t>nødvendige</w:t>
            </w:r>
            <w:r w:rsidRPr="007224B7">
              <w:t xml:space="preserve"> fleksibilitet til at gennemføre tilbagesend</w:t>
            </w:r>
            <w:r w:rsidRPr="007224B7">
              <w:t>elsesprocedurer</w:t>
            </w:r>
            <w:r w:rsidRPr="007224B7">
              <w:rPr>
                <w:b/>
                <w:i/>
              </w:rPr>
              <w:t xml:space="preserve"> efter asylproceduren, hvis ansøgningen er blevet afvist på grund</w:t>
            </w:r>
            <w:r w:rsidRPr="007224B7">
              <w:t xml:space="preserve"> af </w:t>
            </w:r>
            <w:r w:rsidRPr="007224B7">
              <w:rPr>
                <w:b/>
                <w:i/>
              </w:rPr>
              <w:t>en ophørt procedure</w:t>
            </w:r>
            <w:r w:rsidRPr="007224B7">
              <w:t xml:space="preserve">, </w:t>
            </w:r>
            <w:r w:rsidRPr="007224B7">
              <w:rPr>
                <w:b/>
                <w:i/>
              </w:rPr>
              <w:t>uden at der blev indrømmet</w:t>
            </w:r>
            <w:r w:rsidRPr="007224B7">
              <w:t xml:space="preserve"> international beskyttelse</w:t>
            </w:r>
            <w:r w:rsidRPr="007224B7">
              <w:rPr>
                <w:b/>
                <w:i/>
              </w:rPr>
              <w:t>.</w:t>
            </w:r>
            <w:r w:rsidRPr="007224B7">
              <w:t xml:space="preserve"> </w:t>
            </w:r>
            <w:r w:rsidRPr="007224B7">
              <w:rPr>
                <w:b/>
                <w:i/>
              </w:rPr>
              <w:t>Derfor bør den pågældende medlemsstat</w:t>
            </w:r>
            <w:r w:rsidRPr="007224B7">
              <w:t xml:space="preserve"> i </w:t>
            </w:r>
            <w:r w:rsidRPr="007224B7">
              <w:rPr>
                <w:b/>
                <w:i/>
              </w:rPr>
              <w:t>tilfælde af instrumentalisering og med forbehold af eksis</w:t>
            </w:r>
            <w:r w:rsidRPr="007224B7">
              <w:rPr>
                <w:b/>
                <w:i/>
              </w:rPr>
              <w:t>terende tilbagetagelsesordninger mellem EU og et tredjeland have mulighed for at fravige anvendelsen af [artikel 41a</w:t>
            </w:r>
            <w:r w:rsidRPr="007224B7">
              <w:t xml:space="preserve"> i forordning (EU) XXX/XXX [forordningen om asylprocedurer]</w:t>
            </w:r>
            <w:r w:rsidRPr="007224B7">
              <w:rPr>
                <w:b/>
                <w:i/>
              </w:rPr>
              <w:t>, direktiv XXX/XXX [tilbagesendelsesdirektivet (omarbejdning)] og i stedet anvend</w:t>
            </w:r>
            <w:r w:rsidRPr="007224B7">
              <w:rPr>
                <w:b/>
                <w:i/>
              </w:rPr>
              <w:t>e national ret og samtidig anvende artikel 4, stk. 4, i</w:t>
            </w:r>
            <w:r w:rsidRPr="007224B7">
              <w:t xml:space="preserve"> direktiv XXX/XXX </w:t>
            </w:r>
            <w:r w:rsidRPr="007224B7">
              <w:rPr>
                <w:b/>
                <w:i/>
              </w:rPr>
              <w:t>[tilbagesendelsesdirektiv</w:t>
            </w:r>
            <w:r w:rsidRPr="007224B7">
              <w:t xml:space="preserve"> (omarbejdning)].</w:t>
            </w:r>
            <w:r w:rsidRPr="007224B7">
              <w:rPr>
                <w:b/>
                <w:i/>
              </w:rPr>
              <w:t xml:space="preserve"> </w:t>
            </w:r>
            <w:r w:rsidRPr="007224B7">
              <w:t>Artikel</w:t>
            </w:r>
            <w:r w:rsidRPr="007224B7">
              <w:rPr>
                <w:b/>
                <w:i/>
              </w:rPr>
              <w:t> 4</w:t>
            </w:r>
            <w:r w:rsidRPr="007224B7">
              <w:t>, stk.</w:t>
            </w:r>
            <w:r w:rsidRPr="007224B7">
              <w:rPr>
                <w:b/>
                <w:i/>
              </w:rPr>
              <w:t> 4</w:t>
            </w:r>
            <w:r w:rsidRPr="007224B7">
              <w:t xml:space="preserve">, i </w:t>
            </w:r>
            <w:r w:rsidRPr="007224B7">
              <w:rPr>
                <w:b/>
                <w:i/>
              </w:rPr>
              <w:t>dette direktiv indeholder grundlæggende garantier, der også skal overholdes</w:t>
            </w:r>
            <w:r w:rsidRPr="007224B7">
              <w:t xml:space="preserve"> i </w:t>
            </w:r>
            <w:r w:rsidRPr="007224B7">
              <w:rPr>
                <w:b/>
                <w:i/>
              </w:rPr>
              <w:t>disse tilfælde.</w:t>
            </w:r>
            <w:r w:rsidRPr="007224B7">
              <w:t xml:space="preserve"> </w:t>
            </w:r>
            <w:r w:rsidRPr="007224B7">
              <w:rPr>
                <w:b/>
                <w:i/>
              </w:rPr>
              <w:t>Hvis der indgives en forn</w:t>
            </w:r>
            <w:r w:rsidRPr="007224B7">
              <w:rPr>
                <w:b/>
                <w:i/>
              </w:rPr>
              <w:t>yet ansøgning alene for at forsinke</w:t>
            </w:r>
            <w:r w:rsidRPr="007224B7">
              <w:t xml:space="preserve"> eller </w:t>
            </w:r>
            <w:r w:rsidRPr="007224B7">
              <w:rPr>
                <w:b/>
                <w:i/>
              </w:rPr>
              <w:t>hindre tilbagesendelsen</w:t>
            </w:r>
            <w:r w:rsidRPr="007224B7">
              <w:t xml:space="preserve">, </w:t>
            </w:r>
            <w:r w:rsidRPr="007224B7">
              <w:rPr>
                <w:b/>
                <w:i/>
              </w:rPr>
              <w:t>kan medlemsstaterne anvende reglerne i artikel 42 og 43 i forordning (EU) XXX/XXX [forordningen om asylprocedurer]</w:t>
            </w:r>
            <w:r w:rsidRPr="007224B7">
              <w:t>.</w:t>
            </w:r>
          </w:p>
        </w:tc>
      </w:tr>
      <w:tr w:rsidR="002D55B5" w:rsidRPr="007224B7" w:rsidTr="00103A80">
        <w:trPr>
          <w:jc w:val="center"/>
        </w:trPr>
        <w:tc>
          <w:tcPr>
            <w:tcW w:w="4876" w:type="dxa"/>
          </w:tcPr>
          <w:p w:rsidR="00103A80" w:rsidRPr="007224B7" w:rsidRDefault="00870768" w:rsidP="00103A80">
            <w:pPr>
              <w:pStyle w:val="Normal6"/>
            </w:pPr>
            <w:r w:rsidRPr="007224B7">
              <w:lastRenderedPageBreak/>
              <w:t>__________________</w:t>
            </w:r>
          </w:p>
        </w:tc>
        <w:tc>
          <w:tcPr>
            <w:tcW w:w="4876" w:type="dxa"/>
          </w:tcPr>
          <w:p w:rsidR="00103A80" w:rsidRPr="007224B7" w:rsidRDefault="00870768" w:rsidP="00103A80">
            <w:pPr>
              <w:pStyle w:val="Normal6"/>
              <w:rPr>
                <w:szCs w:val="24"/>
              </w:rPr>
            </w:pPr>
            <w:r w:rsidRPr="007224B7">
              <w:t>__________________</w:t>
            </w:r>
          </w:p>
        </w:tc>
      </w:tr>
      <w:tr w:rsidR="002D55B5" w:rsidRPr="007224B7" w:rsidTr="00103A80">
        <w:trPr>
          <w:jc w:val="center"/>
        </w:trPr>
        <w:tc>
          <w:tcPr>
            <w:tcW w:w="4876" w:type="dxa"/>
          </w:tcPr>
          <w:p w:rsidR="00103A80" w:rsidRPr="007224B7" w:rsidRDefault="00870768" w:rsidP="00103A80">
            <w:pPr>
              <w:pStyle w:val="Normal6"/>
            </w:pPr>
            <w:r w:rsidRPr="007224B7">
              <w:rPr>
                <w:vertAlign w:val="superscript"/>
              </w:rPr>
              <w:t>22</w:t>
            </w:r>
            <w:r w:rsidRPr="007224B7">
              <w:t xml:space="preserve"> EUT C, , s . .</w:t>
            </w:r>
          </w:p>
        </w:tc>
        <w:tc>
          <w:tcPr>
            <w:tcW w:w="4876" w:type="dxa"/>
          </w:tcPr>
          <w:p w:rsidR="00103A80" w:rsidRPr="007224B7" w:rsidRDefault="00870768" w:rsidP="00103A80">
            <w:pPr>
              <w:pStyle w:val="Normal6"/>
              <w:rPr>
                <w:szCs w:val="24"/>
              </w:rPr>
            </w:pPr>
            <w:r w:rsidRPr="007224B7">
              <w:rPr>
                <w:vertAlign w:val="superscript"/>
              </w:rPr>
              <w:t>22</w:t>
            </w:r>
            <w:r w:rsidRPr="007224B7">
              <w:t xml:space="preserve"> EUT C, , s . .</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lastRenderedPageBreak/>
        <w:t>&lt;Amend&gt;</w:t>
      </w:r>
      <w:r w:rsidRPr="007224B7">
        <w:t>Ændringsforslag</w:t>
      </w:r>
      <w:r w:rsidRPr="007224B7">
        <w:tab/>
      </w:r>
      <w:r w:rsidRPr="007224B7">
        <w:tab/>
      </w:r>
      <w:r w:rsidRPr="007224B7">
        <w:rPr>
          <w:rStyle w:val="HideTWBExt"/>
          <w:b w:val="0"/>
        </w:rPr>
        <w:t>&lt;NumAm&gt;</w:t>
      </w:r>
      <w:r w:rsidRPr="007224B7">
        <w:t>11</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14 a (ny)</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103A80" w:rsidP="00103A80">
            <w:pPr>
              <w:pStyle w:val="Normal6"/>
            </w:pPr>
          </w:p>
        </w:tc>
        <w:tc>
          <w:tcPr>
            <w:tcW w:w="4876" w:type="dxa"/>
          </w:tcPr>
          <w:p w:rsidR="00103A80" w:rsidRPr="007224B7" w:rsidRDefault="00870768" w:rsidP="00103A80">
            <w:pPr>
              <w:pStyle w:val="Normal6"/>
              <w:rPr>
                <w:szCs w:val="24"/>
              </w:rPr>
            </w:pPr>
            <w:r w:rsidRPr="007224B7">
              <w:rPr>
                <w:b/>
                <w:i/>
              </w:rPr>
              <w:t>(14a)</w:t>
            </w:r>
            <w:r w:rsidRPr="007224B7">
              <w:rPr>
                <w:b/>
                <w:i/>
              </w:rPr>
              <w:tab/>
              <w:t xml:space="preserve">I tilfælde af </w:t>
            </w:r>
            <w:r w:rsidRPr="007224B7">
              <w:rPr>
                <w:b/>
                <w:i/>
              </w:rPr>
              <w:t>instrumentalisering er det særlig vigtigt, at alle foranstaltninger træffes for at forhindre irregulær sekundær migration og samtidig yde fuld støtte til en eller flere medlemsstater, der er konfronteret med tredjelandsstatsborgeres eller statsløse persone</w:t>
            </w:r>
            <w:r w:rsidRPr="007224B7">
              <w:rPr>
                <w:b/>
                <w:i/>
              </w:rPr>
              <w:t>rs ankomst som følge af en sådan situation. Desuden er denne forordning ikke til hinder for, at medlemsstaterne kan udøve deres beføjelser med hensyn til opretholdelse af lov og orden og beskyttelse af den indre sikkerhed.</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12</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18</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(18)</w:t>
            </w:r>
            <w:r w:rsidRPr="007224B7">
              <w:tab/>
              <w:t xml:space="preserve">Hvis den pågældende medlemsstat anmoder om at anvende de relevante undtagelser i </w:t>
            </w:r>
            <w:r w:rsidRPr="007224B7">
              <w:t>denne forordning</w:t>
            </w:r>
            <w:r w:rsidRPr="007224B7">
              <w:rPr>
                <w:b/>
                <w:i/>
              </w:rPr>
              <w:t>, og Det Europæiske Råd har anerkendt</w:t>
            </w:r>
            <w:r w:rsidRPr="007224B7">
              <w:t xml:space="preserve">, at </w:t>
            </w:r>
            <w:r w:rsidRPr="007224B7">
              <w:rPr>
                <w:b/>
                <w:i/>
              </w:rPr>
              <w:t>Unionen eller en eller flere af dens medlemsstater</w:t>
            </w:r>
            <w:r w:rsidRPr="007224B7">
              <w:t xml:space="preserve"> er </w:t>
            </w:r>
            <w:r w:rsidRPr="007224B7">
              <w:rPr>
                <w:b/>
                <w:i/>
              </w:rPr>
              <w:t>konfronteret med en instrumentalisering</w:t>
            </w:r>
            <w:r w:rsidRPr="007224B7">
              <w:t xml:space="preserve"> af </w:t>
            </w:r>
            <w:r w:rsidRPr="007224B7">
              <w:rPr>
                <w:b/>
                <w:i/>
              </w:rPr>
              <w:t>migranter</w:t>
            </w:r>
            <w:r w:rsidRPr="007224B7">
              <w:t>, bør Kommissionen</w:t>
            </w:r>
            <w:r w:rsidRPr="007224B7">
              <w:rPr>
                <w:b/>
                <w:i/>
              </w:rPr>
              <w:t>, hvis det er relevant,</w:t>
            </w:r>
            <w:r w:rsidRPr="007224B7">
              <w:t xml:space="preserve"> fremsætte et forslag om at give en medlemsstat til</w:t>
            </w:r>
            <w:r w:rsidRPr="007224B7">
              <w:t xml:space="preserve">ladelse til at anvende de </w:t>
            </w:r>
            <w:r w:rsidRPr="007224B7">
              <w:rPr>
                <w:b/>
                <w:i/>
              </w:rPr>
              <w:t>undtagelsesbestemmelser</w:t>
            </w:r>
            <w:r w:rsidRPr="007224B7">
              <w:t>, der er fastsat i denne forordning.</w:t>
            </w:r>
            <w:r w:rsidRPr="007224B7">
              <w:rPr>
                <w:b/>
                <w:i/>
              </w:rPr>
              <w:t xml:space="preserve"> </w:t>
            </w:r>
            <w:r w:rsidRPr="007224B7">
              <w:t xml:space="preserve">For at sikre en høj grad af politisk kontrol og støtte og </w:t>
            </w:r>
            <w:r w:rsidRPr="007224B7">
              <w:rPr>
                <w:b/>
                <w:i/>
              </w:rPr>
              <w:t>for at styrke</w:t>
            </w:r>
            <w:r w:rsidRPr="007224B7">
              <w:t xml:space="preserve"> Unionens solidaritet </w:t>
            </w:r>
            <w:r w:rsidRPr="007224B7">
              <w:rPr>
                <w:b/>
                <w:i/>
              </w:rPr>
              <w:t>over for den medlemsstat</w:t>
            </w:r>
            <w:r w:rsidRPr="007224B7">
              <w:t xml:space="preserve">, </w:t>
            </w:r>
            <w:r w:rsidRPr="007224B7">
              <w:rPr>
                <w:b/>
                <w:i/>
              </w:rPr>
              <w:t>der</w:t>
            </w:r>
            <w:r w:rsidRPr="007224B7">
              <w:t xml:space="preserve"> er konfronteret med </w:t>
            </w:r>
            <w:r w:rsidRPr="007224B7">
              <w:rPr>
                <w:b/>
                <w:i/>
              </w:rPr>
              <w:t>en</w:t>
            </w:r>
            <w:r w:rsidRPr="007224B7">
              <w:t xml:space="preserve"> instrumentalisering af m</w:t>
            </w:r>
            <w:r w:rsidRPr="007224B7">
              <w:t xml:space="preserve">igranter, </w:t>
            </w:r>
            <w:r w:rsidRPr="007224B7">
              <w:rPr>
                <w:b/>
                <w:i/>
              </w:rPr>
              <w:t>bør</w:t>
            </w:r>
            <w:r w:rsidRPr="007224B7">
              <w:t xml:space="preserve"> Rådet tillægges gennemførelsesbeføjelser.</w:t>
            </w:r>
            <w:r w:rsidRPr="007224B7">
              <w:rPr>
                <w:b/>
                <w:i/>
              </w:rPr>
              <w:t xml:space="preserve"> Gennemførelsesafgørelsen, som giver </w:t>
            </w:r>
            <w:r w:rsidRPr="007224B7">
              <w:rPr>
                <w:b/>
                <w:i/>
              </w:rPr>
              <w:lastRenderedPageBreak/>
              <w:t>medlemsstaterne tilladelse</w:t>
            </w:r>
            <w:r w:rsidRPr="007224B7">
              <w:t xml:space="preserve"> til at </w:t>
            </w:r>
            <w:r w:rsidRPr="007224B7">
              <w:rPr>
                <w:b/>
                <w:i/>
              </w:rPr>
              <w:t>anvende undtagelsesbestemmelser</w:t>
            </w:r>
            <w:r w:rsidRPr="007224B7">
              <w:t xml:space="preserve">, </w:t>
            </w:r>
            <w:r w:rsidRPr="007224B7">
              <w:rPr>
                <w:b/>
                <w:i/>
              </w:rPr>
              <w:t>bør derfor vedtages</w:t>
            </w:r>
            <w:r w:rsidRPr="007224B7">
              <w:t xml:space="preserve"> af Rådet.</w:t>
            </w:r>
          </w:p>
        </w:tc>
        <w:tc>
          <w:tcPr>
            <w:tcW w:w="4876" w:type="dxa"/>
          </w:tcPr>
          <w:p w:rsidR="00103A80" w:rsidRPr="007224B7" w:rsidRDefault="00870768" w:rsidP="00103A80">
            <w:pPr>
              <w:pStyle w:val="Normal6"/>
              <w:rPr>
                <w:szCs w:val="24"/>
              </w:rPr>
            </w:pPr>
            <w:r w:rsidRPr="007224B7">
              <w:lastRenderedPageBreak/>
              <w:t>(18)</w:t>
            </w:r>
            <w:r w:rsidRPr="007224B7">
              <w:tab/>
              <w:t>Hvis den pågældende medlemsstat anmoder om at anvende de relev</w:t>
            </w:r>
            <w:r w:rsidRPr="007224B7">
              <w:t>ante undtagelser i denne forordning</w:t>
            </w:r>
            <w:r w:rsidRPr="007224B7">
              <w:rPr>
                <w:b/>
                <w:i/>
              </w:rPr>
              <w:t xml:space="preserve"> på grundlag af dokumentation for</w:t>
            </w:r>
            <w:r w:rsidRPr="007224B7">
              <w:t xml:space="preserve">, at </w:t>
            </w:r>
            <w:r w:rsidRPr="007224B7">
              <w:rPr>
                <w:b/>
                <w:i/>
              </w:rPr>
              <w:t>der</w:t>
            </w:r>
            <w:r w:rsidRPr="007224B7">
              <w:t xml:space="preserve"> er </w:t>
            </w:r>
            <w:r w:rsidRPr="007224B7">
              <w:rPr>
                <w:b/>
                <w:i/>
              </w:rPr>
              <w:t>tale om et tilfælde</w:t>
            </w:r>
            <w:r w:rsidRPr="007224B7">
              <w:t xml:space="preserve"> af </w:t>
            </w:r>
            <w:r w:rsidRPr="007224B7">
              <w:rPr>
                <w:b/>
                <w:i/>
              </w:rPr>
              <w:t>instrumentalisering</w:t>
            </w:r>
            <w:r w:rsidRPr="007224B7">
              <w:t xml:space="preserve">, bør Kommissionen fremsætte et forslag om at give en medlemsstat tilladelse til at anvende de </w:t>
            </w:r>
            <w:r w:rsidRPr="007224B7">
              <w:rPr>
                <w:b/>
                <w:i/>
              </w:rPr>
              <w:t>undtagelser</w:t>
            </w:r>
            <w:r w:rsidRPr="007224B7">
              <w:t>, der er fastsat i denne for</w:t>
            </w:r>
            <w:r w:rsidRPr="007224B7">
              <w:t>ordning.</w:t>
            </w:r>
            <w:r w:rsidRPr="007224B7">
              <w:rPr>
                <w:b/>
                <w:i/>
              </w:rPr>
              <w:t xml:space="preserve"> Kommissionen bør også kunne fremsætte et sådant forslag, hvis den finder det hensigtsmæssigt, på grundlag af oplysninger fra den anmodende medlemsstat. </w:t>
            </w:r>
            <w:r w:rsidRPr="007224B7">
              <w:t xml:space="preserve">For at sikre en høj grad af politisk kontrol og støtte og </w:t>
            </w:r>
            <w:r w:rsidRPr="007224B7">
              <w:rPr>
                <w:b/>
                <w:i/>
              </w:rPr>
              <w:t>som en tilkendegivelse af</w:t>
            </w:r>
            <w:r w:rsidRPr="007224B7">
              <w:t xml:space="preserve"> Unionens so</w:t>
            </w:r>
            <w:r w:rsidRPr="007224B7">
              <w:t xml:space="preserve">lidaritet </w:t>
            </w:r>
            <w:r w:rsidRPr="007224B7">
              <w:rPr>
                <w:b/>
                <w:i/>
              </w:rPr>
              <w:t>er det desuden nødvendigt at tage hensyn til, om Det Europæiske Råd har anerkendt</w:t>
            </w:r>
            <w:r w:rsidRPr="007224B7">
              <w:t xml:space="preserve">, </w:t>
            </w:r>
            <w:r w:rsidRPr="007224B7">
              <w:rPr>
                <w:b/>
                <w:i/>
              </w:rPr>
              <w:t xml:space="preserve">at Unionen eller en eller </w:t>
            </w:r>
            <w:r w:rsidRPr="007224B7">
              <w:rPr>
                <w:b/>
                <w:i/>
              </w:rPr>
              <w:lastRenderedPageBreak/>
              <w:t>flere af dens medlemsstater</w:t>
            </w:r>
            <w:r w:rsidRPr="007224B7">
              <w:t xml:space="preserve"> er konfronteret med </w:t>
            </w:r>
            <w:r w:rsidRPr="007224B7">
              <w:rPr>
                <w:b/>
                <w:i/>
              </w:rPr>
              <w:t>et tilfælde af</w:t>
            </w:r>
            <w:r w:rsidRPr="007224B7">
              <w:t xml:space="preserve"> instrumentalisering af migranter</w:t>
            </w:r>
            <w:r w:rsidRPr="007224B7">
              <w:rPr>
                <w:b/>
                <w:i/>
              </w:rPr>
              <w:t>. Instrumentaliseringen af migranter kan b</w:t>
            </w:r>
            <w:r w:rsidRPr="007224B7">
              <w:rPr>
                <w:b/>
                <w:i/>
              </w:rPr>
              <w:t>ringe en medlemsstats væsentlige funktioner i fare</w:t>
            </w:r>
            <w:r w:rsidRPr="007224B7">
              <w:t xml:space="preserve">, </w:t>
            </w:r>
            <w:r w:rsidRPr="007224B7">
              <w:rPr>
                <w:b/>
                <w:i/>
              </w:rPr>
              <w:t xml:space="preserve">herunder opretholdelsen af lov og orden eller beskyttelsen af dens nationale sikkerhed. </w:t>
            </w:r>
            <w:r w:rsidRPr="007224B7">
              <w:t>Rådet</w:t>
            </w:r>
            <w:r w:rsidRPr="007224B7">
              <w:rPr>
                <w:b/>
                <w:i/>
              </w:rPr>
              <w:t xml:space="preserve"> bør derfor</w:t>
            </w:r>
            <w:r w:rsidRPr="007224B7">
              <w:t xml:space="preserve"> tillægges gennemførelsesbeføjelser</w:t>
            </w:r>
            <w:r w:rsidRPr="007224B7">
              <w:rPr>
                <w:b/>
                <w:i/>
              </w:rPr>
              <w:t xml:space="preserve"> til at vedtage en gennemførelsesafgørelse om bemyndigelse af en </w:t>
            </w:r>
            <w:r w:rsidRPr="007224B7">
              <w:rPr>
                <w:b/>
                <w:i/>
              </w:rPr>
              <w:t>medlemsstat til at anvende undtagelserne i denne forordning</w:t>
            </w:r>
            <w:r w:rsidRPr="007224B7">
              <w:t xml:space="preserve">. </w:t>
            </w:r>
            <w:r w:rsidRPr="007224B7">
              <w:rPr>
                <w:b/>
                <w:i/>
              </w:rPr>
              <w:t>Rådet bør også have beføjelse</w:t>
            </w:r>
            <w:r w:rsidRPr="007224B7">
              <w:t xml:space="preserve"> til at </w:t>
            </w:r>
            <w:r w:rsidRPr="007224B7">
              <w:rPr>
                <w:b/>
                <w:i/>
              </w:rPr>
              <w:t>ophæve eller forlænge anvendelsen af de undtagelser</w:t>
            </w:r>
            <w:r w:rsidRPr="007224B7">
              <w:t xml:space="preserve">, </w:t>
            </w:r>
            <w:r w:rsidRPr="007224B7">
              <w:rPr>
                <w:b/>
                <w:i/>
              </w:rPr>
              <w:t>der er fastsat i denne forordning, med op til 6 måneder på grundlag</w:t>
            </w:r>
            <w:r w:rsidRPr="007224B7">
              <w:t xml:space="preserve"> af </w:t>
            </w:r>
            <w:r w:rsidRPr="007224B7">
              <w:rPr>
                <w:b/>
                <w:i/>
              </w:rPr>
              <w:t>Kommissionens forslag, alt efter o</w:t>
            </w:r>
            <w:r w:rsidRPr="007224B7">
              <w:rPr>
                <w:b/>
                <w:i/>
              </w:rPr>
              <w:t>m de omstændigheder, der berettiger indførelsen af undtagelserne, varer ved eller er ophørt. Det er muligt, at en afgørelse om forlængelse omfatter ændringer af de anvendte undtagelser. Under udøvelsen af deres beføjelser og udførelsen af deres opgaver bør</w:t>
            </w:r>
            <w:r w:rsidRPr="007224B7">
              <w:rPr>
                <w:b/>
                <w:i/>
              </w:rPr>
              <w:t xml:space="preserve"> Kommissionen og Rådet til enhver tid sikre, at proportionalitetsprincippet overholdes.</w:t>
            </w:r>
          </w:p>
        </w:tc>
      </w:tr>
    </w:tbl>
    <w:p w:rsidR="00103A80" w:rsidRPr="007224B7" w:rsidRDefault="00870768" w:rsidP="00103A80">
      <w:pPr>
        <w:pStyle w:val="Olang"/>
      </w:pPr>
      <w:r w:rsidRPr="007224B7">
        <w:rPr>
          <w:noProof w:val="0"/>
        </w:rPr>
        <w:lastRenderedPageBreak/>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13</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18 a (ny)</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103A80" w:rsidP="00103A80">
            <w:pPr>
              <w:pStyle w:val="Normal6"/>
            </w:pPr>
          </w:p>
        </w:tc>
        <w:tc>
          <w:tcPr>
            <w:tcW w:w="4876" w:type="dxa"/>
          </w:tcPr>
          <w:p w:rsidR="00103A80" w:rsidRPr="007224B7" w:rsidRDefault="00870768" w:rsidP="001261D4">
            <w:pPr>
              <w:pStyle w:val="Normal6"/>
              <w:rPr>
                <w:szCs w:val="24"/>
              </w:rPr>
            </w:pPr>
            <w:r w:rsidRPr="007224B7">
              <w:rPr>
                <w:b/>
                <w:i/>
              </w:rPr>
              <w:t>(18a)</w:t>
            </w:r>
            <w:r w:rsidRPr="007224B7">
              <w:rPr>
                <w:b/>
                <w:i/>
              </w:rPr>
              <w:tab/>
              <w:t xml:space="preserve">En gennemførelsesafgørelse fra Rådet bør kun være nødvendig i særlige tilfælde, navnlig når instrumentaliseringen udgør en nødsituation i form af ansporing af irregulær migration til Unionen, og karakteren </w:t>
            </w:r>
            <w:r w:rsidRPr="007224B7">
              <w:rPr>
                <w:b/>
                <w:i/>
              </w:rPr>
              <w:t xml:space="preserve">heraf eller i kombination med andre hybride angreb kan udgøre en risiko for statens væsentlige funktioner, herunder dens territoriale integritet, opretholdelsen af lov og orden eller </w:t>
            </w:r>
            <w:r w:rsidRPr="007224B7">
              <w:rPr>
                <w:b/>
                <w:i/>
              </w:rPr>
              <w:lastRenderedPageBreak/>
              <w:t>beskyttelsen af dens nationale sikkerhed, eller når instrumentaliseringen</w:t>
            </w:r>
            <w:r w:rsidRPr="007224B7">
              <w:rPr>
                <w:b/>
                <w:i/>
              </w:rPr>
              <w:t xml:space="preserve"> udgør en nødsituation, der er kendetegnet ved en uventet betydelig stigning i antallet af asylansøgninger ved den ydre grænse.</w:t>
            </w:r>
          </w:p>
        </w:tc>
      </w:tr>
    </w:tbl>
    <w:p w:rsidR="00103A80" w:rsidRPr="007224B7" w:rsidRDefault="00870768" w:rsidP="00103A80">
      <w:pPr>
        <w:pStyle w:val="Olang"/>
      </w:pPr>
      <w:r w:rsidRPr="007224B7">
        <w:rPr>
          <w:noProof w:val="0"/>
        </w:rPr>
        <w:lastRenderedPageBreak/>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14</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19</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(19)</w:t>
            </w:r>
            <w:r w:rsidRPr="007224B7">
              <w:tab/>
              <w:t>Rådets gennemførelsesafgørelse bør indeholde en tilladelse til de bestemte undtagelser, som kan anvendes af den medlemsstat, der er konfronteret med en instrumentalisering af m</w:t>
            </w:r>
            <w:r w:rsidRPr="007224B7">
              <w:t>igranter, en startdato for deres anvendelse og en angivelse af deres varighed.</w:t>
            </w:r>
          </w:p>
        </w:tc>
        <w:tc>
          <w:tcPr>
            <w:tcW w:w="4876" w:type="dxa"/>
          </w:tcPr>
          <w:p w:rsidR="00103A80" w:rsidRPr="007224B7" w:rsidRDefault="00870768" w:rsidP="00103A80">
            <w:pPr>
              <w:pStyle w:val="Normal6"/>
              <w:rPr>
                <w:szCs w:val="24"/>
              </w:rPr>
            </w:pPr>
            <w:r w:rsidRPr="007224B7">
              <w:t>(19)</w:t>
            </w:r>
            <w:r w:rsidRPr="007224B7">
              <w:tab/>
              <w:t xml:space="preserve">Rådets gennemførelsesafgørelse bør indeholde en tilladelse til de bestemte undtagelser, som kan anvendes af den medlemsstat, der er konfronteret med en instrumentalisering </w:t>
            </w:r>
            <w:r w:rsidRPr="007224B7">
              <w:t xml:space="preserve">af migranter, en startdato for deres anvendelse og en angivelse af deres varighed. </w:t>
            </w:r>
            <w:r w:rsidRPr="007224B7">
              <w:rPr>
                <w:b/>
                <w:i/>
              </w:rPr>
              <w:t>Afgørelsen bør desuden angive de grunde, den er baseret på, og undtagelsernes personelle anvendelsesområde.</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15</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Betragtning 20</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(20)</w:t>
            </w:r>
            <w:r w:rsidRPr="007224B7">
              <w:tab/>
              <w:t>For at bistå den berørte medlemsstat med at yde den nødvendige bistand til tredjelandsstatsborgere, der er omfatt</w:t>
            </w:r>
            <w:r w:rsidRPr="007224B7">
              <w:t>et af anvendelsesområdet for denne forordning, bl.a. ved at fremme aktiviteter i forbindelse med frivillige tilbagesendelser eller udføre humanitære opgaver, bør FN-agenturer og andre relevante partnerorganisationer, navnlig Den Internationale Organisation</w:t>
            </w:r>
            <w:r w:rsidRPr="007224B7">
              <w:t xml:space="preserve"> for Migration og Det Internationale Forbund af Røde </w:t>
            </w:r>
            <w:r w:rsidRPr="007224B7">
              <w:lastRenderedPageBreak/>
              <w:t>Kors- og Røde Halvmåne-selskaber, have reel adgang til grænsen på de betingelser, der er fastsat i direktiv (EU) XXX/XXX [direktivet om modtagelsesforhold (omarbejdning)] og forordning (EU) XXX/XXX [foro</w:t>
            </w:r>
            <w:r w:rsidRPr="007224B7">
              <w:t xml:space="preserve">rdningen om asylprocedurer]. </w:t>
            </w:r>
            <w:r w:rsidRPr="007224B7">
              <w:rPr>
                <w:b/>
                <w:i/>
              </w:rPr>
              <w:t>FN's Højkommissariat</w:t>
            </w:r>
            <w:r w:rsidRPr="007224B7">
              <w:t xml:space="preserve"> for Flygtninge bør have adgang til ansøgere, herunder ansøgere ved grænsen</w:t>
            </w:r>
            <w:r w:rsidRPr="007224B7">
              <w:rPr>
                <w:b/>
                <w:i/>
              </w:rPr>
              <w:t>, jf</w:t>
            </w:r>
            <w:r w:rsidRPr="007224B7">
              <w:t xml:space="preserve">. </w:t>
            </w:r>
            <w:r w:rsidRPr="007224B7">
              <w:rPr>
                <w:b/>
                <w:i/>
              </w:rPr>
              <w:t>forordning (EU) XXX/XXX [forordningen om asylprocedurer].</w:t>
            </w:r>
            <w:r w:rsidRPr="007224B7">
              <w:t xml:space="preserve"> Den </w:t>
            </w:r>
            <w:r w:rsidRPr="007224B7">
              <w:rPr>
                <w:b/>
                <w:i/>
              </w:rPr>
              <w:t>berørte</w:t>
            </w:r>
            <w:r w:rsidRPr="007224B7">
              <w:t xml:space="preserve"> medlemsstat </w:t>
            </w:r>
            <w:r w:rsidRPr="007224B7">
              <w:rPr>
                <w:b/>
                <w:i/>
              </w:rPr>
              <w:t>bør til det formål arbejde tæt sammen</w:t>
            </w:r>
            <w:r w:rsidRPr="007224B7">
              <w:t xml:space="preserve"> med </w:t>
            </w:r>
            <w:r w:rsidRPr="007224B7">
              <w:rPr>
                <w:b/>
                <w:i/>
              </w:rPr>
              <w:t>FN</w:t>
            </w:r>
            <w:r w:rsidRPr="007224B7">
              <w:rPr>
                <w:b/>
                <w:i/>
              </w:rPr>
              <w:t>-agenturer og relevante partnerorganisationer</w:t>
            </w:r>
            <w:r w:rsidRPr="007224B7">
              <w:t>.</w:t>
            </w:r>
          </w:p>
        </w:tc>
        <w:tc>
          <w:tcPr>
            <w:tcW w:w="4876" w:type="dxa"/>
          </w:tcPr>
          <w:p w:rsidR="00103A80" w:rsidRPr="007224B7" w:rsidRDefault="00870768" w:rsidP="001261D4">
            <w:pPr>
              <w:pStyle w:val="Normal6"/>
              <w:rPr>
                <w:szCs w:val="24"/>
              </w:rPr>
            </w:pPr>
            <w:r w:rsidRPr="007224B7">
              <w:lastRenderedPageBreak/>
              <w:t>(20)</w:t>
            </w:r>
            <w:r w:rsidRPr="007224B7">
              <w:tab/>
              <w:t>For at bistå den berørte medlemsstat med at yde den nødvendige bistand til tredjelandsstatsborgere</w:t>
            </w:r>
            <w:r w:rsidRPr="007224B7">
              <w:rPr>
                <w:b/>
                <w:i/>
              </w:rPr>
              <w:t xml:space="preserve"> og statsløse personer</w:t>
            </w:r>
            <w:r w:rsidRPr="007224B7">
              <w:t>, der er omfattet af anvendelsesområdet for denne forordning, bl.a. ved at fremme ak</w:t>
            </w:r>
            <w:r w:rsidRPr="007224B7">
              <w:t>tiviteter i forbindelse med frivillige tilbagesendelser eller udføre humanitære opgaver, bør FN-agenturer</w:t>
            </w:r>
            <w:r w:rsidRPr="007224B7">
              <w:rPr>
                <w:b/>
                <w:i/>
              </w:rPr>
              <w:t>, navnlig De Forenede Nationers Højkommissariat for Flygtninge,</w:t>
            </w:r>
            <w:r w:rsidRPr="007224B7">
              <w:t xml:space="preserve"> og andre relevante partnerorganisationer, </w:t>
            </w:r>
            <w:r w:rsidRPr="007224B7">
              <w:rPr>
                <w:b/>
                <w:i/>
              </w:rPr>
              <w:t xml:space="preserve">der er </w:t>
            </w:r>
            <w:r w:rsidRPr="007224B7">
              <w:rPr>
                <w:b/>
                <w:i/>
              </w:rPr>
              <w:lastRenderedPageBreak/>
              <w:t>betroet særlige opgaver af medlemsstat</w:t>
            </w:r>
            <w:r w:rsidRPr="007224B7">
              <w:rPr>
                <w:b/>
                <w:i/>
              </w:rPr>
              <w:t xml:space="preserve">erne, </w:t>
            </w:r>
            <w:r w:rsidRPr="007224B7">
              <w:t>navnlig Den Internationale Organisation for Migration og Det Internationale Forbund af Røde Kors- og Røde Halvmåne-selskaber, have reel adgang til grænsen på de betingelser, der er fastsat i direktiv (EU) XXX/XXX [direktivet om modtagelsesforhold (om</w:t>
            </w:r>
            <w:r w:rsidRPr="007224B7">
              <w:t xml:space="preserve">arbejdning)] og forordning (EU) XXX/XXX [forordningen om asylprocedurer]. </w:t>
            </w:r>
            <w:r w:rsidRPr="007224B7">
              <w:rPr>
                <w:b/>
                <w:i/>
              </w:rPr>
              <w:t>Højkommissariatet</w:t>
            </w:r>
            <w:r w:rsidRPr="007224B7">
              <w:t xml:space="preserve"> for Flygtninge bør have adgang til ansøgere, herunder ansøgere ved grænsen. </w:t>
            </w:r>
            <w:r w:rsidRPr="007224B7">
              <w:rPr>
                <w:b/>
                <w:i/>
              </w:rPr>
              <w:t>Med henblik herpå bør</w:t>
            </w:r>
            <w:r w:rsidRPr="007224B7">
              <w:t xml:space="preserve"> den </w:t>
            </w:r>
            <w:r w:rsidRPr="007224B7">
              <w:rPr>
                <w:b/>
                <w:i/>
              </w:rPr>
              <w:t>pågældende</w:t>
            </w:r>
            <w:r w:rsidRPr="007224B7">
              <w:t xml:space="preserve"> medlemsstat </w:t>
            </w:r>
            <w:r w:rsidRPr="007224B7">
              <w:rPr>
                <w:b/>
                <w:i/>
              </w:rPr>
              <w:t>opretholde samarbejdet</w:t>
            </w:r>
            <w:r w:rsidRPr="007224B7">
              <w:t xml:space="preserve"> med </w:t>
            </w:r>
            <w:r w:rsidRPr="007224B7">
              <w:rPr>
                <w:b/>
                <w:i/>
              </w:rPr>
              <w:t>disse organi</w:t>
            </w:r>
            <w:r w:rsidRPr="007224B7">
              <w:rPr>
                <w:b/>
                <w:i/>
              </w:rPr>
              <w:t>sationer</w:t>
            </w:r>
            <w:r w:rsidRPr="007224B7">
              <w:t>.</w:t>
            </w:r>
          </w:p>
        </w:tc>
      </w:tr>
    </w:tbl>
    <w:p w:rsidR="00103A80" w:rsidRPr="007224B7" w:rsidRDefault="00870768" w:rsidP="00103A80">
      <w:pPr>
        <w:pStyle w:val="Olang"/>
      </w:pPr>
      <w:r w:rsidRPr="007224B7">
        <w:rPr>
          <w:noProof w:val="0"/>
        </w:rPr>
        <w:lastRenderedPageBreak/>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16</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1  – stk. 1</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Ved denne forordning fastsættes særlige regler, der fraviger bestemmelserne i forordning (EU) XXX/XXX [forordningen om asylprocedurer], direktiv (EU) XXX/XXX [direktivet om modtagelsesforhold (omarbejdning)] og direktiv (EU) XXX/XXX [tilbagesendelsesdirekt</w:t>
            </w:r>
            <w:r w:rsidRPr="007224B7">
              <w:t xml:space="preserve">ivet (omarbejdning)], og som kan anvendes af en medlemsstat, der udsættes for en instrumentalisering </w:t>
            </w:r>
            <w:r w:rsidRPr="007224B7">
              <w:rPr>
                <w:b/>
                <w:i/>
              </w:rPr>
              <w:t xml:space="preserve">af migranter </w:t>
            </w:r>
            <w:r w:rsidRPr="007224B7">
              <w:t xml:space="preserve">som defineret i </w:t>
            </w:r>
            <w:r w:rsidRPr="007224B7">
              <w:rPr>
                <w:b/>
                <w:i/>
              </w:rPr>
              <w:t xml:space="preserve">[artikel 2, </w:t>
            </w:r>
            <w:r w:rsidRPr="007224B7">
              <w:t xml:space="preserve">stk. </w:t>
            </w:r>
            <w:r w:rsidRPr="007224B7">
              <w:rPr>
                <w:b/>
                <w:i/>
              </w:rPr>
              <w:t>27] i Schengengrænsekodeksen</w:t>
            </w:r>
            <w:r w:rsidRPr="007224B7">
              <w:t>, hvis det er nødvendigt for at reagere på en sådan situation. Den indeholder ogs</w:t>
            </w:r>
            <w:r w:rsidRPr="007224B7">
              <w:t>å særlige regler om støtte- og solidaritetsforanstaltninger, der kan træffes i en sådan situation.</w:t>
            </w:r>
          </w:p>
        </w:tc>
        <w:tc>
          <w:tcPr>
            <w:tcW w:w="4876" w:type="dxa"/>
          </w:tcPr>
          <w:p w:rsidR="00103A80" w:rsidRPr="007224B7" w:rsidRDefault="00870768" w:rsidP="00103A80">
            <w:pPr>
              <w:pStyle w:val="Normal6"/>
              <w:rPr>
                <w:szCs w:val="24"/>
              </w:rPr>
            </w:pPr>
            <w:r w:rsidRPr="007224B7">
              <w:rPr>
                <w:b/>
                <w:i/>
              </w:rPr>
              <w:t>1.</w:t>
            </w:r>
            <w:r w:rsidRPr="007224B7">
              <w:t xml:space="preserve"> Ved denne forordning fastsættes særlige regler, der</w:t>
            </w:r>
            <w:r w:rsidRPr="007224B7">
              <w:rPr>
                <w:b/>
                <w:i/>
              </w:rPr>
              <w:t xml:space="preserve"> undtagelsesvist</w:t>
            </w:r>
            <w:r w:rsidRPr="007224B7">
              <w:t xml:space="preserve"> fraviger bestemmelserne i forordning (EU) XXX/XXX [forordningen om asylprocedurer], di</w:t>
            </w:r>
            <w:r w:rsidRPr="007224B7">
              <w:t xml:space="preserve">rektiv (EU) XXX/XXX [direktivet om modtagelsesforhold (omarbejdning)] og direktiv (EU) XXX/XXX [tilbagesendelsesdirektivet (omarbejdning)], og som kan anvendes af en medlemsstat, der udsættes for en instrumentalisering som defineret i stk. </w:t>
            </w:r>
            <w:r w:rsidRPr="007224B7">
              <w:rPr>
                <w:b/>
                <w:i/>
              </w:rPr>
              <w:t>1a</w:t>
            </w:r>
            <w:r w:rsidRPr="007224B7">
              <w:t xml:space="preserve">, hvis det er </w:t>
            </w:r>
            <w:r w:rsidRPr="007224B7">
              <w:t>nødvendigt</w:t>
            </w:r>
            <w:r w:rsidRPr="007224B7">
              <w:rPr>
                <w:b/>
                <w:i/>
              </w:rPr>
              <w:t xml:space="preserve"> og rimeligt</w:t>
            </w:r>
            <w:r w:rsidRPr="007224B7">
              <w:t xml:space="preserve"> for at reagere på en sådan situation. Den indeholder også særlige regler om støtte- og solidaritetsforanstaltninger, der kan træffes i en sådan situation. </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lastRenderedPageBreak/>
        <w:t>&lt;Amend&gt;</w:t>
      </w:r>
      <w:r w:rsidRPr="007224B7">
        <w:t>Ændringsforslag</w:t>
      </w:r>
      <w:r w:rsidRPr="007224B7">
        <w:tab/>
      </w:r>
      <w:r w:rsidRPr="007224B7">
        <w:tab/>
      </w:r>
      <w:r w:rsidRPr="007224B7">
        <w:rPr>
          <w:rStyle w:val="HideTWBExt"/>
          <w:b w:val="0"/>
        </w:rPr>
        <w:t>&lt;NumAm&gt;</w:t>
      </w:r>
      <w:r w:rsidRPr="007224B7">
        <w:t>17</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1 – stk. 1 a (nyt)</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103A80" w:rsidP="00103A80">
            <w:pPr>
              <w:pStyle w:val="Normal6"/>
            </w:pPr>
          </w:p>
        </w:tc>
        <w:tc>
          <w:tcPr>
            <w:tcW w:w="4876" w:type="dxa"/>
          </w:tcPr>
          <w:p w:rsidR="00103A80" w:rsidRPr="007224B7" w:rsidRDefault="00870768" w:rsidP="00103A80">
            <w:pPr>
              <w:pStyle w:val="Normal6"/>
              <w:rPr>
                <w:szCs w:val="24"/>
              </w:rPr>
            </w:pPr>
            <w:r w:rsidRPr="007224B7">
              <w:rPr>
                <w:b/>
                <w:i/>
              </w:rPr>
              <w:t xml:space="preserve">1a. Ved instrumentalisering af migranter forstås en situation, hvor et tredjeland eller en ikkestatslig aktør </w:t>
            </w:r>
            <w:r w:rsidRPr="007224B7">
              <w:rPr>
                <w:b/>
                <w:i/>
              </w:rPr>
              <w:t>tilskynder tredjelandsstatsborgere eller statsløse personer til eller letter deres bevægelighed til de ydre grænser som defineret i artikel 2, stk. 2, i forordning (EU) 2016/0399 eller til en medlemsstat med det formål at destabilisere Unionen eller en med</w:t>
            </w:r>
            <w:r w:rsidRPr="007224B7">
              <w:rPr>
                <w:b/>
                <w:i/>
              </w:rPr>
              <w:t>lemsstat og hvor sådanne handlinger kan bringe en medlemsstats væsentlige funktioner i fare, herunder opretholdelse af lov og orden eller beskyttelse af dens nationale sikkerhed.</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18</w:t>
      </w:r>
      <w:r w:rsidRPr="007224B7">
        <w:rPr>
          <w:rStyle w:val="HideTWBExt"/>
          <w:b w:val="0"/>
        </w:rPr>
        <w:t>&lt;/</w:t>
      </w:r>
      <w:r w:rsidRPr="007224B7">
        <w:rPr>
          <w:rStyle w:val="HideTWBExt"/>
          <w:b w:val="0"/>
        </w:rPr>
        <w: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2 – stk. 1 – indledning</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1.</w:t>
            </w:r>
            <w:r w:rsidRPr="007224B7">
              <w:tab/>
              <w:t xml:space="preserve">I tilfælde af instrumentalisering </w:t>
            </w:r>
            <w:r w:rsidRPr="007224B7">
              <w:rPr>
                <w:b/>
                <w:i/>
              </w:rPr>
              <w:t xml:space="preserve">af migranter, som omhandlet i artikel 1, </w:t>
            </w:r>
            <w:r w:rsidRPr="007224B7">
              <w:t xml:space="preserve">kan den medlemsstat, der er </w:t>
            </w:r>
            <w:r w:rsidRPr="007224B7">
              <w:t>konfronteret med en tilstrømning af tredjelandsstatsborgere eller statsløse personer</w:t>
            </w:r>
            <w:r w:rsidRPr="007224B7">
              <w:rPr>
                <w:b/>
                <w:i/>
              </w:rPr>
              <w:t xml:space="preserve"> til sin ydre grænse som følge af en sådan</w:t>
            </w:r>
            <w:r w:rsidRPr="007224B7">
              <w:t xml:space="preserve"> instrumentalisering, </w:t>
            </w:r>
            <w:r w:rsidRPr="007224B7">
              <w:rPr>
                <w:b/>
                <w:i/>
              </w:rPr>
              <w:t>over for tredjelandsstatsborgere eller statsløse personer, der</w:t>
            </w:r>
            <w:r w:rsidRPr="007224B7">
              <w:t xml:space="preserve"> pågribes eller findes i nærheden af den ydre </w:t>
            </w:r>
            <w:r w:rsidRPr="007224B7">
              <w:t xml:space="preserve">grænse </w:t>
            </w:r>
            <w:r w:rsidRPr="007224B7">
              <w:rPr>
                <w:b/>
                <w:i/>
              </w:rPr>
              <w:t xml:space="preserve">med det tredjeland, der instrumentaliserer migranter, </w:t>
            </w:r>
            <w:r w:rsidRPr="007224B7">
              <w:t xml:space="preserve">i forbindelse med en ulovlig grænsepassage, eller efter </w:t>
            </w:r>
            <w:r w:rsidRPr="007224B7">
              <w:rPr>
                <w:b/>
                <w:i/>
              </w:rPr>
              <w:t>at de</w:t>
            </w:r>
            <w:r w:rsidRPr="007224B7">
              <w:t xml:space="preserve"> selv har meldt sig ved et grænseovergangssted, anvende en eller flere af følgende undtagelser </w:t>
            </w:r>
            <w:r w:rsidRPr="007224B7">
              <w:rPr>
                <w:b/>
                <w:i/>
              </w:rPr>
              <w:t>efter proceduren i artikel 6</w:t>
            </w:r>
            <w:r w:rsidRPr="007224B7">
              <w:t>:</w:t>
            </w:r>
          </w:p>
        </w:tc>
        <w:tc>
          <w:tcPr>
            <w:tcW w:w="4876" w:type="dxa"/>
          </w:tcPr>
          <w:p w:rsidR="00103A80" w:rsidRPr="007224B7" w:rsidRDefault="00870768" w:rsidP="001261D4">
            <w:pPr>
              <w:pStyle w:val="Normal6"/>
              <w:rPr>
                <w:szCs w:val="24"/>
              </w:rPr>
            </w:pPr>
            <w:r w:rsidRPr="007224B7">
              <w:t>1.</w:t>
            </w:r>
            <w:r w:rsidRPr="007224B7">
              <w:tab/>
              <w:t>I tilf</w:t>
            </w:r>
            <w:r w:rsidRPr="007224B7">
              <w:t>ælde af instrumentalisering kan den medlemsstat, der er konfronteret med en tilstrømning af tredjelandsstatsborgere eller statsløse personer</w:t>
            </w:r>
            <w:r w:rsidRPr="007224B7">
              <w:rPr>
                <w:b/>
                <w:i/>
              </w:rPr>
              <w:t>, der er genstand for</w:t>
            </w:r>
            <w:r w:rsidRPr="007224B7">
              <w:t xml:space="preserve"> instrumentalisering, </w:t>
            </w:r>
            <w:r w:rsidRPr="007224B7">
              <w:rPr>
                <w:b/>
                <w:i/>
              </w:rPr>
              <w:t>og som enten</w:t>
            </w:r>
            <w:r w:rsidRPr="007224B7">
              <w:t xml:space="preserve"> pågribes eller findes i nærheden af den ydre grænse i forbin</w:t>
            </w:r>
            <w:r w:rsidRPr="007224B7">
              <w:t>delse med en ulovlig grænsepassage</w:t>
            </w:r>
            <w:r w:rsidRPr="007224B7">
              <w:rPr>
                <w:b/>
                <w:i/>
              </w:rPr>
              <w:t xml:space="preserve"> ad land-</w:t>
            </w:r>
            <w:r w:rsidRPr="007224B7">
              <w:t xml:space="preserve">, </w:t>
            </w:r>
            <w:r w:rsidRPr="007224B7">
              <w:rPr>
                <w:b/>
                <w:i/>
              </w:rPr>
              <w:t xml:space="preserve">sø- </w:t>
            </w:r>
            <w:r w:rsidRPr="007224B7">
              <w:t xml:space="preserve">eller </w:t>
            </w:r>
            <w:r w:rsidRPr="007224B7">
              <w:rPr>
                <w:b/>
                <w:i/>
              </w:rPr>
              <w:t xml:space="preserve">luftvejen, som ilandsættes </w:t>
            </w:r>
            <w:r w:rsidRPr="007224B7">
              <w:t xml:space="preserve">efter </w:t>
            </w:r>
            <w:r w:rsidRPr="007224B7">
              <w:rPr>
                <w:b/>
                <w:i/>
              </w:rPr>
              <w:t>eftersøgnings- og redningsoperationer, eller som</w:t>
            </w:r>
            <w:r w:rsidRPr="007224B7">
              <w:t xml:space="preserve"> selv har meldt sig ved et grænseovergangssted, anvende en eller flere af følgende undtagelser </w:t>
            </w:r>
            <w:r w:rsidRPr="007224B7">
              <w:rPr>
                <w:b/>
                <w:i/>
              </w:rPr>
              <w:t>for så vidt angår disse t</w:t>
            </w:r>
            <w:r w:rsidRPr="007224B7">
              <w:rPr>
                <w:b/>
                <w:i/>
              </w:rPr>
              <w:t>redjelandsstatsborgere og statsløse personer</w:t>
            </w:r>
            <w:r w:rsidRPr="007224B7">
              <w:t>:</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lastRenderedPageBreak/>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19</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2 – stk. 1 – litra a – afsnit 2</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rPr>
                <w:b/>
                <w:i/>
              </w:rPr>
              <w:t>Når den berørte medlemsstat anvender</w:t>
            </w:r>
            <w:r w:rsidRPr="007224B7">
              <w:t xml:space="preserve"> denne undtagelse</w:t>
            </w:r>
            <w:r w:rsidRPr="007224B7">
              <w:rPr>
                <w:b/>
                <w:i/>
              </w:rPr>
              <w:t>,</w:t>
            </w:r>
            <w:r w:rsidRPr="007224B7">
              <w:t xml:space="preserve"> prioriterer den registreringen af ansøgninger</w:t>
            </w:r>
            <w:r w:rsidRPr="007224B7">
              <w:rPr>
                <w:b/>
                <w:i/>
              </w:rPr>
              <w:t>,</w:t>
            </w:r>
            <w:r w:rsidRPr="007224B7">
              <w:t xml:space="preserve"> som </w:t>
            </w:r>
            <w:r w:rsidRPr="007224B7">
              <w:rPr>
                <w:b/>
                <w:i/>
              </w:rPr>
              <w:t>formodentlig er velbegrundede,</w:t>
            </w:r>
            <w:r w:rsidRPr="007224B7">
              <w:t xml:space="preserve"> og ansøgninger fra uledsagede mindreårige samt fra mindreårige og deres familiemedlemmer.</w:t>
            </w:r>
          </w:p>
        </w:tc>
        <w:tc>
          <w:tcPr>
            <w:tcW w:w="4876" w:type="dxa"/>
          </w:tcPr>
          <w:p w:rsidR="00103A80" w:rsidRPr="007224B7" w:rsidRDefault="00870768" w:rsidP="00103A80">
            <w:pPr>
              <w:pStyle w:val="Normal6"/>
              <w:rPr>
                <w:szCs w:val="24"/>
              </w:rPr>
            </w:pPr>
            <w:r w:rsidRPr="007224B7">
              <w:rPr>
                <w:b/>
                <w:i/>
              </w:rPr>
              <w:t xml:space="preserve">Ved </w:t>
            </w:r>
            <w:r w:rsidRPr="007224B7">
              <w:rPr>
                <w:b/>
                <w:i/>
              </w:rPr>
              <w:t>anvendelsen af</w:t>
            </w:r>
            <w:r w:rsidRPr="007224B7">
              <w:t xml:space="preserve"> denne undtagelse prioriterer den </w:t>
            </w:r>
            <w:r w:rsidRPr="007224B7">
              <w:rPr>
                <w:b/>
                <w:i/>
              </w:rPr>
              <w:t xml:space="preserve">berørte medlemsstat </w:t>
            </w:r>
            <w:r w:rsidRPr="007224B7">
              <w:t>registreringen af ansøgninger</w:t>
            </w:r>
            <w:r w:rsidRPr="007224B7">
              <w:rPr>
                <w:b/>
                <w:i/>
              </w:rPr>
              <w:t xml:space="preserve"> fra personer med særlig modtagelsesbehov</w:t>
            </w:r>
            <w:r w:rsidRPr="007224B7">
              <w:t xml:space="preserve"> som </w:t>
            </w:r>
            <w:r w:rsidRPr="007224B7">
              <w:rPr>
                <w:b/>
                <w:i/>
              </w:rPr>
              <w:t>defineret i [det omarbejdede direktiv om modtagelsesforhold]</w:t>
            </w:r>
            <w:r w:rsidRPr="007224B7">
              <w:t xml:space="preserve"> og ansøgninger fra uledsagede mindreårige samt fra m</w:t>
            </w:r>
            <w:r w:rsidRPr="007224B7">
              <w:t xml:space="preserve">indreårige og deres familiemedlemmer. </w:t>
            </w:r>
            <w:r w:rsidRPr="007224B7">
              <w:rPr>
                <w:b/>
                <w:i/>
              </w:rPr>
              <w:t>Den berørte medlemsstat kan også prioritere registreringen af ansøgninger, der sandsynligvis er velbegrundede.</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tab/>
      </w:r>
      <w:r w:rsidRPr="007224B7">
        <w:rPr>
          <w:rStyle w:val="HideTWBExt"/>
          <w:b w:val="0"/>
        </w:rPr>
        <w:t>&lt;NumAm&gt;</w:t>
      </w:r>
      <w:r w:rsidRPr="007224B7">
        <w:t>20</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 xml:space="preserve">Forslag til </w:t>
      </w:r>
      <w:r w:rsidRPr="007224B7">
        <w:t>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2 – stk. 1 – litra b – afsnit 1</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b)</w:t>
            </w:r>
            <w:r w:rsidRPr="007224B7">
              <w:tab/>
            </w:r>
            <w:r w:rsidRPr="007224B7">
              <w:rPr>
                <w:b/>
                <w:i/>
              </w:rPr>
              <w:t>ved fravigelse af</w:t>
            </w:r>
            <w:r w:rsidRPr="007224B7">
              <w:t xml:space="preserve"> artikel</w:t>
            </w:r>
            <w:r w:rsidRPr="007224B7">
              <w:rPr>
                <w:b/>
                <w:i/>
              </w:rPr>
              <w:t xml:space="preserve"> </w:t>
            </w:r>
            <w:r w:rsidRPr="007224B7">
              <w:t>41, stk.</w:t>
            </w:r>
            <w:r w:rsidRPr="007224B7">
              <w:rPr>
                <w:b/>
                <w:i/>
              </w:rPr>
              <w:t xml:space="preserve"> </w:t>
            </w:r>
            <w:r w:rsidRPr="007224B7">
              <w:t>2, litra</w:t>
            </w:r>
            <w:r w:rsidRPr="007224B7">
              <w:rPr>
                <w:b/>
                <w:i/>
              </w:rPr>
              <w:t xml:space="preserve"> </w:t>
            </w:r>
            <w:r w:rsidRPr="007224B7">
              <w:t>a)</w:t>
            </w:r>
            <w:r w:rsidRPr="007224B7">
              <w:rPr>
                <w:b/>
                <w:i/>
              </w:rPr>
              <w:t>,</w:t>
            </w:r>
            <w:r w:rsidRPr="007224B7">
              <w:t xml:space="preserve"> og b), og artikel</w:t>
            </w:r>
            <w:r w:rsidRPr="007224B7">
              <w:rPr>
                <w:b/>
                <w:i/>
              </w:rPr>
              <w:t xml:space="preserve"> </w:t>
            </w:r>
            <w:r w:rsidRPr="007224B7">
              <w:t>41, stk.</w:t>
            </w:r>
            <w:r w:rsidRPr="007224B7">
              <w:rPr>
                <w:b/>
                <w:i/>
              </w:rPr>
              <w:t xml:space="preserve"> 5</w:t>
            </w:r>
            <w:r w:rsidRPr="007224B7">
              <w:t xml:space="preserve">, i forordning (EU) XXX/XXX </w:t>
            </w:r>
            <w:r w:rsidRPr="007224B7">
              <w:rPr>
                <w:b/>
                <w:i/>
              </w:rPr>
              <w:t>[den ændrede</w:t>
            </w:r>
            <w:r w:rsidRPr="007224B7">
              <w:t xml:space="preserve"> forordning </w:t>
            </w:r>
            <w:r w:rsidRPr="007224B7">
              <w:rPr>
                <w:b/>
                <w:i/>
              </w:rPr>
              <w:t xml:space="preserve">om </w:t>
            </w:r>
            <w:r w:rsidRPr="007224B7">
              <w:rPr>
                <w:b/>
                <w:i/>
              </w:rPr>
              <w:t>asylprocedurer] kan medlemsstaten</w:t>
            </w:r>
            <w:r w:rsidRPr="007224B7">
              <w:t xml:space="preserve"> ved </w:t>
            </w:r>
            <w:r w:rsidRPr="007224B7">
              <w:rPr>
                <w:b/>
                <w:i/>
              </w:rPr>
              <w:t>sine</w:t>
            </w:r>
            <w:r w:rsidRPr="007224B7">
              <w:t xml:space="preserve"> grænser eller transitområder</w:t>
            </w:r>
            <w:r w:rsidRPr="007224B7">
              <w:rPr>
                <w:b/>
                <w:i/>
              </w:rPr>
              <w:t xml:space="preserve"> træffe afgørelse om antageligheden og berettigelsen af</w:t>
            </w:r>
            <w:r w:rsidRPr="007224B7">
              <w:t xml:space="preserve"> alle ansøgninger, der </w:t>
            </w:r>
            <w:r w:rsidRPr="007224B7">
              <w:rPr>
                <w:b/>
                <w:i/>
              </w:rPr>
              <w:t>registreres i</w:t>
            </w:r>
            <w:r w:rsidRPr="007224B7">
              <w:t xml:space="preserve"> den periode, hvor dette litra finder anvendelse.</w:t>
            </w:r>
          </w:p>
        </w:tc>
        <w:tc>
          <w:tcPr>
            <w:tcW w:w="4876" w:type="dxa"/>
          </w:tcPr>
          <w:p w:rsidR="00103A80" w:rsidRPr="007224B7" w:rsidRDefault="00870768" w:rsidP="00103A80">
            <w:pPr>
              <w:pStyle w:val="Normal6"/>
              <w:rPr>
                <w:szCs w:val="24"/>
              </w:rPr>
            </w:pPr>
            <w:r w:rsidRPr="007224B7">
              <w:t>b)</w:t>
            </w:r>
            <w:r w:rsidRPr="007224B7">
              <w:tab/>
            </w:r>
            <w:r w:rsidRPr="007224B7">
              <w:rPr>
                <w:b/>
                <w:i/>
              </w:rPr>
              <w:t>uanset</w:t>
            </w:r>
            <w:r w:rsidRPr="007224B7">
              <w:t xml:space="preserve"> artikel</w:t>
            </w:r>
            <w:r w:rsidRPr="007224B7">
              <w:rPr>
                <w:b/>
                <w:i/>
              </w:rPr>
              <w:t> </w:t>
            </w:r>
            <w:r w:rsidRPr="007224B7">
              <w:t>41, stk.</w:t>
            </w:r>
            <w:r w:rsidRPr="007224B7">
              <w:rPr>
                <w:b/>
                <w:i/>
              </w:rPr>
              <w:t> </w:t>
            </w:r>
            <w:r w:rsidRPr="007224B7">
              <w:t>2, litra</w:t>
            </w:r>
            <w:r w:rsidRPr="007224B7">
              <w:rPr>
                <w:b/>
                <w:i/>
              </w:rPr>
              <w:t> </w:t>
            </w:r>
            <w:r w:rsidRPr="007224B7">
              <w:t>a) og b)</w:t>
            </w:r>
            <w:r w:rsidRPr="007224B7">
              <w:t xml:space="preserve">, </w:t>
            </w:r>
            <w:r w:rsidRPr="007224B7">
              <w:rPr>
                <w:b/>
                <w:i/>
              </w:rPr>
              <w:t xml:space="preserve">artikel 41, stk. 5, </w:t>
            </w:r>
            <w:r w:rsidRPr="007224B7">
              <w:t>og artikel</w:t>
            </w:r>
            <w:r w:rsidRPr="007224B7">
              <w:rPr>
                <w:b/>
                <w:i/>
              </w:rPr>
              <w:t> </w:t>
            </w:r>
            <w:r w:rsidRPr="007224B7">
              <w:t>41, stk.</w:t>
            </w:r>
            <w:r w:rsidRPr="007224B7">
              <w:rPr>
                <w:b/>
                <w:i/>
              </w:rPr>
              <w:t> 9, litra a)</w:t>
            </w:r>
            <w:r w:rsidRPr="007224B7">
              <w:t xml:space="preserve">, i forordning (EU) XXX/XXX </w:t>
            </w:r>
            <w:r w:rsidRPr="007224B7">
              <w:rPr>
                <w:b/>
                <w:i/>
              </w:rPr>
              <w:t>[forordningen om asylprocedurer] og i overensstemmelse med artikel 41, stk. 13 og 14, i nævnte</w:t>
            </w:r>
            <w:r w:rsidRPr="007224B7">
              <w:t xml:space="preserve"> forordning </w:t>
            </w:r>
            <w:r w:rsidRPr="007224B7">
              <w:rPr>
                <w:b/>
                <w:i/>
              </w:rPr>
              <w:t>træffe afgørelse på stedet</w:t>
            </w:r>
            <w:r w:rsidRPr="007224B7">
              <w:t xml:space="preserve"> ved </w:t>
            </w:r>
            <w:r w:rsidRPr="007224B7">
              <w:rPr>
                <w:b/>
                <w:i/>
              </w:rPr>
              <w:t>den ydre grænse, i nærheden af de ydre</w:t>
            </w:r>
            <w:r w:rsidRPr="007224B7">
              <w:t xml:space="preserve"> grænser eller transitområder</w:t>
            </w:r>
            <w:r w:rsidRPr="007224B7">
              <w:rPr>
                <w:b/>
                <w:i/>
              </w:rPr>
              <w:t>, eller, hvis den pågældende medlemsstat ikke kan indkvartere dem på disse steder, på andre udpegede steder på dens område, om hvorvidt</w:t>
            </w:r>
            <w:r w:rsidRPr="007224B7">
              <w:t xml:space="preserve"> alle ansøgninger, der </w:t>
            </w:r>
            <w:r w:rsidRPr="007224B7">
              <w:rPr>
                <w:b/>
                <w:i/>
              </w:rPr>
              <w:t xml:space="preserve">er indgivet af tredjelandsstatsborgere eller statsløse personer, der </w:t>
            </w:r>
            <w:r w:rsidRPr="007224B7">
              <w:rPr>
                <w:b/>
                <w:i/>
              </w:rPr>
              <w:t>er registreret inden for</w:t>
            </w:r>
            <w:r w:rsidRPr="007224B7">
              <w:t xml:space="preserve"> den periode, hvor dette litra finder anvendelse</w:t>
            </w:r>
            <w:r w:rsidRPr="007224B7">
              <w:rPr>
                <w:b/>
                <w:i/>
              </w:rPr>
              <w:t>, kan antages til behandling og tages til følge</w:t>
            </w:r>
            <w:r w:rsidRPr="007224B7">
              <w:t>.</w:t>
            </w:r>
          </w:p>
        </w:tc>
      </w:tr>
    </w:tbl>
    <w:p w:rsidR="00103A80" w:rsidRPr="007224B7" w:rsidRDefault="00870768" w:rsidP="00103A80">
      <w:pPr>
        <w:pStyle w:val="Olang"/>
      </w:pPr>
      <w:r w:rsidRPr="007224B7">
        <w:rPr>
          <w:noProof w:val="0"/>
        </w:rPr>
        <w:lastRenderedPageBreak/>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200600" w:rsidRPr="007224B7" w:rsidRDefault="00870768" w:rsidP="00200600">
      <w:pPr>
        <w:pStyle w:val="AMNumberTabs0"/>
        <w:keepNext/>
        <w:rPr>
          <w:rStyle w:val="HideTWBExt"/>
          <w:rFonts w:ascii="Times New Roman" w:hAnsi="Times New Roman"/>
          <w:noProof w:val="0"/>
          <w:vanish w:val="0"/>
          <w:color w:val="auto"/>
          <w:sz w:val="24"/>
        </w:rPr>
      </w:pPr>
      <w:r w:rsidRPr="007224B7">
        <w:rPr>
          <w:rStyle w:val="HideTWBExt"/>
          <w:b w:val="0"/>
        </w:rPr>
        <w:t>&lt;Amend&gt;</w:t>
      </w:r>
      <w:r w:rsidRPr="007224B7">
        <w:t>Ændringsforslag</w:t>
      </w:r>
      <w:r w:rsidRPr="007224B7">
        <w:tab/>
      </w:r>
      <w:r w:rsidRPr="007224B7">
        <w:rPr>
          <w:rStyle w:val="HideTWBExt"/>
          <w:b w:val="0"/>
        </w:rPr>
        <w:t>&lt;NumAm&gt;</w:t>
      </w:r>
      <w:r w:rsidRPr="007224B7">
        <w:t>21</w:t>
      </w:r>
      <w:r w:rsidRPr="007224B7">
        <w:rPr>
          <w:rStyle w:val="HideTWBExt"/>
          <w:b w:val="0"/>
        </w:rPr>
        <w:t>&lt;/NumAm&gt;</w:t>
      </w:r>
    </w:p>
    <w:p w:rsidR="00103A80" w:rsidRPr="007224B7" w:rsidRDefault="00870768" w:rsidP="00200600">
      <w:pPr>
        <w:pStyle w:val="AMNumberTabs0"/>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2 – stk. 1 – litra b – afsnit 2</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rPr>
                <w:b/>
                <w:i/>
              </w:rPr>
              <w:t>Når</w:t>
            </w:r>
            <w:r w:rsidRPr="007224B7">
              <w:t xml:space="preserve"> den berørte medlemsstat </w:t>
            </w:r>
            <w:r w:rsidRPr="007224B7">
              <w:rPr>
                <w:b/>
                <w:i/>
              </w:rPr>
              <w:t>anvender denne undtagelse, prioriterer den registreringen</w:t>
            </w:r>
            <w:r w:rsidRPr="007224B7">
              <w:t xml:space="preserve"> af </w:t>
            </w:r>
            <w:r w:rsidRPr="007224B7">
              <w:rPr>
                <w:b/>
                <w:i/>
              </w:rPr>
              <w:t>ansøgninger,</w:t>
            </w:r>
            <w:r w:rsidRPr="007224B7">
              <w:t xml:space="preserve"> som </w:t>
            </w:r>
            <w:r w:rsidRPr="007224B7">
              <w:rPr>
                <w:b/>
                <w:i/>
              </w:rPr>
              <w:t>formodentlig er velbegrundede,</w:t>
            </w:r>
            <w:r w:rsidRPr="007224B7">
              <w:t xml:space="preserve"> og ansøgninger fra uledsagede mindreårige samt fra mindreårige og deres familiemedlemmer.</w:t>
            </w:r>
          </w:p>
        </w:tc>
        <w:tc>
          <w:tcPr>
            <w:tcW w:w="4876" w:type="dxa"/>
          </w:tcPr>
          <w:p w:rsidR="00103A80" w:rsidRPr="007224B7" w:rsidRDefault="00870768" w:rsidP="00103A80">
            <w:pPr>
              <w:pStyle w:val="Normal6"/>
              <w:rPr>
                <w:szCs w:val="24"/>
              </w:rPr>
            </w:pPr>
            <w:r w:rsidRPr="007224B7">
              <w:rPr>
                <w:b/>
                <w:i/>
              </w:rPr>
              <w:t>Ved anvendelsen af denne undtagelse prioriterer</w:t>
            </w:r>
            <w:r w:rsidRPr="007224B7">
              <w:t xml:space="preserve"> den berørte medlemsstat </w:t>
            </w:r>
            <w:r w:rsidRPr="007224B7">
              <w:rPr>
                <w:b/>
                <w:i/>
              </w:rPr>
              <w:t>undersøgelsen af ansøgningerne om international beskyttelse indgivet</w:t>
            </w:r>
            <w:r w:rsidRPr="007224B7">
              <w:t xml:space="preserve"> af </w:t>
            </w:r>
            <w:r w:rsidRPr="007224B7">
              <w:rPr>
                <w:b/>
                <w:i/>
              </w:rPr>
              <w:t xml:space="preserve">personer med særlige </w:t>
            </w:r>
            <w:r w:rsidRPr="007224B7">
              <w:rPr>
                <w:b/>
                <w:i/>
              </w:rPr>
              <w:t>proceduremæssige behov eller særlige modtagelsesbehov</w:t>
            </w:r>
            <w:r w:rsidRPr="007224B7">
              <w:t xml:space="preserve"> som </w:t>
            </w:r>
            <w:r w:rsidRPr="007224B7">
              <w:rPr>
                <w:b/>
                <w:i/>
              </w:rPr>
              <w:t>defineret i [direktivet om modtagelsesforhold (omarbejdning) og forordningen om asylprocedurer]</w:t>
            </w:r>
            <w:r w:rsidRPr="007224B7">
              <w:t xml:space="preserve"> og ansøgninger fra uledsagede mindreårige samt fra mindreårige og deres familiemedlemmer. </w:t>
            </w:r>
            <w:r w:rsidRPr="007224B7">
              <w:rPr>
                <w:b/>
                <w:i/>
              </w:rPr>
              <w:t xml:space="preserve">Den berørte </w:t>
            </w:r>
            <w:r w:rsidRPr="007224B7">
              <w:rPr>
                <w:b/>
                <w:i/>
              </w:rPr>
              <w:t>medlemsstat kan også prioritere undersøgelsen af ansøgninger om international beskyttelse, der sandsynligvis er velbegrundede.</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22</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w:t>
      </w:r>
      <w:r w:rsidRPr="007224B7">
        <w:rPr>
          <w:rStyle w:val="HideTWBExt"/>
          <w:b w:val="0"/>
        </w:rPr>
        <w:t>Article&gt;</w:t>
      </w:r>
      <w:r w:rsidRPr="007224B7">
        <w:t>Artikel 2 – stk. 1 – litra c</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c)</w:t>
            </w:r>
            <w:r w:rsidRPr="007224B7">
              <w:tab/>
            </w:r>
            <w:r w:rsidRPr="007224B7">
              <w:rPr>
                <w:b/>
                <w:i/>
              </w:rPr>
              <w:t xml:space="preserve">ved fravigelse af artikel </w:t>
            </w:r>
            <w:r w:rsidRPr="007224B7">
              <w:t>41, stk.</w:t>
            </w:r>
            <w:r w:rsidRPr="007224B7">
              <w:rPr>
                <w:b/>
                <w:i/>
              </w:rPr>
              <w:t xml:space="preserve"> </w:t>
            </w:r>
            <w:r w:rsidRPr="007224B7">
              <w:t xml:space="preserve">11, i forordning (EU) XXX/XXX [forordningen om </w:t>
            </w:r>
            <w:r w:rsidRPr="007224B7">
              <w:rPr>
                <w:b/>
                <w:i/>
              </w:rPr>
              <w:t>asylprocedurer] må varigheden af</w:t>
            </w:r>
            <w:r w:rsidRPr="007224B7">
              <w:t xml:space="preserve"> nødproceduren for </w:t>
            </w:r>
            <w:r w:rsidRPr="007224B7">
              <w:rPr>
                <w:b/>
                <w:i/>
              </w:rPr>
              <w:t>asylforvaltning ved</w:t>
            </w:r>
            <w:r w:rsidRPr="007224B7">
              <w:t xml:space="preserve"> behandling af ansøgninger, </w:t>
            </w:r>
            <w:r w:rsidRPr="007224B7">
              <w:rPr>
                <w:b/>
                <w:i/>
              </w:rPr>
              <w:t>som registreres i</w:t>
            </w:r>
            <w:r w:rsidRPr="007224B7">
              <w:t xml:space="preserve"> den periode, hvor dette litra finder anvendelse, </w:t>
            </w:r>
            <w:r w:rsidRPr="007224B7">
              <w:rPr>
                <w:b/>
                <w:i/>
              </w:rPr>
              <w:t xml:space="preserve">højst være 16 uger. Efter denne periode gives ansøgeren ret til at rejse ind på medlemsstatens område for at afslutte proceduren for international beskyttelse, </w:t>
            </w:r>
            <w:r w:rsidRPr="007224B7">
              <w:rPr>
                <w:b/>
                <w:i/>
              </w:rPr>
              <w:lastRenderedPageBreak/>
              <w:t>m</w:t>
            </w:r>
            <w:r w:rsidRPr="007224B7">
              <w:rPr>
                <w:b/>
                <w:i/>
              </w:rPr>
              <w:t>edmindre vedkommende er genstand</w:t>
            </w:r>
            <w:r w:rsidRPr="007224B7">
              <w:t xml:space="preserve"> for </w:t>
            </w:r>
            <w:r w:rsidRPr="007224B7">
              <w:rPr>
                <w:b/>
                <w:i/>
              </w:rPr>
              <w:t>tilbagesendelsesproceduren i henhold til artikel 4</w:t>
            </w:r>
            <w:r w:rsidRPr="007224B7">
              <w:t>.</w:t>
            </w:r>
          </w:p>
        </w:tc>
        <w:tc>
          <w:tcPr>
            <w:tcW w:w="4876" w:type="dxa"/>
          </w:tcPr>
          <w:p w:rsidR="00103A80" w:rsidRPr="007224B7" w:rsidRDefault="00870768" w:rsidP="00103A80">
            <w:pPr>
              <w:pStyle w:val="Normal6"/>
              <w:rPr>
                <w:szCs w:val="24"/>
              </w:rPr>
            </w:pPr>
            <w:r w:rsidRPr="007224B7">
              <w:lastRenderedPageBreak/>
              <w:t>c)</w:t>
            </w:r>
            <w:r w:rsidRPr="007224B7">
              <w:tab/>
            </w:r>
            <w:r w:rsidRPr="007224B7">
              <w:rPr>
                <w:b/>
                <w:i/>
              </w:rPr>
              <w:t>uanset [artikel </w:t>
            </w:r>
            <w:r w:rsidRPr="007224B7">
              <w:t>41, stk.</w:t>
            </w:r>
            <w:r w:rsidRPr="007224B7">
              <w:rPr>
                <w:b/>
                <w:i/>
              </w:rPr>
              <w:t> </w:t>
            </w:r>
            <w:r w:rsidRPr="007224B7">
              <w:t xml:space="preserve">11, i forordning (EU) XXX/XXX [forordningen om </w:t>
            </w:r>
            <w:r w:rsidRPr="007224B7">
              <w:rPr>
                <w:b/>
                <w:i/>
              </w:rPr>
              <w:t>asylprocedurer]] skal</w:t>
            </w:r>
            <w:r w:rsidRPr="007224B7">
              <w:t xml:space="preserve"> nødproceduren for </w:t>
            </w:r>
            <w:r w:rsidRPr="007224B7">
              <w:rPr>
                <w:b/>
                <w:i/>
              </w:rPr>
              <w:t>asyl for</w:t>
            </w:r>
            <w:r w:rsidRPr="007224B7">
              <w:t xml:space="preserve"> behandling af ansøgninger, </w:t>
            </w:r>
            <w:r w:rsidRPr="007224B7">
              <w:rPr>
                <w:b/>
                <w:i/>
              </w:rPr>
              <w:t>der er registrer</w:t>
            </w:r>
            <w:r w:rsidRPr="007224B7">
              <w:rPr>
                <w:b/>
                <w:i/>
              </w:rPr>
              <w:t>et inden for</w:t>
            </w:r>
            <w:r w:rsidRPr="007224B7">
              <w:t xml:space="preserve"> den periode, hvor </w:t>
            </w:r>
            <w:r w:rsidRPr="007224B7">
              <w:rPr>
                <w:b/>
                <w:i/>
              </w:rPr>
              <w:t xml:space="preserve">undtagelsen i henhold til </w:t>
            </w:r>
            <w:r w:rsidRPr="007224B7">
              <w:t xml:space="preserve">dette litra finder anvendelse, </w:t>
            </w:r>
            <w:r w:rsidRPr="007224B7">
              <w:rPr>
                <w:b/>
                <w:i/>
              </w:rPr>
              <w:t>vare så kort tid som muligt, dog under alle omstændigheder højst 20 uger inklusive appel regnet fra datoen</w:t>
            </w:r>
            <w:r w:rsidRPr="007224B7">
              <w:t xml:space="preserve"> for </w:t>
            </w:r>
            <w:r w:rsidRPr="007224B7">
              <w:rPr>
                <w:b/>
                <w:i/>
              </w:rPr>
              <w:t>registreringen af den pågældende ansøgning</w:t>
            </w:r>
            <w:r w:rsidRPr="007224B7">
              <w:t>.</w:t>
            </w:r>
          </w:p>
        </w:tc>
      </w:tr>
    </w:tbl>
    <w:p w:rsidR="00103A80" w:rsidRPr="007224B7" w:rsidRDefault="00870768" w:rsidP="00103A80">
      <w:pPr>
        <w:pStyle w:val="Olang"/>
      </w:pPr>
      <w:r w:rsidRPr="007224B7">
        <w:rPr>
          <w:noProof w:val="0"/>
        </w:rPr>
        <w:t xml:space="preserve">Or. </w:t>
      </w:r>
      <w:r w:rsidRPr="007224B7">
        <w:rPr>
          <w:rStyle w:val="HideTWBExt"/>
          <w:noProof w:val="0"/>
        </w:rPr>
        <w:t>&lt;Origina</w:t>
      </w:r>
      <w:r w:rsidRPr="007224B7">
        <w:rPr>
          <w:rStyle w:val="HideTWBExt"/>
          <w:noProof w:val="0"/>
        </w:rPr>
        <w:t>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23</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2 – stk. 1 – litra c a (nyt)</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103A80" w:rsidP="00103A80">
            <w:pPr>
              <w:pStyle w:val="Normal6"/>
            </w:pPr>
          </w:p>
        </w:tc>
        <w:tc>
          <w:tcPr>
            <w:tcW w:w="4876" w:type="dxa"/>
          </w:tcPr>
          <w:p w:rsidR="00103A80" w:rsidRPr="007224B7" w:rsidRDefault="00870768" w:rsidP="00103A80">
            <w:pPr>
              <w:pStyle w:val="Normal6"/>
              <w:rPr>
                <w:szCs w:val="24"/>
              </w:rPr>
            </w:pPr>
            <w:r w:rsidRPr="007224B7">
              <w:rPr>
                <w:b/>
                <w:i/>
              </w:rPr>
              <w:t>(ca)</w:t>
            </w:r>
            <w:r w:rsidRPr="007224B7">
              <w:rPr>
                <w:b/>
                <w:i/>
              </w:rPr>
              <w:tab/>
              <w:t xml:space="preserve">uanset [artikel 12, stk. 5, i </w:t>
            </w:r>
            <w:r w:rsidRPr="007224B7">
              <w:rPr>
                <w:b/>
                <w:i/>
              </w:rPr>
              <w:t>forordning (EU) XXX/XXX [forordningen om asylprocedurer]] kan den personlige samtale også udelades, hvis den besluttende myndighed er i stand til at træffe en positiv afgørelse om subsidiær beskyttelsesstatus på grundlag af de foreliggende beviser.</w:t>
            </w:r>
          </w:p>
        </w:tc>
      </w:tr>
    </w:tbl>
    <w:p w:rsidR="00103A80" w:rsidRPr="007224B7" w:rsidRDefault="00870768" w:rsidP="00103A80">
      <w:pPr>
        <w:pStyle w:val="Olang"/>
      </w:pPr>
      <w:r w:rsidRPr="007224B7">
        <w:rPr>
          <w:noProof w:val="0"/>
        </w:rPr>
        <w:t xml:space="preserve">Or. </w:t>
      </w:r>
      <w:r w:rsidRPr="007224B7">
        <w:rPr>
          <w:rStyle w:val="HideTWBExt"/>
          <w:noProof w:val="0"/>
        </w:rPr>
        <w:t>&lt;O</w:t>
      </w:r>
      <w:r w:rsidRPr="007224B7">
        <w:rPr>
          <w:rStyle w:val="HideTWBExt"/>
          <w:noProof w:val="0"/>
        </w:rPr>
        <w:t>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24</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4 – stk. 1 – indledning</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rPr>
                <w:b/>
                <w:i/>
              </w:rPr>
              <w:t xml:space="preserve">I tilfælde af instrumentalisering af migranter og i overensstemmelse med proceduren i artikel 6 kan </w:t>
            </w:r>
            <w:r w:rsidRPr="007224B7">
              <w:t xml:space="preserve">den medlemsstat, der er konfronteret med en </w:t>
            </w:r>
            <w:r w:rsidRPr="007224B7">
              <w:rPr>
                <w:b/>
                <w:i/>
              </w:rPr>
              <w:t>tilstrømning af tredjelandsstatsborgere</w:t>
            </w:r>
            <w:r w:rsidRPr="007224B7">
              <w:t xml:space="preserve"> eller statsløse </w:t>
            </w:r>
            <w:r w:rsidRPr="007224B7">
              <w:rPr>
                <w:b/>
                <w:i/>
              </w:rPr>
              <w:t>personer</w:t>
            </w:r>
            <w:r w:rsidRPr="007224B7">
              <w:t xml:space="preserve"> til </w:t>
            </w:r>
            <w:r w:rsidRPr="007224B7">
              <w:rPr>
                <w:b/>
                <w:i/>
              </w:rPr>
              <w:t>sin</w:t>
            </w:r>
            <w:r w:rsidRPr="007224B7">
              <w:t xml:space="preserve"> ydre grænse</w:t>
            </w:r>
            <w:r w:rsidRPr="007224B7">
              <w:rPr>
                <w:b/>
                <w:i/>
              </w:rPr>
              <w:t xml:space="preserve"> som følge af en instrumenta</w:t>
            </w:r>
            <w:r w:rsidRPr="007224B7">
              <w:rPr>
                <w:b/>
                <w:i/>
              </w:rPr>
              <w:t>lisering af migranter, over for tredjelandsstatsborgere eller statsløse personer, som ikke opfylder indrejsebetingelserne,</w:t>
            </w:r>
            <w:r w:rsidRPr="007224B7">
              <w:t xml:space="preserve"> og </w:t>
            </w:r>
            <w:r w:rsidRPr="007224B7">
              <w:rPr>
                <w:b/>
                <w:i/>
              </w:rPr>
              <w:t>som har fået afslag på deres ansøgninger som led</w:t>
            </w:r>
            <w:r w:rsidRPr="007224B7">
              <w:t xml:space="preserve"> i </w:t>
            </w:r>
            <w:r w:rsidRPr="007224B7">
              <w:rPr>
                <w:b/>
                <w:i/>
              </w:rPr>
              <w:t>nødproceduren for asylforvaltning ved grænsen i henhold til artikel 2, stk. 1</w:t>
            </w:r>
            <w:r w:rsidRPr="007224B7">
              <w:t xml:space="preserve">, </w:t>
            </w:r>
            <w:r w:rsidRPr="007224B7">
              <w:rPr>
                <w:b/>
                <w:i/>
              </w:rPr>
              <w:t>litra b) og c)</w:t>
            </w:r>
            <w:r w:rsidRPr="007224B7">
              <w:t xml:space="preserve">, og som </w:t>
            </w:r>
            <w:r w:rsidRPr="007224B7">
              <w:rPr>
                <w:b/>
                <w:i/>
              </w:rPr>
              <w:t>ikke har ret</w:t>
            </w:r>
            <w:r w:rsidRPr="007224B7">
              <w:t xml:space="preserve"> eller </w:t>
            </w:r>
            <w:r w:rsidRPr="007224B7">
              <w:rPr>
                <w:b/>
                <w:i/>
              </w:rPr>
              <w:lastRenderedPageBreak/>
              <w:t>tilladelse til at forblive på området, beslutte at anvende artikel 41a i forordning (EU) XXX/XXX [forordningen</w:t>
            </w:r>
            <w:r w:rsidRPr="007224B7">
              <w:t xml:space="preserve"> om </w:t>
            </w:r>
            <w:r w:rsidRPr="007224B7">
              <w:rPr>
                <w:b/>
                <w:i/>
              </w:rPr>
              <w:t>asylprocedurer]</w:t>
            </w:r>
            <w:r w:rsidRPr="007224B7">
              <w:t xml:space="preserve"> og </w:t>
            </w:r>
            <w:r w:rsidRPr="007224B7">
              <w:rPr>
                <w:b/>
                <w:i/>
              </w:rPr>
              <w:t>direktiv XXX/XXX [tilbagesendelsesdirektivet (omarbejdning)].</w:t>
            </w:r>
            <w:r w:rsidRPr="007224B7">
              <w:t xml:space="preserve"> </w:t>
            </w:r>
            <w:r w:rsidRPr="007224B7">
              <w:rPr>
                <w:b/>
                <w:i/>
              </w:rPr>
              <w:t>Hvis den berørte me</w:t>
            </w:r>
            <w:r w:rsidRPr="007224B7">
              <w:rPr>
                <w:b/>
                <w:i/>
              </w:rPr>
              <w:t>dlemsstat gør brug af denne undtagelse, skal den:</w:t>
            </w:r>
          </w:p>
        </w:tc>
        <w:tc>
          <w:tcPr>
            <w:tcW w:w="4876" w:type="dxa"/>
          </w:tcPr>
          <w:p w:rsidR="00103A80" w:rsidRPr="007224B7" w:rsidRDefault="00870768" w:rsidP="00103A80">
            <w:pPr>
              <w:pStyle w:val="Normal6"/>
              <w:rPr>
                <w:szCs w:val="24"/>
              </w:rPr>
            </w:pPr>
            <w:r w:rsidRPr="007224B7">
              <w:lastRenderedPageBreak/>
              <w:t xml:space="preserve">Den medlemsstat, der er konfronteret med en </w:t>
            </w:r>
            <w:r w:rsidRPr="007224B7">
              <w:rPr>
                <w:b/>
                <w:i/>
              </w:rPr>
              <w:t>instrumentalisering med tredjelandsstatsborgeres</w:t>
            </w:r>
            <w:r w:rsidRPr="007224B7">
              <w:t xml:space="preserve"> eller statsløse </w:t>
            </w:r>
            <w:r w:rsidRPr="007224B7">
              <w:rPr>
                <w:b/>
                <w:i/>
              </w:rPr>
              <w:t>personers ankomst</w:t>
            </w:r>
            <w:r w:rsidRPr="007224B7">
              <w:t xml:space="preserve"> til </w:t>
            </w:r>
            <w:r w:rsidRPr="007224B7">
              <w:rPr>
                <w:b/>
                <w:i/>
              </w:rPr>
              <w:t>dens</w:t>
            </w:r>
            <w:r w:rsidRPr="007224B7">
              <w:t xml:space="preserve"> ydre grænse</w:t>
            </w:r>
            <w:r w:rsidRPr="007224B7">
              <w:rPr>
                <w:b/>
                <w:i/>
              </w:rPr>
              <w:t xml:space="preserve">, kan beslutte ikke at anvende artikel 41a i forordning </w:t>
            </w:r>
            <w:r w:rsidRPr="007224B7">
              <w:rPr>
                <w:b/>
                <w:i/>
              </w:rPr>
              <w:t>(EU) XXX/XXX [forordningen om asylprocedurer eller [tilbagesendelsesdirektivet (omarbejdning)]</w:t>
            </w:r>
            <w:r w:rsidRPr="007224B7">
              <w:t xml:space="preserve"> og </w:t>
            </w:r>
            <w:r w:rsidRPr="007224B7">
              <w:rPr>
                <w:b/>
                <w:i/>
              </w:rPr>
              <w:t>i stedet anvende national ret, idet artikel 4, stk. 4,</w:t>
            </w:r>
            <w:r w:rsidRPr="007224B7">
              <w:t xml:space="preserve"> i </w:t>
            </w:r>
            <w:r w:rsidRPr="007224B7">
              <w:rPr>
                <w:b/>
                <w:i/>
              </w:rPr>
              <w:t>direktiv XXX/XXX [det omarbejdede tilbagesendelsesdirektiv] finder tilsvarende anvendelse på tredjela</w:t>
            </w:r>
            <w:r w:rsidRPr="007224B7">
              <w:rPr>
                <w:b/>
                <w:i/>
              </w:rPr>
              <w:t>ndsstatsborgere eller statsløse personer</w:t>
            </w:r>
            <w:r w:rsidRPr="007224B7">
              <w:t xml:space="preserve">, </w:t>
            </w:r>
            <w:r w:rsidRPr="007224B7">
              <w:rPr>
                <w:b/>
                <w:i/>
              </w:rPr>
              <w:t xml:space="preserve">der er genstand for </w:t>
            </w:r>
            <w:r w:rsidRPr="007224B7">
              <w:rPr>
                <w:b/>
                <w:i/>
              </w:rPr>
              <w:lastRenderedPageBreak/>
              <w:t>instrumentalisering</w:t>
            </w:r>
            <w:r w:rsidRPr="007224B7">
              <w:t xml:space="preserve">, og som </w:t>
            </w:r>
            <w:r w:rsidRPr="007224B7">
              <w:rPr>
                <w:b/>
                <w:i/>
              </w:rPr>
              <w:t>enten pågribes</w:t>
            </w:r>
            <w:r w:rsidRPr="007224B7">
              <w:t xml:space="preserve"> eller </w:t>
            </w:r>
            <w:r w:rsidRPr="007224B7">
              <w:rPr>
                <w:b/>
                <w:i/>
              </w:rPr>
              <w:t>findes i nærheden af de ydre grænser eller har meldt sig ved grænseovergangsstederne, og som har ansøgt</w:t>
            </w:r>
            <w:r w:rsidRPr="007224B7">
              <w:t xml:space="preserve"> om </w:t>
            </w:r>
            <w:r w:rsidRPr="007224B7">
              <w:rPr>
                <w:b/>
                <w:i/>
              </w:rPr>
              <w:t>international beskyttelse,</w:t>
            </w:r>
            <w:r w:rsidRPr="007224B7">
              <w:t xml:space="preserve"> og </w:t>
            </w:r>
            <w:r w:rsidRPr="007224B7">
              <w:rPr>
                <w:b/>
                <w:i/>
              </w:rPr>
              <w:t>hvis ans</w:t>
            </w:r>
            <w:r w:rsidRPr="007224B7">
              <w:rPr>
                <w:b/>
                <w:i/>
              </w:rPr>
              <w:t>øgninger efterfølgende er blevet afvist, og som ikke har ret eller tilladelse til at forblive på området.</w:t>
            </w:r>
          </w:p>
        </w:tc>
      </w:tr>
    </w:tbl>
    <w:p w:rsidR="00103A80" w:rsidRPr="007224B7" w:rsidRDefault="00870768" w:rsidP="00103A80">
      <w:pPr>
        <w:pStyle w:val="Olang"/>
      </w:pPr>
      <w:r w:rsidRPr="007224B7">
        <w:rPr>
          <w:noProof w:val="0"/>
        </w:rPr>
        <w:lastRenderedPageBreak/>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25</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 xml:space="preserve">Artikel 5 – </w:t>
      </w:r>
      <w:r w:rsidRPr="007224B7">
        <w:t>stk. 1 – indledning</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1.</w:t>
            </w:r>
            <w:r w:rsidRPr="007224B7">
              <w:tab/>
              <w:t>Hvis en medlemsstat konfronteres med en instrumentalisering</w:t>
            </w:r>
            <w:r w:rsidRPr="007224B7">
              <w:rPr>
                <w:b/>
                <w:i/>
              </w:rPr>
              <w:t xml:space="preserve"> af migranter</w:t>
            </w:r>
            <w:r w:rsidRPr="007224B7">
              <w:t xml:space="preserve">, kan den anmode om støtte- og solidaritetsforanstaltninger fra andre medlemsstater for at håndtere </w:t>
            </w:r>
            <w:r w:rsidRPr="007224B7">
              <w:rPr>
                <w:b/>
                <w:i/>
              </w:rPr>
              <w:t>instrument</w:t>
            </w:r>
            <w:r w:rsidRPr="007224B7">
              <w:rPr>
                <w:b/>
                <w:i/>
              </w:rPr>
              <w:t>aliseringen</w:t>
            </w:r>
            <w:r w:rsidRPr="007224B7">
              <w:t xml:space="preserve">. </w:t>
            </w:r>
            <w:r w:rsidRPr="007224B7">
              <w:rPr>
                <w:b/>
                <w:i/>
              </w:rPr>
              <w:t>Støtte-</w:t>
            </w:r>
            <w:r w:rsidRPr="007224B7">
              <w:t xml:space="preserve"> og solidaritetsforanstaltninger til fordel for en medlemsstat, der er konfronteret med en instrumentalisering af migranter, kan omfatte følgende:</w:t>
            </w:r>
          </w:p>
        </w:tc>
        <w:tc>
          <w:tcPr>
            <w:tcW w:w="4876" w:type="dxa"/>
          </w:tcPr>
          <w:p w:rsidR="00103A80" w:rsidRPr="007224B7" w:rsidRDefault="00870768" w:rsidP="00103A80">
            <w:pPr>
              <w:pStyle w:val="Normal6"/>
              <w:rPr>
                <w:szCs w:val="24"/>
              </w:rPr>
            </w:pPr>
            <w:r w:rsidRPr="007224B7">
              <w:t>1.</w:t>
            </w:r>
            <w:r w:rsidRPr="007224B7">
              <w:tab/>
              <w:t>Hvis en medlemsstat konfronteres med en instrumentalisering, kan den anmode om støtte-</w:t>
            </w:r>
            <w:r w:rsidRPr="007224B7">
              <w:t xml:space="preserve"> og solidaritetsforanstaltninger fra andre medlemsstater for at håndtere </w:t>
            </w:r>
            <w:r w:rsidRPr="007224B7">
              <w:rPr>
                <w:b/>
                <w:i/>
              </w:rPr>
              <w:t>situationen og angive karakteren af de støtte- og solidaritetsforanstaltninger, der er nødvendige</w:t>
            </w:r>
            <w:r w:rsidRPr="007224B7">
              <w:t xml:space="preserve">. </w:t>
            </w:r>
            <w:r w:rsidRPr="007224B7">
              <w:rPr>
                <w:b/>
                <w:i/>
              </w:rPr>
              <w:t>Støtte fra de øvrige medlemsstater</w:t>
            </w:r>
            <w:r w:rsidRPr="007224B7">
              <w:t xml:space="preserve"> og solidaritetsforanstaltninger til fordel for en</w:t>
            </w:r>
            <w:r w:rsidRPr="007224B7">
              <w:t xml:space="preserve"> medlemsstat, der er konfronteret med en instrumentalisering af migranter,</w:t>
            </w:r>
            <w:r w:rsidRPr="007224B7">
              <w:rPr>
                <w:b/>
                <w:i/>
              </w:rPr>
              <w:t xml:space="preserve"> er frivillig og</w:t>
            </w:r>
            <w:r w:rsidRPr="007224B7">
              <w:t xml:space="preserve"> kan omfatte følgende:</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26</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7 – stk. 1</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1.</w:t>
            </w:r>
            <w:r w:rsidRPr="007224B7">
              <w:tab/>
              <w:t xml:space="preserve">En medlemsstat, som er konfronteret med </w:t>
            </w:r>
            <w:r w:rsidRPr="007224B7">
              <w:rPr>
                <w:b/>
                <w:i/>
              </w:rPr>
              <w:t>en tilstrømning af tredjelandsstatsborgere eller statsløse personer til sin grænse som følge</w:t>
            </w:r>
            <w:r w:rsidRPr="007224B7">
              <w:t xml:space="preserve"> af </w:t>
            </w:r>
            <w:r w:rsidRPr="007224B7">
              <w:rPr>
                <w:b/>
                <w:i/>
              </w:rPr>
              <w:t>en instrumentalisering af migranter, kan</w:t>
            </w:r>
            <w:r w:rsidRPr="007224B7">
              <w:t xml:space="preserve"> </w:t>
            </w:r>
            <w:r w:rsidRPr="007224B7">
              <w:lastRenderedPageBreak/>
              <w:t>anmode</w:t>
            </w:r>
            <w:r w:rsidRPr="007224B7">
              <w:t xml:space="preserve"> om tilladelse til at anvende </w:t>
            </w:r>
            <w:r w:rsidRPr="007224B7">
              <w:rPr>
                <w:b/>
                <w:i/>
              </w:rPr>
              <w:t>de undtagelser, der er omhandlet</w:t>
            </w:r>
            <w:r w:rsidRPr="007224B7">
              <w:t xml:space="preserve"> i artikel 2, 3 </w:t>
            </w:r>
            <w:r w:rsidRPr="007224B7">
              <w:rPr>
                <w:b/>
                <w:i/>
              </w:rPr>
              <w:t>og</w:t>
            </w:r>
            <w:r w:rsidRPr="007224B7">
              <w:t xml:space="preserve"> 4.</w:t>
            </w:r>
          </w:p>
        </w:tc>
        <w:tc>
          <w:tcPr>
            <w:tcW w:w="4876" w:type="dxa"/>
          </w:tcPr>
          <w:p w:rsidR="00103A80" w:rsidRPr="007224B7" w:rsidRDefault="00870768" w:rsidP="00103A80">
            <w:pPr>
              <w:pStyle w:val="Normal6"/>
              <w:rPr>
                <w:szCs w:val="24"/>
              </w:rPr>
            </w:pPr>
            <w:r w:rsidRPr="007224B7">
              <w:lastRenderedPageBreak/>
              <w:t>1.</w:t>
            </w:r>
            <w:r w:rsidRPr="007224B7">
              <w:tab/>
              <w:t xml:space="preserve">En medlemsstat, som er konfronteret med </w:t>
            </w:r>
            <w:r w:rsidRPr="007224B7">
              <w:rPr>
                <w:b/>
                <w:i/>
              </w:rPr>
              <w:t>instrumentalisering, kan i betragtning</w:t>
            </w:r>
            <w:r w:rsidRPr="007224B7">
              <w:t xml:space="preserve"> af </w:t>
            </w:r>
            <w:r w:rsidRPr="007224B7">
              <w:rPr>
                <w:b/>
                <w:i/>
              </w:rPr>
              <w:t>denne situation</w:t>
            </w:r>
            <w:r w:rsidRPr="007224B7">
              <w:t xml:space="preserve"> anmode om tilladelse til at anvende </w:t>
            </w:r>
            <w:r w:rsidRPr="007224B7">
              <w:rPr>
                <w:b/>
                <w:i/>
              </w:rPr>
              <w:t>undtagelserne</w:t>
            </w:r>
            <w:r w:rsidRPr="007224B7">
              <w:t xml:space="preserve"> i artikel 2, 3 </w:t>
            </w:r>
            <w:r w:rsidRPr="007224B7">
              <w:rPr>
                <w:b/>
                <w:i/>
              </w:rPr>
              <w:t>eller</w:t>
            </w:r>
            <w:r w:rsidRPr="007224B7">
              <w:t xml:space="preserve"> </w:t>
            </w:r>
            <w:r w:rsidRPr="007224B7">
              <w:t>4.</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27</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7 – stk. 2</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2.</w:t>
            </w:r>
            <w:r w:rsidRPr="007224B7">
              <w:tab/>
              <w:t xml:space="preserve">Hvis </w:t>
            </w:r>
            <w:r w:rsidRPr="007224B7">
              <w:rPr>
                <w:b/>
                <w:i/>
              </w:rPr>
              <w:t xml:space="preserve">Kommissionen på grundlag af oplysningerne fra </w:t>
            </w:r>
            <w:r w:rsidRPr="007224B7">
              <w:t>den anmodende medlemsstat</w:t>
            </w:r>
            <w:r w:rsidRPr="007224B7">
              <w:rPr>
                <w:b/>
                <w:i/>
              </w:rPr>
              <w:t>, der er konfronteret med</w:t>
            </w:r>
            <w:r w:rsidRPr="007224B7">
              <w:t xml:space="preserve"> en instrumentalisering</w:t>
            </w:r>
            <w:r w:rsidRPr="007224B7">
              <w:rPr>
                <w:b/>
                <w:i/>
              </w:rPr>
              <w:t xml:space="preserve"> af migranter</w:t>
            </w:r>
            <w:r w:rsidRPr="007224B7">
              <w:t xml:space="preserve">, </w:t>
            </w:r>
            <w:r w:rsidRPr="007224B7">
              <w:rPr>
                <w:b/>
                <w:i/>
              </w:rPr>
              <w:t>finder det relevant, skal den uden ophold fremsætte</w:t>
            </w:r>
            <w:r w:rsidRPr="007224B7">
              <w:t xml:space="preserve"> et forslag til </w:t>
            </w:r>
            <w:r w:rsidRPr="007224B7">
              <w:rPr>
                <w:b/>
                <w:i/>
              </w:rPr>
              <w:t>Rådets</w:t>
            </w:r>
            <w:r w:rsidRPr="007224B7">
              <w:t xml:space="preserve"> gennemførelsesafgørelse</w:t>
            </w:r>
            <w:r w:rsidRPr="007224B7">
              <w:rPr>
                <w:b/>
                <w:i/>
              </w:rPr>
              <w:t>, der er</w:t>
            </w:r>
            <w:r w:rsidRPr="007224B7">
              <w:t xml:space="preserve"> omhandlet i stk.</w:t>
            </w:r>
            <w:r w:rsidRPr="007224B7">
              <w:t xml:space="preserve"> 3.</w:t>
            </w:r>
          </w:p>
        </w:tc>
        <w:tc>
          <w:tcPr>
            <w:tcW w:w="4876" w:type="dxa"/>
          </w:tcPr>
          <w:p w:rsidR="00103A80" w:rsidRPr="007224B7" w:rsidRDefault="00870768" w:rsidP="00103A80">
            <w:pPr>
              <w:pStyle w:val="Normal6"/>
              <w:rPr>
                <w:szCs w:val="24"/>
              </w:rPr>
            </w:pPr>
            <w:r w:rsidRPr="007224B7">
              <w:t>2.</w:t>
            </w:r>
            <w:r w:rsidRPr="007224B7">
              <w:tab/>
              <w:t>Hvis den anmodende medlemsstat</w:t>
            </w:r>
            <w:r w:rsidRPr="007224B7">
              <w:rPr>
                <w:b/>
                <w:i/>
              </w:rPr>
              <w:t xml:space="preserve"> forelægger Kommissionen beviser for</w:t>
            </w:r>
            <w:r w:rsidRPr="007224B7">
              <w:t xml:space="preserve"> en instrumentalisering, </w:t>
            </w:r>
            <w:r w:rsidRPr="007224B7">
              <w:rPr>
                <w:b/>
                <w:i/>
              </w:rPr>
              <w:t>fremsætter Kommissionen på grundlag af denne dokumentation straks</w:t>
            </w:r>
            <w:r w:rsidRPr="007224B7">
              <w:t xml:space="preserve"> et forslag til </w:t>
            </w:r>
            <w:r w:rsidRPr="007224B7">
              <w:rPr>
                <w:b/>
                <w:i/>
              </w:rPr>
              <w:t>en passende</w:t>
            </w:r>
            <w:r w:rsidRPr="007224B7">
              <w:t xml:space="preserve"> gennemførelsesafgørelse</w:t>
            </w:r>
            <w:r w:rsidRPr="007224B7">
              <w:rPr>
                <w:b/>
                <w:i/>
              </w:rPr>
              <w:t xml:space="preserve"> fra Rådet som</w:t>
            </w:r>
            <w:r w:rsidRPr="007224B7">
              <w:t xml:space="preserve"> omhandlet i stk. 3. </w:t>
            </w:r>
            <w:r w:rsidRPr="007224B7">
              <w:rPr>
                <w:b/>
                <w:i/>
              </w:rPr>
              <w:t>Kommiss</w:t>
            </w:r>
            <w:r w:rsidRPr="007224B7">
              <w:rPr>
                <w:b/>
                <w:i/>
              </w:rPr>
              <w:t>ionen kan også fremsætte et sådant forslag, hvis den finder det hensigtsmæssigt, på grundlag af oplysninger fra den anmodende medlemsstat og eventuel anden foreliggende information.</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28</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7 – stk. 3</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3.</w:t>
            </w:r>
            <w:r w:rsidRPr="007224B7">
              <w:tab/>
              <w:t xml:space="preserve">Rådet vurderer </w:t>
            </w:r>
            <w:r w:rsidRPr="007224B7">
              <w:rPr>
                <w:b/>
                <w:i/>
              </w:rPr>
              <w:t>dette forslag</w:t>
            </w:r>
            <w:r w:rsidRPr="007224B7">
              <w:t xml:space="preserve"> hurtigst muligt og vedtager en gennemførelsesafgørelse om tilladelse til den berørte medle</w:t>
            </w:r>
            <w:r w:rsidRPr="007224B7">
              <w:t xml:space="preserve">msstat til at anvende de særlige undtagelser, der er omhandlet i artikel 2, 3 </w:t>
            </w:r>
            <w:r w:rsidRPr="007224B7">
              <w:rPr>
                <w:b/>
                <w:i/>
              </w:rPr>
              <w:t>og</w:t>
            </w:r>
            <w:r w:rsidRPr="007224B7">
              <w:t xml:space="preserve"> 4.</w:t>
            </w:r>
          </w:p>
        </w:tc>
        <w:tc>
          <w:tcPr>
            <w:tcW w:w="4876" w:type="dxa"/>
          </w:tcPr>
          <w:p w:rsidR="00103A80" w:rsidRPr="007224B7" w:rsidRDefault="00870768" w:rsidP="00103A80">
            <w:pPr>
              <w:pStyle w:val="Normal6"/>
              <w:rPr>
                <w:szCs w:val="24"/>
              </w:rPr>
            </w:pPr>
            <w:r w:rsidRPr="007224B7">
              <w:t>3.</w:t>
            </w:r>
            <w:r w:rsidRPr="007224B7">
              <w:tab/>
              <w:t xml:space="preserve">Rådet vurderer </w:t>
            </w:r>
            <w:r w:rsidRPr="007224B7">
              <w:rPr>
                <w:b/>
                <w:i/>
              </w:rPr>
              <w:t>forslaget</w:t>
            </w:r>
            <w:r w:rsidRPr="007224B7">
              <w:t xml:space="preserve"> hurtigst muligt og vedtager</w:t>
            </w:r>
            <w:r w:rsidRPr="007224B7">
              <w:rPr>
                <w:b/>
                <w:i/>
              </w:rPr>
              <w:t xml:space="preserve"> alt efter resultatet af en sådan vurdering</w:t>
            </w:r>
            <w:r w:rsidRPr="007224B7">
              <w:t xml:space="preserve"> en gennemførelsesafgørelse om tilladelse til den berørte medlemsstat til at anvende de særlige undtagelser, der er omhandlet i artikel 2, 3 </w:t>
            </w:r>
            <w:r w:rsidRPr="007224B7">
              <w:rPr>
                <w:b/>
                <w:i/>
              </w:rPr>
              <w:t>eller</w:t>
            </w:r>
            <w:r w:rsidRPr="007224B7">
              <w:t xml:space="preserve"> 4.</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lastRenderedPageBreak/>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29</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 xml:space="preserve">Forslag til </w:t>
      </w:r>
      <w:r w:rsidRPr="007224B7">
        <w:t>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7 – stk. 4</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4.</w:t>
            </w:r>
            <w:r w:rsidRPr="007224B7">
              <w:tab/>
              <w:t xml:space="preserve">Der skal i Rådets gennemførelsesafgørelse, jf. stk. 3, angives en startdato for, hvornår reglerne i artikel 2, 3 </w:t>
            </w:r>
            <w:r w:rsidRPr="007224B7">
              <w:rPr>
                <w:b/>
                <w:i/>
              </w:rPr>
              <w:t>og</w:t>
            </w:r>
            <w:r w:rsidRPr="007224B7">
              <w:t xml:space="preserve"> 4 kan anvendes, samt en periode for </w:t>
            </w:r>
            <w:r w:rsidRPr="007224B7">
              <w:t>deres anvendelse, som indledningsvist højst må være seks måneder.</w:t>
            </w:r>
          </w:p>
        </w:tc>
        <w:tc>
          <w:tcPr>
            <w:tcW w:w="4876" w:type="dxa"/>
          </w:tcPr>
          <w:p w:rsidR="00103A80" w:rsidRPr="007224B7" w:rsidRDefault="00870768" w:rsidP="00103A80">
            <w:pPr>
              <w:pStyle w:val="Normal6"/>
              <w:rPr>
                <w:szCs w:val="24"/>
              </w:rPr>
            </w:pPr>
            <w:r w:rsidRPr="007224B7">
              <w:t>4.</w:t>
            </w:r>
            <w:r w:rsidRPr="007224B7">
              <w:tab/>
              <w:t xml:space="preserve">Der skal i Rådets gennemførelsesafgørelse, jf. stk. 3, angives </w:t>
            </w:r>
            <w:r w:rsidRPr="007224B7">
              <w:rPr>
                <w:b/>
                <w:i/>
              </w:rPr>
              <w:t xml:space="preserve">de grunde, den er baseret på, og </w:t>
            </w:r>
            <w:r w:rsidRPr="007224B7">
              <w:t xml:space="preserve">en startdato for, hvornår reglerne i artikel 2, 3 </w:t>
            </w:r>
            <w:r w:rsidRPr="007224B7">
              <w:rPr>
                <w:b/>
                <w:i/>
              </w:rPr>
              <w:t>eller</w:t>
            </w:r>
            <w:r w:rsidRPr="007224B7">
              <w:t xml:space="preserve"> 4 kan anvendes, samt en periode for deres anvendelse, som indledningsvist højst må være seks måneder</w:t>
            </w:r>
            <w:r w:rsidRPr="007224B7">
              <w:rPr>
                <w:b/>
                <w:i/>
              </w:rPr>
              <w:t>, og der skal specifikt angives, hvilke tredjelandsstatsborgere eller statsløse personer der er genstand for instrumentalisering</w:t>
            </w:r>
            <w:r w:rsidRPr="007224B7">
              <w:t>.</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w:t>
      </w:r>
      <w:r w:rsidRPr="007224B7">
        <w:rPr>
          <w:rStyle w:val="HideTWBExt"/>
          <w:noProof w:val="0"/>
        </w:rPr>
        <w:t>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30</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7 – stk. 5</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5.</w:t>
            </w:r>
            <w:r w:rsidRPr="007224B7">
              <w:tab/>
              <w:t xml:space="preserve">Kommissionen </w:t>
            </w:r>
            <w:r w:rsidRPr="007224B7">
              <w:rPr>
                <w:b/>
                <w:i/>
              </w:rPr>
              <w:t>overvåger konstant instrumentaliseringen af migranter</w:t>
            </w:r>
            <w:r w:rsidRPr="007224B7">
              <w:t xml:space="preserve"> og revurderer </w:t>
            </w:r>
            <w:r w:rsidRPr="007224B7">
              <w:rPr>
                <w:b/>
                <w:i/>
              </w:rPr>
              <w:t>situationen</w:t>
            </w:r>
            <w:r w:rsidRPr="007224B7">
              <w:t xml:space="preserve">. Hvis Kommissionen finder det relevant, kan den foreslå, at Rådets gennemførelsesafgørelse, der er omhandlet i stk. 3, ophæves, eller at Rådet vedtager en ny gennemførelsesafgørelse, hvorved der gives mulighed for at </w:t>
            </w:r>
            <w:r w:rsidRPr="007224B7">
              <w:rPr>
                <w:b/>
                <w:i/>
              </w:rPr>
              <w:t>forlænge</w:t>
            </w:r>
            <w:r w:rsidRPr="007224B7">
              <w:t xml:space="preserve"> anv</w:t>
            </w:r>
            <w:r w:rsidRPr="007224B7">
              <w:t xml:space="preserve">endelsen af de særlige undtagelser, der er omhandlet i artikel 2, 3 </w:t>
            </w:r>
            <w:r w:rsidRPr="007224B7">
              <w:rPr>
                <w:b/>
                <w:i/>
              </w:rPr>
              <w:t>og</w:t>
            </w:r>
            <w:r w:rsidRPr="007224B7">
              <w:t xml:space="preserve"> 4, i en periode på højst seks måneder. Den berørte medlemsstat meddeler Kommissionen de særlige oplysninger, den har brug for til at foretage en revurdering og fremsætte et forslag om o</w:t>
            </w:r>
            <w:r w:rsidRPr="007224B7">
              <w:t>phævelse eller forlængelse, samt alle andre oplysninger, som Kommissionen måtte anmode om.</w:t>
            </w:r>
          </w:p>
        </w:tc>
        <w:tc>
          <w:tcPr>
            <w:tcW w:w="4876" w:type="dxa"/>
          </w:tcPr>
          <w:p w:rsidR="00103A80" w:rsidRPr="007224B7" w:rsidRDefault="00870768" w:rsidP="001261D4">
            <w:pPr>
              <w:pStyle w:val="Normal6"/>
              <w:rPr>
                <w:szCs w:val="24"/>
              </w:rPr>
            </w:pPr>
            <w:r w:rsidRPr="007224B7">
              <w:t>5.</w:t>
            </w:r>
            <w:r w:rsidRPr="007224B7">
              <w:tab/>
              <w:t xml:space="preserve">Kommissionen </w:t>
            </w:r>
            <w:r w:rsidRPr="007224B7">
              <w:rPr>
                <w:b/>
                <w:i/>
              </w:rPr>
              <w:t>og Rådet overvåger løbende</w:t>
            </w:r>
            <w:r w:rsidRPr="007224B7">
              <w:t xml:space="preserve"> og revurderer </w:t>
            </w:r>
            <w:r w:rsidRPr="007224B7">
              <w:rPr>
                <w:b/>
                <w:i/>
              </w:rPr>
              <w:t>instrumentaliseringssituationen</w:t>
            </w:r>
            <w:r w:rsidRPr="007224B7">
              <w:t xml:space="preserve">. Hvis Kommissionen finder det relevant, kan den </w:t>
            </w:r>
            <w:r w:rsidRPr="007224B7">
              <w:rPr>
                <w:b/>
                <w:i/>
              </w:rPr>
              <w:t>på grundlag af relevante opl</w:t>
            </w:r>
            <w:r w:rsidRPr="007224B7">
              <w:rPr>
                <w:b/>
                <w:i/>
              </w:rPr>
              <w:t xml:space="preserve">ysninger </w:t>
            </w:r>
            <w:r w:rsidRPr="007224B7">
              <w:t xml:space="preserve">foreslå, at Rådets gennemførelsesafgørelse, der er omhandlet i stk. 3, ophæves, eller at Rådet vedtager en ny gennemførelsesafgørelse, hvorved der gives mulighed for at </w:t>
            </w:r>
            <w:r w:rsidRPr="007224B7">
              <w:rPr>
                <w:b/>
                <w:i/>
              </w:rPr>
              <w:t>ændre</w:t>
            </w:r>
            <w:r w:rsidRPr="007224B7">
              <w:t xml:space="preserve"> anvendelsen af de særlige undtagelser, der er omhandlet i artikel 2, 3 </w:t>
            </w:r>
            <w:r w:rsidRPr="007224B7">
              <w:rPr>
                <w:b/>
                <w:i/>
              </w:rPr>
              <w:t>e</w:t>
            </w:r>
            <w:r w:rsidRPr="007224B7">
              <w:rPr>
                <w:b/>
                <w:i/>
              </w:rPr>
              <w:t>ller</w:t>
            </w:r>
            <w:r w:rsidRPr="007224B7">
              <w:t xml:space="preserve"> 4, </w:t>
            </w:r>
            <w:r w:rsidRPr="007224B7">
              <w:rPr>
                <w:b/>
                <w:i/>
              </w:rPr>
              <w:t xml:space="preserve">eller deres forlængelse </w:t>
            </w:r>
            <w:r w:rsidRPr="007224B7">
              <w:t xml:space="preserve">i en </w:t>
            </w:r>
            <w:r w:rsidRPr="007224B7">
              <w:rPr>
                <w:b/>
                <w:i/>
              </w:rPr>
              <w:t xml:space="preserve">yderligere </w:t>
            </w:r>
            <w:r w:rsidRPr="007224B7">
              <w:t>periode på højst</w:t>
            </w:r>
            <w:r w:rsidRPr="007224B7">
              <w:rPr>
                <w:b/>
                <w:i/>
              </w:rPr>
              <w:t xml:space="preserve"> seks måneder. Hvis den anmodende medlemsstat forelægger Kommissionen beviser for, at instrumentaliseringen fortsat eksisterer, forelægger Kommissionen på grundlag af denne </w:t>
            </w:r>
            <w:r w:rsidRPr="007224B7">
              <w:rPr>
                <w:b/>
                <w:i/>
              </w:rPr>
              <w:lastRenderedPageBreak/>
              <w:t>dokumentation et fo</w:t>
            </w:r>
            <w:r w:rsidRPr="007224B7">
              <w:rPr>
                <w:b/>
                <w:i/>
              </w:rPr>
              <w:t>rslag til en ny gennemførelsesafgørelse fra Rådet om ændring eller forlængelse af de specifikke undtagelser, der er omhandlet i artikel 2, 3 eller 4, i en periode, som ikke må overstige en yderligere periode på</w:t>
            </w:r>
            <w:r w:rsidRPr="007224B7">
              <w:t xml:space="preserve"> seks måneder. Den berørte medlemsstat meddele</w:t>
            </w:r>
            <w:r w:rsidRPr="007224B7">
              <w:t>r Kommissionen de særlige oplysninger, den har brug for til at foretage en revurdering og fremsætte et forslag om ophævelse eller forlængelse, samt alle andre oplysninger, som Kommissionen måtte anmode om.</w:t>
            </w:r>
          </w:p>
        </w:tc>
      </w:tr>
    </w:tbl>
    <w:p w:rsidR="00103A80" w:rsidRPr="007224B7" w:rsidRDefault="00870768" w:rsidP="00103A80">
      <w:pPr>
        <w:pStyle w:val="Olang"/>
      </w:pPr>
      <w:r w:rsidRPr="007224B7">
        <w:rPr>
          <w:noProof w:val="0"/>
        </w:rPr>
        <w:lastRenderedPageBreak/>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w:t>
      </w:r>
      <w:r w:rsidRPr="007224B7">
        <w:t>ndringsforslag</w:t>
      </w:r>
      <w:r w:rsidRPr="007224B7">
        <w:tab/>
      </w:r>
      <w:r w:rsidRPr="007224B7">
        <w:tab/>
      </w:r>
      <w:r w:rsidRPr="007224B7">
        <w:rPr>
          <w:rStyle w:val="HideTWBExt"/>
          <w:b w:val="0"/>
        </w:rPr>
        <w:t>&lt;NumAm&gt;</w:t>
      </w:r>
      <w:r w:rsidRPr="007224B7">
        <w:t>31</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7 – stk. 5 a (nyt)</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103A80" w:rsidP="00103A80">
            <w:pPr>
              <w:pStyle w:val="Normal6"/>
            </w:pPr>
          </w:p>
        </w:tc>
        <w:tc>
          <w:tcPr>
            <w:tcW w:w="4876" w:type="dxa"/>
          </w:tcPr>
          <w:p w:rsidR="00103A80" w:rsidRPr="007224B7" w:rsidRDefault="00870768" w:rsidP="001261D4">
            <w:pPr>
              <w:pStyle w:val="Normal6"/>
              <w:rPr>
                <w:szCs w:val="24"/>
              </w:rPr>
            </w:pPr>
            <w:r w:rsidRPr="007224B7">
              <w:rPr>
                <w:b/>
                <w:i/>
              </w:rPr>
              <w:t>5a.</w:t>
            </w:r>
            <w:r w:rsidRPr="007224B7">
              <w:rPr>
                <w:b/>
                <w:i/>
              </w:rPr>
              <w:tab/>
              <w:t xml:space="preserve">Medlemsstaterne fortsætter i den maksimale periode, jf. artikel 2, med at anvende de </w:t>
            </w:r>
            <w:r w:rsidRPr="007224B7">
              <w:rPr>
                <w:b/>
                <w:i/>
              </w:rPr>
              <w:t>proceduremæssige undtagelser, der er fastsat i Rådets gennemførelsesafgørelse, jf. stk. 3, for de ansøgere, hvis ansøgninger om international beskyttelse er blevet registreret inden for den periode, hvor disse undtagelser kan finde anvendelse, i overensste</w:t>
            </w:r>
            <w:r w:rsidRPr="007224B7">
              <w:rPr>
                <w:b/>
                <w:i/>
              </w:rPr>
              <w:t>mmelse med denne forordning, indtil der er truffet endelig afgørelse om deres ansøgning, eller indtil de pågældende tredjelandsstatsborgere eller statsløse personer sendes tilbage i overensstemmelse med artikel 4.</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32</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7 – stk. 5 b (nyt)</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103A80" w:rsidP="00103A80">
            <w:pPr>
              <w:pStyle w:val="Normal6"/>
            </w:pPr>
          </w:p>
        </w:tc>
        <w:tc>
          <w:tcPr>
            <w:tcW w:w="4876" w:type="dxa"/>
          </w:tcPr>
          <w:p w:rsidR="00103A80" w:rsidRPr="007224B7" w:rsidRDefault="00870768" w:rsidP="00103A80">
            <w:pPr>
              <w:pStyle w:val="Normal6"/>
              <w:rPr>
                <w:szCs w:val="24"/>
              </w:rPr>
            </w:pPr>
            <w:r w:rsidRPr="007224B7">
              <w:rPr>
                <w:b/>
                <w:i/>
              </w:rPr>
              <w:t>5b.</w:t>
            </w:r>
            <w:r w:rsidRPr="007224B7">
              <w:rPr>
                <w:b/>
                <w:i/>
              </w:rPr>
              <w:tab/>
              <w:t xml:space="preserve">Under udøvelsen af deres beføjelser og udførelsen af deres opgaver i henhold </w:t>
            </w:r>
            <w:r w:rsidRPr="007224B7">
              <w:rPr>
                <w:b/>
                <w:i/>
              </w:rPr>
              <w:t>til denne artikel skal Kommissionen og Rådet til enhver tid sikre, at proportionalitetsprincippet overholdes.</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w:t>
      </w:r>
    </w:p>
    <w:p w:rsidR="00103A80" w:rsidRPr="007224B7" w:rsidRDefault="00870768" w:rsidP="00103A80">
      <w:pPr>
        <w:pStyle w:val="AMNumberTabs0"/>
        <w:keepNext/>
      </w:pPr>
      <w:r w:rsidRPr="007224B7">
        <w:rPr>
          <w:rStyle w:val="HideTWBExt"/>
          <w:b w:val="0"/>
        </w:rPr>
        <w:t>&lt;Amend&gt;</w:t>
      </w:r>
      <w:r w:rsidRPr="007224B7">
        <w:t>Ændringsforslag</w:t>
      </w:r>
      <w:r w:rsidRPr="007224B7">
        <w:tab/>
      </w:r>
      <w:r w:rsidRPr="007224B7">
        <w:tab/>
      </w:r>
      <w:r w:rsidRPr="007224B7">
        <w:rPr>
          <w:rStyle w:val="HideTWBExt"/>
          <w:b w:val="0"/>
        </w:rPr>
        <w:t>&lt;NumAm&gt;</w:t>
      </w:r>
      <w:r w:rsidRPr="007224B7">
        <w:t>33</w:t>
      </w:r>
      <w:r w:rsidRPr="007224B7">
        <w:rPr>
          <w:rStyle w:val="HideTWBExt"/>
          <w:b w:val="0"/>
        </w:rPr>
        <w:t>&lt;/NumAm&gt;</w:t>
      </w:r>
    </w:p>
    <w:p w:rsidR="00103A80" w:rsidRPr="007224B7" w:rsidRDefault="00870768" w:rsidP="00103A80">
      <w:pPr>
        <w:pStyle w:val="NormalBold12b"/>
        <w:keepNext/>
      </w:pPr>
      <w:r w:rsidRPr="007224B7">
        <w:rPr>
          <w:rStyle w:val="HideTWBExt"/>
          <w:b w:val="0"/>
        </w:rPr>
        <w:t>&lt;DocAmend&gt;</w:t>
      </w:r>
      <w:r w:rsidRPr="007224B7">
        <w:t>Forslag til forordning</w:t>
      </w:r>
      <w:r w:rsidRPr="007224B7">
        <w:rPr>
          <w:rStyle w:val="HideTWBExt"/>
          <w:b w:val="0"/>
        </w:rPr>
        <w:t>&lt;/DocAmend&gt;</w:t>
      </w:r>
    </w:p>
    <w:p w:rsidR="00103A80" w:rsidRPr="007224B7" w:rsidRDefault="00870768" w:rsidP="00103A80">
      <w:pPr>
        <w:pStyle w:val="NormalBold"/>
      </w:pPr>
      <w:r w:rsidRPr="007224B7">
        <w:rPr>
          <w:rStyle w:val="HideTWBExt"/>
          <w:b w:val="0"/>
        </w:rPr>
        <w:t>&lt;Article&gt;</w:t>
      </w:r>
      <w:r w:rsidRPr="007224B7">
        <w:t>Artikel 8</w:t>
      </w:r>
      <w:r w:rsidRPr="007224B7">
        <w:t xml:space="preserve"> – stk. 2</w:t>
      </w:r>
      <w:r w:rsidRPr="007224B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2D55B5" w:rsidRPr="007224B7" w:rsidTr="00103A80">
        <w:trPr>
          <w:jc w:val="center"/>
        </w:trPr>
        <w:tc>
          <w:tcPr>
            <w:tcW w:w="9752" w:type="dxa"/>
            <w:gridSpan w:val="2"/>
          </w:tcPr>
          <w:p w:rsidR="00103A80" w:rsidRPr="007224B7" w:rsidRDefault="00103A80" w:rsidP="00103A80">
            <w:pPr>
              <w:keepNext/>
            </w:pPr>
          </w:p>
        </w:tc>
      </w:tr>
      <w:tr w:rsidR="002D55B5" w:rsidRPr="007224B7" w:rsidTr="00103A80">
        <w:trPr>
          <w:jc w:val="center"/>
        </w:trPr>
        <w:tc>
          <w:tcPr>
            <w:tcW w:w="4876" w:type="dxa"/>
          </w:tcPr>
          <w:p w:rsidR="00103A80" w:rsidRPr="007224B7" w:rsidRDefault="00870768" w:rsidP="00103A80">
            <w:pPr>
              <w:pStyle w:val="ColumnHeading"/>
              <w:keepNext/>
            </w:pPr>
            <w:r w:rsidRPr="007224B7">
              <w:t>Kommissionens forslag</w:t>
            </w:r>
          </w:p>
        </w:tc>
        <w:tc>
          <w:tcPr>
            <w:tcW w:w="4876" w:type="dxa"/>
          </w:tcPr>
          <w:p w:rsidR="00103A80" w:rsidRPr="007224B7" w:rsidRDefault="00870768" w:rsidP="00103A80">
            <w:pPr>
              <w:pStyle w:val="ColumnHeading"/>
              <w:keepNext/>
            </w:pPr>
            <w:r w:rsidRPr="007224B7">
              <w:t>Ændringsforslag</w:t>
            </w:r>
          </w:p>
        </w:tc>
      </w:tr>
      <w:tr w:rsidR="002D55B5" w:rsidRPr="007224B7" w:rsidTr="00103A80">
        <w:trPr>
          <w:jc w:val="center"/>
        </w:trPr>
        <w:tc>
          <w:tcPr>
            <w:tcW w:w="4876" w:type="dxa"/>
          </w:tcPr>
          <w:p w:rsidR="00103A80" w:rsidRPr="007224B7" w:rsidRDefault="00870768" w:rsidP="00103A80">
            <w:pPr>
              <w:pStyle w:val="Normal6"/>
            </w:pPr>
            <w:r w:rsidRPr="007224B7">
              <w:t>2.</w:t>
            </w:r>
            <w:r w:rsidRPr="007224B7">
              <w:tab/>
              <w:t>Den medlemsstat, der er konfronteret med en instrumentalisering</w:t>
            </w:r>
            <w:r w:rsidRPr="007224B7">
              <w:rPr>
                <w:b/>
                <w:i/>
              </w:rPr>
              <w:t xml:space="preserve"> af migranter</w:t>
            </w:r>
            <w:r w:rsidRPr="007224B7">
              <w:t xml:space="preserve">, </w:t>
            </w:r>
            <w:r w:rsidRPr="007224B7">
              <w:rPr>
                <w:b/>
                <w:i/>
              </w:rPr>
              <w:t>sikrer</w:t>
            </w:r>
            <w:r w:rsidRPr="007224B7">
              <w:t xml:space="preserve"> et tæt samarbejde med FN's Højkommissariat for Flygtninge og relevante </w:t>
            </w:r>
            <w:r w:rsidRPr="007224B7">
              <w:rPr>
                <w:b/>
                <w:i/>
              </w:rPr>
              <w:t xml:space="preserve">partnerorganisationer for at </w:t>
            </w:r>
            <w:r w:rsidRPr="007224B7">
              <w:rPr>
                <w:b/>
                <w:i/>
              </w:rPr>
              <w:t>fastlægge bestemmelserne om støtte til de ansøgere, der instrumentaliseres,</w:t>
            </w:r>
            <w:r w:rsidRPr="007224B7">
              <w:t xml:space="preserve"> i overensstemmelse med </w:t>
            </w:r>
            <w:r w:rsidRPr="007224B7">
              <w:rPr>
                <w:b/>
                <w:i/>
              </w:rPr>
              <w:t xml:space="preserve">reglerne i </w:t>
            </w:r>
            <w:r w:rsidRPr="007224B7">
              <w:t>dette kapitel og</w:t>
            </w:r>
            <w:r w:rsidRPr="007224B7">
              <w:rPr>
                <w:b/>
                <w:i/>
              </w:rPr>
              <w:t xml:space="preserve"> i</w:t>
            </w:r>
            <w:r w:rsidRPr="007224B7">
              <w:t xml:space="preserve"> forordning (EU) XXX/XXX [forordningen om asylprocedurer] og direktiv XXX/XXX [direktivet om modtagelsesforhold (omarbejdning)]</w:t>
            </w:r>
          </w:p>
        </w:tc>
        <w:tc>
          <w:tcPr>
            <w:tcW w:w="4876" w:type="dxa"/>
          </w:tcPr>
          <w:p w:rsidR="00103A80" w:rsidRPr="007224B7" w:rsidRDefault="00870768" w:rsidP="001261D4">
            <w:pPr>
              <w:pStyle w:val="Normal6"/>
              <w:rPr>
                <w:szCs w:val="24"/>
              </w:rPr>
            </w:pPr>
            <w:r w:rsidRPr="007224B7">
              <w:t>2.</w:t>
            </w:r>
            <w:r w:rsidRPr="007224B7">
              <w:tab/>
              <w:t xml:space="preserve">Den medlemsstat, der er konfronteret med en instrumentalisering, </w:t>
            </w:r>
            <w:r w:rsidRPr="007224B7">
              <w:rPr>
                <w:b/>
                <w:i/>
              </w:rPr>
              <w:t>bevarer</w:t>
            </w:r>
            <w:r w:rsidRPr="007224B7">
              <w:t xml:space="preserve"> et tæt samarbejde med FN's Højkommissariat for Flygtninge og </w:t>
            </w:r>
            <w:r w:rsidRPr="007224B7">
              <w:rPr>
                <w:b/>
                <w:i/>
              </w:rPr>
              <w:t xml:space="preserve">andre </w:t>
            </w:r>
            <w:r w:rsidRPr="007224B7">
              <w:t xml:space="preserve">relevante </w:t>
            </w:r>
            <w:r w:rsidRPr="007224B7">
              <w:rPr>
                <w:b/>
                <w:i/>
              </w:rPr>
              <w:t>organisationer, der af den pågældende medlemsstat har fået overdraget opgaver</w:t>
            </w:r>
            <w:r w:rsidRPr="007224B7">
              <w:t xml:space="preserve"> i overensstemmelse med de</w:t>
            </w:r>
            <w:r w:rsidRPr="007224B7">
              <w:t>tte kapitel og forordning (EU) XXX/XXX [forordningen om asylprocedurer] og direktiv XXX/XXX [direktivet om modtagelsesforhold (omarbejdning)]</w:t>
            </w:r>
          </w:p>
        </w:tc>
      </w:tr>
    </w:tbl>
    <w:p w:rsidR="00103A80" w:rsidRPr="007224B7" w:rsidRDefault="00870768" w:rsidP="00103A80">
      <w:pPr>
        <w:pStyle w:val="Olang"/>
      </w:pPr>
      <w:r w:rsidRPr="007224B7">
        <w:rPr>
          <w:noProof w:val="0"/>
        </w:rPr>
        <w:t xml:space="preserve">Or. </w:t>
      </w:r>
      <w:r w:rsidRPr="007224B7">
        <w:rPr>
          <w:rStyle w:val="HideTWBExt"/>
          <w:noProof w:val="0"/>
        </w:rPr>
        <w:t>&lt;Original&gt;</w:t>
      </w:r>
      <w:r w:rsidRPr="007224B7">
        <w:rPr>
          <w:rStyle w:val="HideTWBInt"/>
          <w:noProof w:val="0"/>
        </w:rPr>
        <w:t>{EN}</w:t>
      </w:r>
      <w:r w:rsidRPr="007224B7">
        <w:rPr>
          <w:noProof w:val="0"/>
        </w:rPr>
        <w:t>en</w:t>
      </w:r>
      <w:r w:rsidRPr="007224B7">
        <w:rPr>
          <w:rStyle w:val="HideTWBExt"/>
          <w:noProof w:val="0"/>
        </w:rPr>
        <w:t>&lt;/Original&gt;</w:t>
      </w:r>
    </w:p>
    <w:p w:rsidR="00103A80" w:rsidRPr="007224B7" w:rsidRDefault="00870768" w:rsidP="00103A80">
      <w:r w:rsidRPr="007224B7">
        <w:rPr>
          <w:rStyle w:val="HideTWBExt"/>
        </w:rPr>
        <w:t>&lt;/Amend&gt;&lt;/RepeatBlock-Amend&gt;</w:t>
      </w:r>
    </w:p>
    <w:p w:rsidR="00103A80" w:rsidRPr="007224B7" w:rsidRDefault="00103A80" w:rsidP="00103A80">
      <w:bookmarkStart w:id="2" w:name="_GoBack"/>
      <w:bookmarkEnd w:id="1"/>
      <w:bookmarkEnd w:id="2"/>
    </w:p>
    <w:sectPr w:rsidR="00103A80" w:rsidRPr="007224B7" w:rsidSect="007224B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7224B7" w:rsidRDefault="00870768">
      <w:r w:rsidRPr="007224B7">
        <w:separator/>
      </w:r>
    </w:p>
  </w:endnote>
  <w:endnote w:type="continuationSeparator" w:id="0">
    <w:p w:rsidR="00000000" w:rsidRPr="007224B7" w:rsidRDefault="00870768">
      <w:r w:rsidRPr="007224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4B7" w:rsidRPr="007224B7" w:rsidRDefault="007224B7" w:rsidP="007224B7">
    <w:pPr>
      <w:pStyle w:val="EPFooter"/>
    </w:pPr>
    <w:r w:rsidRPr="007224B7">
      <w:t>PE</w:t>
    </w:r>
    <w:r w:rsidRPr="007224B7">
      <w:rPr>
        <w:rStyle w:val="HideTWBExt"/>
      </w:rPr>
      <w:t>&lt;NoPE&gt;</w:t>
    </w:r>
    <w:r w:rsidRPr="007224B7">
      <w:t>752.890</w:t>
    </w:r>
    <w:r w:rsidRPr="007224B7">
      <w:rPr>
        <w:rStyle w:val="HideTWBExt"/>
      </w:rPr>
      <w:t>&lt;/NoPE&gt;&lt;Version&gt;</w:t>
    </w:r>
    <w:r w:rsidRPr="007224B7">
      <w:t>v01-00</w:t>
    </w:r>
    <w:r w:rsidRPr="007224B7">
      <w:rPr>
        <w:rStyle w:val="HideTWBExt"/>
      </w:rPr>
      <w:t>&lt;/Version&gt;</w:t>
    </w:r>
    <w:r w:rsidRPr="007224B7">
      <w:tab/>
    </w:r>
    <w:r w:rsidRPr="007224B7">
      <w:fldChar w:fldCharType="begin"/>
    </w:r>
    <w:r w:rsidRPr="007224B7">
      <w:instrText xml:space="preserve"> PAGE  \* MERGEFORMAT </w:instrText>
    </w:r>
    <w:r w:rsidRPr="007224B7">
      <w:fldChar w:fldCharType="separate"/>
    </w:r>
    <w:r w:rsidR="00870768">
      <w:rPr>
        <w:noProof/>
      </w:rPr>
      <w:t>26</w:t>
    </w:r>
    <w:r w:rsidRPr="007224B7">
      <w:fldChar w:fldCharType="end"/>
    </w:r>
    <w:r w:rsidRPr="007224B7">
      <w:t>/</w:t>
    </w:r>
    <w:fldSimple w:instr=" NUMPAGES  \* MERGEFORMAT ">
      <w:r w:rsidR="00870768">
        <w:rPr>
          <w:noProof/>
        </w:rPr>
        <w:t>27</w:t>
      </w:r>
    </w:fldSimple>
    <w:r w:rsidRPr="007224B7">
      <w:tab/>
    </w:r>
    <w:r w:rsidRPr="007224B7">
      <w:rPr>
        <w:rStyle w:val="HideTWBExt"/>
      </w:rPr>
      <w:t>&lt;PathFdR&gt;</w:t>
    </w:r>
    <w:r w:rsidRPr="007224B7">
      <w:t>PR\1285389DA.docx</w:t>
    </w:r>
    <w:r w:rsidRPr="007224B7">
      <w:rPr>
        <w:rStyle w:val="HideTWBExt"/>
      </w:rPr>
      <w:t>&lt;/PathFdR&gt;</w:t>
    </w:r>
  </w:p>
  <w:p w:rsidR="00103A80" w:rsidRPr="007224B7" w:rsidRDefault="007224B7" w:rsidP="007224B7">
    <w:pPr>
      <w:pStyle w:val="EPFooter2"/>
    </w:pPr>
    <w:r w:rsidRPr="007224B7">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4B7" w:rsidRPr="007224B7" w:rsidRDefault="007224B7" w:rsidP="007224B7">
    <w:pPr>
      <w:pStyle w:val="EPFooter"/>
    </w:pPr>
    <w:r w:rsidRPr="007224B7">
      <w:rPr>
        <w:rStyle w:val="HideTWBExt"/>
      </w:rPr>
      <w:t>&lt;PathFdR&gt;</w:t>
    </w:r>
    <w:r w:rsidRPr="007224B7">
      <w:t>PR\1285389DA.docx</w:t>
    </w:r>
    <w:r w:rsidRPr="007224B7">
      <w:rPr>
        <w:rStyle w:val="HideTWBExt"/>
      </w:rPr>
      <w:t>&lt;/PathFdR&gt;</w:t>
    </w:r>
    <w:r w:rsidRPr="007224B7">
      <w:tab/>
    </w:r>
    <w:r w:rsidRPr="007224B7">
      <w:fldChar w:fldCharType="begin"/>
    </w:r>
    <w:r w:rsidRPr="007224B7">
      <w:instrText xml:space="preserve"> PAGE  \* MERGEFORMAT </w:instrText>
    </w:r>
    <w:r w:rsidRPr="007224B7">
      <w:fldChar w:fldCharType="separate"/>
    </w:r>
    <w:r w:rsidR="00870768">
      <w:rPr>
        <w:noProof/>
      </w:rPr>
      <w:t>27</w:t>
    </w:r>
    <w:r w:rsidRPr="007224B7">
      <w:fldChar w:fldCharType="end"/>
    </w:r>
    <w:r w:rsidRPr="007224B7">
      <w:t>/</w:t>
    </w:r>
    <w:fldSimple w:instr=" NUMPAGES  \* MERGEFORMAT ">
      <w:r w:rsidR="00870768">
        <w:rPr>
          <w:noProof/>
        </w:rPr>
        <w:t>27</w:t>
      </w:r>
    </w:fldSimple>
    <w:r w:rsidRPr="007224B7">
      <w:tab/>
      <w:t>PE</w:t>
    </w:r>
    <w:r w:rsidRPr="007224B7">
      <w:rPr>
        <w:rStyle w:val="HideTWBExt"/>
      </w:rPr>
      <w:t>&lt;NoPE&gt;</w:t>
    </w:r>
    <w:r w:rsidRPr="007224B7">
      <w:t>752.890</w:t>
    </w:r>
    <w:r w:rsidRPr="007224B7">
      <w:rPr>
        <w:rStyle w:val="HideTWBExt"/>
      </w:rPr>
      <w:t>&lt;/NoPE&gt;&lt;Version&gt;</w:t>
    </w:r>
    <w:r w:rsidRPr="007224B7">
      <w:t>v01-00</w:t>
    </w:r>
    <w:r w:rsidRPr="007224B7">
      <w:rPr>
        <w:rStyle w:val="HideTWBExt"/>
      </w:rPr>
      <w:t>&lt;/Version&gt;</w:t>
    </w:r>
  </w:p>
  <w:p w:rsidR="00103A80" w:rsidRPr="007224B7" w:rsidRDefault="007224B7" w:rsidP="007224B7">
    <w:pPr>
      <w:pStyle w:val="EPFooter2"/>
    </w:pPr>
    <w:r w:rsidRPr="007224B7">
      <w:tab/>
    </w:r>
    <w:r w:rsidRPr="007224B7">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4B7" w:rsidRPr="007224B7" w:rsidRDefault="007224B7" w:rsidP="007224B7">
    <w:pPr>
      <w:pStyle w:val="EPFooter"/>
    </w:pPr>
    <w:r w:rsidRPr="007224B7">
      <w:rPr>
        <w:rStyle w:val="HideTWBExt"/>
      </w:rPr>
      <w:t>&lt;PathFdR&gt;</w:t>
    </w:r>
    <w:r w:rsidRPr="007224B7">
      <w:t>PR\1285389DA.docx</w:t>
    </w:r>
    <w:r w:rsidRPr="007224B7">
      <w:rPr>
        <w:rStyle w:val="HideTWBExt"/>
      </w:rPr>
      <w:t>&lt;/PathFdR&gt;</w:t>
    </w:r>
    <w:r w:rsidRPr="007224B7">
      <w:tab/>
    </w:r>
    <w:r w:rsidRPr="007224B7">
      <w:tab/>
      <w:t>PE</w:t>
    </w:r>
    <w:r w:rsidRPr="007224B7">
      <w:rPr>
        <w:rStyle w:val="HideTWBExt"/>
      </w:rPr>
      <w:t>&lt;NoPE&gt;</w:t>
    </w:r>
    <w:r w:rsidRPr="007224B7">
      <w:t>752.890</w:t>
    </w:r>
    <w:r w:rsidRPr="007224B7">
      <w:rPr>
        <w:rStyle w:val="HideTWBExt"/>
      </w:rPr>
      <w:t>&lt;/NoPE&gt;&lt;Version&gt;</w:t>
    </w:r>
    <w:r w:rsidRPr="007224B7">
      <w:t>v01-00</w:t>
    </w:r>
    <w:r w:rsidRPr="007224B7">
      <w:rPr>
        <w:rStyle w:val="HideTWBExt"/>
      </w:rPr>
      <w:t>&lt;/Version&gt;</w:t>
    </w:r>
  </w:p>
  <w:p w:rsidR="00103A80" w:rsidRPr="007224B7" w:rsidRDefault="007224B7" w:rsidP="007224B7">
    <w:pPr>
      <w:pStyle w:val="EPFooter2"/>
    </w:pPr>
    <w:r w:rsidRPr="007224B7">
      <w:t>DA</w:t>
    </w:r>
    <w:r w:rsidRPr="007224B7">
      <w:tab/>
    </w:r>
    <w:r w:rsidRPr="007224B7">
      <w:rPr>
        <w:b w:val="0"/>
        <w:i/>
        <w:color w:val="C0C0C0"/>
        <w:sz w:val="22"/>
      </w:rPr>
      <w:t>Forenet i mangfoldighed</w:t>
    </w:r>
    <w:r w:rsidRPr="007224B7">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7224B7" w:rsidRDefault="00870768">
      <w:r w:rsidRPr="007224B7">
        <w:separator/>
      </w:r>
    </w:p>
  </w:footnote>
  <w:footnote w:type="continuationSeparator" w:id="0">
    <w:p w:rsidR="00000000" w:rsidRPr="007224B7" w:rsidRDefault="00870768">
      <w:r w:rsidRPr="007224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768" w:rsidRDefault="00870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768" w:rsidRDefault="008707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768" w:rsidRDefault="008707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Var" w:val="33"/>
    <w:docVar w:name="DOCMNU" w:val=" 1"/>
    <w:docVar w:name="EPSTATMNU" w:val=" 5"/>
    <w:docVar w:name="iNoAmend" w:val="33"/>
    <w:docVar w:name="INSTITUTIONSMNU" w:val=" 2"/>
    <w:docVar w:name="JURI1MNU" w:val=" 2"/>
    <w:docVar w:name="JURI2MNU" w:val=" 2"/>
    <w:docVar w:name="LastEditedSection" w:val=" 1"/>
    <w:docVar w:name="OTHERSTATMNU" w:val=" 4"/>
    <w:docVar w:name="PARLIAMENTSMNU" w:val=" 2"/>
    <w:docVar w:name="RECONSULTMNU" w:val=" 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351928 HideTWBExt;}{\*\cs18 \additive \v\f1\fs20\cf15 _x000d__x000a_\spriority0 \styrsid3351928 HideTWBInt;}{\s19\ql \li0\ri0\sa120\nowidctlpar\wrapdefault\aspalpha\aspnum\faauto\adjustright\rin0\lin0\itap0 \rtlch\fcs1 \af0\afs20\alang1025 \ltrch\fcs0 \fs24\lang2057\langfe2057\cgrid\langnp2057\langfenp2057 _x000d__x000a_\sbasedon0 \snext19 \spriority0 \styrsid3351928 Normal6a;}{\s20\ql \li0\ri0\nowidctlpar\wrapdefault\aspalpha\aspnum\faauto\adjustright\rin0\lin0\itap0 \rtlch\fcs1 \af0\afs20\alang1025 \ltrch\fcs0 \b\fs24\lang2057\langfe2057\cgrid\langnp2057\langfenp2057 _x000d__x000a_\sbasedon0 \snext20 \spriority0 \styrsid3351928 NormalBold;}{\s21\ql \li0\ri0\sa240\nowidctlpar\wrapdefault\aspalpha\aspnum\faauto\adjustright\rin0\lin0\itap0 \rtlch\fcs1 \af0\afs20\alang1025 \ltrch\fcs0 _x000d__x000a_\i\fs24\lang2057\langfe2057\cgrid\langnp2057\langfenp2057 \sbasedon0 \snext21 \spriority0 \styrsid3351928 AmJustText;}{\s22\qc \li0\ri0\sb240\sa240\nowidctlpar\wrapdefault\aspalpha\aspnum\faauto\adjustright\rin0\lin0\itap0 \rtlch\fcs1 _x000d__x000a_\af0\afs20\alang1025 \ltrch\fcs0 \i\fs24\lang2057\langfe2057\cgrid\langnp2057\langfenp2057 \sbasedon0 \snext22 \spriority0 \styrsid3351928 AmCrossRef;}{_x000d__x000a_\s23\qc \li0\ri0\sb240\sa240\keepn\nowidctlpar\wrapdefault\aspalpha\aspnum\faauto\adjustright\rin0\lin0\itap0 \rtlch\fcs1 \af0\afs20\alang1025 \ltrch\fcs0 \i\fs24\lang2057\langfe2057\cgrid\langnp2057\langfenp2057 _x000d__x000a_\sbasedon0 \snext21 \spriority0 \styrsid3351928 AmJustTitle;}{\s24\qr \li0\ri0\sb240\sa240\nowidctlpar\wrapdefault\aspalpha\aspnum\faauto\adjustright\rin0\lin0\itap0 \rtlch\fcs1 \af0\afs20\alang1025 \ltrch\fcs0 _x000d__x000a_\fs24\lang2057\langfe2057\cgrid\langnp2057\langfenp2057 \sbasedon0 \snext24 \spriority0 \styrsid3351928 AmOrLang;}{\s25\qc \li0\ri0\sa240\nowidctlpar\wrapdefault\aspalpha\aspnum\faauto\adjustright\rin0\lin0\itap0 \rtlch\fcs1 \af0\afs20\alang1025 _x000d__x000a_\ltrch\fcs0 \i\fs24\lang2057\langfe2057\cgrid\langnp2057\langfenp2057 \sbasedon0 \snext25 \spriority0 \styrsid335192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3351928 AmNumberTabs;}{\s27\ql \li0\ri0\sb240\nowidctlpar\wrapdefault\aspalpha\aspnum\faauto\adjustright\rin0\lin0\itap0 \rtlch\fcs1 _x000d__x000a_\af0\afs20\alang1025 \ltrch\fcs0 \b\fs24\lang2057\langfe2057\cgrid\langnp2057\langfenp2057 \sbasedon0 \snext27 \spriority0 \styrsid3351928 NormalBold12b;}}{\*\rsidtbl \rsid24658\rsid223860\rsid735077\rsid1718133\rsid2707246\rsid2892074\rsid3351928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PHILLIPS Deborah}{\operator PHILLIPS Deborah}{\creatim\yr2023\mo4\dy25\hr11\min46}{\revtim\yr2023\mo4\dy25\hr11\min46}{\version1}{\edmins0}{\nofpages1}_x000d__x000a_{\nofwords104}{\nofchars596}{\nofcharsws699}{\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351928\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2707246 \chftnsep _x000d__x000a_\par }}{\*\ftnsepc \ltrpar \pard\plain \ltrpar\ql \li0\ri0\widctlpar\wrapdefault\aspalpha\aspnum\faauto\adjustright\rin0\lin0\itap0 \rtlch\fcs1 \af0\afs20\alang1025 \ltrch\fcs0 \fs24\lang2057\langfe2057\cgrid\langnp2057\langfenp2057 {\rtlch\fcs1 \af0 _x000d__x000a_\ltrch\fcs0 \insrsid2707246 \chftnsepc _x000d__x000a_\par }}{\*\aftnsep \ltrpar \pard\plain \ltrpar\ql \li0\ri0\widctlpar\wrapdefault\aspalpha\aspnum\faauto\adjustright\rin0\lin0\itap0 \rtlch\fcs1 \af0\afs20\alang1025 \ltrch\fcs0 \fs24\lang2057\langfe2057\cgrid\langnp2057\langfenp2057 {\rtlch\fcs1 \af0 _x000d__x000a_\ltrch\fcs0 \insrsid2707246 \chftnsep _x000d__x000a_\par }}{\*\aftnsepc \ltrpar \pard\plain \ltrpar\ql \li0\ri0\widctlpar\wrapdefault\aspalpha\aspnum\faauto\adjustright\rin0\lin0\itap0 \rtlch\fcs1 \af0\afs20\alang1025 \ltrch\fcs0 \fs24\lang2057\langfe2057\cgrid\langnp2057\langfenp2057 {\rtlch\fcs1 \af0 _x000d__x000a_\ltrch\fcs0 \insrsid270724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351928 \rtlch\fcs1 _x000d__x000a_\af0\afs20\alang1025 \ltrch\fcs0 \b\fs24\lang2057\langfe2057\cgrid\langnp2057\langfenp2057 {\rtlch\fcs1 \af0 \ltrch\fcs0 \cs17\b0\v\fs20\cf9\lang1024\langfe1024\loch\af1\hich\af1\dbch\af31501\noproof\insrsid3351928\charrsid10895074 {\*\bkmkstart restart}_x000d__x000a_\hich\af1\dbch\af31501\loch\f1 &lt;Amend&gt;}{\rtlch\fcs1 \af0 \ltrch\fcs0 \insrsid3351928\charrsid10895074 Amendment\tab \tab }{\rtlch\fcs1 \af0 \ltrch\fcs0 _x000d__x000a_\cs17\b0\v\fs20\cf9\lang1024\langfe1024\loch\af1\hich\af1\dbch\af31501\noproof\insrsid3351928\charrsid10895074 \hich\af1\dbch\af31501\loch\f1 &lt;NumAm&gt;}{\rtlch\fcs1 \af0 \ltrch\fcs0 \insrsid3351928\charrsid10895074 #}{\rtlch\fcs1 \af1 \ltrch\fcs0 _x000d__x000a_\cs18\v\f1\fs20\cf15\insrsid3351928\charrsid10895074 ENMIENDA@NRAM@}{\rtlch\fcs1 \af0 \ltrch\fcs0 \insrsid3351928\charrsid10895074 #}{\rtlch\fcs1 \af0 \ltrch\fcs0 _x000d__x000a_\cs17\b0\v\fs20\cf9\lang1024\langfe1024\loch\af1\hich\af1\dbch\af31501\noproof\insrsid3351928\charrsid10895074 \hich\af1\dbch\af31501\loch\f1 &lt;/NumAm&gt;}{\rtlch\fcs1 \af0 \ltrch\fcs0 \insrsid3351928\charrsid10895074 _x000d__x000a_\par }\pard\plain \ltrpar\s27\ql \li0\ri0\sb240\keepn\nowidctlpar\wrapdefault\aspalpha\aspnum\faauto\adjustright\rin0\lin0\itap0\pararsid3351928 \rtlch\fcs1 \af0\afs20\alang1025 \ltrch\fcs0 \b\fs24\lang2057\langfe2057\cgrid\langnp2057\langfenp2057 {_x000d__x000a_\rtlch\fcs1 \af0 \ltrch\fcs0 \cs17\b0\v\fs20\cf9\lang1024\langfe1024\loch\af1\hich\af1\dbch\af31501\noproof\insrsid3351928\charrsid10895074 \hich\af1\dbch\af31501\loch\f1 &lt;DocAmend&gt;}{\rtlch\fcs1 \af0 \ltrch\fcs0 \insrsid3351928\charrsid10895074 _x000d__x000a_Proposal for a #}{\rtlch\fcs1 \af1 \ltrch\fcs0 \cs18\v\f1\fs20\cf15\insrsid3351928\charrsid10895074 MNU[DOC1][DOC2][DOC3]@DOCMSG@DOCMNU}{\rtlch\fcs1 \af0 \ltrch\fcs0 \insrsid3351928\charrsid10895074 ##}{\rtlch\fcs1 \af1 \ltrch\fcs0 _x000d__x000a_\cs18\v\f1\fs20\cf15\insrsid3351928\charrsid10895074 MNU[AMACTYES][NOTAPP]@CHOICE@AMACTMNU}{\rtlch\fcs1 \af0 \ltrch\fcs0 \insrsid3351928\charrsid10895074 #}{\rtlch\fcs1 \af0 \ltrch\fcs0 _x000d__x000a_\cs17\b0\v\fs20\cf9\lang1024\langfe1024\loch\af1\hich\af1\dbch\af31501\noproof\insrsid3351928\charrsid10895074 \hich\af1\dbch\af31501\loch\f1 &lt;/DocAmend&gt;}{\rtlch\fcs1 \af0 \ltrch\fcs0 \insrsid3351928\charrsid10895074 _x000d__x000a_\par }\pard\plain \ltrpar\s20\ql \li0\ri0\keepn\nowidctlpar\wrapdefault\aspalpha\aspnum\faauto\adjustright\rin0\lin0\itap0\pararsid3351928 \rtlch\fcs1 \af0\afs20\alang1025 \ltrch\fcs0 \b\fs24\lang2057\langfe2057\cgrid\langnp2057\langfenp2057 {\rtlch\fcs1 \af0 _x000d__x000a_\ltrch\fcs0 \cs17\b0\v\fs20\cf9\lang1024\langfe1024\loch\af1\hich\af1\dbch\af31501\noproof\insrsid3351928\charrsid10895074 \hich\af1\dbch\af31501\loch\f1 &lt;Article&gt;}{\rtlch\fcs1 \af0 \ltrch\fcs0 \insrsid3351928\charrsid10895074 #}{\rtlch\fcs1 \af1 _x000d__x000a_\ltrch\fcs0 \cs18\v\f1\fs20\cf15\insrsid3351928\charrsid10895074 MNU[AMACTPARTYES][AMACTPARTNO]@CHOICE@AMACTMNU}{\rtlch\fcs1 \af0 \ltrch\fcs0 \insrsid3351928\charrsid10895074 #}{\rtlch\fcs1 \af0 \ltrch\fcs0 _x000d__x000a_\cs17\b0\v\fs20\cf9\lang1024\langfe1024\loch\af1\hich\af1\dbch\af31501\noproof\insrsid3351928\charrsid10895074 \hich\af1\dbch\af31501\loch\f1 &lt;/Article&gt;}{\rtlch\fcs1 \af0 \ltrch\fcs0 \insrsid3351928\charrsid10895074 _x000d__x000a_\par }\pard\plain \ltrpar\ql \li0\ri0\keepn\widctlpar\wrapdefault\aspalpha\aspnum\faauto\adjustright\rin0\lin0\itap0\pararsid3351928 \rtlch\fcs1 \af0\afs20\alang1025 \ltrch\fcs0 \fs24\lang2057\langfe2057\cgrid\langnp2057\langfenp2057 {\rtlch\fcs1 \af0 _x000d__x000a_\ltrch\fcs0 \cs17\v\fs20\cf9\lang1024\langfe1024\loch\af1\hich\af1\dbch\af31501\noproof\insrsid3351928\charrsid10895074 \hich\af1\dbch\af31501\loch\f1 &lt;DocAmend2&gt;&lt;OptDel&gt;}{\rtlch\fcs1 \af0 \ltrch\fcs0 \insrsid3351928\charrsid10895074 #}{\rtlch\fcs1 \af1 _x000d__x000a_\ltrch\fcs0 \cs18\v\f1\fs20\cf15\insrsid3351928\charrsid10895074 MNU[OPTNRACTYES][NOTAPP]@CHOICE@AMACTMNU}{\rtlch\fcs1 \af0 \ltrch\fcs0 \insrsid3351928\charrsid10895074 #}{\rtlch\fcs1 \af0 \ltrch\fcs0 _x000d__x000a_\cs17\v\fs20\cf9\lang1024\langfe1024\loch\af1\hich\af1\dbch\af31501\noproof\insrsid3351928\charrsid10895074 \hich\af1\dbch\af31501\loch\f1 &lt;/OptDel&gt;&lt;/DocAmend2&gt;}{\rtlch\fcs1 \af0 \ltrch\fcs0 \insrsid3351928\charrsid10895074 _x000d__x000a_\par }\pard \ltrpar\ql \li0\ri0\widctlpar\wrapdefault\aspalpha\aspnum\faauto\adjustright\rin0\lin0\itap0\pararsid3351928 {\rtlch\fcs1 \af0 \ltrch\fcs0 \cs17\v\fs20\cf9\lang1024\langfe1024\loch\af1\hich\af1\dbch\af31501\noproof\insrsid3351928\charrsid10895074 _x000d__x000a_\hich\af1\dbch\af31501\loch\f1 &lt;Article2&gt;&lt;OptDel&gt;}{\rtlch\fcs1 \af0 \ltrch\fcs0 \insrsid3351928\charrsid10895074 #}{\rtlch\fcs1 \af1 \ltrch\fcs0 \cs18\v\f1\fs20\cf15\insrsid3351928\charrsid10895074 MNU[OPTACTPARTYES][NOTAPP]@CHOICE@AMACTMNU}{\rtlch\fcs1 _x000d__x000a_\af0 \ltrch\fcs0 \insrsid3351928\charrsid10895074 #}{\rtlch\fcs1 \af0 \ltrch\fcs0 \cs17\v\fs20\cf9\lang1024\langfe1024\loch\af1\hich\af1\dbch\af31501\noproof\insrsid3351928\charrsid10895074 \hich\af1\dbch\af31501\loch\f1 &lt;/OptDel&gt;&lt;/Article2&gt;}{\rtlch\fcs1 _x000d__x000a_\af0 \ltrch\fcs0 \insrsid3351928\charrsid10895074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3351928\charrsid10895074 \cell }\pard\plain \ltrpar\ql \li0\ri0\widctlpar\intbl\wrapdefault\aspalpha\aspnum\faauto\adjustright\rin0\lin0 \rtlch\fcs1 _x000d__x000a_\af0\afs20\alang1025 \ltrch\fcs0 \fs24\lang2057\langfe2057\cgrid\langnp2057\langfenp2057 {\rtlch\fcs1 \af0 \ltrch\fcs0 \insrsid3351928\charrsid10895074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3351928\charrsid10895074 #}{\rtlch\fcs1 \af1 \ltrch\fcs0 \cs18\v\f1\fs20\cf15\insrsid3351928\charrsid10895074 MNU[OPTLEFTAMACT][LEFTPROP]@CHOICE@AMACTMNU}{\rtlch\fcs1 \af0 \ltrch\fcs0 \insrsid3351928\charrsid10895074 #\cell Amendment\cell _x000d__x000a_}\pard\plain \ltrpar\ql \li0\ri0\widctlpar\intbl\wrapdefault\aspalpha\aspnum\faauto\adjustright\rin0\lin0 \rtlch\fcs1 \af0\afs20\alang1025 \ltrch\fcs0 \fs24\lang2057\langfe2057\cgrid\langnp2057\langfenp2057 {\rtlch\fcs1 \af0 \ltrch\fcs0 _x000d__x000a_\insrsid3351928\charrsid10895074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3351928\charrsid10895074 ##\cell ##}{\rtlch\fcs1 \af0\afs24 \ltrch\fcs0 \insrsid3351928\charrsid10895074 \cell }\pard\plain \ltrpar\ql \li0\ri0\widctlpar\intbl\wrapdefault\aspalpha\aspnum\faauto\adjustright\rin0\lin0 \rtlch\fcs1 _x000d__x000a_\af0\afs20\alang1025 \ltrch\fcs0 \fs24\lang2057\langfe2057\cgrid\langnp2057\langfenp2057 {\rtlch\fcs1 \af0 \ltrch\fcs0 \insrsid3351928\charrsid10895074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3351928 \rtlch\fcs1 \af0\afs20\alang1025 \ltrch\fcs0 \fs24\lang2057\langfe2057\cgrid\langnp2057\langfenp2057 {\rtlch\fcs1 \af0 \ltrch\fcs0 _x000d__x000a_\insrsid3351928\charrsid10895074 Or. }{\rtlch\fcs1 \af0 \ltrch\fcs0 \cs17\v\fs20\cf9\lang1024\langfe1024\loch\af1\hich\af1\dbch\af31501\noproof\insrsid3351928\charrsid10895074 \hich\af1\dbch\af31501\loch\f1 &lt;Original&gt;}{\rtlch\fcs1 \af0 \ltrch\fcs0 _x000d__x000a_\insrsid3351928\charrsid10895074 #}{\rtlch\fcs1 \af1 \ltrch\fcs0 \cs18\v\f1\fs20\cf15\insrsid3351928\charrsid10895074 MNU[ORLANGONE][ORLANGMORE]@CHOICE@ORLANGMNU}{\rtlch\fcs1 \af0 \ltrch\fcs0 \insrsid3351928\charrsid10895074 #}{\rtlch\fcs1 \af0 _x000d__x000a_\ltrch\fcs0 \cs17\v\fs20\cf9\lang1024\langfe1024\loch\af1\hich\af1\dbch\af31501\noproof\insrsid3351928\charrsid10895074 \hich\af1\dbch\af31501\loch\f1 &lt;/Original&gt;}{\rtlch\fcs1 \af0 \ltrch\fcs0 \insrsid3351928\charrsid10895074 _x000d__x000a_\par }\pard\plain \ltrpar\s22\qc \li0\ri0\sb240\sa240\nowidctlpar\wrapdefault\aspalpha\aspnum\faauto\adjustright\rin0\lin0\itap0\pararsid3351928 \rtlch\fcs1 \af0\afs20\alang1025 \ltrch\fcs0 \i\fs24\lang2057\langfe2057\cgrid\langnp2057\langfenp2057 {_x000d__x000a_\rtlch\fcs1 \af0 \ltrch\fcs0 \cs17\i0\v\fs20\cf9\lang1024\langfe1024\loch\af1\hich\af1\dbch\af31501\noproof\insrsid3351928\charrsid10895074 \hich\af1\dbch\af31501\loch\f1 &lt;OptDel&gt;}{\rtlch\fcs1 \af0 \ltrch\fcs0 \insrsid3351928\charrsid10895074 #}{_x000d__x000a_\rtlch\fcs1 \af1 \ltrch\fcs0 \cs18\v\f1\fs20\cf15\insrsid3351928\charrsid10895074 MNU[CROSSREFNO][CROSSREFYES]@CHOICE@}{\rtlch\fcs1 \af0 \ltrch\fcs0 \insrsid3351928\charrsid10895074 #}{\rtlch\fcs1 \af0 \ltrch\fcs0 _x000d__x000a_\cs17\i0\v\fs20\cf9\lang1024\langfe1024\loch\af1\hich\af1\dbch\af31501\noproof\insrsid3351928\charrsid10895074 \hich\af1\dbch\af31501\loch\f1 &lt;/OptDel&gt;}{\rtlch\fcs1 \af0 \ltrch\fcs0 \insrsid3351928\charrsid10895074 _x000d__x000a_\par }\pard\plain \ltrpar\s23\qc \li0\ri0\sb240\sa240\keepn\nowidctlpar\wrapdefault\aspalpha\aspnum\faauto\adjustright\rin0\lin0\itap0\pararsid3351928 \rtlch\fcs1 \af0\afs20\alang1025 \ltrch\fcs0 \i\fs24\lang2057\langfe2057\cgrid\langnp2057\langfenp2057 {_x000d__x000a_\rtlch\fcs1 \af0 \ltrch\fcs0 \cs17\i0\v\fs20\cf9\lang1024\langfe1024\loch\af1\hich\af1\dbch\af31501\noproof\insrsid3351928\charrsid10895074 \hich\af1\dbch\af31501\loch\f1 &lt;TitreJust&gt;}{\rtlch\fcs1 \af0 \ltrch\fcs0 \insrsid3351928\charrsid10895074 _x000d__x000a_Justification}{\rtlch\fcs1 \af0 \ltrch\fcs0 \cs17\i0\v\fs20\cf9\lang1024\langfe1024\loch\af1\hich\af1\dbch\af31501\noproof\insrsid3351928\charrsid10895074 \hich\af1\dbch\af31501\loch\f1 &lt;/TitreJust&gt;}{\rtlch\fcs1 \af0 \ltrch\fcs0 _x000d__x000a_\insrsid3351928\charrsid10895074 _x000d__x000a_\par }\pard\plain \ltrpar\s21\ql \li0\ri0\sa240\nowidctlpar\wrapdefault\aspalpha\aspnum\faauto\adjustright\rin0\lin0\itap0\pararsid3351928 \rtlch\fcs1 \af0\afs20\alang1025 \ltrch\fcs0 \i\fs24\lang2057\langfe2057\cgrid\langnp2057\langfenp2057 {\rtlch\fcs1 \af0 _x000d__x000a_\ltrch\fcs0 \cs17\i0\v\fs20\cf9\lang1024\langfe1024\loch\af1\hich\af1\dbch\af31501\noproof\insrsid3351928\charrsid10895074 \hich\af1\dbch\af31501\loch\f1 &lt;OptDelPrev&gt;}{\rtlch\fcs1 \af0 \ltrch\fcs0 \insrsid3351928\charrsid10895074 #}{\rtlch\fcs1 \af1 _x000d__x000a_\ltrch\fcs0 \cs18\v\f1\fs20\cf15\insrsid3351928\charrsid10895074 MNU[TEXTJUSTYES][TEXTJUSTNO]@CHOICE@}{\rtlch\fcs1 \af0 \ltrch\fcs0 \insrsid3351928\charrsid10895074 #}{\rtlch\fcs1 \af0 \ltrch\fcs0 _x000d__x000a_\cs17\i0\v\fs20\cf9\lang1024\langfe1024\loch\af1\hich\af1\dbch\af31501\noproof\insrsid3351928\charrsid10895074 \hich\af1\dbch\af31501\loch\f1 &lt;/OptDelPrev&gt;}{\rtlch\fcs1 \af0 \ltrch\fcs0 \insrsid3351928\charrsid10895074 _x000d__x000a_\par }\pard\plain \ltrpar\ql \li0\ri0\widctlpar\wrapdefault\aspalpha\aspnum\faauto\adjustright\rin0\lin0\itap0\pararsid3351928 \rtlch\fcs1 \af0\afs20\alang1025 \ltrch\fcs0 \fs24\lang2057\langfe2057\cgrid\langnp2057\langfenp2057 {\rtlch\fcs1 \af0 \ltrch\fcs0 _x000d__x000a_\cs17\v\fs20\cf9\lang1024\langfe1024\loch\af1\hich\af1\dbch\af31501\noproof\insrsid3351928\charrsid10895074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72_x000d__x000a_f0d45a77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85"/>
    <w:docVar w:name="TXTAUTHOR" w:val="Patryk Jaki"/>
    <w:docVar w:name="TXTLANGUE" w:val="EN"/>
    <w:docVar w:name="TXTLANGUEMIN" w:val="en"/>
    <w:docVar w:name="TXTNRC" w:val="0474/2021"/>
    <w:docVar w:name="TXTNRCOD" w:val="2021/0427"/>
    <w:docVar w:name="TXTNRCOM" w:val="2021/0890"/>
    <w:docVar w:name="TXTNRFIRSTAM" w:val="1"/>
    <w:docVar w:name="TXTNRLASTAM" w:val="33"/>
    <w:docVar w:name="TXTNRPE" w:val="752.890"/>
    <w:docVar w:name="TXTPEorAP" w:val="PE"/>
    <w:docVar w:name="TXTROUTE" w:val="PR\1285389EN.docx"/>
    <w:docVar w:name="TXTTITLE" w:val=" addressing situations of instrumentalisation in the field of migration and asylum"/>
    <w:docVar w:name="TXTVERSION" w:val="01-00"/>
  </w:docVars>
  <w:rsids>
    <w:rsidRoot w:val="00462F6F"/>
    <w:rsid w:val="00011AAB"/>
    <w:rsid w:val="00012351"/>
    <w:rsid w:val="000137B0"/>
    <w:rsid w:val="000139E5"/>
    <w:rsid w:val="000147E7"/>
    <w:rsid w:val="00084DD2"/>
    <w:rsid w:val="00084E89"/>
    <w:rsid w:val="000B7489"/>
    <w:rsid w:val="000F1096"/>
    <w:rsid w:val="00103A80"/>
    <w:rsid w:val="00120948"/>
    <w:rsid w:val="00123DD5"/>
    <w:rsid w:val="001261D4"/>
    <w:rsid w:val="001277AE"/>
    <w:rsid w:val="00142215"/>
    <w:rsid w:val="001767E2"/>
    <w:rsid w:val="00187008"/>
    <w:rsid w:val="001B3829"/>
    <w:rsid w:val="001C39AB"/>
    <w:rsid w:val="001C5592"/>
    <w:rsid w:val="001C5B44"/>
    <w:rsid w:val="001C6FFC"/>
    <w:rsid w:val="001F51BE"/>
    <w:rsid w:val="001F7C7C"/>
    <w:rsid w:val="00200600"/>
    <w:rsid w:val="00212B84"/>
    <w:rsid w:val="002346B0"/>
    <w:rsid w:val="002667C3"/>
    <w:rsid w:val="002669B6"/>
    <w:rsid w:val="00290BED"/>
    <w:rsid w:val="002D13EE"/>
    <w:rsid w:val="002D55B5"/>
    <w:rsid w:val="002E33EE"/>
    <w:rsid w:val="002F40BB"/>
    <w:rsid w:val="002F4B02"/>
    <w:rsid w:val="00323EF8"/>
    <w:rsid w:val="003316DD"/>
    <w:rsid w:val="00341BCE"/>
    <w:rsid w:val="00366A46"/>
    <w:rsid w:val="00370AC3"/>
    <w:rsid w:val="003824EE"/>
    <w:rsid w:val="003B4689"/>
    <w:rsid w:val="003C2068"/>
    <w:rsid w:val="003C37CF"/>
    <w:rsid w:val="00400D0C"/>
    <w:rsid w:val="004100B1"/>
    <w:rsid w:val="00426E47"/>
    <w:rsid w:val="00452C7A"/>
    <w:rsid w:val="00455743"/>
    <w:rsid w:val="00461601"/>
    <w:rsid w:val="00462F6F"/>
    <w:rsid w:val="004C0915"/>
    <w:rsid w:val="004D424E"/>
    <w:rsid w:val="004E42C8"/>
    <w:rsid w:val="004E733D"/>
    <w:rsid w:val="004F3FA5"/>
    <w:rsid w:val="0051271F"/>
    <w:rsid w:val="00521F46"/>
    <w:rsid w:val="00551111"/>
    <w:rsid w:val="00551123"/>
    <w:rsid w:val="00570A6A"/>
    <w:rsid w:val="00586E50"/>
    <w:rsid w:val="0059583D"/>
    <w:rsid w:val="005A42D9"/>
    <w:rsid w:val="005C2BEF"/>
    <w:rsid w:val="005D1A99"/>
    <w:rsid w:val="005D7609"/>
    <w:rsid w:val="005D7EE8"/>
    <w:rsid w:val="005E1BC0"/>
    <w:rsid w:val="005E6280"/>
    <w:rsid w:val="00642325"/>
    <w:rsid w:val="00653AAE"/>
    <w:rsid w:val="006825E7"/>
    <w:rsid w:val="006A2F5D"/>
    <w:rsid w:val="006F7907"/>
    <w:rsid w:val="007224B7"/>
    <w:rsid w:val="00743189"/>
    <w:rsid w:val="00743D33"/>
    <w:rsid w:val="007932B3"/>
    <w:rsid w:val="00793EA9"/>
    <w:rsid w:val="007D6F68"/>
    <w:rsid w:val="00823E6B"/>
    <w:rsid w:val="00826780"/>
    <w:rsid w:val="00837CCD"/>
    <w:rsid w:val="008633CC"/>
    <w:rsid w:val="00865190"/>
    <w:rsid w:val="00870768"/>
    <w:rsid w:val="008719B9"/>
    <w:rsid w:val="00894ECE"/>
    <w:rsid w:val="00896BB4"/>
    <w:rsid w:val="008A7FB8"/>
    <w:rsid w:val="009022B8"/>
    <w:rsid w:val="00914537"/>
    <w:rsid w:val="00917CC4"/>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B017E"/>
    <w:rsid w:val="00BC6489"/>
    <w:rsid w:val="00BD480C"/>
    <w:rsid w:val="00C20954"/>
    <w:rsid w:val="00C23324"/>
    <w:rsid w:val="00C42A41"/>
    <w:rsid w:val="00C47E74"/>
    <w:rsid w:val="00C57A72"/>
    <w:rsid w:val="00C73602"/>
    <w:rsid w:val="00CF60C8"/>
    <w:rsid w:val="00D30DE2"/>
    <w:rsid w:val="00D32924"/>
    <w:rsid w:val="00D503A3"/>
    <w:rsid w:val="00D931A1"/>
    <w:rsid w:val="00DA6ED0"/>
    <w:rsid w:val="00DC5011"/>
    <w:rsid w:val="00E171B6"/>
    <w:rsid w:val="00E72695"/>
    <w:rsid w:val="00EA4CE2"/>
    <w:rsid w:val="00EB1753"/>
    <w:rsid w:val="00EB6CFF"/>
    <w:rsid w:val="00EE3996"/>
    <w:rsid w:val="00F07062"/>
    <w:rsid w:val="00F23CFC"/>
    <w:rsid w:val="00F433E2"/>
    <w:rsid w:val="00F61B86"/>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238EB5D-06C1-4374-97A4-7345B59D2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rsid w:val="00103A80"/>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5E6280"/>
    <w:pPr>
      <w:tabs>
        <w:tab w:val="right" w:pos="454"/>
        <w:tab w:val="left" w:pos="737"/>
      </w:tabs>
      <w:ind w:left="737" w:hanging="737"/>
    </w:pPr>
    <w:rPr>
      <w:snapToGrid w:val="0"/>
      <w:sz w:val="18"/>
      <w:lang w:eastAsia="en-US"/>
    </w:rPr>
  </w:style>
  <w:style w:type="paragraph" w:customStyle="1" w:styleId="Lgendetitre">
    <w:name w:val="Légende titre"/>
    <w:basedOn w:val="Normal"/>
    <w:rsid w:val="005E6280"/>
    <w:pPr>
      <w:spacing w:before="240" w:after="240"/>
    </w:pPr>
    <w:rPr>
      <w:b/>
      <w:i/>
      <w:snapToGrid w:val="0"/>
      <w:lang w:eastAsia="en-US"/>
    </w:rPr>
  </w:style>
  <w:style w:type="paragraph" w:customStyle="1" w:styleId="Lgendestandard">
    <w:name w:val="Légende standard"/>
    <w:basedOn w:val="Normal"/>
    <w:rsid w:val="005E6280"/>
    <w:rPr>
      <w:sz w:val="18"/>
    </w:rPr>
  </w:style>
  <w:style w:type="paragraph" w:customStyle="1" w:styleId="EntPE">
    <w:name w:val="EntPE"/>
    <w:basedOn w:val="Normal12"/>
    <w:rsid w:val="00103A80"/>
    <w:pPr>
      <w:jc w:val="center"/>
    </w:pPr>
    <w:rPr>
      <w:noProof w:val="0"/>
      <w:sz w:val="56"/>
    </w:rPr>
  </w:style>
  <w:style w:type="paragraph" w:customStyle="1" w:styleId="Normal12">
    <w:name w:val="Normal12"/>
    <w:basedOn w:val="Normal"/>
    <w:link w:val="Normal12Char"/>
    <w:rsid w:val="00103A80"/>
    <w:pPr>
      <w:spacing w:after="240"/>
    </w:pPr>
    <w:rPr>
      <w:noProof/>
    </w:rPr>
  </w:style>
  <w:style w:type="character" w:customStyle="1" w:styleId="Normal12Char">
    <w:name w:val="Normal12 Char"/>
    <w:basedOn w:val="DefaultParagraphFont"/>
    <w:link w:val="Normal12"/>
    <w:locked/>
    <w:rsid w:val="00103A80"/>
    <w:rPr>
      <w:noProof/>
      <w:sz w:val="24"/>
    </w:rPr>
  </w:style>
  <w:style w:type="paragraph" w:customStyle="1" w:styleId="Normal6">
    <w:name w:val="Normal6"/>
    <w:basedOn w:val="Normal"/>
    <w:link w:val="Normal6Char"/>
    <w:rsid w:val="00103A80"/>
    <w:pPr>
      <w:spacing w:after="120"/>
    </w:pPr>
  </w:style>
  <w:style w:type="character" w:customStyle="1" w:styleId="Normal6Char">
    <w:name w:val="Normal6 Char"/>
    <w:basedOn w:val="DefaultParagraphFont"/>
    <w:link w:val="Normal6"/>
    <w:rsid w:val="00103A80"/>
    <w:rPr>
      <w:sz w:val="24"/>
      <w:lang w:val="da-DK"/>
    </w:rPr>
  </w:style>
  <w:style w:type="paragraph" w:customStyle="1" w:styleId="Normal12Italic">
    <w:name w:val="Normal12Italic"/>
    <w:basedOn w:val="Normal12"/>
    <w:rsid w:val="00103A80"/>
    <w:rPr>
      <w:i/>
    </w:rPr>
  </w:style>
  <w:style w:type="character" w:customStyle="1" w:styleId="FooterChar">
    <w:name w:val="Footer Char"/>
    <w:basedOn w:val="DefaultParagraphFont"/>
    <w:link w:val="Footer"/>
    <w:rsid w:val="00103A80"/>
    <w:rPr>
      <w:sz w:val="22"/>
    </w:rPr>
  </w:style>
  <w:style w:type="paragraph" w:styleId="Footer">
    <w:name w:val="footer"/>
    <w:link w:val="FooterChar"/>
    <w:rsid w:val="00103A80"/>
    <w:pPr>
      <w:tabs>
        <w:tab w:val="center" w:pos="4536"/>
        <w:tab w:val="right" w:pos="9072"/>
      </w:tabs>
      <w:spacing w:before="240" w:after="240" w:line="221" w:lineRule="auto"/>
    </w:pPr>
    <w:rPr>
      <w:sz w:val="22"/>
    </w:rPr>
  </w:style>
  <w:style w:type="paragraph" w:customStyle="1" w:styleId="Footer2">
    <w:name w:val="Footer2"/>
    <w:basedOn w:val="Normal12"/>
    <w:rsid w:val="00103A80"/>
    <w:pPr>
      <w:tabs>
        <w:tab w:val="center" w:pos="4535"/>
        <w:tab w:val="right" w:pos="9923"/>
      </w:tabs>
      <w:spacing w:line="480" w:lineRule="auto"/>
      <w:ind w:left="-851"/>
    </w:pPr>
    <w:rPr>
      <w:rFonts w:ascii="Arial" w:cs="Arial"/>
      <w:b/>
      <w:sz w:val="48"/>
    </w:rPr>
  </w:style>
  <w:style w:type="character" w:styleId="CommentReference">
    <w:name w:val="annotation reference"/>
    <w:basedOn w:val="DefaultParagraphFont"/>
    <w:rsid w:val="00103A80"/>
    <w:rPr>
      <w:sz w:val="16"/>
      <w:szCs w:val="16"/>
    </w:rPr>
  </w:style>
  <w:style w:type="paragraph" w:styleId="CommentText">
    <w:name w:val="annotation text"/>
    <w:basedOn w:val="Normal"/>
    <w:link w:val="CommentTextChar"/>
    <w:rsid w:val="00103A80"/>
    <w:rPr>
      <w:sz w:val="20"/>
    </w:rPr>
  </w:style>
  <w:style w:type="character" w:customStyle="1" w:styleId="CommentTextChar">
    <w:name w:val="Comment Text Char"/>
    <w:basedOn w:val="DefaultParagraphFont"/>
    <w:link w:val="CommentText"/>
    <w:rsid w:val="00103A80"/>
  </w:style>
  <w:style w:type="paragraph" w:styleId="CommentSubject">
    <w:name w:val="annotation subject"/>
    <w:basedOn w:val="CommentText"/>
    <w:next w:val="CommentText"/>
    <w:link w:val="CommentSubjectChar"/>
    <w:semiHidden/>
    <w:unhideWhenUsed/>
    <w:rsid w:val="00103A80"/>
    <w:rPr>
      <w:b/>
      <w:bCs/>
    </w:rPr>
  </w:style>
  <w:style w:type="character" w:customStyle="1" w:styleId="CommentSubjectChar">
    <w:name w:val="Comment Subject Char"/>
    <w:basedOn w:val="CommentTextChar"/>
    <w:link w:val="CommentSubject"/>
    <w:semiHidden/>
    <w:rsid w:val="00103A80"/>
    <w:rPr>
      <w:b/>
      <w:bCs/>
    </w:rPr>
  </w:style>
  <w:style w:type="paragraph" w:styleId="BalloonText">
    <w:name w:val="Balloon Text"/>
    <w:basedOn w:val="Normal"/>
    <w:link w:val="BalloonTextChar"/>
    <w:semiHidden/>
    <w:unhideWhenUsed/>
    <w:rsid w:val="00103A80"/>
    <w:rPr>
      <w:rFonts w:ascii="Segoe UI" w:hAnsi="Segoe UI" w:cs="Segoe UI"/>
      <w:sz w:val="18"/>
      <w:szCs w:val="18"/>
    </w:rPr>
  </w:style>
  <w:style w:type="character" w:customStyle="1" w:styleId="BalloonTextChar">
    <w:name w:val="Balloon Text Char"/>
    <w:basedOn w:val="DefaultParagraphFont"/>
    <w:link w:val="BalloonText"/>
    <w:semiHidden/>
    <w:rsid w:val="00103A80"/>
    <w:rPr>
      <w:rFonts w:ascii="Segoe UI" w:hAnsi="Segoe UI" w:cs="Segoe UI"/>
      <w:sz w:val="18"/>
      <w:szCs w:val="18"/>
    </w:rPr>
  </w:style>
  <w:style w:type="paragraph" w:customStyle="1" w:styleId="AMNumberTabs0">
    <w:name w:val="AMNumberTabs"/>
    <w:basedOn w:val="Normal"/>
    <w:rsid w:val="00103A80"/>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103A80"/>
    <w:pPr>
      <w:spacing w:after="240"/>
      <w:jc w:val="center"/>
    </w:pPr>
    <w:rPr>
      <w:i/>
    </w:rPr>
  </w:style>
  <w:style w:type="paragraph" w:customStyle="1" w:styleId="Olang">
    <w:name w:val="Olang"/>
    <w:basedOn w:val="Normal"/>
    <w:rsid w:val="00103A80"/>
    <w:pPr>
      <w:spacing w:before="240" w:after="240"/>
      <w:jc w:val="right"/>
    </w:pPr>
    <w:rPr>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BEBBB-2483-4AF3-B419-1ED03692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6942</Words>
  <Characters>43391</Characters>
  <Application>Microsoft Office Word</Application>
  <DocSecurity>0</DocSecurity>
  <Lines>1607</Lines>
  <Paragraphs>384</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49949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PHILLIPS Deborah</dc:creator>
  <cp:lastModifiedBy>TONNESEN Mie Fjeldsoe</cp:lastModifiedBy>
  <cp:revision>2</cp:revision>
  <cp:lastPrinted>2004-11-04T09:41:00Z</cp:lastPrinted>
  <dcterms:created xsi:type="dcterms:W3CDTF">2023-09-19T11:06:00Z</dcterms:created>
  <dcterms:modified xsi:type="dcterms:W3CDTF">2023-09-19T11:06:00Z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1285389</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\\eiciBRUpr1\pdocep$\DocEP\TRANSFIL\EN\PR_COD_1amCom.EN(29/06/2022 10:21:37)</vt:lpwstr>
  </property>
  <property fmtid="{D5CDD505-2E9C-101B-9397-08002B2CF9AE}" pid="7" name="&lt;Type&gt;">
    <vt:lpwstr>PR</vt:lpwstr>
  </property>
  <property fmtid="{D5CDD505-2E9C-101B-9397-08002B2CF9AE}" pid="8" name="Created with">
    <vt:lpwstr>9.14.1 Build [20230315]</vt:lpwstr>
  </property>
  <property fmtid="{D5CDD505-2E9C-101B-9397-08002B2CF9AE}" pid="9" name="FooterPath">
    <vt:lpwstr>PR\1285389DA.docx</vt:lpwstr>
  </property>
  <property fmtid="{D5CDD505-2E9C-101B-9397-08002B2CF9AE}" pid="10" name="LastEdited with">
    <vt:lpwstr>9.14.1 Build [20230315]</vt:lpwstr>
  </property>
  <property fmtid="{D5CDD505-2E9C-101B-9397-08002B2CF9AE}" pid="11" name="PE number">
    <vt:lpwstr>752.890</vt:lpwstr>
  </property>
  <property fmtid="{D5CDD505-2E9C-101B-9397-08002B2CF9AE}" pid="12" name="SDLStudio">
    <vt:lpwstr/>
  </property>
  <property fmtid="{D5CDD505-2E9C-101B-9397-08002B2CF9AE}" pid="13" name="SendToEpades">
    <vt:lpwstr>OK(AMNUM) - 2023/09/11 07:11</vt:lpwstr>
  </property>
  <property fmtid="{D5CDD505-2E9C-101B-9397-08002B2CF9AE}" pid="14" name="Bookout">
    <vt:lpwstr>OK - 2023/09/19 13:06</vt:lpwstr>
  </property>
</Properties>
</file>