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C042E" w:rsidRPr="001012B7" w:rsidTr="00103A80">
        <w:trPr>
          <w:trHeight w:hRule="exact" w:val="1418"/>
        </w:trPr>
        <w:tc>
          <w:tcPr>
            <w:tcW w:w="6804" w:type="dxa"/>
            <w:shd w:val="clear" w:color="auto" w:fill="auto"/>
            <w:vAlign w:val="center"/>
          </w:tcPr>
          <w:p w:rsidR="00B13D6F" w:rsidRPr="001012B7" w:rsidRDefault="00F817DF" w:rsidP="00F817DF">
            <w:pPr>
              <w:pStyle w:val="EPName"/>
              <w:widowControl/>
            </w:pPr>
            <w:r w:rsidRPr="001012B7">
              <w:t>Europaparlamentet</w:t>
            </w:r>
          </w:p>
          <w:p w:rsidR="00B13D6F" w:rsidRPr="001012B7" w:rsidRDefault="00F817DF" w:rsidP="00F817DF">
            <w:pPr>
              <w:pStyle w:val="EPTerm"/>
              <w:widowControl/>
            </w:pPr>
            <w:r w:rsidRPr="001012B7">
              <w:t>2019-2024</w:t>
            </w:r>
          </w:p>
        </w:tc>
        <w:tc>
          <w:tcPr>
            <w:tcW w:w="2268" w:type="dxa"/>
            <w:shd w:val="clear" w:color="auto" w:fill="auto"/>
          </w:tcPr>
          <w:p w:rsidR="00B13D6F" w:rsidRPr="001012B7" w:rsidRDefault="00F817DF" w:rsidP="00F817DF">
            <w:pPr>
              <w:pStyle w:val="EPLogo"/>
              <w:widowControl/>
            </w:pPr>
            <w:r w:rsidRPr="001012B7">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012B7" w:rsidRDefault="00461601" w:rsidP="00F817DF">
      <w:pPr>
        <w:pStyle w:val="LineTop"/>
        <w:widowControl/>
      </w:pPr>
    </w:p>
    <w:p w:rsidR="00461601" w:rsidRPr="001012B7" w:rsidRDefault="00F817DF" w:rsidP="00F817DF">
      <w:pPr>
        <w:pStyle w:val="EPBody"/>
        <w:widowControl/>
      </w:pPr>
      <w:r w:rsidRPr="001012B7">
        <w:rPr>
          <w:rStyle w:val="HideTWBExt"/>
        </w:rPr>
        <w:t>&lt;</w:t>
      </w:r>
      <w:r w:rsidRPr="001012B7">
        <w:rPr>
          <w:rStyle w:val="HideTWBExt"/>
          <w:i w:val="0"/>
        </w:rPr>
        <w:t>Commission</w:t>
      </w:r>
      <w:r w:rsidRPr="001012B7">
        <w:rPr>
          <w:rStyle w:val="HideTWBExt"/>
        </w:rPr>
        <w:t>&gt;</w:t>
      </w:r>
      <w:r w:rsidRPr="001012B7">
        <w:rPr>
          <w:rStyle w:val="HideTWBInt"/>
          <w:color w:val="auto"/>
        </w:rPr>
        <w:t>{LIBE}</w:t>
      </w:r>
      <w:r w:rsidRPr="001012B7">
        <w:t>Utskottet för medborgerliga fri- och rättigheter samt rättsliga och inrikes frågor</w:t>
      </w:r>
      <w:r w:rsidRPr="001012B7">
        <w:rPr>
          <w:rStyle w:val="HideTWBExt"/>
        </w:rPr>
        <w:t>&lt;/</w:t>
      </w:r>
      <w:r w:rsidRPr="001012B7">
        <w:rPr>
          <w:rStyle w:val="HideTWBExt"/>
          <w:i w:val="0"/>
        </w:rPr>
        <w:t>Commission</w:t>
      </w:r>
      <w:r w:rsidRPr="001012B7">
        <w:rPr>
          <w:rStyle w:val="HideTWBExt"/>
        </w:rPr>
        <w:t>&gt;</w:t>
      </w:r>
    </w:p>
    <w:p w:rsidR="00461601" w:rsidRPr="001012B7" w:rsidRDefault="00461601" w:rsidP="00F817DF">
      <w:pPr>
        <w:pStyle w:val="LineBottom"/>
        <w:widowControl/>
      </w:pPr>
    </w:p>
    <w:p w:rsidR="00793EA9" w:rsidRPr="001012B7" w:rsidRDefault="00F817DF" w:rsidP="00F817DF">
      <w:pPr>
        <w:pStyle w:val="CoverReference"/>
        <w:widowControl/>
      </w:pPr>
      <w:r w:rsidRPr="001012B7">
        <w:rPr>
          <w:rStyle w:val="HideTWBExt"/>
          <w:b w:val="0"/>
        </w:rPr>
        <w:t>&lt;RefProc&gt;</w:t>
      </w:r>
      <w:r w:rsidRPr="001012B7">
        <w:t>2021/0427</w:t>
      </w:r>
      <w:r w:rsidRPr="001012B7">
        <w:rPr>
          <w:rStyle w:val="HideTWBExt"/>
          <w:b w:val="0"/>
        </w:rPr>
        <w:t>&lt;/RefProc&gt;&lt;RefTypeProc&gt;</w:t>
      </w:r>
      <w:r w:rsidRPr="001012B7">
        <w:t>(COD)</w:t>
      </w:r>
      <w:r w:rsidRPr="001012B7">
        <w:rPr>
          <w:rStyle w:val="HideTWBExt"/>
          <w:b w:val="0"/>
        </w:rPr>
        <w:t>&lt;/RefTypeProc&gt;</w:t>
      </w:r>
    </w:p>
    <w:p w:rsidR="00793EA9" w:rsidRPr="001012B7" w:rsidRDefault="00F817DF" w:rsidP="00F817DF">
      <w:pPr>
        <w:pStyle w:val="CoverDate"/>
        <w:widowControl/>
      </w:pPr>
      <w:r w:rsidRPr="001012B7">
        <w:rPr>
          <w:rStyle w:val="HideTWBExt"/>
        </w:rPr>
        <w:t>&lt;Date&gt;</w:t>
      </w:r>
      <w:r w:rsidRPr="001012B7">
        <w:rPr>
          <w:rStyle w:val="HideTWBInt"/>
          <w:color w:val="auto"/>
        </w:rPr>
        <w:t>{07/09/2023}</w:t>
      </w:r>
      <w:r w:rsidRPr="001012B7">
        <w:t>11.9.2023</w:t>
      </w:r>
      <w:r w:rsidRPr="001012B7">
        <w:rPr>
          <w:rStyle w:val="HideTWBExt"/>
        </w:rPr>
        <w:t>&lt;/Date&gt;</w:t>
      </w:r>
    </w:p>
    <w:p w:rsidR="00793EA9" w:rsidRPr="001012B7" w:rsidRDefault="00F817DF" w:rsidP="00F817DF">
      <w:pPr>
        <w:pStyle w:val="CoverDocType"/>
        <w:widowControl/>
      </w:pPr>
      <w:r w:rsidRPr="001012B7">
        <w:rPr>
          <w:rStyle w:val="HideTWBExt"/>
          <w:b w:val="0"/>
        </w:rPr>
        <w:t>&lt;RefProcLect&gt;</w:t>
      </w:r>
      <w:r w:rsidRPr="001012B7">
        <w:t>***I</w:t>
      </w:r>
      <w:r w:rsidRPr="001012B7">
        <w:rPr>
          <w:rStyle w:val="HideTWBExt"/>
          <w:b w:val="0"/>
        </w:rPr>
        <w:t>&lt;/RefProcLect&gt;</w:t>
      </w:r>
    </w:p>
    <w:p w:rsidR="00793EA9" w:rsidRPr="001012B7" w:rsidRDefault="00F817DF" w:rsidP="00F817DF">
      <w:pPr>
        <w:pStyle w:val="CoverDocType24a"/>
        <w:widowControl/>
      </w:pPr>
      <w:r w:rsidRPr="001012B7">
        <w:rPr>
          <w:rStyle w:val="HideTWBExt"/>
          <w:b w:val="0"/>
        </w:rPr>
        <w:t>&lt;TitreType&gt;</w:t>
      </w:r>
      <w:r w:rsidRPr="001012B7">
        <w:t>FÖRSLAG TILL BETÄNKANDE</w:t>
      </w:r>
      <w:r w:rsidRPr="001012B7">
        <w:rPr>
          <w:rStyle w:val="HideTWBExt"/>
          <w:b w:val="0"/>
        </w:rPr>
        <w:t>&lt;/TitreType&gt;</w:t>
      </w:r>
    </w:p>
    <w:p w:rsidR="00793EA9" w:rsidRPr="001012B7" w:rsidRDefault="00F817DF" w:rsidP="00F817DF">
      <w:pPr>
        <w:pStyle w:val="CoverNormal"/>
        <w:widowControl/>
      </w:pPr>
      <w:r w:rsidRPr="001012B7">
        <w:rPr>
          <w:rStyle w:val="HideTWBExt"/>
        </w:rPr>
        <w:t>&lt;Titre&gt;</w:t>
      </w:r>
      <w:r w:rsidRPr="001012B7">
        <w:t>om Europaparlamentets och rådets förordning om hantering av instrumentaliseringssituationer på migrations- och asylområdet</w:t>
      </w:r>
      <w:r w:rsidRPr="001012B7">
        <w:rPr>
          <w:rStyle w:val="HideTWBExt"/>
        </w:rPr>
        <w:t>&lt;/Titre&gt;</w:t>
      </w:r>
    </w:p>
    <w:p w:rsidR="00793EA9" w:rsidRPr="001012B7" w:rsidRDefault="00F817DF" w:rsidP="00F817DF">
      <w:pPr>
        <w:pStyle w:val="CoverNormal24a"/>
        <w:widowControl/>
      </w:pPr>
      <w:r w:rsidRPr="001012B7">
        <w:rPr>
          <w:rStyle w:val="HideTWBExt"/>
        </w:rPr>
        <w:t>&lt;DocRef&gt;</w:t>
      </w:r>
      <w:r w:rsidRPr="001012B7">
        <w:t>(COM(2021)0890 – C9</w:t>
      </w:r>
      <w:r w:rsidRPr="001012B7">
        <w:noBreakHyphen/>
        <w:t>0474/2021 –</w:t>
      </w:r>
      <w:r w:rsidRPr="001012B7">
        <w:t xml:space="preserve"> 2021/0427(COD))</w:t>
      </w:r>
      <w:r w:rsidRPr="001012B7">
        <w:rPr>
          <w:rStyle w:val="HideTWBExt"/>
        </w:rPr>
        <w:t>&lt;/DocRef&gt;</w:t>
      </w:r>
    </w:p>
    <w:p w:rsidR="00793EA9" w:rsidRPr="001012B7" w:rsidRDefault="00F817DF" w:rsidP="00F817DF">
      <w:pPr>
        <w:pStyle w:val="CoverNormal24a"/>
        <w:widowControl/>
      </w:pPr>
      <w:r w:rsidRPr="001012B7">
        <w:rPr>
          <w:rStyle w:val="HideTWBExt"/>
        </w:rPr>
        <w:t>&lt;Commission&gt;</w:t>
      </w:r>
      <w:r w:rsidRPr="001012B7">
        <w:rPr>
          <w:rStyle w:val="HideTWBInt"/>
          <w:color w:val="auto"/>
        </w:rPr>
        <w:t>{LIBE}</w:t>
      </w:r>
      <w:r w:rsidRPr="001012B7">
        <w:t>Utskottet för medborgerliga fri- och rättigheter samt rättsliga och inrikes frågor</w:t>
      </w:r>
      <w:r w:rsidRPr="001012B7">
        <w:rPr>
          <w:rStyle w:val="HideTWBExt"/>
        </w:rPr>
        <w:t>&lt;/Commission&gt;</w:t>
      </w:r>
    </w:p>
    <w:p w:rsidR="00793EA9" w:rsidRPr="001012B7" w:rsidRDefault="00F817DF" w:rsidP="00F817DF">
      <w:pPr>
        <w:pStyle w:val="CoverNormal24a"/>
        <w:widowControl/>
      </w:pPr>
      <w:r w:rsidRPr="001012B7">
        <w:t xml:space="preserve">Föredragande: </w:t>
      </w:r>
      <w:r w:rsidRPr="001012B7">
        <w:rPr>
          <w:rStyle w:val="HideTWBExt"/>
        </w:rPr>
        <w:t>&lt;Depute&gt;</w:t>
      </w:r>
      <w:r w:rsidRPr="001012B7">
        <w:t>Patryk Jaki</w:t>
      </w:r>
      <w:r w:rsidRPr="001012B7">
        <w:rPr>
          <w:rStyle w:val="HideTWBExt"/>
        </w:rPr>
        <w:t>&lt;/Depute&gt;</w:t>
      </w:r>
    </w:p>
    <w:p w:rsidR="001C5B44" w:rsidRPr="001012B7" w:rsidRDefault="001C5B44" w:rsidP="00F817DF">
      <w:pPr>
        <w:pStyle w:val="CoverNormal"/>
        <w:widowControl/>
      </w:pPr>
    </w:p>
    <w:p w:rsidR="005E6280" w:rsidRPr="001012B7" w:rsidRDefault="00F817DF" w:rsidP="00F817DF">
      <w:pPr>
        <w:widowControl/>
      </w:pPr>
      <w:r w:rsidRPr="001012B7">
        <w:br w:type="page"/>
      </w:r>
      <w:r w:rsidRPr="001012B7">
        <w:lastRenderedPageBreak/>
        <w:fldChar w:fldCharType="begin"/>
      </w:r>
      <w:r w:rsidRPr="001012B7">
        <w:instrText xml:space="preserve"> TITLE  \* MERGEFORMAT </w:instrText>
      </w:r>
      <w:r w:rsidRPr="001012B7">
        <w:fldChar w:fldCharType="separate"/>
      </w:r>
      <w:r>
        <w:t>PR_COD_1amCom</w:t>
      </w:r>
      <w:r w:rsidRPr="001012B7">
        <w:fldChar w:fldCharType="end"/>
      </w:r>
    </w:p>
    <w:p w:rsidR="005E6280" w:rsidRPr="001012B7" w:rsidRDefault="005E6280" w:rsidP="00F817DF">
      <w:pPr>
        <w:widowControl/>
      </w:pPr>
    </w:p>
    <w:p w:rsidR="005E6280" w:rsidRPr="001012B7" w:rsidRDefault="005E6280" w:rsidP="00F817DF">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C042E" w:rsidRPr="001012B7">
        <w:tc>
          <w:tcPr>
            <w:tcW w:w="5811" w:type="dxa"/>
          </w:tcPr>
          <w:p w:rsidR="005E6280" w:rsidRPr="001012B7" w:rsidRDefault="00F817DF" w:rsidP="00F817DF">
            <w:pPr>
              <w:pStyle w:val="Lgendetitre"/>
              <w:widowControl/>
            </w:pPr>
            <w:r w:rsidRPr="001012B7">
              <w:t>Teckenförklaring</w:t>
            </w:r>
          </w:p>
        </w:tc>
      </w:tr>
      <w:tr w:rsidR="00CC042E" w:rsidRPr="001012B7" w:rsidTr="00103A80">
        <w:trPr>
          <w:cantSplit/>
          <w:trHeight w:val="1807"/>
        </w:trPr>
        <w:tc>
          <w:tcPr>
            <w:tcW w:w="5811" w:type="dxa"/>
            <w:tcBorders>
              <w:bottom w:val="single" w:sz="4" w:space="0" w:color="auto"/>
            </w:tcBorders>
          </w:tcPr>
          <w:p w:rsidR="005E6280" w:rsidRPr="001012B7" w:rsidRDefault="00F817DF" w:rsidP="00F817DF">
            <w:pPr>
              <w:pStyle w:val="Lgendesigne"/>
              <w:widowControl/>
            </w:pPr>
            <w:r w:rsidRPr="001012B7">
              <w:tab/>
              <w:t>*</w:t>
            </w:r>
            <w:r w:rsidRPr="001012B7">
              <w:tab/>
            </w:r>
            <w:r w:rsidRPr="001012B7">
              <w:t>Samrådsförfarande</w:t>
            </w:r>
          </w:p>
          <w:p w:rsidR="005E6280" w:rsidRPr="001012B7" w:rsidRDefault="00F817DF" w:rsidP="00F817DF">
            <w:pPr>
              <w:pStyle w:val="Lgendesigne"/>
              <w:widowControl/>
            </w:pPr>
            <w:r w:rsidRPr="001012B7">
              <w:tab/>
              <w:t>***</w:t>
            </w:r>
            <w:r w:rsidRPr="001012B7">
              <w:tab/>
              <w:t>Godkännandeförfarande</w:t>
            </w:r>
          </w:p>
          <w:p w:rsidR="005E6280" w:rsidRPr="001012B7" w:rsidRDefault="00F817DF" w:rsidP="00F817DF">
            <w:pPr>
              <w:pStyle w:val="Lgendesigne"/>
              <w:widowControl/>
            </w:pPr>
            <w:r w:rsidRPr="001012B7">
              <w:tab/>
              <w:t>***I</w:t>
            </w:r>
            <w:r w:rsidRPr="001012B7">
              <w:tab/>
              <w:t>Ordinarie lagstiftningsförfarande (första behandlingen)</w:t>
            </w:r>
          </w:p>
          <w:p w:rsidR="005E6280" w:rsidRPr="001012B7" w:rsidRDefault="00F817DF" w:rsidP="00F817DF">
            <w:pPr>
              <w:pStyle w:val="Lgendesigne"/>
              <w:widowControl/>
            </w:pPr>
            <w:r w:rsidRPr="001012B7">
              <w:tab/>
              <w:t>***II</w:t>
            </w:r>
            <w:r w:rsidRPr="001012B7">
              <w:tab/>
              <w:t>Ordinarie lagstiftningsförfarande (andra behandlingen)</w:t>
            </w:r>
          </w:p>
          <w:p w:rsidR="005E6280" w:rsidRPr="001012B7" w:rsidRDefault="00F817DF" w:rsidP="00F817DF">
            <w:pPr>
              <w:pStyle w:val="Lgendesigne"/>
              <w:widowControl/>
            </w:pPr>
            <w:r w:rsidRPr="001012B7">
              <w:tab/>
              <w:t>***III</w:t>
            </w:r>
            <w:r w:rsidRPr="001012B7">
              <w:tab/>
              <w:t>Ordinarie lagstiftningsförfarande (tredje behandlingen)</w:t>
            </w:r>
          </w:p>
          <w:p w:rsidR="005E6280" w:rsidRPr="001012B7" w:rsidRDefault="005E6280" w:rsidP="00F817DF">
            <w:pPr>
              <w:pStyle w:val="Lgendestandard"/>
              <w:widowControl/>
            </w:pPr>
          </w:p>
          <w:p w:rsidR="005E6280" w:rsidRPr="001012B7" w:rsidRDefault="00F817DF" w:rsidP="00F817DF">
            <w:pPr>
              <w:pStyle w:val="Lgendestandard"/>
              <w:widowControl/>
            </w:pPr>
            <w:r w:rsidRPr="001012B7">
              <w:t>(Det angivna förfarand</w:t>
            </w:r>
            <w:r w:rsidRPr="001012B7">
              <w:t>et baseras på den rättsliga grund som angetts i förslaget till akt.)</w:t>
            </w:r>
          </w:p>
          <w:p w:rsidR="005E6280" w:rsidRPr="001012B7" w:rsidRDefault="005E6280" w:rsidP="00F817DF">
            <w:pPr>
              <w:pStyle w:val="Lgendestandard"/>
              <w:widowControl/>
            </w:pPr>
          </w:p>
        </w:tc>
      </w:tr>
    </w:tbl>
    <w:p w:rsidR="005E6280" w:rsidRPr="001012B7" w:rsidRDefault="005E6280" w:rsidP="00F817DF">
      <w:pPr>
        <w:widowControl/>
      </w:pPr>
    </w:p>
    <w:p w:rsidR="005E6280" w:rsidRPr="001012B7" w:rsidRDefault="005E6280" w:rsidP="00F817DF">
      <w:pPr>
        <w:widowControl/>
      </w:pPr>
    </w:p>
    <w:p w:rsidR="005E6280" w:rsidRPr="001012B7" w:rsidRDefault="005E6280" w:rsidP="00F817DF">
      <w:pPr>
        <w:widowControl/>
      </w:pPr>
    </w:p>
    <w:p w:rsidR="005E6280" w:rsidRPr="001012B7" w:rsidRDefault="005E6280" w:rsidP="00F817DF">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C042E" w:rsidRPr="001012B7">
        <w:tc>
          <w:tcPr>
            <w:tcW w:w="5811" w:type="dxa"/>
          </w:tcPr>
          <w:p w:rsidR="005E6280" w:rsidRPr="001012B7" w:rsidRDefault="00F817DF" w:rsidP="00F817DF">
            <w:pPr>
              <w:pStyle w:val="Lgendetitre"/>
              <w:widowControl/>
            </w:pPr>
            <w:r w:rsidRPr="001012B7">
              <w:t>Ändringsförslag till ett förslag till akt</w:t>
            </w:r>
          </w:p>
        </w:tc>
      </w:tr>
      <w:tr w:rsidR="00CC042E" w:rsidRPr="001012B7" w:rsidTr="00103A80">
        <w:trPr>
          <w:trHeight w:val="4496"/>
        </w:trPr>
        <w:tc>
          <w:tcPr>
            <w:tcW w:w="5811" w:type="dxa"/>
          </w:tcPr>
          <w:p w:rsidR="005E6280" w:rsidRPr="001012B7" w:rsidRDefault="00F817DF" w:rsidP="00F817DF">
            <w:pPr>
              <w:pStyle w:val="Lgendestandard"/>
              <w:widowControl/>
              <w:rPr>
                <w:szCs w:val="24"/>
              </w:rPr>
            </w:pPr>
            <w:r w:rsidRPr="001012B7">
              <w:rPr>
                <w:b/>
              </w:rPr>
              <w:t>När parlamentets ändringsförslag utformas i två spalter gäller följande:</w:t>
            </w:r>
          </w:p>
          <w:p w:rsidR="005E6280" w:rsidRPr="001012B7" w:rsidRDefault="005E6280" w:rsidP="00F817DF">
            <w:pPr>
              <w:pStyle w:val="Lgendestandard"/>
              <w:widowControl/>
              <w:rPr>
                <w:szCs w:val="24"/>
              </w:rPr>
            </w:pPr>
          </w:p>
          <w:p w:rsidR="005E6280" w:rsidRPr="001012B7" w:rsidRDefault="00F817DF" w:rsidP="00F817DF">
            <w:pPr>
              <w:pStyle w:val="Lgendestandard"/>
              <w:widowControl/>
              <w:rPr>
                <w:szCs w:val="24"/>
              </w:rPr>
            </w:pPr>
            <w:r w:rsidRPr="001012B7">
              <w:t xml:space="preserve">Text som utgår markeras med </w:t>
            </w:r>
            <w:r w:rsidRPr="001012B7">
              <w:rPr>
                <w:b/>
                <w:bCs/>
                <w:i/>
                <w:iCs/>
              </w:rPr>
              <w:t>fetkursiv stil</w:t>
            </w:r>
            <w:r w:rsidRPr="001012B7">
              <w:t xml:space="preserve"> i vänsterspalten. </w:t>
            </w:r>
            <w:r w:rsidRPr="001012B7">
              <w:t xml:space="preserve">Text som ersätts markeras med </w:t>
            </w:r>
            <w:r w:rsidRPr="001012B7">
              <w:rPr>
                <w:b/>
                <w:bCs/>
                <w:i/>
                <w:iCs/>
              </w:rPr>
              <w:t>fetkursiv stil</w:t>
            </w:r>
            <w:r w:rsidRPr="001012B7">
              <w:t xml:space="preserve"> i båda spalterna. Ny text markeras med </w:t>
            </w:r>
            <w:r w:rsidRPr="001012B7">
              <w:rPr>
                <w:b/>
                <w:bCs/>
                <w:i/>
                <w:iCs/>
              </w:rPr>
              <w:t>fetkursiv stil</w:t>
            </w:r>
            <w:r w:rsidRPr="001012B7">
              <w:t xml:space="preserve"> i högerspalten.</w:t>
            </w:r>
          </w:p>
          <w:p w:rsidR="005E6280" w:rsidRPr="001012B7" w:rsidRDefault="005E6280" w:rsidP="00F817DF">
            <w:pPr>
              <w:pStyle w:val="Lgendestandard"/>
              <w:widowControl/>
              <w:rPr>
                <w:szCs w:val="24"/>
              </w:rPr>
            </w:pPr>
          </w:p>
          <w:p w:rsidR="005E6280" w:rsidRPr="001012B7" w:rsidRDefault="00F817DF" w:rsidP="00F817DF">
            <w:pPr>
              <w:pStyle w:val="Lgendestandard"/>
              <w:widowControl/>
              <w:rPr>
                <w:szCs w:val="24"/>
              </w:rPr>
            </w:pPr>
            <w:r w:rsidRPr="001012B7">
              <w:t xml:space="preserve">De två första raderna i hänvisningen ovanför varje ändringsförslag anger vilket textavsnitt som avses i det förslag till akt som behandlas. </w:t>
            </w:r>
            <w:r w:rsidRPr="001012B7">
              <w:t>Om ett ändringsförslag avser en befintlig akt som förslaget till akt är avsett att ändra innehåller hänvisningen även en tredje och en fjärde rad. Den tredje raden anger den befintliga akten och den fjärde vilken bestämmelse i denna akt som ändringsförslag</w:t>
            </w:r>
            <w:r w:rsidRPr="001012B7">
              <w:t>et avser.</w:t>
            </w:r>
          </w:p>
          <w:p w:rsidR="005E6280" w:rsidRPr="001012B7" w:rsidRDefault="005E6280" w:rsidP="00F817DF">
            <w:pPr>
              <w:pStyle w:val="Lgendestandard"/>
              <w:widowControl/>
              <w:rPr>
                <w:szCs w:val="24"/>
              </w:rPr>
            </w:pPr>
          </w:p>
          <w:p w:rsidR="005E6280" w:rsidRPr="001012B7" w:rsidRDefault="00F817DF" w:rsidP="00F817DF">
            <w:pPr>
              <w:pStyle w:val="Lgendestandard"/>
              <w:widowControl/>
              <w:rPr>
                <w:b/>
                <w:szCs w:val="24"/>
              </w:rPr>
            </w:pPr>
            <w:r w:rsidRPr="001012B7">
              <w:rPr>
                <w:b/>
              </w:rPr>
              <w:t>När parlamentets ändringsförslag utformas som en konsoliderad text gäller följande:</w:t>
            </w:r>
          </w:p>
          <w:p w:rsidR="005E6280" w:rsidRPr="001012B7" w:rsidRDefault="005E6280" w:rsidP="00F817DF">
            <w:pPr>
              <w:pStyle w:val="Lgendestandard"/>
              <w:widowControl/>
              <w:rPr>
                <w:szCs w:val="24"/>
              </w:rPr>
            </w:pPr>
          </w:p>
          <w:p w:rsidR="005E6280" w:rsidRPr="001012B7" w:rsidRDefault="00F817DF" w:rsidP="00F817DF">
            <w:pPr>
              <w:pStyle w:val="Lgendestandard"/>
              <w:widowControl/>
              <w:rPr>
                <w:szCs w:val="24"/>
              </w:rPr>
            </w:pPr>
            <w:r w:rsidRPr="001012B7">
              <w:t xml:space="preserve">Nya textdelar markeras med </w:t>
            </w:r>
            <w:r w:rsidRPr="001012B7">
              <w:rPr>
                <w:b/>
                <w:bCs/>
                <w:i/>
                <w:iCs/>
              </w:rPr>
              <w:t>fetkursiv stil</w:t>
            </w:r>
            <w:r w:rsidRPr="001012B7">
              <w:t>. Textdelar som utgår markeras med symbolen ▌eller med genomstrykning. Textdelar som ersätts anges genom att ny text ma</w:t>
            </w:r>
            <w:r w:rsidRPr="001012B7">
              <w:t xml:space="preserve">rkeras med </w:t>
            </w:r>
            <w:r w:rsidRPr="001012B7">
              <w:rPr>
                <w:b/>
                <w:bCs/>
                <w:i/>
                <w:iCs/>
              </w:rPr>
              <w:t>fetkursiv stil</w:t>
            </w:r>
            <w:r w:rsidRPr="001012B7">
              <w:t xml:space="preserve"> och text som utgår stryks eller markeras med genomstrykning. </w:t>
            </w:r>
          </w:p>
          <w:p w:rsidR="005E6280" w:rsidRPr="001012B7" w:rsidRDefault="00F817DF" w:rsidP="00F817DF">
            <w:pPr>
              <w:pStyle w:val="Lgendestandard"/>
              <w:widowControl/>
            </w:pPr>
            <w:r w:rsidRPr="001012B7">
              <w:t>Sådana ändringar som endast är tekniska och som gjorts av de berörda avdelningarna vid färdigställandet av den slutliga texten markeras däremot inte.</w:t>
            </w:r>
          </w:p>
          <w:p w:rsidR="005E6280" w:rsidRPr="001012B7" w:rsidRDefault="005E6280" w:rsidP="00F817DF">
            <w:pPr>
              <w:pStyle w:val="Lgendestandard"/>
              <w:widowControl/>
            </w:pPr>
          </w:p>
        </w:tc>
      </w:tr>
    </w:tbl>
    <w:p w:rsidR="005E6280" w:rsidRPr="001012B7" w:rsidRDefault="005E6280" w:rsidP="00F817DF">
      <w:pPr>
        <w:widowControl/>
      </w:pPr>
    </w:p>
    <w:p w:rsidR="00793EA9" w:rsidRPr="001012B7" w:rsidRDefault="00793EA9" w:rsidP="00F817DF">
      <w:pPr>
        <w:widowControl/>
        <w:tabs>
          <w:tab w:val="center" w:pos="4677"/>
        </w:tabs>
      </w:pPr>
    </w:p>
    <w:p w:rsidR="00793EA9" w:rsidRPr="001012B7" w:rsidRDefault="00F817DF" w:rsidP="00F817DF">
      <w:pPr>
        <w:pStyle w:val="TOCHeading"/>
        <w:widowControl/>
      </w:pPr>
      <w:r w:rsidRPr="001012B7">
        <w:br w:type="page"/>
        <w:t>INNEHÅLL</w:t>
      </w:r>
    </w:p>
    <w:p w:rsidR="00793EA9" w:rsidRPr="001012B7" w:rsidRDefault="00F817DF" w:rsidP="00F817DF">
      <w:pPr>
        <w:pStyle w:val="TOCPage"/>
        <w:widowControl/>
      </w:pPr>
      <w:r w:rsidRPr="001012B7">
        <w:t>Sida</w:t>
      </w:r>
    </w:p>
    <w:p w:rsidR="00F817DF" w:rsidRDefault="00F817DF">
      <w:pPr>
        <w:pStyle w:val="TOC1"/>
        <w:tabs>
          <w:tab w:val="right" w:leader="dot" w:pos="9060"/>
        </w:tabs>
        <w:rPr>
          <w:rFonts w:asciiTheme="minorHAnsi" w:eastAsiaTheme="minorEastAsia" w:hAnsiTheme="minorHAnsi" w:cstheme="minorBidi"/>
          <w:noProof/>
          <w:sz w:val="22"/>
          <w:szCs w:val="22"/>
          <w:lang w:eastAsia="sv-SE"/>
        </w:rPr>
      </w:pPr>
      <w:r w:rsidRPr="001012B7">
        <w:rPr>
          <w:b/>
        </w:rPr>
        <w:fldChar w:fldCharType="begin"/>
      </w:r>
      <w:r w:rsidRPr="001012B7">
        <w:rPr>
          <w:b/>
        </w:rPr>
        <w:instrText xml:space="preserve"> TOC \t "PageHeading</w:instrText>
      </w:r>
      <w:r w:rsidR="00341BCE" w:rsidRPr="001012B7">
        <w:rPr>
          <w:b/>
        </w:rPr>
        <w:instrText>;</w:instrText>
      </w:r>
      <w:r w:rsidRPr="001012B7">
        <w:rPr>
          <w:b/>
        </w:rPr>
        <w:instrText xml:space="preserve">1" </w:instrText>
      </w:r>
      <w:r w:rsidRPr="001012B7">
        <w:rPr>
          <w:b/>
        </w:rPr>
        <w:fldChar w:fldCharType="separate"/>
      </w:r>
      <w:r>
        <w:rPr>
          <w:noProof/>
        </w:rPr>
        <w:t>FÖRSLAG TILL EUROPAPARLAMENTETS LAGSTIFTNINGSRESOLUTION</w:t>
      </w:r>
      <w:r>
        <w:rPr>
          <w:noProof/>
        </w:rPr>
        <w:tab/>
      </w:r>
      <w:r>
        <w:rPr>
          <w:noProof/>
        </w:rPr>
        <w:fldChar w:fldCharType="begin"/>
      </w:r>
      <w:r>
        <w:rPr>
          <w:noProof/>
        </w:rPr>
        <w:instrText xml:space="preserve"> PAGEREF _Toc146015825 \h </w:instrText>
      </w:r>
      <w:r>
        <w:rPr>
          <w:noProof/>
        </w:rPr>
      </w:r>
      <w:r>
        <w:rPr>
          <w:noProof/>
        </w:rPr>
        <w:fldChar w:fldCharType="separate"/>
      </w:r>
      <w:r>
        <w:rPr>
          <w:noProof/>
        </w:rPr>
        <w:t>5</w:t>
      </w:r>
      <w:r>
        <w:rPr>
          <w:noProof/>
        </w:rPr>
        <w:fldChar w:fldCharType="end"/>
      </w:r>
    </w:p>
    <w:p w:rsidR="002346B0" w:rsidRPr="001012B7" w:rsidRDefault="00F817DF" w:rsidP="00F817DF">
      <w:pPr>
        <w:widowControl/>
      </w:pPr>
      <w:r w:rsidRPr="001012B7">
        <w:rPr>
          <w:b/>
        </w:rPr>
        <w:fldChar w:fldCharType="end"/>
      </w:r>
    </w:p>
    <w:p w:rsidR="00793EA9" w:rsidRPr="001012B7" w:rsidRDefault="00F817DF" w:rsidP="00F817DF">
      <w:pPr>
        <w:pStyle w:val="PageHeading"/>
        <w:widowControl/>
      </w:pPr>
      <w:r w:rsidRPr="001012B7">
        <w:br w:type="page"/>
      </w:r>
      <w:r w:rsidRPr="001012B7">
        <w:br w:type="page"/>
      </w:r>
      <w:bookmarkStart w:id="0" w:name="_Toc146015825"/>
      <w:r w:rsidRPr="001012B7">
        <w:t>FÖRSLAG TILL EUROPAPARLAMENTETS LAGSTIFTNINGSRESOLUTION</w:t>
      </w:r>
      <w:bookmarkEnd w:id="0"/>
    </w:p>
    <w:p w:rsidR="00793EA9" w:rsidRPr="001012B7" w:rsidRDefault="00F817DF" w:rsidP="00F817DF">
      <w:pPr>
        <w:pStyle w:val="NormalBold"/>
        <w:widowControl/>
      </w:pPr>
      <w:r w:rsidRPr="001012B7">
        <w:t>om Europaparlamentets och</w:t>
      </w:r>
      <w:r w:rsidRPr="001012B7">
        <w:t xml:space="preserve"> rådets förordning om hantering av instrumentaliseringssituationer på migrations- och asylområdet</w:t>
      </w:r>
    </w:p>
    <w:p w:rsidR="00793EA9" w:rsidRPr="001012B7" w:rsidRDefault="00F817DF" w:rsidP="00F817DF">
      <w:pPr>
        <w:pStyle w:val="NormalBold12a"/>
        <w:widowControl/>
      </w:pPr>
      <w:r w:rsidRPr="001012B7">
        <w:t>(COM(2021)0890 – C9</w:t>
      </w:r>
      <w:r w:rsidRPr="001012B7">
        <w:noBreakHyphen/>
        <w:t>0474/2021 – 2021/0427(COD))</w:t>
      </w:r>
    </w:p>
    <w:p w:rsidR="00793EA9" w:rsidRPr="001012B7" w:rsidRDefault="00F817DF" w:rsidP="00F817DF">
      <w:pPr>
        <w:pStyle w:val="NormalBold"/>
        <w:widowControl/>
      </w:pPr>
      <w:r w:rsidRPr="001012B7">
        <w:t>(Ordinarie lagstiftningsförfarande: första behandlingen)</w:t>
      </w:r>
    </w:p>
    <w:p w:rsidR="00793EA9" w:rsidRPr="001012B7" w:rsidRDefault="00F817DF" w:rsidP="00F817DF">
      <w:pPr>
        <w:pStyle w:val="EPComma"/>
        <w:widowControl/>
      </w:pPr>
      <w:r w:rsidRPr="001012B7">
        <w:rPr>
          <w:i/>
          <w:iCs/>
        </w:rPr>
        <w:t>Europaparlamentet utfärdar denna resolution</w:t>
      </w:r>
    </w:p>
    <w:p w:rsidR="00793EA9" w:rsidRPr="001012B7" w:rsidRDefault="00F817DF" w:rsidP="00F817DF">
      <w:pPr>
        <w:pStyle w:val="NormalHanging12a"/>
        <w:widowControl/>
      </w:pPr>
      <w:r w:rsidRPr="001012B7">
        <w:t>–</w:t>
      </w:r>
      <w:r w:rsidRPr="001012B7">
        <w:tab/>
        <w:t xml:space="preserve">med </w:t>
      </w:r>
      <w:r w:rsidRPr="001012B7">
        <w:t>beaktande av kommissionens förslag till Europaparlamentet och rådet (COM(2021)0890),</w:t>
      </w:r>
    </w:p>
    <w:p w:rsidR="00A26F46" w:rsidRPr="001012B7" w:rsidRDefault="00F817DF" w:rsidP="00F817DF">
      <w:pPr>
        <w:pStyle w:val="NormalHanging12a"/>
        <w:widowControl/>
      </w:pPr>
      <w:r w:rsidRPr="001012B7">
        <w:t>–</w:t>
      </w:r>
      <w:r w:rsidRPr="001012B7">
        <w:tab/>
        <w:t>med beaktande av artiklarna 294.2 och xx i fördraget om Europeiska unionens funktionssätt, i enlighet med vilka kommissionen har lagt fram sitt förslag för parlamentet (</w:t>
      </w:r>
      <w:r w:rsidRPr="001012B7">
        <w:t>C9</w:t>
      </w:r>
      <w:r w:rsidRPr="001012B7">
        <w:noBreakHyphen/>
        <w:t>0474/2021),</w:t>
      </w:r>
    </w:p>
    <w:p w:rsidR="00A26F46" w:rsidRPr="001012B7" w:rsidRDefault="00F817DF" w:rsidP="00F817DF">
      <w:pPr>
        <w:pStyle w:val="NormalHanging12a"/>
        <w:widowControl/>
      </w:pPr>
      <w:r w:rsidRPr="001012B7">
        <w:t>–</w:t>
      </w:r>
      <w:r w:rsidRPr="001012B7">
        <w:tab/>
        <w:t>med beaktande av artikel 294.3 i fördraget om Europeiska unionens funktionssätt,</w:t>
      </w:r>
    </w:p>
    <w:p w:rsidR="00793EA9" w:rsidRPr="001012B7" w:rsidRDefault="00F817DF" w:rsidP="00F817DF">
      <w:pPr>
        <w:pStyle w:val="NormalHanging12a"/>
        <w:widowControl/>
      </w:pPr>
      <w:r w:rsidRPr="001012B7">
        <w:t>–</w:t>
      </w:r>
      <w:r w:rsidRPr="001012B7">
        <w:tab/>
        <w:t>med beaktande av artikel 59 i arbetsordningen,</w:t>
      </w:r>
    </w:p>
    <w:p w:rsidR="006A2F5D" w:rsidRPr="001012B7" w:rsidRDefault="00F817DF" w:rsidP="00F817DF">
      <w:pPr>
        <w:pStyle w:val="NormalHanging12a"/>
        <w:widowControl/>
      </w:pPr>
      <w:r w:rsidRPr="001012B7">
        <w:t>–</w:t>
      </w:r>
      <w:r w:rsidRPr="001012B7">
        <w:tab/>
        <w:t>med beaktande av betänkandet från utskottet för medborgerliga fri- och rättigheter samt rättsliga och inrik</w:t>
      </w:r>
      <w:r w:rsidRPr="001012B7">
        <w:t>es frågor (A9</w:t>
      </w:r>
      <w:r w:rsidRPr="001012B7">
        <w:noBreakHyphen/>
        <w:t>0000/2023).</w:t>
      </w:r>
    </w:p>
    <w:p w:rsidR="009F6C2F" w:rsidRPr="001012B7" w:rsidRDefault="00F817DF" w:rsidP="00F817DF">
      <w:pPr>
        <w:pStyle w:val="NormalHanging12a"/>
        <w:widowControl/>
      </w:pPr>
      <w:r w:rsidRPr="001012B7">
        <w:t>1.</w:t>
      </w:r>
      <w:r w:rsidRPr="001012B7">
        <w:tab/>
        <w:t>Europaparlamentet antar nedanstående ståndpunkt vid första behandlingen.</w:t>
      </w:r>
    </w:p>
    <w:p w:rsidR="009F6C2F" w:rsidRPr="001012B7" w:rsidRDefault="009F6C2F" w:rsidP="00F817DF">
      <w:pPr>
        <w:pStyle w:val="NormalHanging12a"/>
        <w:widowControl/>
      </w:pPr>
    </w:p>
    <w:p w:rsidR="00D30DE2" w:rsidRPr="001012B7" w:rsidRDefault="00D30DE2" w:rsidP="00F817DF">
      <w:pPr>
        <w:widowControl/>
      </w:pPr>
    </w:p>
    <w:p w:rsidR="00200600" w:rsidRPr="001012B7" w:rsidRDefault="00F817DF" w:rsidP="00F817DF">
      <w:pPr>
        <w:pStyle w:val="AMNumberTabs0"/>
        <w:keepNext/>
        <w:widowControl/>
      </w:pPr>
      <w:r w:rsidRPr="001012B7">
        <w:rPr>
          <w:rStyle w:val="HideTWBExt"/>
          <w:b w:val="0"/>
        </w:rPr>
        <w:t>&lt;RepeatBlock-Amend&gt;</w:t>
      </w:r>
      <w:bookmarkStart w:id="1" w:name="restart"/>
      <w:r w:rsidRPr="001012B7">
        <w:rPr>
          <w:rStyle w:val="HideTWBExt"/>
          <w:b w:val="0"/>
        </w:rPr>
        <w:t>&lt;Amend&gt;</w:t>
      </w:r>
      <w:r w:rsidRPr="001012B7">
        <w:t xml:space="preserve"> Ändringsförslag</w:t>
      </w:r>
      <w:r w:rsidRPr="001012B7">
        <w:tab/>
      </w:r>
      <w:r w:rsidRPr="001012B7">
        <w:tab/>
      </w:r>
      <w:r w:rsidRPr="001012B7">
        <w:rPr>
          <w:rStyle w:val="HideTWBExt"/>
          <w:b w:val="0"/>
        </w:rPr>
        <w:t>&lt;NumAm&gt;</w:t>
      </w:r>
      <w:r w:rsidRPr="001012B7">
        <w:t>1</w:t>
      </w:r>
      <w:r w:rsidRPr="001012B7">
        <w:rPr>
          <w:rStyle w:val="HideTWBExt"/>
          <w:b w:val="0"/>
        </w:rPr>
        <w:t>&lt;/NumAm&gt;</w:t>
      </w:r>
    </w:p>
    <w:p w:rsidR="00103A80" w:rsidRPr="001012B7" w:rsidRDefault="00103A80" w:rsidP="00F817DF">
      <w:pPr>
        <w:pStyle w:val="AMNumberTabs0"/>
        <w:keepNext/>
        <w:widowControl/>
      </w:pP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1</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 xml:space="preserve">Kommissionens </w:t>
            </w:r>
            <w:r w:rsidRPr="001012B7">
              <w:t>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(1)</w:t>
            </w:r>
            <w:r w:rsidRPr="001012B7">
              <w:tab/>
              <w:t xml:space="preserve">En situation där migranter instrumentaliseras kan uppstå när ett tredjeland anstiftar </w:t>
            </w:r>
            <w:r w:rsidRPr="001012B7">
              <w:rPr>
                <w:b/>
                <w:bCs/>
                <w:i/>
                <w:iCs/>
              </w:rPr>
              <w:t>irreguljära migrationsströmmar</w:t>
            </w:r>
            <w:r w:rsidRPr="001012B7">
              <w:t xml:space="preserve"> till unionen genom att aktivt uppmuntra eller underlätta tredjelandsmedborgares förflyttning till de yttre grä</w:t>
            </w:r>
            <w:r w:rsidRPr="001012B7">
              <w:t xml:space="preserve">nserna, till eller från </w:t>
            </w:r>
            <w:r w:rsidRPr="001012B7">
              <w:rPr>
                <w:b/>
                <w:bCs/>
                <w:i/>
                <w:iCs/>
              </w:rPr>
              <w:t>det egna territoriet</w:t>
            </w:r>
            <w:r w:rsidRPr="001012B7">
              <w:t xml:space="preserve"> och sedan vidare mot dessa yttre gränser, när detta agerande tyder på ett tredjelands avsikt att destabilisera unionen eller en medlemsstat och när detta agerande riskerar att äventyra väsentliga statliga funkti</w:t>
            </w:r>
            <w:r w:rsidRPr="001012B7">
              <w:t>oner, inbegripet territoriell integritet, upprätthållandet av lag och ordning eller skyddet av den nationella säkerheten.</w:t>
            </w:r>
          </w:p>
        </w:tc>
        <w:tc>
          <w:tcPr>
            <w:tcW w:w="4876" w:type="dxa"/>
          </w:tcPr>
          <w:p w:rsidR="00103A80" w:rsidRPr="001012B7" w:rsidRDefault="00F817DF" w:rsidP="00F817DF">
            <w:pPr>
              <w:pStyle w:val="Normal6"/>
              <w:widowControl/>
              <w:rPr>
                <w:szCs w:val="24"/>
              </w:rPr>
            </w:pPr>
            <w:r w:rsidRPr="001012B7">
              <w:t>(1)</w:t>
            </w:r>
            <w:r w:rsidRPr="001012B7">
              <w:tab/>
              <w:t xml:space="preserve">En situation där migranter instrumentaliseras kan uppstå när ett tredjeland </w:t>
            </w:r>
            <w:r w:rsidRPr="001012B7">
              <w:rPr>
                <w:b/>
                <w:bCs/>
                <w:i/>
                <w:iCs/>
              </w:rPr>
              <w:t xml:space="preserve">eller en icke-statlig aktör </w:t>
            </w:r>
            <w:r w:rsidRPr="001012B7">
              <w:t xml:space="preserve">anstiftar </w:t>
            </w:r>
            <w:r w:rsidRPr="001012B7">
              <w:rPr>
                <w:b/>
                <w:bCs/>
                <w:i/>
                <w:iCs/>
              </w:rPr>
              <w:t xml:space="preserve">irreguljär </w:t>
            </w:r>
            <w:r w:rsidRPr="001012B7">
              <w:rPr>
                <w:b/>
                <w:bCs/>
                <w:i/>
                <w:iCs/>
              </w:rPr>
              <w:t>migration</w:t>
            </w:r>
            <w:r w:rsidRPr="001012B7">
              <w:rPr>
                <w:b/>
                <w:bCs/>
              </w:rPr>
              <w:t xml:space="preserve"> </w:t>
            </w:r>
            <w:r w:rsidRPr="001012B7">
              <w:t>till unionen genom att aktivt uppmuntra eller underlätta</w:t>
            </w:r>
            <w:r w:rsidRPr="001012B7">
              <w:rPr>
                <w:b/>
                <w:bCs/>
                <w:i/>
                <w:iCs/>
              </w:rPr>
              <w:t>, eller rentav framtvinga</w:t>
            </w:r>
            <w:r w:rsidRPr="001012B7">
              <w:t xml:space="preserve"> tredjelandsmedborgares </w:t>
            </w:r>
            <w:r w:rsidRPr="001012B7">
              <w:rPr>
                <w:b/>
                <w:bCs/>
                <w:i/>
                <w:iCs/>
              </w:rPr>
              <w:t xml:space="preserve">eller statslösa personers </w:t>
            </w:r>
            <w:r w:rsidRPr="001012B7">
              <w:t xml:space="preserve">förflyttning till de yttre gränserna, till eller från </w:t>
            </w:r>
            <w:r w:rsidRPr="001012B7">
              <w:rPr>
                <w:b/>
                <w:bCs/>
                <w:i/>
                <w:iCs/>
              </w:rPr>
              <w:t xml:space="preserve">ett tredjelands territorium </w:t>
            </w:r>
            <w:r w:rsidRPr="001012B7">
              <w:t xml:space="preserve">och sedan vidare mot dessa yttre </w:t>
            </w:r>
            <w:r w:rsidRPr="001012B7">
              <w:t xml:space="preserve">gränser </w:t>
            </w:r>
            <w:r w:rsidRPr="001012B7">
              <w:rPr>
                <w:b/>
                <w:bCs/>
                <w:i/>
                <w:iCs/>
              </w:rPr>
              <w:t>eller till en eller flera medlemsstaters territorium</w:t>
            </w:r>
            <w:r w:rsidRPr="001012B7">
              <w:t xml:space="preserve">, när detta agerande tyder på ett tredjelands </w:t>
            </w:r>
            <w:r w:rsidRPr="001012B7">
              <w:rPr>
                <w:b/>
                <w:bCs/>
                <w:i/>
                <w:iCs/>
              </w:rPr>
              <w:t xml:space="preserve">eller en icke-statlig aktörs </w:t>
            </w:r>
            <w:r w:rsidRPr="001012B7">
              <w:t>avsikt att destabilisera unionen eller en medlemsstat och när detta agerande riskerar att äventyra väsentliga statliga fu</w:t>
            </w:r>
            <w:r w:rsidRPr="001012B7">
              <w:t xml:space="preserve">nktioner, inbegripet territoriell integritet, upprätthållandet av lag och ordning eller skyddet av den nationella säkerheten. </w:t>
            </w:r>
            <w:r w:rsidRPr="001012B7">
              <w:rPr>
                <w:b/>
                <w:i/>
              </w:rPr>
              <w:t>Det är lämpligt att anpassa den rättsliga definitionen av instrumentalisering i denna förordning till den definition som används i</w:t>
            </w:r>
            <w:r w:rsidRPr="001012B7">
              <w:rPr>
                <w:b/>
                <w:i/>
              </w:rPr>
              <w:t xml:space="preserve"> Europaparlamentets och rådets förordning (EU) 2016/399</w:t>
            </w:r>
            <w:r w:rsidRPr="001012B7">
              <w:rPr>
                <w:b/>
                <w:i/>
                <w:vertAlign w:val="superscript"/>
              </w:rPr>
              <w:t>1a</w:t>
            </w:r>
            <w:r w:rsidRPr="001012B7">
              <w:rPr>
                <w:b/>
                <w:i/>
              </w:rPr>
              <w:t>.</w:t>
            </w:r>
          </w:p>
        </w:tc>
      </w:tr>
      <w:tr w:rsidR="00CC042E" w:rsidRPr="001012B7" w:rsidTr="00103A80">
        <w:trPr>
          <w:jc w:val="center"/>
        </w:trPr>
        <w:tc>
          <w:tcPr>
            <w:tcW w:w="4876" w:type="dxa"/>
          </w:tcPr>
          <w:p w:rsidR="00103A80" w:rsidRPr="001012B7" w:rsidRDefault="00103A80" w:rsidP="00F817DF">
            <w:pPr>
              <w:pStyle w:val="Normal6"/>
              <w:widowControl/>
            </w:pPr>
          </w:p>
        </w:tc>
        <w:tc>
          <w:tcPr>
            <w:tcW w:w="4876" w:type="dxa"/>
          </w:tcPr>
          <w:p w:rsidR="00103A80" w:rsidRPr="001012B7" w:rsidRDefault="00F817DF" w:rsidP="00F817DF">
            <w:pPr>
              <w:pStyle w:val="Normal6"/>
              <w:widowControl/>
              <w:rPr>
                <w:szCs w:val="24"/>
              </w:rPr>
            </w:pPr>
            <w:r w:rsidRPr="001012B7">
              <w:rPr>
                <w:b/>
                <w:i/>
                <w:vertAlign w:val="superscript"/>
              </w:rPr>
              <w:t>1a</w:t>
            </w:r>
            <w:r w:rsidRPr="001012B7">
              <w:rPr>
                <w:vertAlign w:val="superscript"/>
              </w:rPr>
              <w:t xml:space="preserve"> </w:t>
            </w:r>
            <w:r w:rsidRPr="001012B7">
              <w:rPr>
                <w:b/>
                <w:bCs/>
                <w:i/>
                <w:iCs/>
              </w:rPr>
              <w:t>Europaparlamentets och rådets förordning (EU) 2016/399 av den 9 mars 2016 om en unionskodex om gränspassage för personer (kodex om Schengengränserna) (EUT L 77, 23.3.2016, s. 1).</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w:t>
      </w:r>
      <w:r w:rsidRPr="001012B7">
        <w:rPr>
          <w:rStyle w:val="HideTWBExt"/>
          <w:noProof w:val="0"/>
        </w:rPr>
        <w:t>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2</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1a (nytt)</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103A80" w:rsidP="00F817DF">
            <w:pPr>
              <w:pStyle w:val="Normal6"/>
              <w:widowControl/>
            </w:pPr>
          </w:p>
        </w:tc>
        <w:tc>
          <w:tcPr>
            <w:tcW w:w="4876" w:type="dxa"/>
          </w:tcPr>
          <w:p w:rsidR="00103A80" w:rsidRPr="001012B7" w:rsidRDefault="00F817DF" w:rsidP="00F817DF">
            <w:pPr>
              <w:pStyle w:val="Normal6"/>
              <w:widowControl/>
              <w:rPr>
                <w:szCs w:val="24"/>
              </w:rPr>
            </w:pPr>
            <w:r w:rsidRPr="001012B7">
              <w:rPr>
                <w:b/>
                <w:i/>
              </w:rPr>
              <w:t>(1a)</w:t>
            </w:r>
            <w:r w:rsidRPr="001012B7">
              <w:rPr>
                <w:b/>
                <w:i/>
              </w:rPr>
              <w:tab/>
              <w:t xml:space="preserve">Situationer där icke-statliga aktörer är inblandade i </w:t>
            </w:r>
            <w:r w:rsidRPr="001012B7">
              <w:rPr>
                <w:b/>
                <w:i/>
              </w:rPr>
              <w:t>organiserad brottslighet, särskilt smuggling av migranter, bör inte betraktas som instrumentalisering av migranter när det inte föreligger något syfte att destabilisera unionen eller en medlemsstat. Dessutom bör åtgärder för humanitärt bistånd inte betrakt</w:t>
            </w:r>
            <w:r w:rsidRPr="001012B7">
              <w:rPr>
                <w:b/>
                <w:i/>
              </w:rPr>
              <w:t>as som en situation där migranter instrumentaliseras om det inte föreligger något syfte att destabilisera unionen eller en medlemsstat.</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3</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2</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(2)</w:t>
            </w:r>
            <w:r w:rsidRPr="001012B7">
              <w:tab/>
              <w:t>Denna förordning följer Europeiska rådets uppmaning till kommissionen i sina slutsatser av den 22 oktober 2021 att föreslå alla ändringar som krävs av EU:s rättsliga ramar s</w:t>
            </w:r>
            <w:r w:rsidRPr="001012B7">
              <w:t>amt konkreta åtgärder för att säkerställa en omedelbar och adekvat reaktion på hybridhotet i överensstämmelse med unionsrätten och internationella skyldigheter. Dessutom bidrar den till att upprätta en övergripande och permanent ram som förser de berörda m</w:t>
            </w:r>
            <w:r w:rsidRPr="001012B7">
              <w:t>edlemsstaterna med de verktyg som krävs för att effektivt och snabbt kunna reagera på en instrumentaliseringssituation med full respekt för grundläggande rättigheter och internationella skyldigheter.</w:t>
            </w:r>
          </w:p>
        </w:tc>
        <w:tc>
          <w:tcPr>
            <w:tcW w:w="4876" w:type="dxa"/>
          </w:tcPr>
          <w:p w:rsidR="00103A80" w:rsidRPr="001012B7" w:rsidRDefault="00F817DF" w:rsidP="00F817DF">
            <w:pPr>
              <w:pStyle w:val="Normal6"/>
              <w:widowControl/>
              <w:rPr>
                <w:szCs w:val="24"/>
              </w:rPr>
            </w:pPr>
            <w:r w:rsidRPr="001012B7">
              <w:t>(2)</w:t>
            </w:r>
            <w:r w:rsidRPr="001012B7">
              <w:tab/>
              <w:t xml:space="preserve">Denna förordning följer Europeiska rådets uppmaning </w:t>
            </w:r>
            <w:r w:rsidRPr="001012B7">
              <w:t>till kommissionen i sina slutsatser av den 22 oktober 2021 att föreslå alla ändringar som krävs av EU:s rättsliga ramar samt konkreta åtgärder för att säkerställa en omedelbar och adekvat reaktion på hybridhotet i överensstämmelse med unionsrätten och inte</w:t>
            </w:r>
            <w:r w:rsidRPr="001012B7">
              <w:t>rnationella skyldigheter. Dessutom bidrar den till att upprätta en övergripande och permanent ram som förser de berörda medlemsstaterna med de verktyg som krävs för att effektivt och snabbt</w:t>
            </w:r>
            <w:r w:rsidRPr="001012B7">
              <w:rPr>
                <w:b/>
                <w:bCs/>
                <w:i/>
                <w:iCs/>
              </w:rPr>
              <w:t>, i enlighet med det förfarande som fastställs i denna förordning,</w:t>
            </w:r>
            <w:r w:rsidRPr="001012B7">
              <w:t xml:space="preserve"> </w:t>
            </w:r>
            <w:r w:rsidRPr="001012B7">
              <w:t>kunna reagera på en instrumentaliseringssituation med full respekt för grundläggande rättigheter och internationella skyldigheter.</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4</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3</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(3)</w:t>
            </w:r>
            <w:r w:rsidRPr="001012B7">
              <w:tab/>
              <w:t xml:space="preserve">Ett av verktygen i denna förordning är införandet av ett </w:t>
            </w:r>
            <w:r w:rsidRPr="001012B7">
              <w:rPr>
                <w:b/>
                <w:bCs/>
                <w:i/>
                <w:iCs/>
              </w:rPr>
              <w:t>förfarande för migrations-</w:t>
            </w:r>
            <w:r w:rsidRPr="001012B7">
              <w:t xml:space="preserve"> och </w:t>
            </w:r>
            <w:r w:rsidRPr="001012B7">
              <w:rPr>
                <w:b/>
                <w:bCs/>
                <w:i/>
                <w:iCs/>
              </w:rPr>
              <w:t>asylhantering</w:t>
            </w:r>
            <w:r w:rsidRPr="001012B7">
              <w:t xml:space="preserve"> </w:t>
            </w:r>
            <w:r w:rsidRPr="001012B7">
              <w:rPr>
                <w:b/>
                <w:bCs/>
                <w:i/>
                <w:iCs/>
              </w:rPr>
              <w:t>i nödsituationer</w:t>
            </w:r>
            <w:r w:rsidRPr="001012B7">
              <w:t xml:space="preserve"> som ger medlemsstaterna möjlighet att använda rättsliga verktyg för att hantera framtida situationer där migranter instrumentaliseras.</w:t>
            </w:r>
          </w:p>
        </w:tc>
        <w:tc>
          <w:tcPr>
            <w:tcW w:w="4876" w:type="dxa"/>
          </w:tcPr>
          <w:p w:rsidR="00103A80" w:rsidRPr="001012B7" w:rsidRDefault="00F817DF" w:rsidP="00F817DF">
            <w:pPr>
              <w:pStyle w:val="Normal6"/>
              <w:widowControl/>
              <w:rPr>
                <w:szCs w:val="24"/>
              </w:rPr>
            </w:pPr>
            <w:r w:rsidRPr="001012B7">
              <w:t>(3)</w:t>
            </w:r>
            <w:r w:rsidRPr="001012B7">
              <w:tab/>
              <w:t xml:space="preserve">Ett av verktygen i denna förordning är införandet av ett </w:t>
            </w:r>
            <w:r w:rsidRPr="001012B7">
              <w:rPr>
                <w:b/>
                <w:bCs/>
                <w:i/>
                <w:iCs/>
              </w:rPr>
              <w:t>brådskande asyl-</w:t>
            </w:r>
            <w:r w:rsidRPr="001012B7">
              <w:t xml:space="preserve"> och </w:t>
            </w:r>
            <w:r w:rsidRPr="001012B7">
              <w:rPr>
                <w:b/>
                <w:bCs/>
                <w:i/>
                <w:iCs/>
              </w:rPr>
              <w:t>återvändandeförfarande</w:t>
            </w:r>
            <w:r w:rsidRPr="001012B7">
              <w:t xml:space="preserve"> som ger medlems</w:t>
            </w:r>
            <w:r w:rsidRPr="001012B7">
              <w:t>staterna möjlighet att använda rättsliga verktyg för att hantera framtida situationer där migranter instrumentaliseras.</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5</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4</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(4)</w:t>
            </w:r>
            <w:r w:rsidRPr="001012B7">
              <w:tab/>
              <w:t xml:space="preserve">Denna förordning respekterar de grundläggande rättigheter och iakttar de principer som erkänns i Europeiska unionens stadga om de grundläggande rättigheterna, särskilt artiklarna 1, 4, </w:t>
            </w:r>
            <w:r w:rsidRPr="001012B7">
              <w:t>7, 24, 18 och 19.2 och 19.2, samt Genèvekonventionen av den 28 juli 1951. För att särskilt återspegla att barnets bästa måste komma i främsta rummet, tillgodose behovet av att respektera familjelivet och säkerställa skyddet av de berörda personernas hälsa,</w:t>
            </w:r>
            <w:r w:rsidRPr="001012B7">
              <w:t xml:space="preserve"> fastställs det i denna förordning särskilda regler och skyddsåtgärder som ska gälla för ensamkommande barn och underåriga och deras familjemedlemmar och för sökande vars hälsotillstånd kräver särskilt och adekvat stöd. De regler och garantier som faststäl</w:t>
            </w:r>
            <w:r w:rsidRPr="001012B7">
              <w:t>ls i förordning (EU) XXX/XXX</w:t>
            </w:r>
            <w:r w:rsidRPr="001012B7">
              <w:rPr>
                <w:vertAlign w:val="superscript"/>
              </w:rPr>
              <w:t>19</w:t>
            </w:r>
            <w:r w:rsidRPr="001012B7">
              <w:t xml:space="preserve"> [förordningen om asylförfaranden] bör fortsätta att gälla för personer som omfattas av </w:t>
            </w:r>
            <w:r w:rsidRPr="001012B7">
              <w:rPr>
                <w:b/>
                <w:bCs/>
                <w:i/>
                <w:iCs/>
              </w:rPr>
              <w:t>förfarandet för asylhantering</w:t>
            </w:r>
            <w:r w:rsidRPr="001012B7">
              <w:t xml:space="preserve"> </w:t>
            </w:r>
            <w:r w:rsidRPr="001012B7">
              <w:rPr>
                <w:b/>
                <w:bCs/>
                <w:i/>
                <w:iCs/>
              </w:rPr>
              <w:t>i nödsituationer</w:t>
            </w:r>
            <w:r w:rsidRPr="001012B7">
              <w:t>, om inte annat föreskrivs i den här förordningen. Bestämmelserna i direktiv XXX/XXX [det om</w:t>
            </w:r>
            <w:r w:rsidRPr="001012B7">
              <w:t>arbetade direktivet om mottagningsvillkor]</w:t>
            </w:r>
            <w:r w:rsidRPr="001012B7">
              <w:rPr>
                <w:vertAlign w:val="superscript"/>
              </w:rPr>
              <w:t>20</w:t>
            </w:r>
            <w:r w:rsidRPr="001012B7">
              <w:t>, inbegripet bestämmelserna om förvar av personer som ansöker om internationellt skydd, bör fortsätta att gälla från och med den tidpunkt då en ansökan om internationellt skydd görs, om inte annat föreskrivs i de</w:t>
            </w:r>
            <w:r w:rsidRPr="001012B7">
              <w:t>nna förordning.</w:t>
            </w:r>
          </w:p>
        </w:tc>
        <w:tc>
          <w:tcPr>
            <w:tcW w:w="4876" w:type="dxa"/>
          </w:tcPr>
          <w:p w:rsidR="00103A80" w:rsidRPr="001012B7" w:rsidRDefault="00F817DF" w:rsidP="00F817DF">
            <w:pPr>
              <w:pStyle w:val="Normal6"/>
              <w:widowControl/>
              <w:rPr>
                <w:szCs w:val="24"/>
              </w:rPr>
            </w:pPr>
            <w:r w:rsidRPr="001012B7">
              <w:t>(4)</w:t>
            </w:r>
            <w:r w:rsidRPr="001012B7">
              <w:tab/>
              <w:t>Denna förordning respekterar de grundläggande rättigheter och iakttar de principer som erkänns i Europeiska unionens stadga om de grundläggande rättigheterna, särskilt artiklarna 1, 4, 7, 24, 18 och 19.2 och 19.2, samt Genèvekonventione</w:t>
            </w:r>
            <w:r w:rsidRPr="001012B7">
              <w:t>n av den 28 juli 1951. För att särskilt återspegla att barnets bästa måste komma i främsta rummet, tillgodose behovet av att respektera familjelivet och säkerställa skyddet av de berörda personernas hälsa, fastställs det i denna förordning särskilda regler</w:t>
            </w:r>
            <w:r w:rsidRPr="001012B7">
              <w:t xml:space="preserve"> och skyddsåtgärder som ska gälla för ensamkommande barn och underåriga och deras familjemedlemmar och för sökande vars hälsotillstånd kräver särskilt och adekvat stöd. De regler och garantier som fastställs i förordning (EU) XXX/XXX</w:t>
            </w:r>
            <w:r w:rsidRPr="001012B7">
              <w:rPr>
                <w:vertAlign w:val="superscript"/>
              </w:rPr>
              <w:t>19</w:t>
            </w:r>
            <w:r w:rsidRPr="001012B7">
              <w:t xml:space="preserve"> [förordningen om asylförfaranden] bör fortsätta att gälla för personer som omfattas av </w:t>
            </w:r>
            <w:r w:rsidRPr="001012B7">
              <w:rPr>
                <w:b/>
                <w:bCs/>
                <w:i/>
                <w:iCs/>
              </w:rPr>
              <w:t>det brådskande asylförfarandet</w:t>
            </w:r>
            <w:r w:rsidRPr="001012B7">
              <w:t>, om inte annat föreskrivs i den här förordningen. Bestämmelserna i direktiv XXX/XXX [det omarbetade direktivet om mottagningsvillkor]</w:t>
            </w:r>
            <w:r w:rsidRPr="001012B7">
              <w:rPr>
                <w:vertAlign w:val="superscript"/>
              </w:rPr>
              <w:t>20</w:t>
            </w:r>
            <w:r w:rsidRPr="001012B7">
              <w:t xml:space="preserve">, </w:t>
            </w:r>
            <w:r w:rsidRPr="001012B7">
              <w:t>inbegripet bestämmelserna om förvar av personer som ansöker om internationellt skydd, bör fortsätta att gälla från och med den tidpunkt då en ansökan om internationellt skydd görs, om inte annat föreskrivs i denna förordning.</w:t>
            </w:r>
          </w:p>
        </w:tc>
      </w:tr>
      <w:tr w:rsidR="00CC042E" w:rsidRPr="001012B7" w:rsidTr="00103A80">
        <w:trPr>
          <w:jc w:val="center"/>
        </w:trPr>
        <w:tc>
          <w:tcPr>
            <w:tcW w:w="4876" w:type="dxa"/>
          </w:tcPr>
          <w:p w:rsidR="00103A80" w:rsidRPr="001012B7" w:rsidRDefault="00F817DF" w:rsidP="00F817DF">
            <w:pPr>
              <w:pStyle w:val="Normal6"/>
              <w:widowControl/>
            </w:pPr>
            <w:r w:rsidRPr="001012B7">
              <w:t>__________________</w:t>
            </w:r>
          </w:p>
        </w:tc>
        <w:tc>
          <w:tcPr>
            <w:tcW w:w="4876" w:type="dxa"/>
          </w:tcPr>
          <w:p w:rsidR="00103A80" w:rsidRPr="001012B7" w:rsidRDefault="00F817DF" w:rsidP="00F817DF">
            <w:pPr>
              <w:pStyle w:val="Normal6"/>
              <w:widowControl/>
              <w:rPr>
                <w:szCs w:val="24"/>
              </w:rPr>
            </w:pPr>
            <w:r w:rsidRPr="001012B7">
              <w:t>__________________</w:t>
            </w:r>
          </w:p>
        </w:tc>
      </w:tr>
      <w:tr w:rsidR="00CC042E" w:rsidRPr="001012B7" w:rsidTr="00103A80">
        <w:trPr>
          <w:jc w:val="center"/>
        </w:trPr>
        <w:tc>
          <w:tcPr>
            <w:tcW w:w="4876" w:type="dxa"/>
          </w:tcPr>
          <w:p w:rsidR="00103A80" w:rsidRPr="001012B7" w:rsidRDefault="00F817DF" w:rsidP="00F817DF">
            <w:pPr>
              <w:pStyle w:val="Normal6"/>
              <w:widowControl/>
            </w:pPr>
            <w:r w:rsidRPr="001012B7">
              <w:rPr>
                <w:vertAlign w:val="superscript"/>
              </w:rPr>
              <w:t>19</w:t>
            </w:r>
            <w:r w:rsidRPr="001012B7">
              <w:t xml:space="preserve"> EUT C , , s. .</w:t>
            </w:r>
          </w:p>
        </w:tc>
        <w:tc>
          <w:tcPr>
            <w:tcW w:w="4876" w:type="dxa"/>
          </w:tcPr>
          <w:p w:rsidR="00103A80" w:rsidRPr="001012B7" w:rsidRDefault="00F817DF" w:rsidP="00F817DF">
            <w:pPr>
              <w:pStyle w:val="Normal6"/>
              <w:widowControl/>
              <w:rPr>
                <w:szCs w:val="24"/>
              </w:rPr>
            </w:pPr>
            <w:r w:rsidRPr="001012B7">
              <w:rPr>
                <w:vertAlign w:val="superscript"/>
              </w:rPr>
              <w:t>19</w:t>
            </w:r>
            <w:r w:rsidRPr="001012B7">
              <w:t xml:space="preserve"> EUT C , , s. .</w:t>
            </w:r>
          </w:p>
        </w:tc>
      </w:tr>
      <w:tr w:rsidR="00CC042E" w:rsidRPr="001012B7" w:rsidTr="00103A80">
        <w:trPr>
          <w:jc w:val="center"/>
        </w:trPr>
        <w:tc>
          <w:tcPr>
            <w:tcW w:w="4876" w:type="dxa"/>
          </w:tcPr>
          <w:p w:rsidR="00103A80" w:rsidRPr="001012B7" w:rsidRDefault="00F817DF" w:rsidP="00F817DF">
            <w:pPr>
              <w:pStyle w:val="Normal6"/>
              <w:widowControl/>
            </w:pPr>
            <w:r w:rsidRPr="001012B7">
              <w:rPr>
                <w:vertAlign w:val="superscript"/>
              </w:rPr>
              <w:t>20</w:t>
            </w:r>
            <w:r w:rsidRPr="001012B7">
              <w:t xml:space="preserve"> EUT C , , s. .</w:t>
            </w:r>
          </w:p>
        </w:tc>
        <w:tc>
          <w:tcPr>
            <w:tcW w:w="4876" w:type="dxa"/>
          </w:tcPr>
          <w:p w:rsidR="00103A80" w:rsidRPr="001012B7" w:rsidRDefault="00F817DF" w:rsidP="00F817DF">
            <w:pPr>
              <w:pStyle w:val="Normal6"/>
              <w:widowControl/>
              <w:rPr>
                <w:szCs w:val="24"/>
              </w:rPr>
            </w:pPr>
            <w:r w:rsidRPr="001012B7">
              <w:rPr>
                <w:vertAlign w:val="superscript"/>
              </w:rPr>
              <w:t>20</w:t>
            </w:r>
            <w:r w:rsidRPr="001012B7">
              <w:t xml:space="preserve"> EUT C , , s. .</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6</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5</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(5)</w:t>
            </w:r>
            <w:r w:rsidRPr="001012B7">
              <w:tab/>
              <w:t>För att göra det möjligt för den medlemsstat som står inför en instrumentaliseringssituation att hantera migrationsströmmarna på ett ordnat sätt bör det vara möjligt för den berörda medlemsstaten att inom ramen fö</w:t>
            </w:r>
            <w:r w:rsidRPr="001012B7">
              <w:t xml:space="preserve">r </w:t>
            </w:r>
            <w:r w:rsidRPr="001012B7">
              <w:rPr>
                <w:b/>
                <w:bCs/>
                <w:i/>
                <w:iCs/>
              </w:rPr>
              <w:t>förfarandet för asylhantering</w:t>
            </w:r>
            <w:r w:rsidRPr="001012B7">
              <w:t xml:space="preserve"> </w:t>
            </w:r>
            <w:r w:rsidRPr="001012B7">
              <w:rPr>
                <w:b/>
                <w:bCs/>
                <w:i/>
                <w:iCs/>
              </w:rPr>
              <w:t>i nödsituationer</w:t>
            </w:r>
            <w:r w:rsidRPr="001012B7">
              <w:t xml:space="preserve"> besluta att, när det gäller tredjelandsmedborgare eller statslösa personer som gripits eller påträffats i närheten av gränsen till det tredjeland som instrumentaliserar migranter efter en obehörig gränspassa</w:t>
            </w:r>
            <w:r w:rsidRPr="001012B7">
              <w:t>ge eller efter att ha infunnit sig vid ett gränsövergångsställe, registrera ansökningar om internationellt skydd endast vid särskilda registreringsställen som utsetts för detta ändamål i närheten av gränsen, och erbjuda en faktisk möjlighet att lämna in en</w:t>
            </w:r>
            <w:r w:rsidRPr="001012B7">
              <w:t xml:space="preserve"> ansökan om internationellt skydd endast på de särskilda ställen som har utsetts för detta ändamål och som bör vara lättillgängliga. En faktisk och verklig tillgång till förfarandet för internationellt skydd måste säkerställas i enlighet med artikel 18 i E</w:t>
            </w:r>
            <w:r w:rsidRPr="001012B7">
              <w:t xml:space="preserve">uropeiska unionens stadga om de grundläggande rättigheterna och med Genèvekonventionen av den 28 juli 1951. I detta syfte bör den berörda medlemsstaten säkerställa att tillräckliga registreringsställen, som kan inbegripa gränsövergångsställen, har utsetts </w:t>
            </w:r>
            <w:r w:rsidRPr="001012B7">
              <w:t>och är öppna för detta ändamål. Sökande bör vederbörligen informeras om var deras ansökan kommer att registreras och kan lämnas in.</w:t>
            </w:r>
          </w:p>
        </w:tc>
        <w:tc>
          <w:tcPr>
            <w:tcW w:w="4876" w:type="dxa"/>
          </w:tcPr>
          <w:p w:rsidR="00103A80" w:rsidRPr="001012B7" w:rsidRDefault="00F817DF" w:rsidP="00F817DF">
            <w:pPr>
              <w:pStyle w:val="Normal6"/>
              <w:widowControl/>
              <w:rPr>
                <w:szCs w:val="24"/>
              </w:rPr>
            </w:pPr>
            <w:r w:rsidRPr="001012B7">
              <w:t>(5)</w:t>
            </w:r>
            <w:r w:rsidRPr="001012B7">
              <w:tab/>
            </w:r>
            <w:r w:rsidRPr="001012B7">
              <w:rPr>
                <w:b/>
                <w:i/>
              </w:rPr>
              <w:t>I en instrumentaliseringssituation kan ett ökat antal asylansökningar för internationellt skydd göras vid den yttre grän</w:t>
            </w:r>
            <w:r w:rsidRPr="001012B7">
              <w:rPr>
                <w:b/>
                <w:i/>
              </w:rPr>
              <w:t>sen eller i en transitzon i en medlemsstat, ofta av personer som gripits i samband med obehöriga passager av den yttre gränsen landvägen, sjövägen eller luftvägen eller som har landsatts efter sök- och räddningsinsatser.</w:t>
            </w:r>
            <w:r w:rsidRPr="001012B7">
              <w:t xml:space="preserve"> För att göra det möjligt för den me</w:t>
            </w:r>
            <w:r w:rsidRPr="001012B7">
              <w:t xml:space="preserve">dlemsstat som står inför en instrumentaliseringssituation att hantera migrationsströmmarna på ett ordnat sätt bör det vara möjligt för den berörda medlemsstaten att inom ramen för </w:t>
            </w:r>
            <w:r w:rsidRPr="001012B7">
              <w:rPr>
                <w:b/>
                <w:bCs/>
                <w:i/>
                <w:iCs/>
              </w:rPr>
              <w:t>det brådskande asylförfarandet</w:t>
            </w:r>
            <w:r w:rsidRPr="001012B7">
              <w:t xml:space="preserve"> besluta att, när det gäller tredjelandsmedborgare eller statslösa personer som gripits eller påträffats i närheten av gränsen till det tredjeland som instrumentaliserar migranter efter en obehörig gränspassage </w:t>
            </w:r>
            <w:r w:rsidRPr="001012B7">
              <w:rPr>
                <w:b/>
                <w:bCs/>
                <w:i/>
                <w:iCs/>
              </w:rPr>
              <w:t>landvägen, sjövägen eller luftvägen, eller so</w:t>
            </w:r>
            <w:r w:rsidRPr="001012B7">
              <w:rPr>
                <w:b/>
                <w:bCs/>
                <w:i/>
                <w:iCs/>
              </w:rPr>
              <w:t xml:space="preserve">m har landsatts efter sök- och räddningsinsatser, </w:t>
            </w:r>
            <w:r w:rsidRPr="001012B7">
              <w:t>eller efter att ha infunnit sig vid ett gränsövergångsställe, registrera ansökningar om internationellt skydd endast vid särskilda registreringsställen som utsetts för detta ändamål i närheten av gränsen, o</w:t>
            </w:r>
            <w:r w:rsidRPr="001012B7">
              <w:t>ch erbjuda en faktisk möjlighet att lämna in en ansökan om internationellt skydd endast på de särskilda ställen som har utsetts för detta ändamål och som bör vara lättillgängliga. En faktisk och verklig tillgång till förfarandet för internationellt skydd m</w:t>
            </w:r>
            <w:r w:rsidRPr="001012B7">
              <w:t>åste säkerställas i enlighet med artikel 18 i Europeiska unionens stadga om de grundläggande rättigheterna och med Genèvekonventionen av den 28 juli 1951. I detta syfte bör den berörda medlemsstaten säkerställa att tillräckliga registreringsställen, som ka</w:t>
            </w:r>
            <w:r w:rsidRPr="001012B7">
              <w:t>n inbegripa gränsövergångsställen, har utsetts och är öppna för detta ändamål. Sökande bör vederbörligen informeras om var deras ansökan kommer att registreras och kan lämnas in.</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7</w:t>
      </w:r>
      <w:r w:rsidRPr="001012B7">
        <w:rPr>
          <w:rStyle w:val="HideTWBExt"/>
          <w:b w:val="0"/>
        </w:rPr>
        <w:t>&lt;/N</w:t>
      </w:r>
      <w:r w:rsidRPr="001012B7">
        <w:rPr>
          <w:rStyle w:val="HideTWBExt"/>
          <w:b w:val="0"/>
        </w:rPr>
        <w:t>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6</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(6)</w:t>
            </w:r>
            <w:r w:rsidRPr="001012B7">
              <w:tab/>
              <w:t xml:space="preserve">I en situation med instrumentalisering av migranter är det viktigt att förhindra inresa för dem som inte uppfyller inresevillkoren, </w:t>
            </w:r>
            <w:r w:rsidRPr="001012B7">
              <w:t xml:space="preserve">samtidigt som skyddet av de grundläggande rättigheterna säkerställs. För att säkerställa att den medlemsstat som står inför en sådan situation har den flexibilitet som krävs och undvika att ett fientligt tredjeland inriktar sig på särskilda nationaliteter </w:t>
            </w:r>
            <w:r w:rsidRPr="001012B7">
              <w:t xml:space="preserve">eller särskilda kategorier av tredjelandsmedborgare eller statslösa personer, bör det genom det </w:t>
            </w:r>
            <w:r w:rsidRPr="001012B7">
              <w:rPr>
                <w:b/>
                <w:bCs/>
                <w:i/>
                <w:iCs/>
              </w:rPr>
              <w:t>förfarande för migrations- och asylhantering</w:t>
            </w:r>
            <w:r w:rsidRPr="001012B7">
              <w:t xml:space="preserve"> </w:t>
            </w:r>
            <w:r w:rsidRPr="001012B7">
              <w:rPr>
                <w:b/>
                <w:bCs/>
                <w:i/>
                <w:iCs/>
              </w:rPr>
              <w:t>i nödsituationer</w:t>
            </w:r>
            <w:r w:rsidRPr="001012B7">
              <w:t xml:space="preserve"> som fastställs i denna förordning vara möjligt för den berörda medlemsstaten att, inom ramen för e</w:t>
            </w:r>
            <w:r w:rsidRPr="001012B7">
              <w:t>tt gränsförfarande enligt artikel 41 i förordning (EU) XXX/XXX [förordningen om asylförfaranden], fatta beslut om huruvida ansökningar om internationellt skydd som lämnas in av tredjelandsmedborgare eller statslösa personer som har gripits eller påträffats</w:t>
            </w:r>
            <w:r w:rsidRPr="001012B7">
              <w:t xml:space="preserve"> i närheten av gränsen till det tredjelandet efter en obehörig gränspassage eller efter att ha infunnit sig vid ett gränsövergångsställe kan tas upp till prövning och fatta beslut om grunderna för dem. De principer och garantier som fastställs i förordning</w:t>
            </w:r>
            <w:r w:rsidRPr="001012B7">
              <w:t xml:space="preserve"> (EU) XXX/XXX [förordningen om asylförfaranden] måste respekteras.</w:t>
            </w:r>
          </w:p>
        </w:tc>
        <w:tc>
          <w:tcPr>
            <w:tcW w:w="4876" w:type="dxa"/>
          </w:tcPr>
          <w:p w:rsidR="00103A80" w:rsidRPr="001012B7" w:rsidRDefault="00F817DF" w:rsidP="00F817DF">
            <w:pPr>
              <w:pStyle w:val="Normal6"/>
              <w:widowControl/>
              <w:rPr>
                <w:szCs w:val="24"/>
              </w:rPr>
            </w:pPr>
            <w:r w:rsidRPr="001012B7">
              <w:t>(6)</w:t>
            </w:r>
            <w:r w:rsidRPr="001012B7">
              <w:tab/>
              <w:t>I en situation med instrumentalisering av migranter är det viktigt att förhindra inresa för dem som inte uppfyller inresevillkoren, samtidigt som skyddet av de grundläggande rättigheter</w:t>
            </w:r>
            <w:r w:rsidRPr="001012B7">
              <w:t>na säkerställs. För att säkerställa att den medlemsstat som står inför en sådan situation har den flexibilitet som krävs och undvika att ett fientligt tredjeland inriktar sig på särskilda nationaliteter eller särskilda kategorier av tredjelandsmedborgare e</w:t>
            </w:r>
            <w:r w:rsidRPr="001012B7">
              <w:t xml:space="preserve">ller statslösa personer, bör det genom det </w:t>
            </w:r>
            <w:r w:rsidRPr="001012B7">
              <w:rPr>
                <w:b/>
                <w:bCs/>
                <w:i/>
                <w:iCs/>
              </w:rPr>
              <w:t>brådskande asylförfarande</w:t>
            </w:r>
            <w:r w:rsidRPr="001012B7">
              <w:rPr>
                <w:b/>
                <w:bCs/>
              </w:rPr>
              <w:t xml:space="preserve"> </w:t>
            </w:r>
            <w:r w:rsidRPr="001012B7">
              <w:t>som fastställs i denna förordning vara möjligt för den berörda medlemsstaten att, inom ramen för ett gränsförfarande enligt artikel 41 i förordning (EU) XXX/XXX [förordningen om asylförfa</w:t>
            </w:r>
            <w:r w:rsidRPr="001012B7">
              <w:t>randen], fatta beslut om huruvida ansökningar om internationellt skydd som lämnas in av tredjelandsmedborgare eller statslösa personer som har gripits eller påträffats i närheten av gränsen till det tredjelandet efter en obehörig gränspassage eller efter a</w:t>
            </w:r>
            <w:r w:rsidRPr="001012B7">
              <w:t>tt ha infunnit sig vid ett gränsövergångsställe kan tas upp till prövning och fatta beslut om grunderna för dem. De principer och garantier som fastställs i förordning (EU) XXX/XXX [förordningen om asylförfaranden] måste respekteras.</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w:t>
      </w:r>
      <w:r w:rsidRPr="001012B7">
        <w:rPr>
          <w:rStyle w:val="HideTWBExt"/>
          <w:noProof w:val="0"/>
        </w:rPr>
        <w: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8</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9</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(9)</w:t>
            </w:r>
            <w:r w:rsidRPr="001012B7">
              <w:tab/>
            </w:r>
            <w:r w:rsidRPr="001012B7">
              <w:rPr>
                <w:b/>
                <w:i/>
              </w:rPr>
              <w:t xml:space="preserve">I en situation där migranter instrumentaliseras bör det vara möjligt för den </w:t>
            </w:r>
            <w:r w:rsidRPr="001012B7">
              <w:rPr>
                <w:b/>
                <w:i/>
              </w:rPr>
              <w:t xml:space="preserve">berörda medlemsstaten att registrera ansökningar om internationellt skydd inom en förlängd period på fyra veckor. Dessutom bör det vara möjligt att pröva ansökningar om internationellt skydd vid gränsen under högst sexton veckor. </w:t>
            </w:r>
            <w:r w:rsidRPr="001012B7">
              <w:rPr>
                <w:b/>
                <w:bCs/>
                <w:i/>
                <w:iCs/>
              </w:rPr>
              <w:t xml:space="preserve">Om ett beslut om ansökan, </w:t>
            </w:r>
            <w:r w:rsidRPr="001012B7">
              <w:rPr>
                <w:b/>
                <w:bCs/>
                <w:i/>
                <w:iCs/>
              </w:rPr>
              <w:t>inbegripet ett beslut om ett eventuellt överklagande av ett negativt beslut – vilket inte bör ha en automatisk suspensiv verkan – inte fattas inom sexton veckor bör inresa till territoriet beviljas, såvida inte personen omfattas av återvändandeförfarandet.</w:t>
            </w:r>
            <w:r w:rsidRPr="001012B7">
              <w:rPr>
                <w:b/>
                <w:i/>
              </w:rPr>
              <w:t xml:space="preserve"> Dessa förfarandemässiga tidsramar är utformade för att hjälpa den berörda medlemsstaten att hantera situationen där migranter instrumentaliseras. </w:t>
            </w:r>
            <w:r w:rsidRPr="001012B7">
              <w:rPr>
                <w:b/>
                <w:bCs/>
                <w:i/>
                <w:iCs/>
              </w:rPr>
              <w:t>När medlemsstaten står inför en sådan situation måste den avleda resurser för att hantera de tredjelandsmedbo</w:t>
            </w:r>
            <w:r w:rsidRPr="001012B7">
              <w:rPr>
                <w:b/>
                <w:bCs/>
                <w:i/>
                <w:iCs/>
              </w:rPr>
              <w:t>rgare som anländer till medlemsstatens gränser eller som redan befinner sig på dess territorium.</w:t>
            </w:r>
            <w:r w:rsidRPr="001012B7">
              <w:rPr>
                <w:b/>
                <w:i/>
              </w:rPr>
              <w:t xml:space="preserve"> Till följd av detta kan den berörda medlemsstaten i sådana situationer behöva tid för att omorganisera sina resurser och öka sin kapacitet, även med stöd av EU</w:t>
            </w:r>
            <w:r w:rsidRPr="001012B7">
              <w:rPr>
                <w:b/>
                <w:i/>
              </w:rPr>
              <w:t xml:space="preserve">:s byråer. </w:t>
            </w:r>
            <w:r w:rsidRPr="001012B7">
              <w:rPr>
                <w:b/>
                <w:bCs/>
                <w:i/>
                <w:iCs/>
              </w:rPr>
              <w:t>Dessutom kommer antalet sökande inom ramen för gränsförfarandet att vara större än under normala omständigheter, varför den</w:t>
            </w:r>
            <w:r w:rsidRPr="001012B7">
              <w:t xml:space="preserve"> medlemsstat som befinner sig i en instrumentaliseringssituation</w:t>
            </w:r>
            <w:r w:rsidRPr="001012B7">
              <w:rPr>
                <w:b/>
                <w:bCs/>
                <w:i/>
                <w:iCs/>
              </w:rPr>
              <w:t xml:space="preserve"> kan behöva mer tid för att kunna fatta beslut utan att ti</w:t>
            </w:r>
            <w:r w:rsidRPr="001012B7">
              <w:rPr>
                <w:b/>
                <w:bCs/>
                <w:i/>
                <w:iCs/>
              </w:rPr>
              <w:t>llåta inresa till territoriet</w:t>
            </w:r>
            <w:r w:rsidRPr="001012B7">
              <w:t>.</w:t>
            </w:r>
            <w:r w:rsidRPr="001012B7">
              <w:rPr>
                <w:b/>
                <w:i/>
              </w:rPr>
              <w:t xml:space="preserve"> </w:t>
            </w:r>
            <w:r w:rsidRPr="001012B7">
              <w:t xml:space="preserve">Den berörda medlemsstaten bör </w:t>
            </w:r>
            <w:r w:rsidRPr="001012B7">
              <w:rPr>
                <w:b/>
                <w:bCs/>
                <w:i/>
                <w:iCs/>
              </w:rPr>
              <w:t>dock</w:t>
            </w:r>
            <w:r w:rsidRPr="001012B7">
              <w:t xml:space="preserve"> prioritera </w:t>
            </w:r>
            <w:r w:rsidRPr="001012B7">
              <w:rPr>
                <w:b/>
                <w:bCs/>
                <w:i/>
                <w:iCs/>
              </w:rPr>
              <w:t>registrering</w:t>
            </w:r>
            <w:r w:rsidRPr="001012B7">
              <w:t xml:space="preserve"> av ansökningar </w:t>
            </w:r>
            <w:r w:rsidRPr="001012B7">
              <w:rPr>
                <w:b/>
                <w:bCs/>
                <w:i/>
                <w:iCs/>
              </w:rPr>
              <w:t>för välgrundade fall samt</w:t>
            </w:r>
            <w:r w:rsidRPr="001012B7">
              <w:t xml:space="preserve"> från ensamkommande barn </w:t>
            </w:r>
            <w:r w:rsidRPr="001012B7">
              <w:rPr>
                <w:b/>
                <w:bCs/>
                <w:i/>
                <w:iCs/>
              </w:rPr>
              <w:t>och</w:t>
            </w:r>
            <w:r w:rsidRPr="001012B7">
              <w:t xml:space="preserve"> underåriga och deras familjemedlemmar.</w:t>
            </w:r>
          </w:p>
        </w:tc>
        <w:tc>
          <w:tcPr>
            <w:tcW w:w="4876" w:type="dxa"/>
          </w:tcPr>
          <w:p w:rsidR="00103A80" w:rsidRPr="001012B7" w:rsidRDefault="00F817DF" w:rsidP="00F817DF">
            <w:pPr>
              <w:pStyle w:val="Normal6"/>
              <w:widowControl/>
              <w:rPr>
                <w:szCs w:val="24"/>
              </w:rPr>
            </w:pPr>
            <w:r w:rsidRPr="001012B7">
              <w:t>(9)</w:t>
            </w:r>
            <w:r w:rsidRPr="001012B7">
              <w:tab/>
            </w:r>
            <w:r w:rsidRPr="001012B7">
              <w:rPr>
                <w:b/>
                <w:bCs/>
                <w:i/>
                <w:iCs/>
              </w:rPr>
              <w:t>I de fall där det brådskande asylförfarandet tillämpas</w:t>
            </w:r>
            <w:r w:rsidRPr="001012B7">
              <w:rPr>
                <w:b/>
                <w:bCs/>
                <w:i/>
                <w:iCs/>
              </w:rPr>
              <w:t xml:space="preserve"> bör skyddsåtgärder för sökande med särskilda förfarandebehov eller särskilda mottagningsbehov, till exempel till följd av medicinska tillstånd, komma i främsta rummet för de behöriga myndigheterna.</w:t>
            </w:r>
            <w:r w:rsidRPr="001012B7">
              <w:rPr>
                <w:b/>
                <w:i/>
              </w:rPr>
              <w:t xml:space="preserve"> </w:t>
            </w:r>
            <w:r w:rsidRPr="001012B7">
              <w:rPr>
                <w:b/>
                <w:bCs/>
                <w:i/>
                <w:iCs/>
              </w:rPr>
              <w:t>En</w:t>
            </w:r>
            <w:r w:rsidRPr="001012B7">
              <w:t xml:space="preserve"> medlemsstat som befinner sig i en instrumentaliserings</w:t>
            </w:r>
            <w:r w:rsidRPr="001012B7">
              <w:t xml:space="preserve">situation </w:t>
            </w:r>
            <w:r w:rsidRPr="001012B7">
              <w:rPr>
                <w:b/>
                <w:bCs/>
                <w:i/>
                <w:iCs/>
              </w:rPr>
              <w:t>bör därför inte tillämpa, eller bör upphöra att tillämpa, det brådskande asylförfarandet om det finns medicinska skäl för att inte tillämpa gränsförfarandet i enlighet med artikel 41.9 c i förordning (EU) XXX/XXX [förordningen om asylförfaranden]</w:t>
            </w:r>
            <w:r w:rsidRPr="001012B7">
              <w:rPr>
                <w:b/>
                <w:bCs/>
                <w:i/>
                <w:iCs/>
              </w:rPr>
              <w:t xml:space="preserve"> eller nödvändigt stöd inte kan tillhandahållas sökande med särskilda förfarandebehov i enlighet med artikel 41.9 b i förordning (EU) XXX/XXX [förordningen om asylförfaranden]]</w:t>
            </w:r>
            <w:r w:rsidRPr="001012B7">
              <w:t xml:space="preserve">. Den berörda medlemsstaten bör prioritera </w:t>
            </w:r>
            <w:r w:rsidRPr="001012B7">
              <w:rPr>
                <w:b/>
                <w:bCs/>
                <w:i/>
                <w:iCs/>
              </w:rPr>
              <w:t>prövning</w:t>
            </w:r>
            <w:r w:rsidRPr="001012B7">
              <w:t xml:space="preserve"> av ansökningar från </w:t>
            </w:r>
            <w:r w:rsidRPr="001012B7">
              <w:rPr>
                <w:b/>
                <w:bCs/>
                <w:i/>
                <w:iCs/>
              </w:rPr>
              <w:t>personer</w:t>
            </w:r>
            <w:r w:rsidRPr="001012B7">
              <w:rPr>
                <w:b/>
                <w:bCs/>
                <w:i/>
                <w:iCs/>
              </w:rPr>
              <w:t xml:space="preserve"> med särskilda förfarandebehov i enlighet med förordning (EU) XXX/XXX [förordningen om asylförfaranden] och med särskilda mottagningsbehov enligt definitionen i [artikel 2.13 i direktiv XXX/XXX [det omarbetade direktivet om mottagningsvillkor], särskilt</w:t>
            </w:r>
            <w:r w:rsidRPr="001012B7">
              <w:t xml:space="preserve"> en</w:t>
            </w:r>
            <w:r w:rsidRPr="001012B7">
              <w:t>samkommande barn</w:t>
            </w:r>
            <w:r w:rsidRPr="001012B7">
              <w:rPr>
                <w:b/>
                <w:bCs/>
                <w:i/>
                <w:iCs/>
              </w:rPr>
              <w:t xml:space="preserve">, </w:t>
            </w:r>
            <w:r w:rsidRPr="001012B7">
              <w:t>underåriga och deras familjemedlemmar.</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9</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10</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(10)</w:t>
            </w:r>
            <w:r w:rsidRPr="001012B7">
              <w:tab/>
              <w:t>Alla våldshandlingar vid gränsen måste undvikas till varje pris, inte bara för att skydda den territoriella integriteten och säkerheten för den medlemsstat som befinner sig i en instrumentaliseringssituation utan även för att säkerställa tryggheten oc</w:t>
            </w:r>
            <w:r w:rsidRPr="001012B7">
              <w:t xml:space="preserve">h säkerheten för tredjelandsmedborgarna och de statslösa personerna, inbegripet familjer och barn som fredligt väntar på att få möjlighet att söka asyl i unionen. Om den berörda medlemsstaten ställs inför våldshandlingar vid sina yttre gränser, inbegripet </w:t>
            </w:r>
            <w:r w:rsidRPr="001012B7">
              <w:t xml:space="preserve">i samband med tredjelandsmedborgares försök att i stora antal tränga in i landet med </w:t>
            </w:r>
            <w:r w:rsidRPr="001012B7">
              <w:rPr>
                <w:b/>
                <w:bCs/>
                <w:i/>
                <w:iCs/>
              </w:rPr>
              <w:t>oproportionerliga</w:t>
            </w:r>
            <w:r w:rsidRPr="001012B7">
              <w:t xml:space="preserve"> våldsmedel, bör den berörda medlemsstaten kunna vidta nödvändiga åtgärder i enlighet med sin nationella rätt för att upprätthålla säkerhet, lag och ordni</w:t>
            </w:r>
            <w:r w:rsidRPr="001012B7">
              <w:t>ng och säkerställa en verkningsfull tillämpning av denna förordning.</w:t>
            </w:r>
          </w:p>
        </w:tc>
        <w:tc>
          <w:tcPr>
            <w:tcW w:w="4876" w:type="dxa"/>
          </w:tcPr>
          <w:p w:rsidR="00103A80" w:rsidRPr="001012B7" w:rsidRDefault="00F817DF" w:rsidP="00F817DF">
            <w:pPr>
              <w:pStyle w:val="Normal6"/>
              <w:widowControl/>
              <w:rPr>
                <w:szCs w:val="24"/>
              </w:rPr>
            </w:pPr>
            <w:r w:rsidRPr="001012B7">
              <w:t>(10)</w:t>
            </w:r>
            <w:r w:rsidRPr="001012B7">
              <w:tab/>
              <w:t>Alla våldshandlingar vid gränsen måste undvikas till varje pris, inte bara för att skydda den territoriella integriteten och säkerheten för den medlemsstat som befinner sig i en inst</w:t>
            </w:r>
            <w:r w:rsidRPr="001012B7">
              <w:t>rumentaliseringssituation utan även för att säkerställa tryggheten och säkerheten för tredjelandsmedborgarna och de statslösa personerna, inbegripet familjer och barn som fredligt väntar på att få möjlighet att söka asyl i unionen. Om den berörda medlemsst</w:t>
            </w:r>
            <w:r w:rsidRPr="001012B7">
              <w:t xml:space="preserve">aten ställs inför våldshandlingar vid sina yttre gränser, inbegripet i samband med tredjelandsmedborgares försök att i stora antal tränga in i landet med våldsmedel, bör den berörda medlemsstaten kunna vidta nödvändiga </w:t>
            </w:r>
            <w:r w:rsidRPr="001012B7">
              <w:rPr>
                <w:b/>
                <w:bCs/>
                <w:i/>
                <w:iCs/>
              </w:rPr>
              <w:t xml:space="preserve">och proportionella </w:t>
            </w:r>
            <w:r w:rsidRPr="001012B7">
              <w:t>åtgärder i enlighe</w:t>
            </w:r>
            <w:r w:rsidRPr="001012B7">
              <w:t>t med sin nationella rätt för att upprätthålla säkerhet, lag och ordning och säkerställa en verkningsfull tillämpning av denna förordning.</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10</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12</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(12)</w:t>
            </w:r>
            <w:r w:rsidRPr="001012B7">
              <w:tab/>
              <w:t xml:space="preserve">För att komplettera och säkerställa full </w:t>
            </w:r>
            <w:r w:rsidRPr="001012B7">
              <w:rPr>
                <w:b/>
                <w:bCs/>
                <w:i/>
                <w:iCs/>
              </w:rPr>
              <w:t>samstämmighet</w:t>
            </w:r>
            <w:r w:rsidRPr="001012B7">
              <w:t xml:space="preserve"> med </w:t>
            </w:r>
            <w:r w:rsidRPr="001012B7">
              <w:rPr>
                <w:b/>
                <w:bCs/>
                <w:i/>
                <w:iCs/>
              </w:rPr>
              <w:t>förfarandet för asylhantering i nödsituationer</w:t>
            </w:r>
            <w:r w:rsidRPr="001012B7">
              <w:t xml:space="preserve"> </w:t>
            </w:r>
            <w:r w:rsidRPr="001012B7">
              <w:rPr>
                <w:b/>
                <w:bCs/>
                <w:i/>
                <w:iCs/>
              </w:rPr>
              <w:t>vid de yttre gränserna</w:t>
            </w:r>
            <w:r w:rsidRPr="001012B7">
              <w:t xml:space="preserve"> bör de behöriga myndigheterna i den medlem</w:t>
            </w:r>
            <w:r w:rsidRPr="001012B7">
              <w:t>sstat som befinner sig i en situation där migranter instrumentaliseras ges den flexibilitet som krävs för att genomföra återvändandeförfaranden</w:t>
            </w:r>
            <w:r w:rsidRPr="001012B7">
              <w:rPr>
                <w:b/>
                <w:bCs/>
                <w:i/>
                <w:iCs/>
              </w:rPr>
              <w:t>, efter tillämpning</w:t>
            </w:r>
            <w:r w:rsidRPr="001012B7">
              <w:t xml:space="preserve"> </w:t>
            </w:r>
            <w:r w:rsidRPr="001012B7">
              <w:rPr>
                <w:b/>
                <w:bCs/>
                <w:i/>
                <w:iCs/>
              </w:rPr>
              <w:t>av ett förfarande för migrations- och asylhantering i nödsituationer</w:t>
            </w:r>
            <w:r w:rsidRPr="001012B7">
              <w:t xml:space="preserve">. Därför bör den berörda </w:t>
            </w:r>
            <w:r w:rsidRPr="001012B7">
              <w:t>medlemsstaten i en instrumentaliseringssituation tillåtas att avvika från tillämpningen av direktiv XXX/XXX [det omarbetade återvändandedirektivet]</w:t>
            </w:r>
            <w:r w:rsidRPr="001012B7">
              <w:rPr>
                <w:b/>
                <w:bCs/>
                <w:i/>
                <w:iCs/>
                <w:vertAlign w:val="superscript"/>
              </w:rPr>
              <w:t>22</w:t>
            </w:r>
            <w:r w:rsidRPr="001012B7">
              <w:rPr>
                <w:b/>
                <w:bCs/>
                <w:i/>
                <w:iCs/>
              </w:rPr>
              <w:t xml:space="preserve"> när det gäller tredjelandsmedborgare och statslösa personer vars ansökan om internationellt skydd har avsl</w:t>
            </w:r>
            <w:r w:rsidRPr="001012B7">
              <w:rPr>
                <w:b/>
                <w:bCs/>
                <w:i/>
                <w:iCs/>
              </w:rPr>
              <w:t>agits inom ramen för ett förfarande för asylhantering i nödsituationer i enlighet med denna förordning</w:t>
            </w:r>
            <w:r w:rsidRPr="001012B7">
              <w:t>. Om en efterföljande ansökan endast görs för att försena eller hindra återvändandet, är det möjligt för medlemsstater att tillämpa bestämmelserna i artik</w:t>
            </w:r>
            <w:r w:rsidRPr="001012B7">
              <w:t xml:space="preserve">larna 42 och 43 i förordning (EU) XXX/XXX [förordningen om asylförfaranden]. </w:t>
            </w:r>
            <w:r w:rsidRPr="001012B7">
              <w:rPr>
                <w:b/>
                <w:bCs/>
                <w:i/>
                <w:iCs/>
              </w:rPr>
              <w:t>De regler som fastställs i denna förordning påverkar inte medlemsstaternas möjlighet att göra undantag från tillämpningen av direktiv XXX/XXX [det omarbetade återvändandedirektive</w:t>
            </w:r>
            <w:r w:rsidRPr="001012B7">
              <w:rPr>
                <w:b/>
                <w:bCs/>
                <w:i/>
                <w:iCs/>
              </w:rPr>
              <w:t>t] i enlighet med artikel 2.2 a i det direktivet när det gäller tredjelandsmedborgare eller statslösa personer som vistas olagligt i en medlemsstat och som grips i samband med att de på ett irreguljärt sätt passerar en medlemsstats yttre gräns landvägen, s</w:t>
            </w:r>
            <w:r w:rsidRPr="001012B7">
              <w:rPr>
                <w:b/>
                <w:bCs/>
                <w:i/>
                <w:iCs/>
              </w:rPr>
              <w:t>jövägen eller luftvägen och som inte därefter har fått tillstånd eller rätt att vistas i den medlemsstaten.</w:t>
            </w:r>
          </w:p>
        </w:tc>
        <w:tc>
          <w:tcPr>
            <w:tcW w:w="4876" w:type="dxa"/>
          </w:tcPr>
          <w:p w:rsidR="00103A80" w:rsidRPr="001012B7" w:rsidRDefault="00F817DF" w:rsidP="00F817DF">
            <w:pPr>
              <w:pStyle w:val="Normal6"/>
              <w:widowControl/>
              <w:rPr>
                <w:szCs w:val="24"/>
              </w:rPr>
            </w:pPr>
            <w:r w:rsidRPr="001012B7">
              <w:t>(12)</w:t>
            </w:r>
            <w:r w:rsidRPr="001012B7">
              <w:tab/>
              <w:t xml:space="preserve">För att komplettera och säkerställa full </w:t>
            </w:r>
            <w:r w:rsidRPr="001012B7">
              <w:rPr>
                <w:b/>
                <w:bCs/>
                <w:i/>
                <w:iCs/>
              </w:rPr>
              <w:t>samstämdhet</w:t>
            </w:r>
            <w:r w:rsidRPr="001012B7">
              <w:rPr>
                <w:b/>
                <w:bCs/>
              </w:rPr>
              <w:t xml:space="preserve"> </w:t>
            </w:r>
            <w:r w:rsidRPr="001012B7">
              <w:t xml:space="preserve">med </w:t>
            </w:r>
            <w:r w:rsidRPr="001012B7">
              <w:rPr>
                <w:b/>
                <w:bCs/>
                <w:i/>
                <w:iCs/>
              </w:rPr>
              <w:t>asylförfarandet</w:t>
            </w:r>
            <w:r w:rsidRPr="001012B7">
              <w:t xml:space="preserve"> bör de behöriga myndigheterna i den medlemsstat som befinner sig i en situation där migranter instrumentaliseras ges den flexibilitet som krävs för att </w:t>
            </w:r>
            <w:r w:rsidRPr="001012B7">
              <w:rPr>
                <w:b/>
                <w:bCs/>
                <w:i/>
                <w:iCs/>
              </w:rPr>
              <w:t>efter asylförfarandet</w:t>
            </w:r>
            <w:r w:rsidRPr="001012B7">
              <w:t xml:space="preserve"> genomföra återvändandeförfaranden</w:t>
            </w:r>
            <w:r w:rsidRPr="001012B7">
              <w:rPr>
                <w:b/>
                <w:bCs/>
                <w:i/>
                <w:iCs/>
              </w:rPr>
              <w:t xml:space="preserve"> om en ansökan har avslagits gällande ett förfar</w:t>
            </w:r>
            <w:r w:rsidRPr="001012B7">
              <w:rPr>
                <w:b/>
                <w:bCs/>
                <w:i/>
                <w:iCs/>
              </w:rPr>
              <w:t>ande som avslutats utan att internationellt skydd beviljats</w:t>
            </w:r>
            <w:r w:rsidRPr="001012B7">
              <w:t>. Därför bör den berörda medlemsstaten i en instrumentaliseringssituation</w:t>
            </w:r>
            <w:r w:rsidRPr="001012B7">
              <w:rPr>
                <w:b/>
                <w:bCs/>
                <w:i/>
                <w:iCs/>
              </w:rPr>
              <w:t>, utan att det påverkar befintliga arrangemang om återtagande mellan unionen och ett tredjeland,</w:t>
            </w:r>
            <w:r w:rsidRPr="001012B7">
              <w:t xml:space="preserve"> tillåtas att avvika från ti</w:t>
            </w:r>
            <w:r w:rsidRPr="001012B7">
              <w:t>llämpningen av</w:t>
            </w:r>
            <w:r w:rsidRPr="001012B7">
              <w:rPr>
                <w:b/>
                <w:bCs/>
                <w:i/>
                <w:iCs/>
              </w:rPr>
              <w:t xml:space="preserve"> artikel 41a i förordning (EU) XXX/XXX [förordningen om asylförfaranden] och</w:t>
            </w:r>
            <w:r w:rsidRPr="001012B7">
              <w:t xml:space="preserve"> direktiv XXX/XXX [det omarbetade återvändandedirektivet]</w:t>
            </w:r>
            <w:r w:rsidRPr="001012B7">
              <w:rPr>
                <w:b/>
                <w:bCs/>
                <w:i/>
                <w:iCs/>
              </w:rPr>
              <w:t>, och att i stället tillämpa nationell rätt samtidigt som artikel 4.4 i direktiv XXX/XXX [det omarbetade åter</w:t>
            </w:r>
            <w:r w:rsidRPr="001012B7">
              <w:rPr>
                <w:b/>
                <w:bCs/>
                <w:i/>
                <w:iCs/>
              </w:rPr>
              <w:t>vändandedirektivet] gäller i tillämpliga delar</w:t>
            </w:r>
            <w:r w:rsidRPr="001012B7">
              <w:t>.</w:t>
            </w:r>
            <w:r w:rsidRPr="001012B7">
              <w:rPr>
                <w:b/>
                <w:i/>
              </w:rPr>
              <w:t xml:space="preserve"> </w:t>
            </w:r>
            <w:r w:rsidRPr="001012B7">
              <w:rPr>
                <w:b/>
                <w:bCs/>
                <w:i/>
                <w:iCs/>
              </w:rPr>
              <w:t>Artikel 4.4 i det direktivet innehåller grundläggande garantier som ska respekteras även i dessa fall.</w:t>
            </w:r>
            <w:r w:rsidRPr="001012B7">
              <w:t xml:space="preserve"> Om en efterföljande ansökan endast görs för att försena eller hindra återvändandet, är det möjligt för me</w:t>
            </w:r>
            <w:r w:rsidRPr="001012B7">
              <w:t xml:space="preserve">dlemsstater att tillämpa bestämmelserna i </w:t>
            </w:r>
            <w:r w:rsidRPr="001012B7">
              <w:rPr>
                <w:b/>
                <w:bCs/>
                <w:i/>
                <w:iCs/>
              </w:rPr>
              <w:t>[</w:t>
            </w:r>
            <w:r w:rsidRPr="001012B7">
              <w:t>artiklarna 42 och 43 i förordning (EU) XXX/XXX [förordningen om asylförfaranden]</w:t>
            </w:r>
            <w:r w:rsidRPr="001012B7">
              <w:rPr>
                <w:b/>
                <w:bCs/>
                <w:i/>
                <w:iCs/>
              </w:rPr>
              <w:t>]</w:t>
            </w:r>
            <w:r w:rsidRPr="001012B7">
              <w:t>.</w:t>
            </w:r>
          </w:p>
        </w:tc>
      </w:tr>
      <w:tr w:rsidR="00CC042E" w:rsidRPr="001012B7" w:rsidTr="00103A80">
        <w:trPr>
          <w:jc w:val="center"/>
        </w:trPr>
        <w:tc>
          <w:tcPr>
            <w:tcW w:w="4876" w:type="dxa"/>
          </w:tcPr>
          <w:p w:rsidR="00103A80" w:rsidRPr="001012B7" w:rsidRDefault="00F817DF" w:rsidP="00F817DF">
            <w:pPr>
              <w:pStyle w:val="Normal6"/>
              <w:widowControl/>
            </w:pPr>
            <w:r w:rsidRPr="001012B7">
              <w:t>__________________</w:t>
            </w:r>
          </w:p>
        </w:tc>
        <w:tc>
          <w:tcPr>
            <w:tcW w:w="4876" w:type="dxa"/>
          </w:tcPr>
          <w:p w:rsidR="00103A80" w:rsidRPr="001012B7" w:rsidRDefault="00F817DF" w:rsidP="00F817DF">
            <w:pPr>
              <w:pStyle w:val="Normal6"/>
              <w:widowControl/>
              <w:rPr>
                <w:szCs w:val="24"/>
              </w:rPr>
            </w:pPr>
            <w:r w:rsidRPr="001012B7">
              <w:t>__________________</w:t>
            </w:r>
          </w:p>
        </w:tc>
      </w:tr>
      <w:tr w:rsidR="00CC042E" w:rsidRPr="001012B7" w:rsidTr="00103A80">
        <w:trPr>
          <w:jc w:val="center"/>
        </w:trPr>
        <w:tc>
          <w:tcPr>
            <w:tcW w:w="4876" w:type="dxa"/>
          </w:tcPr>
          <w:p w:rsidR="00103A80" w:rsidRPr="001012B7" w:rsidRDefault="00F817DF" w:rsidP="00F817DF">
            <w:pPr>
              <w:pStyle w:val="Normal6"/>
              <w:widowControl/>
            </w:pPr>
            <w:r w:rsidRPr="001012B7">
              <w:rPr>
                <w:vertAlign w:val="superscript"/>
              </w:rPr>
              <w:t>22</w:t>
            </w:r>
            <w:r w:rsidRPr="001012B7">
              <w:t xml:space="preserve"> EUT C , , s. .</w:t>
            </w:r>
          </w:p>
        </w:tc>
        <w:tc>
          <w:tcPr>
            <w:tcW w:w="4876" w:type="dxa"/>
          </w:tcPr>
          <w:p w:rsidR="00103A80" w:rsidRPr="001012B7" w:rsidRDefault="00F817DF" w:rsidP="00F817DF">
            <w:pPr>
              <w:pStyle w:val="Normal6"/>
              <w:widowControl/>
              <w:rPr>
                <w:szCs w:val="24"/>
              </w:rPr>
            </w:pPr>
            <w:r w:rsidRPr="001012B7">
              <w:rPr>
                <w:vertAlign w:val="superscript"/>
              </w:rPr>
              <w:t>22</w:t>
            </w:r>
            <w:r w:rsidRPr="001012B7">
              <w:t xml:space="preserve"> EUT C , , s. .</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11</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14a (nytt)</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103A80" w:rsidP="00F817DF">
            <w:pPr>
              <w:pStyle w:val="Normal6"/>
              <w:widowControl/>
            </w:pPr>
          </w:p>
        </w:tc>
        <w:tc>
          <w:tcPr>
            <w:tcW w:w="4876" w:type="dxa"/>
          </w:tcPr>
          <w:p w:rsidR="00103A80" w:rsidRPr="001012B7" w:rsidRDefault="00F817DF" w:rsidP="00F817DF">
            <w:pPr>
              <w:pStyle w:val="Normal6"/>
              <w:widowControl/>
              <w:rPr>
                <w:szCs w:val="24"/>
              </w:rPr>
            </w:pPr>
            <w:r w:rsidRPr="001012B7">
              <w:rPr>
                <w:b/>
                <w:i/>
              </w:rPr>
              <w:t>(14a)</w:t>
            </w:r>
            <w:r w:rsidRPr="001012B7">
              <w:rPr>
                <w:b/>
                <w:i/>
              </w:rPr>
              <w:tab/>
              <w:t xml:space="preserve">I en instrumentaliseringssituation är det särskilt viktigt att alla åtgärder vidtas för att </w:t>
            </w:r>
            <w:r w:rsidRPr="001012B7">
              <w:rPr>
                <w:b/>
                <w:i/>
              </w:rPr>
              <w:t>förhindra irreguljär sekundär migration, samtidigt som man tillhandahåller fullt stöd till en eller flera medlemsstater som konfronteras med tredjelandsmedborgares eller statslösa personers ankomst som en följd av denna situation. Dessutom påverkar denna f</w:t>
            </w:r>
            <w:r w:rsidRPr="001012B7">
              <w:rPr>
                <w:b/>
                <w:i/>
              </w:rPr>
              <w:t>örordning inte medlemsstaternas ansvar för att upprätthålla lag och ordning och skydda den inre säkerheten.</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12</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18</w:t>
      </w:r>
      <w:r w:rsidRPr="001012B7">
        <w:rPr>
          <w:rStyle w:val="HideTWBExt"/>
          <w:b w:val="0"/>
        </w:rPr>
        <w:t>&lt;/A</w:t>
      </w:r>
      <w:r w:rsidRPr="001012B7">
        <w:rPr>
          <w:rStyle w:val="HideTWBExt"/>
          <w:b w:val="0"/>
        </w:rPr>
        <w:t>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(18)</w:t>
            </w:r>
            <w:r w:rsidRPr="001012B7">
              <w:tab/>
              <w:t>Om den berörda medlemsstaten begär att de relevanta undantag som fastställs i denna förordning ska tillämpas</w:t>
            </w:r>
            <w:r w:rsidRPr="001012B7">
              <w:rPr>
                <w:b/>
                <w:bCs/>
                <w:i/>
                <w:iCs/>
              </w:rPr>
              <w:t>, och med beaktande av</w:t>
            </w:r>
            <w:r w:rsidRPr="001012B7">
              <w:t xml:space="preserve"> huruvida Europeiska rådet har erkänt att unionen eller en eller flera av dess medlemsstater befinner sig i en situation där migranter instrumentaliseras</w:t>
            </w:r>
            <w:r w:rsidRPr="001012B7">
              <w:rPr>
                <w:b/>
                <w:bCs/>
                <w:i/>
                <w:iCs/>
              </w:rPr>
              <w:t>, bör kommissionen vid behov lägga fram ett förslag om godkännande av en medlemsstats tillämpning av un</w:t>
            </w:r>
            <w:r w:rsidRPr="001012B7">
              <w:rPr>
                <w:b/>
                <w:bCs/>
                <w:i/>
                <w:iCs/>
              </w:rPr>
              <w:t>dantagsreglerna i denna förordning</w:t>
            </w:r>
            <w:r w:rsidRPr="001012B7">
              <w:t>.</w:t>
            </w:r>
            <w:r w:rsidRPr="001012B7">
              <w:rPr>
                <w:b/>
                <w:i/>
              </w:rPr>
              <w:t xml:space="preserve"> </w:t>
            </w:r>
            <w:r w:rsidRPr="001012B7">
              <w:rPr>
                <w:b/>
                <w:bCs/>
                <w:i/>
                <w:iCs/>
              </w:rPr>
              <w:t>För att säkerställa en hög nivå av politisk granskning och stöd och för att stärka unionens solidaritet med den medlemsstat som står inför en</w:t>
            </w:r>
            <w:r w:rsidRPr="001012B7">
              <w:t xml:space="preserve"> </w:t>
            </w:r>
            <w:r w:rsidRPr="001012B7">
              <w:rPr>
                <w:b/>
                <w:bCs/>
                <w:i/>
                <w:iCs/>
              </w:rPr>
              <w:t>instrumentalisering</w:t>
            </w:r>
            <w:r w:rsidRPr="001012B7">
              <w:t xml:space="preserve"> av migranter</w:t>
            </w:r>
            <w:r w:rsidRPr="001012B7">
              <w:rPr>
                <w:b/>
                <w:bCs/>
                <w:i/>
                <w:iCs/>
              </w:rPr>
              <w:t>, bör</w:t>
            </w:r>
            <w:r w:rsidRPr="001012B7">
              <w:t xml:space="preserve"> genomförandebefogenheter </w:t>
            </w:r>
            <w:r w:rsidRPr="001012B7">
              <w:rPr>
                <w:b/>
                <w:bCs/>
                <w:i/>
                <w:iCs/>
              </w:rPr>
              <w:t>tilldelas rådet</w:t>
            </w:r>
            <w:r w:rsidRPr="001012B7">
              <w:rPr>
                <w:b/>
                <w:bCs/>
                <w:i/>
                <w:iCs/>
              </w:rPr>
              <w:t>.</w:t>
            </w:r>
            <w:r w:rsidRPr="001012B7">
              <w:rPr>
                <w:b/>
                <w:i/>
              </w:rPr>
              <w:t xml:space="preserve"> </w:t>
            </w:r>
            <w:r w:rsidRPr="001012B7">
              <w:rPr>
                <w:b/>
                <w:bCs/>
                <w:i/>
                <w:iCs/>
              </w:rPr>
              <w:t>Därför bör det</w:t>
            </w:r>
            <w:r w:rsidRPr="001012B7">
              <w:t xml:space="preserve"> genomförandebeslut </w:t>
            </w:r>
            <w:r w:rsidRPr="001012B7">
              <w:rPr>
                <w:b/>
                <w:bCs/>
                <w:i/>
                <w:iCs/>
              </w:rPr>
              <w:t>som</w:t>
            </w:r>
            <w:r w:rsidRPr="001012B7">
              <w:t xml:space="preserve"> godkänner att </w:t>
            </w:r>
            <w:r w:rsidRPr="001012B7">
              <w:rPr>
                <w:b/>
                <w:bCs/>
                <w:i/>
                <w:iCs/>
              </w:rPr>
              <w:t>medlemsstaten</w:t>
            </w:r>
            <w:r w:rsidRPr="001012B7">
              <w:t xml:space="preserve"> tillämpar </w:t>
            </w:r>
            <w:r w:rsidRPr="001012B7">
              <w:rPr>
                <w:b/>
                <w:bCs/>
                <w:i/>
                <w:iCs/>
              </w:rPr>
              <w:t xml:space="preserve">undantagsregler antas av </w:t>
            </w:r>
            <w:r w:rsidRPr="001012B7">
              <w:t>rådet.</w:t>
            </w:r>
          </w:p>
        </w:tc>
        <w:tc>
          <w:tcPr>
            <w:tcW w:w="4876" w:type="dxa"/>
          </w:tcPr>
          <w:p w:rsidR="00103A80" w:rsidRPr="001012B7" w:rsidRDefault="00F817DF" w:rsidP="00F817DF">
            <w:pPr>
              <w:pStyle w:val="Normal6"/>
              <w:widowControl/>
              <w:rPr>
                <w:szCs w:val="24"/>
              </w:rPr>
            </w:pPr>
            <w:r w:rsidRPr="001012B7">
              <w:t>(18)</w:t>
            </w:r>
            <w:r w:rsidRPr="001012B7">
              <w:tab/>
              <w:t xml:space="preserve">Om den berörda medlemsstaten begär att de relevanta undantag som fastställs i denna förordning ska tillämpas </w:t>
            </w:r>
            <w:r w:rsidRPr="001012B7">
              <w:rPr>
                <w:b/>
                <w:bCs/>
                <w:i/>
                <w:iCs/>
              </w:rPr>
              <w:t>på grundval av bevis för att det föreligger en instrumentaliseringssituation bör kommissionen lägga fram ett förslag om att godkänna att en medlemsstat tillämpar de undantag som föreskrivs i denna förordning.</w:t>
            </w:r>
            <w:r w:rsidRPr="001012B7">
              <w:rPr>
                <w:b/>
                <w:i/>
              </w:rPr>
              <w:t xml:space="preserve"> Kommissionen bör också, om den anser det lämpli</w:t>
            </w:r>
            <w:r w:rsidRPr="001012B7">
              <w:rPr>
                <w:b/>
                <w:i/>
              </w:rPr>
              <w:t xml:space="preserve">gt, kunna lägga fram ett sådant förslag på grundval av den information som lämnats av den begärande medlemsstaten. </w:t>
            </w:r>
            <w:r w:rsidRPr="001012B7">
              <w:rPr>
                <w:b/>
                <w:bCs/>
                <w:i/>
                <w:iCs/>
              </w:rPr>
              <w:t>För att säkerställa en hög nivå av politisk granskning och stöd och som ett uttryck för unionens solidaritet är det dessutom nödvändigt att b</w:t>
            </w:r>
            <w:r w:rsidRPr="001012B7">
              <w:rPr>
                <w:b/>
                <w:bCs/>
                <w:i/>
                <w:iCs/>
              </w:rPr>
              <w:t>eakta</w:t>
            </w:r>
            <w:r w:rsidRPr="001012B7">
              <w:t xml:space="preserve"> huruvida Europeiska rådet har erkänt att unionen eller en eller flera av dess medlemsstater befinner sig i en situation där migranter instrumentaliseras.</w:t>
            </w:r>
            <w:r w:rsidRPr="001012B7">
              <w:rPr>
                <w:b/>
                <w:i/>
              </w:rPr>
              <w:t xml:space="preserve"> </w:t>
            </w:r>
            <w:r w:rsidRPr="001012B7">
              <w:rPr>
                <w:b/>
                <w:bCs/>
                <w:i/>
                <w:iCs/>
              </w:rPr>
              <w:t>Instrumentaliseringen</w:t>
            </w:r>
            <w:r w:rsidRPr="001012B7">
              <w:t xml:space="preserve"> av migranter </w:t>
            </w:r>
            <w:r w:rsidRPr="001012B7">
              <w:rPr>
                <w:b/>
                <w:bCs/>
                <w:i/>
                <w:iCs/>
              </w:rPr>
              <w:t>riskerar att äventyra väsentliga funktioner i en medlemsstat,</w:t>
            </w:r>
            <w:r w:rsidRPr="001012B7">
              <w:rPr>
                <w:b/>
                <w:bCs/>
                <w:i/>
                <w:iCs/>
              </w:rPr>
              <w:t xml:space="preserve"> däribland upprätthållandet av lag och ordning eller skyddet av den nationella säkerheten.</w:t>
            </w:r>
            <w:r w:rsidRPr="001012B7">
              <w:rPr>
                <w:b/>
                <w:i/>
              </w:rPr>
              <w:t xml:space="preserve"> </w:t>
            </w:r>
            <w:r w:rsidRPr="001012B7">
              <w:rPr>
                <w:b/>
                <w:bCs/>
                <w:i/>
                <w:iCs/>
              </w:rPr>
              <w:t>Därför bör rådet tilldelas</w:t>
            </w:r>
            <w:r w:rsidRPr="001012B7">
              <w:t xml:space="preserve"> genomförandebefogenheter </w:t>
            </w:r>
            <w:r w:rsidRPr="001012B7">
              <w:rPr>
                <w:b/>
                <w:bCs/>
                <w:i/>
                <w:iCs/>
              </w:rPr>
              <w:t>att anta ett</w:t>
            </w:r>
            <w:r w:rsidRPr="001012B7">
              <w:t xml:space="preserve"> genomförandebeslut </w:t>
            </w:r>
            <w:r w:rsidRPr="001012B7">
              <w:rPr>
                <w:b/>
                <w:bCs/>
                <w:i/>
                <w:iCs/>
              </w:rPr>
              <w:t>varigenom det</w:t>
            </w:r>
            <w:r w:rsidRPr="001012B7">
              <w:t xml:space="preserve"> godkänner att </w:t>
            </w:r>
            <w:r w:rsidRPr="001012B7">
              <w:rPr>
                <w:b/>
                <w:bCs/>
                <w:i/>
                <w:iCs/>
              </w:rPr>
              <w:t>en medlemsstat</w:t>
            </w:r>
            <w:r w:rsidRPr="001012B7">
              <w:t xml:space="preserve"> tillämpar </w:t>
            </w:r>
            <w:r w:rsidRPr="001012B7">
              <w:rPr>
                <w:b/>
                <w:bCs/>
                <w:i/>
                <w:iCs/>
              </w:rPr>
              <w:t>de undantag som föreskrivs i</w:t>
            </w:r>
            <w:r w:rsidRPr="001012B7">
              <w:rPr>
                <w:b/>
                <w:bCs/>
                <w:i/>
                <w:iCs/>
              </w:rPr>
              <w:t xml:space="preserve"> denna förordning.</w:t>
            </w:r>
            <w:r w:rsidRPr="001012B7">
              <w:t xml:space="preserve"> Rådet </w:t>
            </w:r>
            <w:r w:rsidRPr="001012B7">
              <w:rPr>
                <w:b/>
                <w:bCs/>
                <w:i/>
                <w:iCs/>
              </w:rPr>
              <w:t>bör också ges befogenhet att upphäva tillämpningen av de undantag som föreskrivs i denna förordning eller att förlänga deras tillämpning med upp till sex månader på grundval av kommissionens förslag, beroende på om de omständighete</w:t>
            </w:r>
            <w:r w:rsidRPr="001012B7">
              <w:rPr>
                <w:b/>
                <w:bCs/>
                <w:i/>
                <w:iCs/>
              </w:rPr>
              <w:t>r som motiverade införandet av undantagen kvarstår eller inte</w:t>
            </w:r>
            <w:r w:rsidRPr="001012B7">
              <w:t xml:space="preserve">. </w:t>
            </w:r>
            <w:r w:rsidRPr="001012B7">
              <w:rPr>
                <w:b/>
                <w:bCs/>
                <w:i/>
                <w:iCs/>
              </w:rPr>
              <w:t>Ett beslut om förlängning kan inbegripa en ändring av de tillämpliga undantagen.</w:t>
            </w:r>
            <w:r w:rsidRPr="001012B7">
              <w:rPr>
                <w:b/>
                <w:i/>
              </w:rPr>
              <w:t xml:space="preserve"> Vid utövandet av sina befogenheter och fullgörandet av sina skyldigheter bör kommissionen och rådet under alla o</w:t>
            </w:r>
            <w:r w:rsidRPr="001012B7">
              <w:rPr>
                <w:b/>
                <w:i/>
              </w:rPr>
              <w:t>mständigheter säkerställa att proportionalitetsprincipen respekteras.</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13</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18a (nytt)</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 xml:space="preserve">Kommissionens </w:t>
            </w:r>
            <w:r w:rsidRPr="001012B7">
              <w:t>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103A80" w:rsidP="00F817DF">
            <w:pPr>
              <w:pStyle w:val="Normal6"/>
              <w:widowControl/>
            </w:pPr>
          </w:p>
        </w:tc>
        <w:tc>
          <w:tcPr>
            <w:tcW w:w="4876" w:type="dxa"/>
          </w:tcPr>
          <w:p w:rsidR="00103A80" w:rsidRPr="001012B7" w:rsidRDefault="00F817DF" w:rsidP="00F817DF">
            <w:pPr>
              <w:pStyle w:val="Normal6"/>
              <w:widowControl/>
              <w:rPr>
                <w:szCs w:val="24"/>
              </w:rPr>
            </w:pPr>
            <w:r w:rsidRPr="001012B7">
              <w:rPr>
                <w:b/>
                <w:i/>
              </w:rPr>
              <w:t>(18a)</w:t>
            </w:r>
            <w:r w:rsidRPr="001012B7">
              <w:rPr>
                <w:b/>
                <w:i/>
              </w:rPr>
              <w:tab/>
              <w:t>Ett genomförandebeslut från rådet bör vara nödvändigt endast i särskilda fall, framför allt om instrumentaliseringen utgör en nödsituation som kännetecknas av anstiftan till irreguljär migration till unionen och dess art ell</w:t>
            </w:r>
            <w:r w:rsidRPr="001012B7">
              <w:rPr>
                <w:b/>
                <w:i/>
              </w:rPr>
              <w:t>er det faktum att den kombineras med andra hybridattacker skulle kunna utgöra en risk för statens väsentliga funktioner, inbegripet territoriell integritet, upprätthållandet av lag och ordning eller skyddet av den nationella säkerheten, eller om instrument</w:t>
            </w:r>
            <w:r w:rsidRPr="001012B7">
              <w:rPr>
                <w:b/>
                <w:i/>
              </w:rPr>
              <w:t>aliseringen utgör en nödsituation som kännetecknas av en oväntad betydande ökning av antalet asylansökningsärenden vid den yttre gränsen.</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14</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19</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(19)</w:t>
            </w:r>
            <w:r w:rsidRPr="001012B7">
              <w:tab/>
              <w:t>Rådets genomförandebeslut bör innehålla ett godkännande av de särskilda undantag som den medlemsstat som konfronteras med instrumentalisering av migranter skulle kunna til</w:t>
            </w:r>
            <w:r w:rsidRPr="001012B7">
              <w:t>lämpa, och fastställa det datum från och med vilket de bör tillämpas samt deras varaktighet.</w:t>
            </w:r>
          </w:p>
        </w:tc>
        <w:tc>
          <w:tcPr>
            <w:tcW w:w="4876" w:type="dxa"/>
          </w:tcPr>
          <w:p w:rsidR="00103A80" w:rsidRPr="001012B7" w:rsidRDefault="00F817DF" w:rsidP="00F817DF">
            <w:pPr>
              <w:pStyle w:val="Normal6"/>
              <w:widowControl/>
              <w:rPr>
                <w:szCs w:val="24"/>
              </w:rPr>
            </w:pPr>
            <w:r w:rsidRPr="001012B7">
              <w:t>(19)</w:t>
            </w:r>
            <w:r w:rsidRPr="001012B7">
              <w:tab/>
              <w:t>Rådets genomförandebeslut bör innehålla ett godkännande av de särskilda undantag som den medlemsstat som konfronteras med instrumentalisering av migranter sku</w:t>
            </w:r>
            <w:r w:rsidRPr="001012B7">
              <w:t xml:space="preserve">lle kunna tillämpa, och fastställa det datum från och med vilket de bör tillämpas samt deras varaktighet. </w:t>
            </w:r>
            <w:r w:rsidRPr="001012B7">
              <w:rPr>
                <w:b/>
                <w:i/>
              </w:rPr>
              <w:t>I beslutet bör också de skäl anges som ligger till grund för det liksom vilka personer som omfattas av undantagen.</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w:t>
      </w:r>
      <w:r w:rsidRPr="001012B7">
        <w:rPr>
          <w:rStyle w:val="HideTWBExt"/>
        </w:rPr>
        <w: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15</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Skäl 20</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(20)</w:t>
            </w:r>
            <w:r w:rsidRPr="001012B7">
              <w:tab/>
              <w:t xml:space="preserve">För att hjälpa den berörda medlemsstaten att tillhandahålla nödvändigt bistånd till </w:t>
            </w:r>
            <w:r w:rsidRPr="001012B7">
              <w:t>tredjelandsmedborgare som omfattas av denna förordning, inbegripet genom att främja frivilligt återvändande eller genom att fullgöra sina humanitära uppgifter, bör FN-organ och andra relevanta partnerorganisationer, i synnerhet Internationella organisation</w:t>
            </w:r>
            <w:r w:rsidRPr="001012B7">
              <w:t>en för migration och Internationella rödakors- och rödahalvmånefederationen ha faktiskt tillträde till gränsen på de villkor som anges i direktiv (EU) XXX/XXX [det omarbetade direktivet om mottagningsvillkor] och förordning (EU) XXX/XXX [förordningen om as</w:t>
            </w:r>
            <w:r w:rsidRPr="001012B7">
              <w:t xml:space="preserve">ylförfaranden]. </w:t>
            </w:r>
            <w:r w:rsidRPr="001012B7">
              <w:rPr>
                <w:b/>
                <w:bCs/>
                <w:i/>
                <w:iCs/>
              </w:rPr>
              <w:t>I enlighet med förordning (EU) XXX/XXX [förordningen om asylförfaranden] bör</w:t>
            </w:r>
            <w:r w:rsidRPr="001012B7">
              <w:t xml:space="preserve"> FN:s flyktingkommissariat ges möjlighet att ta kontakt med sökande, även de som befinner sig vid gränsen. Den berörda medlemsstaten bör därför </w:t>
            </w:r>
            <w:r w:rsidRPr="001012B7">
              <w:rPr>
                <w:b/>
                <w:bCs/>
                <w:i/>
                <w:iCs/>
              </w:rPr>
              <w:t>ha ett nära</w:t>
            </w:r>
            <w:r w:rsidRPr="001012B7">
              <w:t xml:space="preserve"> samarbet</w:t>
            </w:r>
            <w:r w:rsidRPr="001012B7">
              <w:t xml:space="preserve">e med </w:t>
            </w:r>
            <w:r w:rsidRPr="001012B7">
              <w:rPr>
                <w:b/>
                <w:bCs/>
                <w:i/>
                <w:iCs/>
              </w:rPr>
              <w:t>FN-organ och relevanta partnerorganisationer</w:t>
            </w:r>
            <w:r w:rsidRPr="001012B7">
              <w:t>.</w:t>
            </w:r>
          </w:p>
        </w:tc>
        <w:tc>
          <w:tcPr>
            <w:tcW w:w="4876" w:type="dxa"/>
          </w:tcPr>
          <w:p w:rsidR="00103A80" w:rsidRPr="001012B7" w:rsidRDefault="00F817DF" w:rsidP="00F817DF">
            <w:pPr>
              <w:pStyle w:val="Normal6"/>
              <w:widowControl/>
              <w:rPr>
                <w:szCs w:val="24"/>
              </w:rPr>
            </w:pPr>
            <w:r w:rsidRPr="001012B7">
              <w:t>(20)</w:t>
            </w:r>
            <w:r w:rsidRPr="001012B7">
              <w:tab/>
              <w:t xml:space="preserve">För att hjälpa den berörda medlemsstaten att tillhandahålla nödvändigt bistånd till tredjelandsmedborgare </w:t>
            </w:r>
            <w:r w:rsidRPr="001012B7">
              <w:rPr>
                <w:b/>
                <w:bCs/>
                <w:i/>
                <w:iCs/>
              </w:rPr>
              <w:t>eller statslösa personer</w:t>
            </w:r>
            <w:r w:rsidRPr="001012B7">
              <w:t xml:space="preserve"> som omfattas av denna förordning, inbegripet genom att främja frivilligt återvändande eller genom att fullgöra sina humanitära uppgifter, bör FN-organ</w:t>
            </w:r>
            <w:r w:rsidRPr="001012B7">
              <w:rPr>
                <w:b/>
                <w:bCs/>
                <w:i/>
                <w:iCs/>
              </w:rPr>
              <w:t>, särskilt FN:s flyktingkommissariat,</w:t>
            </w:r>
            <w:r w:rsidRPr="001012B7">
              <w:t xml:space="preserve"> och andra relevanta partnerorganisationer </w:t>
            </w:r>
            <w:r w:rsidRPr="001012B7">
              <w:rPr>
                <w:b/>
                <w:bCs/>
                <w:i/>
                <w:iCs/>
              </w:rPr>
              <w:t>som anförtrotts särskilda</w:t>
            </w:r>
            <w:r w:rsidRPr="001012B7">
              <w:rPr>
                <w:b/>
                <w:bCs/>
                <w:i/>
                <w:iCs/>
              </w:rPr>
              <w:t xml:space="preserve"> uppgifter av medlemsstaterna</w:t>
            </w:r>
            <w:r w:rsidRPr="001012B7">
              <w:t>, i synnerhet Internationella organisationen för migration och Internationella rödakors- och rödahalvmånefederationen</w:t>
            </w:r>
            <w:r w:rsidRPr="001012B7">
              <w:rPr>
                <w:b/>
                <w:bCs/>
                <w:i/>
                <w:iCs/>
              </w:rPr>
              <w:t>,</w:t>
            </w:r>
            <w:r w:rsidRPr="001012B7">
              <w:t xml:space="preserve"> ha faktiskt tillträde till gränsen på de villkor som anges i direktiv (EU) XXX/XXX [det omarbetade direktive</w:t>
            </w:r>
            <w:r w:rsidRPr="001012B7">
              <w:t xml:space="preserve">t om mottagningsvillkor] och förordning (EU) XXX/XXX [förordningen om asylförfaranden]. FN:s flyktingkommissariat </w:t>
            </w:r>
            <w:r w:rsidRPr="001012B7">
              <w:rPr>
                <w:b/>
                <w:bCs/>
                <w:i/>
                <w:iCs/>
              </w:rPr>
              <w:t>bör</w:t>
            </w:r>
            <w:r w:rsidRPr="001012B7">
              <w:t xml:space="preserve"> ges möjlighet att ta kontakt med sökande, även de som befinner sig vid gränsen. Den berörda medlemsstaten bör därför </w:t>
            </w:r>
            <w:r w:rsidRPr="001012B7">
              <w:rPr>
                <w:b/>
                <w:bCs/>
                <w:i/>
                <w:iCs/>
              </w:rPr>
              <w:t>upprätthålla</w:t>
            </w:r>
            <w:r w:rsidRPr="001012B7">
              <w:t xml:space="preserve"> samarbet</w:t>
            </w:r>
            <w:r w:rsidRPr="001012B7">
              <w:t xml:space="preserve">e med </w:t>
            </w:r>
            <w:r w:rsidRPr="001012B7">
              <w:rPr>
                <w:b/>
                <w:bCs/>
                <w:i/>
                <w:iCs/>
              </w:rPr>
              <w:t>dessa</w:t>
            </w:r>
            <w:r w:rsidRPr="001012B7">
              <w:t xml:space="preserve"> </w:t>
            </w:r>
            <w:r w:rsidRPr="001012B7">
              <w:rPr>
                <w:b/>
                <w:bCs/>
                <w:i/>
                <w:iCs/>
              </w:rPr>
              <w:t>organisationer</w:t>
            </w:r>
            <w:r w:rsidRPr="001012B7">
              <w:t>.</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16</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1 – stycke 1</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 xml:space="preserve">I denna förordning föreskrivs särskilda regler </w:t>
            </w:r>
            <w:r w:rsidRPr="001012B7">
              <w:rPr>
                <w:b/>
                <w:bCs/>
                <w:i/>
                <w:iCs/>
              </w:rPr>
              <w:t>om undantag</w:t>
            </w:r>
            <w:r w:rsidRPr="001012B7">
              <w:t xml:space="preserve"> från reglerna i förordning (EU) XXX/XXX [förordningen om asylförfaranden], direktiv (EU) XXX/XXX [det omarbetade direktivet om mottagningsvillkor] och direktiv (EU) XXX/XXX [det omarbetade återvänd</w:t>
            </w:r>
            <w:r w:rsidRPr="001012B7">
              <w:t xml:space="preserve">andedirektivet] som kan tillämpas av en medlemsstat i en </w:t>
            </w:r>
            <w:r w:rsidRPr="001012B7">
              <w:rPr>
                <w:b/>
                <w:bCs/>
                <w:i/>
                <w:iCs/>
              </w:rPr>
              <w:t>situation med instrumentalisering</w:t>
            </w:r>
            <w:r w:rsidRPr="001012B7">
              <w:t xml:space="preserve"> </w:t>
            </w:r>
            <w:r w:rsidRPr="001012B7">
              <w:rPr>
                <w:b/>
                <w:bCs/>
                <w:i/>
                <w:iCs/>
              </w:rPr>
              <w:t>av migranter</w:t>
            </w:r>
            <w:r w:rsidRPr="001012B7">
              <w:t xml:space="preserve"> enligt definitionen i </w:t>
            </w:r>
            <w:r w:rsidRPr="001012B7">
              <w:rPr>
                <w:b/>
                <w:bCs/>
                <w:i/>
                <w:iCs/>
              </w:rPr>
              <w:t>[artikel 2.27] i kodexen om Schengengränserna</w:t>
            </w:r>
            <w:r w:rsidRPr="001012B7">
              <w:t xml:space="preserve"> när </w:t>
            </w:r>
            <w:r w:rsidRPr="001012B7">
              <w:rPr>
                <w:b/>
                <w:bCs/>
                <w:i/>
                <w:iCs/>
              </w:rPr>
              <w:t>det krävs</w:t>
            </w:r>
            <w:r w:rsidRPr="001012B7">
              <w:t xml:space="preserve"> för att medlemsstaten ska kunna hantera en sådan situation. Den innehå</w:t>
            </w:r>
            <w:r w:rsidRPr="001012B7">
              <w:t>ller också särskilda regler om stöd- och solidaritetsåtgärder som kan vidtas i en sådan situation.</w:t>
            </w:r>
          </w:p>
        </w:tc>
        <w:tc>
          <w:tcPr>
            <w:tcW w:w="4876" w:type="dxa"/>
          </w:tcPr>
          <w:p w:rsidR="00103A80" w:rsidRPr="001012B7" w:rsidRDefault="00F817DF" w:rsidP="00F817DF">
            <w:pPr>
              <w:pStyle w:val="Normal6"/>
              <w:widowControl/>
              <w:rPr>
                <w:szCs w:val="24"/>
              </w:rPr>
            </w:pPr>
            <w:r w:rsidRPr="001012B7">
              <w:rPr>
                <w:b/>
                <w:i/>
              </w:rPr>
              <w:t>1.</w:t>
            </w:r>
            <w:r w:rsidRPr="001012B7">
              <w:t xml:space="preserve"> I denna förordning föreskrivs särskilda regler </w:t>
            </w:r>
            <w:r w:rsidRPr="001012B7">
              <w:rPr>
                <w:b/>
                <w:bCs/>
                <w:i/>
                <w:iCs/>
              </w:rPr>
              <w:t>som undantagsvis avviker</w:t>
            </w:r>
            <w:r w:rsidRPr="001012B7">
              <w:t xml:space="preserve"> från reglerna i förordning (EU) XXX/XXX [förordningen om asylförfaranden], direkti</w:t>
            </w:r>
            <w:r w:rsidRPr="001012B7">
              <w:t xml:space="preserve">v (EU) XXX/XXX [det omarbetade direktivet om mottagningsvillkor] och direktiv (EU) XXX/XXX [det omarbetade återvändandedirektivet] </w:t>
            </w:r>
            <w:r w:rsidRPr="001012B7">
              <w:rPr>
                <w:b/>
                <w:bCs/>
                <w:i/>
                <w:iCs/>
              </w:rPr>
              <w:t xml:space="preserve">och </w:t>
            </w:r>
            <w:r w:rsidRPr="001012B7">
              <w:t xml:space="preserve">som kan tillämpas av en medlemsstat i en </w:t>
            </w:r>
            <w:r w:rsidRPr="001012B7">
              <w:rPr>
                <w:b/>
                <w:bCs/>
                <w:i/>
                <w:iCs/>
              </w:rPr>
              <w:t>instrumentaliseringssituation</w:t>
            </w:r>
            <w:r w:rsidRPr="001012B7">
              <w:t xml:space="preserve"> enligt definitionen i </w:t>
            </w:r>
            <w:r w:rsidRPr="001012B7">
              <w:rPr>
                <w:b/>
                <w:bCs/>
                <w:i/>
                <w:iCs/>
              </w:rPr>
              <w:t>punkt 1a</w:t>
            </w:r>
            <w:r w:rsidRPr="001012B7">
              <w:t xml:space="preserve"> när </w:t>
            </w:r>
            <w:r w:rsidRPr="001012B7">
              <w:rPr>
                <w:b/>
                <w:bCs/>
                <w:i/>
                <w:iCs/>
              </w:rPr>
              <w:t xml:space="preserve">detta är </w:t>
            </w:r>
            <w:r w:rsidRPr="001012B7">
              <w:rPr>
                <w:b/>
                <w:bCs/>
                <w:i/>
                <w:iCs/>
              </w:rPr>
              <w:t>nödvändigt och proportionellt</w:t>
            </w:r>
            <w:r w:rsidRPr="001012B7">
              <w:t xml:space="preserve"> för att medlemsstaten ska kunna hantera en sådan situation. Den innehåller också särskilda regler om stöd- och solidaritetsåtgärder som kan vidtas i en sådan situation. </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17</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1 – punkt 1a (ny)</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103A80" w:rsidP="00F817DF">
            <w:pPr>
              <w:pStyle w:val="Normal6"/>
              <w:widowControl/>
            </w:pPr>
          </w:p>
        </w:tc>
        <w:tc>
          <w:tcPr>
            <w:tcW w:w="4876" w:type="dxa"/>
          </w:tcPr>
          <w:p w:rsidR="00103A80" w:rsidRPr="001012B7" w:rsidRDefault="00F817DF" w:rsidP="00F817DF">
            <w:pPr>
              <w:pStyle w:val="Normal6"/>
              <w:widowControl/>
              <w:rPr>
                <w:szCs w:val="24"/>
              </w:rPr>
            </w:pPr>
            <w:r w:rsidRPr="001012B7">
              <w:rPr>
                <w:b/>
                <w:i/>
              </w:rPr>
              <w:t xml:space="preserve">1a. Med en situation med instrumentalisering av migranter avses en situation där ett </w:t>
            </w:r>
            <w:r w:rsidRPr="001012B7">
              <w:rPr>
                <w:b/>
                <w:i/>
              </w:rPr>
              <w:t>tredjeland eller en icke-statlig aktör uppmuntrar eller underlättar tredjelandsmedborgares eller statslösa personers förflyttning till de yttre gränserna enligt definitionen i artikel 2.2 i förordning (EU) 2016/0399 eller till en medlemsstat i syfte att de</w:t>
            </w:r>
            <w:r w:rsidRPr="001012B7">
              <w:rPr>
                <w:b/>
                <w:i/>
              </w:rPr>
              <w:t>stabilisera unionen eller en medlemsstat, när detta agerande riskerar att äventyra väsentliga funktioner i en medlemsstat, däribland upprätthållandet av lag och ordning eller skyddet av den nationella säkerheten.</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w:t>
      </w:r>
      <w:r w:rsidRPr="001012B7">
        <w:rPr>
          <w:rStyle w:val="HideTWBExt"/>
          <w:b w:val="0"/>
        </w:rPr>
        <w:t>Amend&gt;</w:t>
      </w:r>
      <w:r w:rsidRPr="001012B7">
        <w:t>Ändringsförslag</w:t>
      </w:r>
      <w:r w:rsidRPr="001012B7">
        <w:tab/>
      </w:r>
      <w:r w:rsidRPr="001012B7">
        <w:tab/>
      </w:r>
      <w:r w:rsidRPr="001012B7">
        <w:rPr>
          <w:rStyle w:val="HideTWBExt"/>
          <w:b w:val="0"/>
        </w:rPr>
        <w:t>&lt;NumAm&gt;</w:t>
      </w:r>
      <w:r w:rsidRPr="001012B7">
        <w:t>18</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2 – punkt 1 – inledningen</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1.</w:t>
            </w:r>
            <w:r w:rsidRPr="001012B7">
              <w:tab/>
            </w:r>
            <w:r w:rsidRPr="001012B7">
              <w:rPr>
                <w:b/>
                <w:bCs/>
                <w:i/>
                <w:iCs/>
              </w:rPr>
              <w:t>Vid sådan instrumentalisering av migranter som avses i artikel 1</w:t>
            </w:r>
            <w:r w:rsidRPr="001012B7">
              <w:t xml:space="preserve"> får den medlemsstat som konfronteras med tredjelandsmedborgares eller statslösa personers ankomst </w:t>
            </w:r>
            <w:r w:rsidRPr="001012B7">
              <w:rPr>
                <w:b/>
                <w:bCs/>
                <w:i/>
                <w:iCs/>
              </w:rPr>
              <w:t>till dess yttre gräns till följd av en sådan situation, på tredjelandsmedborgare eller statslösa personer</w:t>
            </w:r>
            <w:r w:rsidRPr="001012B7">
              <w:t xml:space="preserve"> som gripits eller påträffats i närheten av den yttr</w:t>
            </w:r>
            <w:r w:rsidRPr="001012B7">
              <w:t xml:space="preserve">e gränsen </w:t>
            </w:r>
            <w:r w:rsidRPr="001012B7">
              <w:rPr>
                <w:b/>
                <w:bCs/>
                <w:i/>
                <w:iCs/>
              </w:rPr>
              <w:t>till det tredjeland som instrumentaliserar migranter</w:t>
            </w:r>
            <w:r w:rsidRPr="001012B7">
              <w:t xml:space="preserve">, i samband med en obehörig gränspassage eller </w:t>
            </w:r>
            <w:r w:rsidRPr="001012B7">
              <w:rPr>
                <w:b/>
                <w:bCs/>
                <w:i/>
                <w:iCs/>
              </w:rPr>
              <w:t>efter det att de</w:t>
            </w:r>
            <w:r w:rsidRPr="001012B7">
              <w:t xml:space="preserve"> </w:t>
            </w:r>
            <w:r w:rsidRPr="001012B7">
              <w:rPr>
                <w:b/>
                <w:bCs/>
                <w:i/>
                <w:iCs/>
              </w:rPr>
              <w:t>har</w:t>
            </w:r>
            <w:r w:rsidRPr="001012B7">
              <w:t xml:space="preserve"> infunnit sig vid ett gränsövergångsställe, tillämpa ett eller flera av följande undantag</w:t>
            </w:r>
            <w:r w:rsidRPr="001012B7">
              <w:rPr>
                <w:b/>
                <w:bCs/>
                <w:i/>
                <w:iCs/>
              </w:rPr>
              <w:t>, i enlighet med förfarandet i artikel</w:t>
            </w:r>
            <w:r w:rsidRPr="001012B7">
              <w:rPr>
                <w:b/>
                <w:bCs/>
                <w:i/>
                <w:iCs/>
              </w:rPr>
              <w:t> 6</w:t>
            </w:r>
            <w:r w:rsidRPr="001012B7">
              <w:t>:</w:t>
            </w:r>
          </w:p>
        </w:tc>
        <w:tc>
          <w:tcPr>
            <w:tcW w:w="4876" w:type="dxa"/>
          </w:tcPr>
          <w:p w:rsidR="00103A80" w:rsidRPr="001012B7" w:rsidRDefault="00F817DF" w:rsidP="00F817DF">
            <w:pPr>
              <w:pStyle w:val="Normal6"/>
              <w:widowControl/>
              <w:rPr>
                <w:szCs w:val="24"/>
              </w:rPr>
            </w:pPr>
            <w:r w:rsidRPr="001012B7">
              <w:t>1.</w:t>
            </w:r>
            <w:r w:rsidRPr="001012B7">
              <w:tab/>
            </w:r>
            <w:r w:rsidRPr="001012B7">
              <w:rPr>
                <w:b/>
                <w:bCs/>
                <w:i/>
                <w:iCs/>
              </w:rPr>
              <w:t>I en instrumentaliseringssituation</w:t>
            </w:r>
            <w:r w:rsidRPr="001012B7">
              <w:rPr>
                <w:b/>
                <w:bCs/>
              </w:rPr>
              <w:t xml:space="preserve"> </w:t>
            </w:r>
            <w:r w:rsidRPr="001012B7">
              <w:t xml:space="preserve">får den medlemsstat som konfronteras med tredjelandsmedborgares eller statslösa personers ankomst </w:t>
            </w:r>
            <w:r w:rsidRPr="001012B7">
              <w:rPr>
                <w:b/>
                <w:bCs/>
                <w:i/>
                <w:iCs/>
              </w:rPr>
              <w:t xml:space="preserve">vilka har utsatts för instrumentalisering och antingen </w:t>
            </w:r>
            <w:r w:rsidRPr="001012B7">
              <w:t>gripits eller påträffats i närheten av den yttre gränsen, i s</w:t>
            </w:r>
            <w:r w:rsidRPr="001012B7">
              <w:t xml:space="preserve">amband med en obehörig gränspassage </w:t>
            </w:r>
            <w:r w:rsidRPr="001012B7">
              <w:rPr>
                <w:b/>
                <w:bCs/>
                <w:i/>
                <w:iCs/>
              </w:rPr>
              <w:t xml:space="preserve">landvägen, sjövägen eller luftvägen, landsatts efter sök- och räddningsinsatser </w:t>
            </w:r>
            <w:r w:rsidRPr="001012B7">
              <w:t xml:space="preserve">eller infunnit sig vid ett gränsövergångsställe, tillämpa ett eller flera av följande undantag </w:t>
            </w:r>
            <w:r w:rsidRPr="001012B7">
              <w:rPr>
                <w:b/>
                <w:bCs/>
                <w:i/>
                <w:iCs/>
              </w:rPr>
              <w:t>med avseende på dessa tredjelandsmedborgare o</w:t>
            </w:r>
            <w:r w:rsidRPr="001012B7">
              <w:rPr>
                <w:b/>
                <w:bCs/>
                <w:i/>
                <w:iCs/>
              </w:rPr>
              <w:t>ch statslösa personer</w:t>
            </w:r>
            <w:r w:rsidRPr="001012B7">
              <w:t>:</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19</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2 – punkt 1 – led a – stycke 2</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 xml:space="preserve">När den berörda medlemsstaten tillämpar detta undantag ska den prioritera registrering av ansökningar </w:t>
            </w:r>
            <w:r w:rsidRPr="001012B7">
              <w:rPr>
                <w:b/>
                <w:bCs/>
                <w:i/>
                <w:iCs/>
              </w:rPr>
              <w:t>som troligen är välgrundade</w:t>
            </w:r>
            <w:r w:rsidRPr="001012B7">
              <w:t xml:space="preserve"> samt ansökningar från ensamkommande barn </w:t>
            </w:r>
            <w:r w:rsidRPr="001012B7">
              <w:rPr>
                <w:b/>
                <w:bCs/>
                <w:i/>
                <w:iCs/>
              </w:rPr>
              <w:t>och</w:t>
            </w:r>
            <w:r w:rsidRPr="001012B7">
              <w:t xml:space="preserve"> underåriga och deras familjemedlemmar.</w:t>
            </w:r>
          </w:p>
        </w:tc>
        <w:tc>
          <w:tcPr>
            <w:tcW w:w="4876" w:type="dxa"/>
          </w:tcPr>
          <w:p w:rsidR="00103A80" w:rsidRPr="001012B7" w:rsidRDefault="00F817DF" w:rsidP="00F817DF">
            <w:pPr>
              <w:pStyle w:val="Normal6"/>
              <w:widowControl/>
              <w:rPr>
                <w:szCs w:val="24"/>
              </w:rPr>
            </w:pPr>
            <w:r w:rsidRPr="001012B7">
              <w:t xml:space="preserve">När den berörda medlemsstaten tillämpar detta undantag ska den prioritera registrering av ansökningar </w:t>
            </w:r>
            <w:r w:rsidRPr="001012B7">
              <w:rPr>
                <w:b/>
                <w:bCs/>
                <w:i/>
                <w:iCs/>
              </w:rPr>
              <w:t>från personer med särskilda mottagningsbehov enligt definitionen i [det omarbetade direktivet om mottagningsvillkor]</w:t>
            </w:r>
            <w:r w:rsidRPr="001012B7">
              <w:t xml:space="preserve"> samt ansökningar från ensamkommande b</w:t>
            </w:r>
            <w:r w:rsidRPr="001012B7">
              <w:t>arn</w:t>
            </w:r>
            <w:r w:rsidRPr="001012B7">
              <w:rPr>
                <w:b/>
                <w:bCs/>
                <w:i/>
                <w:iCs/>
              </w:rPr>
              <w:t xml:space="preserve">, </w:t>
            </w:r>
            <w:r w:rsidRPr="001012B7">
              <w:t xml:space="preserve">underåriga och deras familjemedlemmar. </w:t>
            </w:r>
            <w:r w:rsidRPr="001012B7">
              <w:rPr>
                <w:b/>
                <w:i/>
              </w:rPr>
              <w:t>Den berörda medlemsstaten får också prioritera registrering av ansökningar som troligen är välgrundade.</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tab/>
      </w:r>
      <w:r w:rsidRPr="001012B7">
        <w:rPr>
          <w:rStyle w:val="HideTWBExt"/>
          <w:b w:val="0"/>
        </w:rPr>
        <w:t>&lt;NumAm&gt;</w:t>
      </w:r>
      <w:r w:rsidRPr="001012B7">
        <w:t>20</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 xml:space="preserve">Förslag till </w:t>
      </w:r>
      <w:r w:rsidRPr="001012B7">
        <w:t>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2 – punkt 1 – led b – stycke 1</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(b)</w:t>
            </w:r>
            <w:r w:rsidRPr="001012B7">
              <w:tab/>
              <w:t xml:space="preserve">Genom undantag från artikel 41.2 a och b </w:t>
            </w:r>
            <w:r w:rsidRPr="001012B7">
              <w:rPr>
                <w:b/>
                <w:bCs/>
                <w:i/>
                <w:iCs/>
              </w:rPr>
              <w:t>och</w:t>
            </w:r>
            <w:r w:rsidRPr="001012B7">
              <w:t xml:space="preserve"> 41.5 i förordning (EU) XXX/XXX [</w:t>
            </w:r>
            <w:r w:rsidRPr="001012B7">
              <w:rPr>
                <w:b/>
                <w:bCs/>
                <w:i/>
                <w:iCs/>
              </w:rPr>
              <w:t>den ändrade</w:t>
            </w:r>
            <w:r w:rsidRPr="001012B7">
              <w:t xml:space="preserve"> förordningen om asylförfaranden]</w:t>
            </w:r>
            <w:r w:rsidRPr="001012B7">
              <w:rPr>
                <w:b/>
                <w:bCs/>
                <w:i/>
                <w:iCs/>
              </w:rPr>
              <w:t>,</w:t>
            </w:r>
            <w:r w:rsidRPr="001012B7">
              <w:t xml:space="preserve"> får medlemsstaten vid </w:t>
            </w:r>
            <w:r w:rsidRPr="001012B7">
              <w:rPr>
                <w:b/>
                <w:bCs/>
                <w:i/>
                <w:iCs/>
              </w:rPr>
              <w:t>sina gränser</w:t>
            </w:r>
            <w:r w:rsidRPr="001012B7">
              <w:t xml:space="preserve"> eller i transitzoner besluta om huruvida ansökningar som registrerats under den period under vilken </w:t>
            </w:r>
            <w:r w:rsidRPr="001012B7">
              <w:rPr>
                <w:b/>
                <w:bCs/>
                <w:i/>
                <w:iCs/>
              </w:rPr>
              <w:t>denna punkt</w:t>
            </w:r>
            <w:r w:rsidRPr="001012B7">
              <w:t xml:space="preserve"> tillämpas kan tas upp till prövning och om grunderna för dessa.</w:t>
            </w:r>
          </w:p>
        </w:tc>
        <w:tc>
          <w:tcPr>
            <w:tcW w:w="4876" w:type="dxa"/>
          </w:tcPr>
          <w:p w:rsidR="00103A80" w:rsidRPr="001012B7" w:rsidRDefault="00F817DF" w:rsidP="00F817DF">
            <w:pPr>
              <w:pStyle w:val="Normal6"/>
              <w:widowControl/>
              <w:rPr>
                <w:szCs w:val="24"/>
              </w:rPr>
            </w:pPr>
            <w:r w:rsidRPr="001012B7">
              <w:t>(b)</w:t>
            </w:r>
            <w:r w:rsidRPr="001012B7">
              <w:tab/>
              <w:t xml:space="preserve">Genom undantag från </w:t>
            </w:r>
            <w:r w:rsidRPr="001012B7">
              <w:rPr>
                <w:b/>
                <w:bCs/>
                <w:i/>
                <w:iCs/>
              </w:rPr>
              <w:t>[</w:t>
            </w:r>
            <w:r w:rsidRPr="001012B7">
              <w:t xml:space="preserve">artikel 41.2 a och </w:t>
            </w:r>
            <w:r w:rsidRPr="001012B7">
              <w:t>b</w:t>
            </w:r>
            <w:r w:rsidRPr="001012B7">
              <w:rPr>
                <w:b/>
                <w:bCs/>
                <w:i/>
                <w:iCs/>
              </w:rPr>
              <w:t>,</w:t>
            </w:r>
            <w:r w:rsidRPr="001012B7">
              <w:t xml:space="preserve"> 41.5 </w:t>
            </w:r>
            <w:r w:rsidRPr="001012B7">
              <w:rPr>
                <w:b/>
                <w:bCs/>
                <w:i/>
                <w:iCs/>
              </w:rPr>
              <w:t>och 41.9 a</w:t>
            </w:r>
            <w:r w:rsidRPr="001012B7">
              <w:t xml:space="preserve"> i förordning (EU) XXX/XXX [förordningen om asylförfaranden] </w:t>
            </w:r>
            <w:r w:rsidRPr="001012B7">
              <w:rPr>
                <w:b/>
                <w:bCs/>
                <w:i/>
                <w:iCs/>
              </w:rPr>
              <w:t xml:space="preserve">och i enlighet med artikel 41.13 och 41.14 i den förordningen </w:t>
            </w:r>
            <w:r w:rsidRPr="001012B7">
              <w:t>får medlemsstaten</w:t>
            </w:r>
            <w:r w:rsidRPr="001012B7">
              <w:rPr>
                <w:b/>
                <w:bCs/>
                <w:i/>
                <w:iCs/>
              </w:rPr>
              <w:t xml:space="preserve">, på plats </w:t>
            </w:r>
            <w:r w:rsidRPr="001012B7">
              <w:t xml:space="preserve">vid </w:t>
            </w:r>
            <w:r w:rsidRPr="001012B7">
              <w:rPr>
                <w:b/>
                <w:bCs/>
                <w:i/>
                <w:iCs/>
              </w:rPr>
              <w:t>den yttre gränsen, i närheten av den yttre gränsen</w:t>
            </w:r>
            <w:r w:rsidRPr="001012B7">
              <w:t xml:space="preserve"> eller i transitzoner </w:t>
            </w:r>
            <w:r w:rsidRPr="001012B7">
              <w:rPr>
                <w:b/>
                <w:bCs/>
                <w:i/>
                <w:iCs/>
              </w:rPr>
              <w:t xml:space="preserve">eller – om </w:t>
            </w:r>
            <w:r w:rsidRPr="001012B7">
              <w:rPr>
                <w:b/>
                <w:bCs/>
                <w:i/>
                <w:iCs/>
              </w:rPr>
              <w:t>den berörda medlemsstaten inte kan inkvartera de berörda personerna på dessa platser – på andra anvisade platser inom sitt territorium,</w:t>
            </w:r>
            <w:r w:rsidRPr="001012B7">
              <w:t xml:space="preserve"> besluta om huruvida </w:t>
            </w:r>
            <w:r w:rsidRPr="001012B7">
              <w:rPr>
                <w:b/>
                <w:bCs/>
                <w:i/>
                <w:iCs/>
              </w:rPr>
              <w:t>samtliga</w:t>
            </w:r>
            <w:r w:rsidRPr="001012B7">
              <w:t xml:space="preserve"> ansökningar </w:t>
            </w:r>
            <w:r w:rsidRPr="001012B7">
              <w:rPr>
                <w:b/>
                <w:bCs/>
                <w:i/>
                <w:iCs/>
              </w:rPr>
              <w:t>från tredjelandsmedborgare eller statslösa personer</w:t>
            </w:r>
            <w:r w:rsidRPr="001012B7">
              <w:t xml:space="preserve"> som registrerats under den </w:t>
            </w:r>
            <w:r w:rsidRPr="001012B7">
              <w:t xml:space="preserve">period under vilken </w:t>
            </w:r>
            <w:r w:rsidRPr="001012B7">
              <w:rPr>
                <w:b/>
                <w:bCs/>
                <w:i/>
                <w:iCs/>
              </w:rPr>
              <w:t>detta led</w:t>
            </w:r>
            <w:r w:rsidRPr="001012B7">
              <w:t xml:space="preserve"> tillämpas kan tas upp till prövning och grunderna för dessa.</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200600" w:rsidRPr="001012B7" w:rsidRDefault="00F817DF" w:rsidP="00F817DF">
      <w:pPr>
        <w:pStyle w:val="AMNumberTabs0"/>
        <w:keepNext/>
        <w:widowControl/>
        <w:rPr>
          <w:rStyle w:val="HideTWBExt"/>
          <w:rFonts w:ascii="Times New Roman" w:hAnsi="Times New Roman"/>
          <w:noProof w:val="0"/>
          <w:vanish w:val="0"/>
          <w:color w:val="auto"/>
          <w:sz w:val="24"/>
        </w:rPr>
      </w:pPr>
      <w:r w:rsidRPr="001012B7">
        <w:rPr>
          <w:rStyle w:val="HideTWBExt"/>
          <w:b w:val="0"/>
        </w:rPr>
        <w:t>&lt;Amend&gt;</w:t>
      </w:r>
      <w:r w:rsidRPr="001012B7">
        <w:t>Ändringsförslag</w:t>
      </w:r>
      <w:r w:rsidRPr="001012B7">
        <w:tab/>
      </w:r>
      <w:r w:rsidRPr="001012B7">
        <w:rPr>
          <w:rStyle w:val="HideTWBExt"/>
          <w:b w:val="0"/>
        </w:rPr>
        <w:t>&lt;NumAm&gt;</w:t>
      </w:r>
      <w:r w:rsidRPr="001012B7">
        <w:t>21</w:t>
      </w:r>
      <w:r w:rsidRPr="001012B7">
        <w:rPr>
          <w:rStyle w:val="HideTWBExt"/>
          <w:b w:val="0"/>
        </w:rPr>
        <w:t>&lt;/NumAm&gt;</w:t>
      </w:r>
    </w:p>
    <w:p w:rsidR="00103A80" w:rsidRPr="001012B7" w:rsidRDefault="00F817DF" w:rsidP="00F817DF">
      <w:pPr>
        <w:pStyle w:val="AMNumberTabs0"/>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 xml:space="preserve">Artikel 2 – punkt 1 – led b </w:t>
      </w:r>
      <w:r w:rsidRPr="001012B7">
        <w:t>– stycke 2</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När den berörda medlemsstaten tillämpar detta undantag ska den prioritera prövning av ansökningar om internationellt skydd som</w:t>
            </w:r>
            <w:r w:rsidRPr="001012B7">
              <w:rPr>
                <w:b/>
                <w:bCs/>
                <w:i/>
                <w:iCs/>
              </w:rPr>
              <w:t xml:space="preserve"> troligen är välgrundade</w:t>
            </w:r>
            <w:r w:rsidRPr="001012B7">
              <w:t xml:space="preserve"> samt ansökningar </w:t>
            </w:r>
            <w:r w:rsidRPr="001012B7">
              <w:rPr>
                <w:b/>
                <w:bCs/>
                <w:i/>
                <w:iCs/>
              </w:rPr>
              <w:t>som lämnats in av</w:t>
            </w:r>
            <w:r w:rsidRPr="001012B7">
              <w:t xml:space="preserve"> ensamkommande barn och underåriga och deras familjemedlemmar.</w:t>
            </w:r>
          </w:p>
        </w:tc>
        <w:tc>
          <w:tcPr>
            <w:tcW w:w="4876" w:type="dxa"/>
          </w:tcPr>
          <w:p w:rsidR="00103A80" w:rsidRPr="001012B7" w:rsidRDefault="00F817DF" w:rsidP="00F817DF">
            <w:pPr>
              <w:pStyle w:val="Normal6"/>
              <w:widowControl/>
              <w:rPr>
                <w:szCs w:val="24"/>
              </w:rPr>
            </w:pPr>
            <w:r w:rsidRPr="001012B7">
              <w:t xml:space="preserve">När den berörda medlemsstaten tillämpar detta undantag ska den prioritera prövning av ansökningar om internationellt skydd som </w:t>
            </w:r>
            <w:r w:rsidRPr="001012B7">
              <w:rPr>
                <w:b/>
                <w:bCs/>
                <w:i/>
                <w:iCs/>
              </w:rPr>
              <w:t>lämnats in av personer med särskilda förfarandebehov eller särskil</w:t>
            </w:r>
            <w:r w:rsidRPr="001012B7">
              <w:rPr>
                <w:b/>
                <w:bCs/>
                <w:i/>
                <w:iCs/>
              </w:rPr>
              <w:t>da mottagningsbehov enligt definitionen i [det omarbetade direktivet om mottagningsvillkor och förordningen om asylförfaranden]</w:t>
            </w:r>
            <w:r w:rsidRPr="001012B7">
              <w:t xml:space="preserve"> samt ansökningar </w:t>
            </w:r>
            <w:r w:rsidRPr="001012B7">
              <w:rPr>
                <w:b/>
                <w:bCs/>
                <w:i/>
                <w:iCs/>
              </w:rPr>
              <w:t>från</w:t>
            </w:r>
            <w:r w:rsidRPr="001012B7">
              <w:t xml:space="preserve"> ensamkommande barn och underåriga och deras familjemedlemmar. </w:t>
            </w:r>
            <w:r w:rsidRPr="001012B7">
              <w:rPr>
                <w:b/>
                <w:i/>
              </w:rPr>
              <w:t>Den berörda medlemsstaten får också priorite</w:t>
            </w:r>
            <w:r w:rsidRPr="001012B7">
              <w:rPr>
                <w:b/>
                <w:i/>
              </w:rPr>
              <w:t>ra prövning av ansökningar om internationellt skydd som troligen är välgrundade.</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22</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2 – punkt 1 – led c</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(c)</w:t>
            </w:r>
            <w:r w:rsidRPr="001012B7">
              <w:tab/>
              <w:t>Genom undantag från artikel 41.11 i förordning (EU) XXX/XXX [förordningen om asylförfaranden]</w:t>
            </w:r>
            <w:r w:rsidRPr="001012B7">
              <w:rPr>
                <w:b/>
                <w:bCs/>
                <w:i/>
                <w:iCs/>
              </w:rPr>
              <w:t>,</w:t>
            </w:r>
            <w:r w:rsidRPr="001012B7">
              <w:t xml:space="preserve"> ska</w:t>
            </w:r>
            <w:r w:rsidRPr="001012B7">
              <w:rPr>
                <w:b/>
                <w:bCs/>
                <w:i/>
                <w:iCs/>
              </w:rPr>
              <w:t xml:space="preserve"> förfarandet för asylhantering i nödsituationer</w:t>
            </w:r>
            <w:r w:rsidRPr="001012B7">
              <w:t xml:space="preserve"> som används för att pröva ansökningar som registrerats under den period då </w:t>
            </w:r>
            <w:r w:rsidRPr="001012B7">
              <w:rPr>
                <w:b/>
                <w:bCs/>
                <w:i/>
                <w:iCs/>
              </w:rPr>
              <w:t>denna punkt</w:t>
            </w:r>
            <w:r w:rsidRPr="001012B7">
              <w:t xml:space="preserve"> tillämpas vara </w:t>
            </w:r>
            <w:r w:rsidRPr="001012B7">
              <w:rPr>
                <w:b/>
                <w:bCs/>
                <w:i/>
                <w:iCs/>
              </w:rPr>
              <w:t>i</w:t>
            </w:r>
            <w:r w:rsidRPr="001012B7">
              <w:t xml:space="preserve"> högst </w:t>
            </w:r>
            <w:r w:rsidRPr="001012B7">
              <w:rPr>
                <w:b/>
                <w:bCs/>
                <w:i/>
                <w:iCs/>
              </w:rPr>
              <w:t>16</w:t>
            </w:r>
            <w:r w:rsidRPr="001012B7">
              <w:t xml:space="preserve"> veckor.</w:t>
            </w:r>
            <w:r w:rsidRPr="001012B7">
              <w:rPr>
                <w:b/>
                <w:i/>
              </w:rPr>
              <w:t xml:space="preserve"> </w:t>
            </w:r>
            <w:r w:rsidRPr="001012B7">
              <w:rPr>
                <w:b/>
                <w:bCs/>
                <w:i/>
                <w:iCs/>
              </w:rPr>
              <w:t>Efter denna period, förutsatt att sökanden inte omfattas av förfarandet för återvändande i enlighet med artikel 4, ska sökanden ha rät</w:t>
            </w:r>
            <w:r w:rsidRPr="001012B7">
              <w:rPr>
                <w:b/>
                <w:bCs/>
                <w:i/>
                <w:iCs/>
              </w:rPr>
              <w:t>t att resa in på medlemsstatens territorium för att slutföra förfarandet för internationellt skydd.</w:t>
            </w:r>
          </w:p>
        </w:tc>
        <w:tc>
          <w:tcPr>
            <w:tcW w:w="4876" w:type="dxa"/>
          </w:tcPr>
          <w:p w:rsidR="00103A80" w:rsidRPr="001012B7" w:rsidRDefault="00F817DF" w:rsidP="00F817DF">
            <w:pPr>
              <w:pStyle w:val="Normal6"/>
              <w:widowControl/>
              <w:rPr>
                <w:szCs w:val="24"/>
              </w:rPr>
            </w:pPr>
            <w:r w:rsidRPr="001012B7">
              <w:t>(c)</w:t>
            </w:r>
            <w:r w:rsidRPr="001012B7">
              <w:tab/>
              <w:t xml:space="preserve">Genom undantag från </w:t>
            </w:r>
            <w:r w:rsidRPr="001012B7">
              <w:rPr>
                <w:b/>
                <w:bCs/>
                <w:i/>
                <w:iCs/>
              </w:rPr>
              <w:t>[</w:t>
            </w:r>
            <w:r w:rsidRPr="001012B7">
              <w:t xml:space="preserve">artikel 41.11 i förordning (EU) XXX/XXX [förordningen om asylförfaranden] ska </w:t>
            </w:r>
            <w:r w:rsidRPr="001012B7">
              <w:rPr>
                <w:b/>
                <w:bCs/>
                <w:i/>
                <w:iCs/>
              </w:rPr>
              <w:t>det brådskande asylförfarande</w:t>
            </w:r>
            <w:r w:rsidRPr="001012B7">
              <w:t xml:space="preserve"> som används för att prö</w:t>
            </w:r>
            <w:r w:rsidRPr="001012B7">
              <w:t xml:space="preserve">va ansökningar som registrerats under den period då </w:t>
            </w:r>
            <w:r w:rsidRPr="001012B7">
              <w:rPr>
                <w:b/>
                <w:bCs/>
                <w:i/>
                <w:iCs/>
              </w:rPr>
              <w:t>undantaget enligt detta led</w:t>
            </w:r>
            <w:r w:rsidRPr="001012B7">
              <w:t xml:space="preserve"> </w:t>
            </w:r>
            <w:r w:rsidRPr="001012B7">
              <w:rPr>
                <w:b/>
                <w:bCs/>
                <w:i/>
                <w:iCs/>
              </w:rPr>
              <w:t>ska</w:t>
            </w:r>
            <w:r w:rsidRPr="001012B7">
              <w:t xml:space="preserve"> tillämpas</w:t>
            </w:r>
            <w:r w:rsidRPr="001012B7">
              <w:rPr>
                <w:b/>
                <w:bCs/>
                <w:i/>
                <w:iCs/>
              </w:rPr>
              <w:t>,</w:t>
            </w:r>
            <w:r w:rsidRPr="001012B7">
              <w:t xml:space="preserve"> vara </w:t>
            </w:r>
            <w:r w:rsidRPr="001012B7">
              <w:rPr>
                <w:b/>
                <w:bCs/>
                <w:i/>
                <w:iCs/>
              </w:rPr>
              <w:t>så kort som möjligt och högst 20</w:t>
            </w:r>
            <w:r w:rsidRPr="001012B7">
              <w:t xml:space="preserve"> veckor</w:t>
            </w:r>
            <w:r w:rsidRPr="001012B7">
              <w:rPr>
                <w:b/>
                <w:bCs/>
                <w:i/>
                <w:iCs/>
              </w:rPr>
              <w:t>, inbegripet överklagandet, från och med den dag då en ansökan registrerades</w:t>
            </w:r>
            <w:r w:rsidRPr="001012B7">
              <w:t>.</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w:t>
      </w:r>
      <w:r w:rsidRPr="001012B7">
        <w:rPr>
          <w:rStyle w:val="HideTWBExt"/>
        </w:rPr>
        <w:t>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23</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2 – punkt 1 – led ca (nytt)</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103A80" w:rsidP="00F817DF">
            <w:pPr>
              <w:pStyle w:val="Normal6"/>
              <w:widowControl/>
            </w:pPr>
          </w:p>
        </w:tc>
        <w:tc>
          <w:tcPr>
            <w:tcW w:w="4876" w:type="dxa"/>
          </w:tcPr>
          <w:p w:rsidR="00103A80" w:rsidRPr="001012B7" w:rsidRDefault="00F817DF" w:rsidP="00F817DF">
            <w:pPr>
              <w:pStyle w:val="Normal6"/>
              <w:widowControl/>
              <w:rPr>
                <w:szCs w:val="24"/>
              </w:rPr>
            </w:pPr>
            <w:r w:rsidRPr="001012B7">
              <w:rPr>
                <w:b/>
                <w:i/>
              </w:rPr>
              <w:t>(ca)</w:t>
            </w:r>
            <w:r w:rsidRPr="001012B7">
              <w:rPr>
                <w:b/>
                <w:i/>
              </w:rPr>
              <w:tab/>
              <w:t xml:space="preserve">Genom undantag från [artikel 12.5 i förordning (EU) XXX/XXX </w:t>
            </w:r>
            <w:r w:rsidRPr="001012B7">
              <w:rPr>
                <w:b/>
                <w:i/>
              </w:rPr>
              <w:t>[förordningen om asylförfaranden]] behöver den personliga intervjun inte genomföras då den beslutande myndigheten på grundval av tillgänglig bevisning kan fatta ett positivt beslut med avseende på status som subsidiärt skyddsbehövande.</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w:t>
      </w:r>
      <w:r w:rsidRPr="001012B7">
        <w:rPr>
          <w:noProof w:val="0"/>
        </w:rPr>
        <w:t>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24</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4 – stycke 1 – inledningen</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rPr>
                <w:b/>
                <w:bCs/>
                <w:i/>
                <w:iCs/>
              </w:rPr>
              <w:t>I en situation där migranter instrumentaliseras, och</w:t>
            </w:r>
            <w:r w:rsidRPr="001012B7">
              <w:rPr>
                <w:b/>
                <w:bCs/>
                <w:i/>
                <w:iCs/>
              </w:rPr>
              <w:t xml:space="preserve"> i enlighet med det förfarande som fastställs i artikel 6 får den medlemsstat som ställs inför</w:t>
            </w:r>
            <w:r w:rsidRPr="001012B7">
              <w:t xml:space="preserve"> tredjelandsmedborgares eller statslösa personers ankomst till sin yttre gräns</w:t>
            </w:r>
            <w:r w:rsidRPr="001012B7">
              <w:rPr>
                <w:b/>
                <w:bCs/>
                <w:i/>
                <w:iCs/>
              </w:rPr>
              <w:t xml:space="preserve"> till följd av instrumentalisering av migranter välja att inte tillämpa artikel 41a </w:t>
            </w:r>
            <w:r w:rsidRPr="001012B7">
              <w:rPr>
                <w:b/>
                <w:bCs/>
                <w:i/>
                <w:iCs/>
              </w:rPr>
              <w:t>i förordning (EU) XXX/XXX [förordningen om asylförfaranden] och direktiv XXX/XXX [det omarbetade återvändandedirektivet] på</w:t>
            </w:r>
            <w:r w:rsidRPr="001012B7">
              <w:t xml:space="preserve"> tredjelandsmedborgare eller statslösa personer som</w:t>
            </w:r>
            <w:r w:rsidRPr="001012B7">
              <w:rPr>
                <w:b/>
                <w:bCs/>
                <w:i/>
                <w:iCs/>
              </w:rPr>
              <w:t xml:space="preserve"> inte uppfyller villkoren för inresa och</w:t>
            </w:r>
            <w:r w:rsidRPr="001012B7">
              <w:t xml:space="preserve"> vars ansökningar avslagits </w:t>
            </w:r>
            <w:r w:rsidRPr="001012B7">
              <w:rPr>
                <w:b/>
                <w:bCs/>
                <w:i/>
                <w:iCs/>
              </w:rPr>
              <w:t>inom ramen för</w:t>
            </w:r>
            <w:r w:rsidRPr="001012B7">
              <w:rPr>
                <w:b/>
                <w:bCs/>
                <w:i/>
                <w:iCs/>
              </w:rPr>
              <w:t xml:space="preserve"> förfarandet för asylhantering i nödsituationer vid gränsen i enlighet med artikel 2.1 b och c,</w:t>
            </w:r>
            <w:r w:rsidRPr="001012B7">
              <w:t xml:space="preserve"> och som inte har rätt att stanna och inte tillåts stanna. </w:t>
            </w:r>
            <w:r w:rsidRPr="001012B7">
              <w:rPr>
                <w:b/>
                <w:i/>
              </w:rPr>
              <w:t>När den berörda medlemsstaten tillämpar detta undantag ska den</w:t>
            </w:r>
          </w:p>
        </w:tc>
        <w:tc>
          <w:tcPr>
            <w:tcW w:w="4876" w:type="dxa"/>
          </w:tcPr>
          <w:p w:rsidR="00103A80" w:rsidRPr="001012B7" w:rsidRDefault="00F817DF" w:rsidP="00F817DF">
            <w:pPr>
              <w:pStyle w:val="Normal6"/>
              <w:widowControl/>
              <w:rPr>
                <w:szCs w:val="24"/>
              </w:rPr>
            </w:pPr>
            <w:r w:rsidRPr="001012B7">
              <w:rPr>
                <w:b/>
                <w:bCs/>
                <w:i/>
                <w:iCs/>
              </w:rPr>
              <w:t xml:space="preserve">Den medlemsstat som står inför en instrumentaliseringssituation med </w:t>
            </w:r>
            <w:r w:rsidRPr="001012B7">
              <w:t xml:space="preserve">tredjelandsmedborgares eller statslösa personers ankomst till sin yttre gräns </w:t>
            </w:r>
            <w:r w:rsidRPr="001012B7">
              <w:rPr>
                <w:b/>
                <w:bCs/>
                <w:i/>
                <w:iCs/>
              </w:rPr>
              <w:t>får besluta att inte tillämpa artikel 41a i förordning (EU) XXX/XXX [förordningen om asylförfaranden, eller [d</w:t>
            </w:r>
            <w:r w:rsidRPr="001012B7">
              <w:rPr>
                <w:b/>
                <w:bCs/>
                <w:i/>
                <w:iCs/>
              </w:rPr>
              <w:t xml:space="preserve">et omarbetade återvändandedirektivet], och i stället tillämpa nationell rätt, samtidigt som artikel 4.4 i direktiv XXX/XXX [det omarbetade återvändandedirektivet] gäller i tillämpliga delar för </w:t>
            </w:r>
            <w:r w:rsidRPr="001012B7">
              <w:t xml:space="preserve">tredjelandsmedborgare eller statslösa personer som </w:t>
            </w:r>
            <w:r w:rsidRPr="001012B7">
              <w:rPr>
                <w:b/>
                <w:bCs/>
                <w:i/>
                <w:iCs/>
              </w:rPr>
              <w:t xml:space="preserve">är föremål </w:t>
            </w:r>
            <w:r w:rsidRPr="001012B7">
              <w:rPr>
                <w:b/>
                <w:bCs/>
                <w:i/>
                <w:iCs/>
              </w:rPr>
              <w:t xml:space="preserve">för instrumentalisering och som grips eller påträffas i närheten av den yttre gränsen eller som har infunnit sig vid gränsövergångsställen och som ansökt om internationellt skydd och </w:t>
            </w:r>
            <w:r w:rsidRPr="001012B7">
              <w:t xml:space="preserve">vars ansökningar </w:t>
            </w:r>
            <w:r w:rsidRPr="001012B7">
              <w:rPr>
                <w:b/>
                <w:bCs/>
                <w:i/>
                <w:iCs/>
              </w:rPr>
              <w:t xml:space="preserve">därefter </w:t>
            </w:r>
            <w:r w:rsidRPr="001012B7">
              <w:t xml:space="preserve">avslagits och som inte har rätt att stanna och </w:t>
            </w:r>
            <w:r w:rsidRPr="001012B7">
              <w:t>inte tillåts stanna.</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25</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5 – punkt 1 – inledningen</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1.</w:t>
            </w:r>
            <w:r w:rsidRPr="001012B7">
              <w:tab/>
            </w:r>
            <w:r w:rsidRPr="001012B7">
              <w:t xml:space="preserve">Om en medlemsstat befinner sig i en </w:t>
            </w:r>
            <w:r w:rsidRPr="001012B7">
              <w:rPr>
                <w:b/>
                <w:bCs/>
                <w:i/>
                <w:iCs/>
              </w:rPr>
              <w:t>situation där migranter instrumentaliseras</w:t>
            </w:r>
            <w:r w:rsidRPr="001012B7">
              <w:t xml:space="preserve"> får den begära stöd- och solidaritetsåtgärder från andra medlemsstater för att hantera denna situation. </w:t>
            </w:r>
            <w:r w:rsidRPr="001012B7">
              <w:rPr>
                <w:b/>
                <w:bCs/>
                <w:i/>
                <w:iCs/>
              </w:rPr>
              <w:t>Stöd-</w:t>
            </w:r>
            <w:r w:rsidRPr="001012B7">
              <w:t xml:space="preserve"> och solidaritetsbidrag till en medlemsstat som befinner sig i en </w:t>
            </w:r>
            <w:r w:rsidRPr="001012B7">
              <w:rPr>
                <w:b/>
                <w:bCs/>
                <w:i/>
                <w:iCs/>
              </w:rPr>
              <w:t>si</w:t>
            </w:r>
            <w:r w:rsidRPr="001012B7">
              <w:rPr>
                <w:b/>
                <w:bCs/>
                <w:i/>
                <w:iCs/>
              </w:rPr>
              <w:t>tuation där migranter instrumentaliseras</w:t>
            </w:r>
            <w:r w:rsidRPr="001012B7">
              <w:t xml:space="preserve"> kan omfatta</w:t>
            </w:r>
          </w:p>
        </w:tc>
        <w:tc>
          <w:tcPr>
            <w:tcW w:w="4876" w:type="dxa"/>
          </w:tcPr>
          <w:p w:rsidR="00103A80" w:rsidRPr="001012B7" w:rsidRDefault="00F817DF" w:rsidP="00F817DF">
            <w:pPr>
              <w:pStyle w:val="Normal6"/>
              <w:widowControl/>
              <w:rPr>
                <w:szCs w:val="24"/>
              </w:rPr>
            </w:pPr>
            <w:r w:rsidRPr="001012B7">
              <w:t>1.</w:t>
            </w:r>
            <w:r w:rsidRPr="001012B7">
              <w:tab/>
              <w:t xml:space="preserve">Om en medlemsstat befinner sig i en instrumentaliseringssituation får den begära stöd- och solidaritetsåtgärder från andra medlemsstater för att hantera denna situation </w:t>
            </w:r>
            <w:r w:rsidRPr="001012B7">
              <w:rPr>
                <w:b/>
                <w:bCs/>
                <w:i/>
                <w:iCs/>
              </w:rPr>
              <w:t>och ange vilken typ av stöd- oc</w:t>
            </w:r>
            <w:r w:rsidRPr="001012B7">
              <w:rPr>
                <w:b/>
                <w:bCs/>
                <w:i/>
                <w:iCs/>
              </w:rPr>
              <w:t>h solidaritetsåtgärder som behövs</w:t>
            </w:r>
            <w:r w:rsidRPr="001012B7">
              <w:t xml:space="preserve">. </w:t>
            </w:r>
            <w:r w:rsidRPr="001012B7">
              <w:rPr>
                <w:b/>
                <w:bCs/>
                <w:i/>
                <w:iCs/>
              </w:rPr>
              <w:t>Stöd från de andra medlemsstaterna</w:t>
            </w:r>
            <w:r w:rsidRPr="001012B7">
              <w:t xml:space="preserve"> och solidaritetsbidrag till en medlemsstat som befinner sig i en </w:t>
            </w:r>
            <w:r w:rsidRPr="001012B7">
              <w:rPr>
                <w:b/>
                <w:bCs/>
                <w:i/>
                <w:iCs/>
              </w:rPr>
              <w:t>instrumentaliseringssituation är frivilliga och</w:t>
            </w:r>
            <w:r w:rsidRPr="001012B7">
              <w:t xml:space="preserve"> kan omfatta</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26</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7 – punkt 1</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1.</w:t>
            </w:r>
            <w:r w:rsidRPr="001012B7">
              <w:tab/>
              <w:t xml:space="preserve">En medlemsstat som </w:t>
            </w:r>
            <w:r w:rsidRPr="001012B7">
              <w:rPr>
                <w:b/>
                <w:bCs/>
                <w:i/>
                <w:iCs/>
              </w:rPr>
              <w:t>ställs inför tredjelandsmedborgares eller statslösa personers ankomst till</w:t>
            </w:r>
            <w:r w:rsidRPr="001012B7">
              <w:rPr>
                <w:b/>
                <w:bCs/>
                <w:i/>
                <w:iCs/>
              </w:rPr>
              <w:t xml:space="preserve"> sin yttre gräns till följd av instrumentalisering av migranter</w:t>
            </w:r>
            <w:r w:rsidRPr="001012B7">
              <w:t xml:space="preserve"> kan begära godkännande att tillämpa de undantag som föreskrivs i </w:t>
            </w:r>
            <w:r w:rsidRPr="001012B7">
              <w:rPr>
                <w:b/>
                <w:bCs/>
                <w:i/>
                <w:iCs/>
              </w:rPr>
              <w:t>artiklarna</w:t>
            </w:r>
            <w:r w:rsidRPr="001012B7">
              <w:rPr>
                <w:b/>
                <w:bCs/>
              </w:rPr>
              <w:t xml:space="preserve"> </w:t>
            </w:r>
            <w:r w:rsidRPr="001012B7">
              <w:t xml:space="preserve">2, 3 </w:t>
            </w:r>
            <w:r w:rsidRPr="001012B7">
              <w:rPr>
                <w:b/>
                <w:bCs/>
                <w:i/>
                <w:iCs/>
              </w:rPr>
              <w:t>och</w:t>
            </w:r>
            <w:r w:rsidRPr="001012B7">
              <w:t xml:space="preserve"> 4.</w:t>
            </w:r>
          </w:p>
        </w:tc>
        <w:tc>
          <w:tcPr>
            <w:tcW w:w="4876" w:type="dxa"/>
          </w:tcPr>
          <w:p w:rsidR="00103A80" w:rsidRPr="001012B7" w:rsidRDefault="00F817DF" w:rsidP="00F817DF">
            <w:pPr>
              <w:pStyle w:val="Normal6"/>
              <w:widowControl/>
              <w:rPr>
                <w:szCs w:val="24"/>
              </w:rPr>
            </w:pPr>
            <w:r w:rsidRPr="001012B7">
              <w:t>1.</w:t>
            </w:r>
            <w:r w:rsidRPr="001012B7">
              <w:tab/>
              <w:t>En medlemsstat som</w:t>
            </w:r>
            <w:r w:rsidRPr="001012B7">
              <w:rPr>
                <w:b/>
                <w:bCs/>
                <w:i/>
                <w:iCs/>
              </w:rPr>
              <w:t xml:space="preserve"> befinner sig i en instrumentaliseringssituation</w:t>
            </w:r>
            <w:r w:rsidRPr="001012B7">
              <w:t xml:space="preserve"> </w:t>
            </w:r>
            <w:r w:rsidRPr="001012B7">
              <w:rPr>
                <w:b/>
                <w:bCs/>
                <w:i/>
                <w:iCs/>
              </w:rPr>
              <w:t>får, med tanke på situationen i fr</w:t>
            </w:r>
            <w:r w:rsidRPr="001012B7">
              <w:rPr>
                <w:b/>
                <w:bCs/>
                <w:i/>
                <w:iCs/>
              </w:rPr>
              <w:t>åga,</w:t>
            </w:r>
            <w:r w:rsidRPr="001012B7">
              <w:t xml:space="preserve"> begära godkännande att tillämpa de undantag som föreskrivs i </w:t>
            </w:r>
            <w:r w:rsidRPr="001012B7">
              <w:rPr>
                <w:b/>
                <w:bCs/>
                <w:i/>
                <w:iCs/>
              </w:rPr>
              <w:t>artikel</w:t>
            </w:r>
            <w:r w:rsidRPr="001012B7">
              <w:t xml:space="preserve"> 2, 3 </w:t>
            </w:r>
            <w:r w:rsidRPr="001012B7">
              <w:rPr>
                <w:b/>
                <w:bCs/>
                <w:i/>
                <w:iCs/>
              </w:rPr>
              <w:t>eller</w:t>
            </w:r>
            <w:r w:rsidRPr="001012B7">
              <w:t xml:space="preserve"> 4.</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27</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7 – punkt 2</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2.</w:t>
            </w:r>
            <w:r w:rsidRPr="001012B7">
              <w:tab/>
              <w:t xml:space="preserve">Om </w:t>
            </w:r>
            <w:r w:rsidRPr="001012B7">
              <w:rPr>
                <w:b/>
                <w:bCs/>
                <w:i/>
                <w:iCs/>
              </w:rPr>
              <w:t>kommissionen anser det lämpligt, på grundval av den information som lämnats av</w:t>
            </w:r>
            <w:r w:rsidRPr="001012B7">
              <w:t xml:space="preserve"> den begärande </w:t>
            </w:r>
            <w:r w:rsidRPr="001012B7">
              <w:rPr>
                <w:b/>
                <w:bCs/>
                <w:i/>
                <w:iCs/>
              </w:rPr>
              <w:t>medlemsstat</w:t>
            </w:r>
            <w:r w:rsidRPr="001012B7">
              <w:t xml:space="preserve"> </w:t>
            </w:r>
            <w:r w:rsidRPr="001012B7">
              <w:rPr>
                <w:b/>
                <w:bCs/>
                <w:i/>
                <w:iCs/>
              </w:rPr>
              <w:t>som konfronteras med instrumentalisering av migranter,</w:t>
            </w:r>
            <w:r w:rsidRPr="001012B7">
              <w:t xml:space="preserve"> ska kommissionen utan dröjsmål lägga fram ett förslag till rådets genomförandebeslut som avses i punkt 3.</w:t>
            </w:r>
          </w:p>
        </w:tc>
        <w:tc>
          <w:tcPr>
            <w:tcW w:w="4876" w:type="dxa"/>
          </w:tcPr>
          <w:p w:rsidR="00103A80" w:rsidRPr="001012B7" w:rsidRDefault="00F817DF" w:rsidP="00F817DF">
            <w:pPr>
              <w:pStyle w:val="Normal6"/>
              <w:widowControl/>
              <w:rPr>
                <w:szCs w:val="24"/>
              </w:rPr>
            </w:pPr>
            <w:r w:rsidRPr="001012B7">
              <w:t>2.</w:t>
            </w:r>
            <w:r w:rsidRPr="001012B7">
              <w:tab/>
              <w:t xml:space="preserve">Om den begärande </w:t>
            </w:r>
            <w:r w:rsidRPr="001012B7">
              <w:rPr>
                <w:b/>
                <w:bCs/>
                <w:i/>
                <w:iCs/>
              </w:rPr>
              <w:t>medlemsstaten förelägger kommissionen bevis för att en instrumentaliseringssituation föreligger</w:t>
            </w:r>
            <w:r w:rsidRPr="001012B7">
              <w:t xml:space="preserve"> ska kommissionen</w:t>
            </w:r>
            <w:r w:rsidRPr="001012B7">
              <w:rPr>
                <w:b/>
                <w:bCs/>
                <w:i/>
                <w:iCs/>
              </w:rPr>
              <w:t>,</w:t>
            </w:r>
            <w:r w:rsidRPr="001012B7">
              <w:t xml:space="preserve"> </w:t>
            </w:r>
            <w:r w:rsidRPr="001012B7">
              <w:rPr>
                <w:b/>
                <w:bCs/>
                <w:i/>
                <w:iCs/>
              </w:rPr>
              <w:t xml:space="preserve">på grundval av </w:t>
            </w:r>
            <w:r w:rsidRPr="001012B7">
              <w:rPr>
                <w:b/>
                <w:bCs/>
                <w:i/>
                <w:iCs/>
              </w:rPr>
              <w:t>ifrågavarande bevis och</w:t>
            </w:r>
            <w:r w:rsidRPr="001012B7">
              <w:rPr>
                <w:b/>
                <w:bCs/>
              </w:rPr>
              <w:t xml:space="preserve"> </w:t>
            </w:r>
            <w:r w:rsidRPr="001012B7">
              <w:t>utan dröjsmål</w:t>
            </w:r>
            <w:r w:rsidRPr="001012B7">
              <w:rPr>
                <w:b/>
                <w:bCs/>
                <w:i/>
                <w:iCs/>
              </w:rPr>
              <w:t>,</w:t>
            </w:r>
            <w:r w:rsidRPr="001012B7">
              <w:t xml:space="preserve"> lägga fram ett förslag till rådets genomförandebeslut som avses i punkt 3. </w:t>
            </w:r>
            <w:r w:rsidRPr="001012B7">
              <w:rPr>
                <w:b/>
                <w:i/>
              </w:rPr>
              <w:t>Kommissionen får också lägga fram ett sådant förslag om den anser det lämpligt på grundval av den information som lämnats av den begärande med</w:t>
            </w:r>
            <w:r w:rsidRPr="001012B7">
              <w:rPr>
                <w:b/>
                <w:i/>
              </w:rPr>
              <w:t>lemsstaten och all annan information som den har tillgång till.</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28</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7 – punkt 3</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3.</w:t>
            </w:r>
            <w:r w:rsidRPr="001012B7">
              <w:tab/>
              <w:t xml:space="preserve">Rådet ska skyndsamt bedöma </w:t>
            </w:r>
            <w:r w:rsidRPr="001012B7">
              <w:rPr>
                <w:b/>
                <w:bCs/>
                <w:i/>
                <w:iCs/>
              </w:rPr>
              <w:t>detta</w:t>
            </w:r>
            <w:r w:rsidRPr="001012B7">
              <w:t xml:space="preserve"> </w:t>
            </w:r>
            <w:r w:rsidRPr="001012B7">
              <w:rPr>
                <w:b/>
                <w:bCs/>
                <w:i/>
                <w:iCs/>
              </w:rPr>
              <w:t>förslag</w:t>
            </w:r>
            <w:r w:rsidRPr="001012B7">
              <w:t xml:space="preserve"> och anta ett genomförandebeslut varigenom det godkänner att den berörda medlemsstaten tillämpar de särskilda undantag som föreskrivs i </w:t>
            </w:r>
            <w:r w:rsidRPr="001012B7">
              <w:rPr>
                <w:b/>
                <w:bCs/>
                <w:i/>
                <w:iCs/>
              </w:rPr>
              <w:t>artiklarna</w:t>
            </w:r>
            <w:r w:rsidRPr="001012B7">
              <w:t xml:space="preserve"> 2, 3 </w:t>
            </w:r>
            <w:r w:rsidRPr="001012B7">
              <w:rPr>
                <w:b/>
                <w:bCs/>
                <w:i/>
                <w:iCs/>
              </w:rPr>
              <w:t>och</w:t>
            </w:r>
            <w:r w:rsidRPr="001012B7">
              <w:t xml:space="preserve"> 4.</w:t>
            </w:r>
          </w:p>
        </w:tc>
        <w:tc>
          <w:tcPr>
            <w:tcW w:w="4876" w:type="dxa"/>
          </w:tcPr>
          <w:p w:rsidR="00103A80" w:rsidRPr="001012B7" w:rsidRDefault="00F817DF" w:rsidP="00F817DF">
            <w:pPr>
              <w:pStyle w:val="Normal6"/>
              <w:widowControl/>
              <w:rPr>
                <w:szCs w:val="24"/>
              </w:rPr>
            </w:pPr>
            <w:r w:rsidRPr="001012B7">
              <w:t>3.</w:t>
            </w:r>
            <w:r w:rsidRPr="001012B7">
              <w:tab/>
              <w:t xml:space="preserve">Rådet ska skyndsamt bedöma </w:t>
            </w:r>
            <w:r w:rsidRPr="001012B7">
              <w:rPr>
                <w:b/>
                <w:bCs/>
                <w:i/>
                <w:iCs/>
              </w:rPr>
              <w:t>förslaget</w:t>
            </w:r>
            <w:r w:rsidRPr="001012B7">
              <w:t xml:space="preserve"> och</w:t>
            </w:r>
            <w:r w:rsidRPr="001012B7">
              <w:rPr>
                <w:b/>
                <w:bCs/>
                <w:i/>
                <w:iCs/>
              </w:rPr>
              <w:t>, beroende på resultatet av bedömningen,</w:t>
            </w:r>
            <w:r w:rsidRPr="001012B7">
              <w:t xml:space="preserve"> anta ett genomförandebeslut varigenom det godkänner att den berörda medlemsstaten tillämpar de särskilda undantag som föreskrivs i </w:t>
            </w:r>
            <w:r w:rsidRPr="001012B7">
              <w:rPr>
                <w:b/>
                <w:bCs/>
                <w:i/>
                <w:iCs/>
              </w:rPr>
              <w:t>artikel</w:t>
            </w:r>
            <w:r w:rsidRPr="001012B7">
              <w:t xml:space="preserve"> 2, 3 </w:t>
            </w:r>
            <w:r w:rsidRPr="001012B7">
              <w:rPr>
                <w:b/>
                <w:bCs/>
                <w:i/>
                <w:iCs/>
              </w:rPr>
              <w:t>eller</w:t>
            </w:r>
            <w:r w:rsidRPr="001012B7">
              <w:t xml:space="preserve"> 4.</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29</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7 – punkt 4</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4.</w:t>
            </w:r>
            <w:r w:rsidRPr="001012B7">
              <w:tab/>
              <w:t>I rådets genomförandebeslut som avses i punkt 3 ska det fastställas den dag från och med vilk</w:t>
            </w:r>
            <w:r w:rsidRPr="001012B7">
              <w:t xml:space="preserve">en reglerna i </w:t>
            </w:r>
            <w:r w:rsidRPr="001012B7">
              <w:rPr>
                <w:b/>
                <w:bCs/>
                <w:i/>
                <w:iCs/>
              </w:rPr>
              <w:t>artiklarna</w:t>
            </w:r>
            <w:r w:rsidRPr="001012B7">
              <w:t xml:space="preserve"> 2, 3 </w:t>
            </w:r>
            <w:r w:rsidRPr="001012B7">
              <w:rPr>
                <w:b/>
                <w:bCs/>
                <w:i/>
                <w:iCs/>
              </w:rPr>
              <w:t>och</w:t>
            </w:r>
            <w:r w:rsidRPr="001012B7">
              <w:t xml:space="preserve"> 4 får tillämpas</w:t>
            </w:r>
            <w:r w:rsidRPr="001012B7">
              <w:rPr>
                <w:b/>
                <w:bCs/>
                <w:i/>
                <w:iCs/>
              </w:rPr>
              <w:t>, samt</w:t>
            </w:r>
            <w:r w:rsidRPr="001012B7">
              <w:t xml:space="preserve"> tidsfristen för deras tillämpning, som inte får överstiga en inledande period på sex månader.</w:t>
            </w:r>
          </w:p>
        </w:tc>
        <w:tc>
          <w:tcPr>
            <w:tcW w:w="4876" w:type="dxa"/>
          </w:tcPr>
          <w:p w:rsidR="00103A80" w:rsidRPr="001012B7" w:rsidRDefault="00F817DF" w:rsidP="00F817DF">
            <w:pPr>
              <w:pStyle w:val="Normal6"/>
              <w:widowControl/>
              <w:rPr>
                <w:szCs w:val="24"/>
              </w:rPr>
            </w:pPr>
            <w:r w:rsidRPr="001012B7">
              <w:t>4.</w:t>
            </w:r>
            <w:r w:rsidRPr="001012B7">
              <w:tab/>
              <w:t xml:space="preserve">I rådets genomförandebeslut som avses i punkt 3 ska det </w:t>
            </w:r>
            <w:r w:rsidRPr="001012B7">
              <w:rPr>
                <w:b/>
                <w:bCs/>
                <w:i/>
                <w:iCs/>
              </w:rPr>
              <w:t>anges vilka skäl som ligger till grund för det,</w:t>
            </w:r>
            <w:r w:rsidRPr="001012B7">
              <w:t xml:space="preserve"> fastställas den dag från och med vilken reglerna i </w:t>
            </w:r>
            <w:r w:rsidRPr="001012B7">
              <w:rPr>
                <w:b/>
                <w:bCs/>
                <w:i/>
                <w:iCs/>
              </w:rPr>
              <w:t>artikel</w:t>
            </w:r>
            <w:r w:rsidRPr="001012B7">
              <w:t xml:space="preserve"> 2, 3 </w:t>
            </w:r>
            <w:r w:rsidRPr="001012B7">
              <w:rPr>
                <w:b/>
                <w:bCs/>
                <w:i/>
                <w:iCs/>
              </w:rPr>
              <w:t>eller</w:t>
            </w:r>
            <w:r w:rsidRPr="001012B7">
              <w:t xml:space="preserve"> 4 får tillämpas </w:t>
            </w:r>
            <w:r w:rsidRPr="001012B7">
              <w:rPr>
                <w:b/>
                <w:bCs/>
                <w:i/>
                <w:iCs/>
              </w:rPr>
              <w:t>och</w:t>
            </w:r>
            <w:r w:rsidRPr="001012B7">
              <w:t xml:space="preserve"> tidsfristen för deras tillämpning, som inte får överstiga en inledande period på sex månader</w:t>
            </w:r>
            <w:r w:rsidRPr="001012B7">
              <w:rPr>
                <w:b/>
                <w:bCs/>
                <w:i/>
                <w:iCs/>
              </w:rPr>
              <w:t>, och specificeras vilka tredjelandsmedborgare eller statslösa personer s</w:t>
            </w:r>
            <w:r w:rsidRPr="001012B7">
              <w:rPr>
                <w:b/>
                <w:bCs/>
                <w:i/>
                <w:iCs/>
              </w:rPr>
              <w:t>om utsatts för instrumentalisering</w:t>
            </w:r>
            <w:r w:rsidRPr="001012B7">
              <w:t>.</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30</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7 – punkt 5</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5.</w:t>
            </w:r>
            <w:r w:rsidRPr="001012B7">
              <w:tab/>
            </w:r>
            <w:r w:rsidRPr="001012B7">
              <w:t xml:space="preserve">Kommissionen ska fortlöpande övervaka och se över </w:t>
            </w:r>
            <w:r w:rsidRPr="001012B7">
              <w:rPr>
                <w:b/>
                <w:bCs/>
                <w:i/>
                <w:iCs/>
              </w:rPr>
              <w:t>situationen med instrumentalisering av migranter</w:t>
            </w:r>
            <w:r w:rsidRPr="001012B7">
              <w:t>. Om kommissionen anser det lämpligt får den föreslå att rådets genomförandebeslut som avses i punkt 3 upphävs eller att rådet antar ett nytt genomförandebesl</w:t>
            </w:r>
            <w:r w:rsidRPr="001012B7">
              <w:t xml:space="preserve">ut om godkännande av att </w:t>
            </w:r>
            <w:r w:rsidRPr="001012B7">
              <w:rPr>
                <w:b/>
                <w:bCs/>
                <w:i/>
                <w:iCs/>
              </w:rPr>
              <w:t>förlänga tillämpningen av</w:t>
            </w:r>
            <w:r w:rsidRPr="001012B7">
              <w:t xml:space="preserve"> de särskilda undantag som avses i </w:t>
            </w:r>
            <w:r w:rsidRPr="001012B7">
              <w:rPr>
                <w:b/>
                <w:bCs/>
                <w:i/>
                <w:iCs/>
              </w:rPr>
              <w:t>artiklarna</w:t>
            </w:r>
            <w:r w:rsidRPr="001012B7">
              <w:t xml:space="preserve"> 2, 3 </w:t>
            </w:r>
            <w:r w:rsidRPr="001012B7">
              <w:rPr>
                <w:b/>
                <w:bCs/>
                <w:i/>
                <w:iCs/>
              </w:rPr>
              <w:t>och</w:t>
            </w:r>
            <w:r w:rsidRPr="001012B7">
              <w:t xml:space="preserve"> 4 med en period som inte får överstiga sex månader. Den berörda medlemsstaten ska förse kommissionen med den specifika information som den behöver för </w:t>
            </w:r>
            <w:r w:rsidRPr="001012B7">
              <w:t>att kunna genomföra denna översyn och lägga fram ett förslag om upphävande eller förlängning samt all annan information som kommissionen kan komma att begära.</w:t>
            </w:r>
          </w:p>
        </w:tc>
        <w:tc>
          <w:tcPr>
            <w:tcW w:w="4876" w:type="dxa"/>
          </w:tcPr>
          <w:p w:rsidR="00103A80" w:rsidRPr="001012B7" w:rsidRDefault="00F817DF" w:rsidP="00F817DF">
            <w:pPr>
              <w:pStyle w:val="Normal6"/>
              <w:widowControl/>
              <w:rPr>
                <w:szCs w:val="24"/>
              </w:rPr>
            </w:pPr>
            <w:r w:rsidRPr="001012B7">
              <w:t>5.</w:t>
            </w:r>
            <w:r w:rsidRPr="001012B7">
              <w:tab/>
              <w:t xml:space="preserve">Kommissionen </w:t>
            </w:r>
            <w:r w:rsidRPr="001012B7">
              <w:rPr>
                <w:b/>
                <w:bCs/>
                <w:i/>
                <w:iCs/>
              </w:rPr>
              <w:t>och rådet</w:t>
            </w:r>
            <w:r w:rsidRPr="001012B7">
              <w:t xml:space="preserve"> ska fortlöpande övervaka och se över </w:t>
            </w:r>
            <w:r w:rsidRPr="001012B7">
              <w:rPr>
                <w:b/>
                <w:bCs/>
                <w:i/>
                <w:iCs/>
              </w:rPr>
              <w:t>instrumentaliseringssituationen</w:t>
            </w:r>
            <w:r w:rsidRPr="001012B7">
              <w:t>. O</w:t>
            </w:r>
            <w:r w:rsidRPr="001012B7">
              <w:t xml:space="preserve">m kommissionen </w:t>
            </w:r>
            <w:r w:rsidRPr="001012B7">
              <w:rPr>
                <w:b/>
                <w:bCs/>
                <w:i/>
                <w:iCs/>
              </w:rPr>
              <w:t>på grundval av relevant information</w:t>
            </w:r>
            <w:r w:rsidRPr="001012B7">
              <w:t xml:space="preserve"> anser det lämpligt får den föreslå att rådets genomförandebeslut som avses i punkt 3 upphävs eller att rådet antar ett nytt genomförandebeslut om godkännande av att </w:t>
            </w:r>
            <w:r w:rsidRPr="001012B7">
              <w:rPr>
                <w:b/>
                <w:bCs/>
                <w:i/>
                <w:iCs/>
              </w:rPr>
              <w:t>ändra</w:t>
            </w:r>
            <w:r w:rsidRPr="001012B7">
              <w:t xml:space="preserve"> de särskilda undantag som avses i </w:t>
            </w:r>
            <w:r w:rsidRPr="001012B7">
              <w:rPr>
                <w:b/>
                <w:bCs/>
                <w:i/>
                <w:iCs/>
              </w:rPr>
              <w:t>artikel</w:t>
            </w:r>
            <w:r w:rsidRPr="001012B7">
              <w:rPr>
                <w:b/>
                <w:bCs/>
              </w:rPr>
              <w:t xml:space="preserve"> </w:t>
            </w:r>
            <w:r w:rsidRPr="001012B7">
              <w:t xml:space="preserve">2, 3 </w:t>
            </w:r>
            <w:r w:rsidRPr="001012B7">
              <w:rPr>
                <w:b/>
                <w:bCs/>
                <w:i/>
                <w:iCs/>
              </w:rPr>
              <w:t>eller</w:t>
            </w:r>
            <w:r w:rsidRPr="001012B7">
              <w:rPr>
                <w:b/>
                <w:bCs/>
              </w:rPr>
              <w:t xml:space="preserve"> </w:t>
            </w:r>
            <w:r w:rsidRPr="001012B7">
              <w:t>4</w:t>
            </w:r>
            <w:r w:rsidRPr="001012B7">
              <w:rPr>
                <w:b/>
                <w:bCs/>
                <w:i/>
                <w:iCs/>
              </w:rPr>
              <w:t>, eller förlänga deras tillämpning</w:t>
            </w:r>
            <w:r w:rsidRPr="001012B7">
              <w:t xml:space="preserve"> med en period som inte får överstiga </w:t>
            </w:r>
            <w:r w:rsidRPr="001012B7">
              <w:rPr>
                <w:b/>
                <w:bCs/>
                <w:i/>
                <w:iCs/>
              </w:rPr>
              <w:t>en ytterligare period på</w:t>
            </w:r>
            <w:r w:rsidRPr="001012B7">
              <w:t xml:space="preserve"> sex månader.</w:t>
            </w:r>
            <w:r w:rsidRPr="001012B7">
              <w:rPr>
                <w:b/>
                <w:i/>
              </w:rPr>
              <w:t xml:space="preserve"> </w:t>
            </w:r>
            <w:r w:rsidRPr="001012B7">
              <w:rPr>
                <w:b/>
                <w:bCs/>
                <w:i/>
                <w:iCs/>
              </w:rPr>
              <w:t xml:space="preserve">När den begärande medlemsstaten förelägger kommissionen bevis för att en instrumentaliseringssituation fortfarande föreligger </w:t>
            </w:r>
            <w:r w:rsidRPr="001012B7">
              <w:rPr>
                <w:b/>
                <w:bCs/>
                <w:i/>
                <w:iCs/>
              </w:rPr>
              <w:t>ska kommissionen, på grundval av ifrågavarande bevis, lägga fram ett förslag till ett nytt genomförandebeslut från rådet om ändring eller förlängning av de särskilda undantag som avses i artikel 2, 3 eller 4 med en period som inte får överstiga en ytterlig</w:t>
            </w:r>
            <w:r w:rsidRPr="001012B7">
              <w:rPr>
                <w:b/>
                <w:bCs/>
                <w:i/>
                <w:iCs/>
              </w:rPr>
              <w:t>are period på sex månader.</w:t>
            </w:r>
            <w:r w:rsidRPr="001012B7">
              <w:t xml:space="preserve"> Den berörda medlemsstaten ska förse kommissionen med den specifika information som den behöver för att kunna genomföra denna översyn och lägga fram ett förslag om upphävande eller förlängning samt all annan information som kommis</w:t>
            </w:r>
            <w:r w:rsidRPr="001012B7">
              <w:t>sionen kan komma att begära.</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31</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7 – punkt 5a (ny)</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103A80" w:rsidP="00F817DF">
            <w:pPr>
              <w:pStyle w:val="Normal6"/>
              <w:widowControl/>
            </w:pPr>
          </w:p>
        </w:tc>
        <w:tc>
          <w:tcPr>
            <w:tcW w:w="4876" w:type="dxa"/>
          </w:tcPr>
          <w:p w:rsidR="00103A80" w:rsidRPr="001012B7" w:rsidRDefault="00F817DF" w:rsidP="00F817DF">
            <w:pPr>
              <w:pStyle w:val="Normal6"/>
              <w:widowControl/>
              <w:rPr>
                <w:szCs w:val="24"/>
              </w:rPr>
            </w:pPr>
            <w:r w:rsidRPr="001012B7">
              <w:rPr>
                <w:b/>
                <w:i/>
              </w:rPr>
              <w:t>5a.</w:t>
            </w:r>
            <w:r w:rsidRPr="001012B7">
              <w:rPr>
                <w:b/>
                <w:i/>
              </w:rPr>
              <w:tab/>
            </w:r>
            <w:r w:rsidRPr="001012B7">
              <w:rPr>
                <w:b/>
                <w:i/>
              </w:rPr>
              <w:t>Medlemsstaterna ska längst under den period som avses i artikel 2 fortsätta att tillämpa de förfarandemässiga undantag som anges i rådets genomförandebeslut enligt punkt 3 på sökande vars ansökningar om internationellt skydd har registrerats inom den perio</w:t>
            </w:r>
            <w:r w:rsidRPr="001012B7">
              <w:rPr>
                <w:b/>
                <w:i/>
              </w:rPr>
              <w:t>d under vilken dessa undantag får tillämpas till dess att ett slutgiltigt beslut har fattats om deras ansökningar eller till dess att de berörda tredjelandsmedborgarna eller statslösa personerna återvänder i enlighet med artikel 4.</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w:t>
      </w:r>
      <w:r w:rsidRPr="001012B7">
        <w:rPr>
          <w:rStyle w:val="HideTWBExt"/>
          <w:noProof w:val="0"/>
        </w:rPr>
        <w:t>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32</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Förslag till 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7 – punkt 5b (ny)</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103A80" w:rsidP="00F817DF">
            <w:pPr>
              <w:pStyle w:val="Normal6"/>
              <w:widowControl/>
            </w:pPr>
          </w:p>
        </w:tc>
        <w:tc>
          <w:tcPr>
            <w:tcW w:w="4876" w:type="dxa"/>
          </w:tcPr>
          <w:p w:rsidR="00103A80" w:rsidRPr="001012B7" w:rsidRDefault="00F817DF" w:rsidP="00F817DF">
            <w:pPr>
              <w:pStyle w:val="Normal6"/>
              <w:widowControl/>
              <w:rPr>
                <w:szCs w:val="24"/>
              </w:rPr>
            </w:pPr>
            <w:r w:rsidRPr="001012B7">
              <w:rPr>
                <w:b/>
                <w:i/>
              </w:rPr>
              <w:t>5b.</w:t>
            </w:r>
            <w:r w:rsidRPr="001012B7">
              <w:rPr>
                <w:b/>
                <w:i/>
              </w:rPr>
              <w:tab/>
              <w:t xml:space="preserve">Vid utövandet av sina befogenheter och fullgörandet av sina </w:t>
            </w:r>
            <w:r w:rsidRPr="001012B7">
              <w:rPr>
                <w:b/>
                <w:i/>
              </w:rPr>
              <w:t>skyldigheter enligt denna artikel ska kommissionen och rådet under alla omständigheter säkerställa att proportionalitetsprincipen respekteras.</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en</w:t>
      </w:r>
      <w:r w:rsidRPr="001012B7">
        <w:rPr>
          <w:rStyle w:val="HideTWBExt"/>
          <w:noProof w:val="0"/>
        </w:rPr>
        <w:t>&lt;/Original&gt;</w:t>
      </w:r>
    </w:p>
    <w:p w:rsidR="00103A80" w:rsidRPr="001012B7" w:rsidRDefault="00F817DF" w:rsidP="00F817DF">
      <w:pPr>
        <w:widowControl/>
      </w:pPr>
      <w:r w:rsidRPr="001012B7">
        <w:rPr>
          <w:rStyle w:val="HideTWBExt"/>
        </w:rPr>
        <w:t>&lt;/Amend&gt;</w:t>
      </w:r>
    </w:p>
    <w:p w:rsidR="00103A80" w:rsidRPr="001012B7" w:rsidRDefault="00F817DF" w:rsidP="00F817DF">
      <w:pPr>
        <w:pStyle w:val="AMNumberTabs0"/>
        <w:keepNext/>
        <w:widowControl/>
      </w:pPr>
      <w:r w:rsidRPr="001012B7">
        <w:rPr>
          <w:rStyle w:val="HideTWBExt"/>
          <w:b w:val="0"/>
        </w:rPr>
        <w:t>&lt;Amend&gt;</w:t>
      </w:r>
      <w:r w:rsidRPr="001012B7">
        <w:t>Ändringsförslag</w:t>
      </w:r>
      <w:r w:rsidRPr="001012B7">
        <w:tab/>
      </w:r>
      <w:r w:rsidRPr="001012B7">
        <w:tab/>
      </w:r>
      <w:r w:rsidRPr="001012B7">
        <w:rPr>
          <w:rStyle w:val="HideTWBExt"/>
          <w:b w:val="0"/>
        </w:rPr>
        <w:t>&lt;NumAm&gt;</w:t>
      </w:r>
      <w:r w:rsidRPr="001012B7">
        <w:t>33</w:t>
      </w:r>
      <w:r w:rsidRPr="001012B7">
        <w:rPr>
          <w:rStyle w:val="HideTWBExt"/>
          <w:b w:val="0"/>
        </w:rPr>
        <w:t>&lt;/NumAm&gt;</w:t>
      </w:r>
    </w:p>
    <w:p w:rsidR="00103A80" w:rsidRPr="001012B7" w:rsidRDefault="00F817DF" w:rsidP="00F817DF">
      <w:pPr>
        <w:pStyle w:val="NormalBold12b"/>
        <w:keepNext/>
        <w:widowControl/>
      </w:pPr>
      <w:r w:rsidRPr="001012B7">
        <w:rPr>
          <w:rStyle w:val="HideTWBExt"/>
          <w:b w:val="0"/>
        </w:rPr>
        <w:t>&lt;DocAmend&gt;</w:t>
      </w:r>
      <w:r w:rsidRPr="001012B7">
        <w:t xml:space="preserve">Förslag till </w:t>
      </w:r>
      <w:r w:rsidRPr="001012B7">
        <w:t>förordning</w:t>
      </w:r>
      <w:r w:rsidRPr="001012B7">
        <w:rPr>
          <w:rStyle w:val="HideTWBExt"/>
          <w:b w:val="0"/>
        </w:rPr>
        <w:t>&lt;/DocAmend&gt;</w:t>
      </w:r>
    </w:p>
    <w:p w:rsidR="00103A80" w:rsidRPr="001012B7" w:rsidRDefault="00F817DF" w:rsidP="00F817DF">
      <w:pPr>
        <w:pStyle w:val="NormalBold"/>
        <w:widowControl/>
      </w:pPr>
      <w:r w:rsidRPr="001012B7">
        <w:rPr>
          <w:rStyle w:val="HideTWBExt"/>
          <w:b w:val="0"/>
        </w:rPr>
        <w:t>&lt;Article&gt;</w:t>
      </w:r>
      <w:r w:rsidRPr="001012B7">
        <w:t>Artikel 8 – punkt 2</w:t>
      </w:r>
      <w:r w:rsidRPr="001012B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042E" w:rsidRPr="001012B7" w:rsidTr="00103A80">
        <w:trPr>
          <w:jc w:val="center"/>
        </w:trPr>
        <w:tc>
          <w:tcPr>
            <w:tcW w:w="9752" w:type="dxa"/>
            <w:gridSpan w:val="2"/>
          </w:tcPr>
          <w:p w:rsidR="00103A80" w:rsidRPr="001012B7" w:rsidRDefault="00103A80" w:rsidP="00F817DF">
            <w:pPr>
              <w:keepNext/>
              <w:widowControl/>
            </w:pPr>
          </w:p>
        </w:tc>
      </w:tr>
      <w:tr w:rsidR="00CC042E" w:rsidRPr="001012B7" w:rsidTr="00103A80">
        <w:trPr>
          <w:jc w:val="center"/>
        </w:trPr>
        <w:tc>
          <w:tcPr>
            <w:tcW w:w="4876" w:type="dxa"/>
          </w:tcPr>
          <w:p w:rsidR="00103A80" w:rsidRPr="001012B7" w:rsidRDefault="00F817DF" w:rsidP="00F817DF">
            <w:pPr>
              <w:pStyle w:val="ColumnHeading"/>
              <w:keepNext/>
              <w:widowControl/>
            </w:pPr>
            <w:r w:rsidRPr="001012B7">
              <w:t>Kommissionens förslag</w:t>
            </w:r>
          </w:p>
        </w:tc>
        <w:tc>
          <w:tcPr>
            <w:tcW w:w="4876" w:type="dxa"/>
          </w:tcPr>
          <w:p w:rsidR="00103A80" w:rsidRPr="001012B7" w:rsidRDefault="00F817DF" w:rsidP="00F817DF">
            <w:pPr>
              <w:pStyle w:val="ColumnHeading"/>
              <w:keepNext/>
              <w:widowControl/>
            </w:pPr>
            <w:r w:rsidRPr="001012B7">
              <w:t>Ändringsförslag</w:t>
            </w:r>
          </w:p>
        </w:tc>
      </w:tr>
      <w:tr w:rsidR="00CC042E" w:rsidRPr="001012B7" w:rsidTr="00103A80">
        <w:trPr>
          <w:jc w:val="center"/>
        </w:trPr>
        <w:tc>
          <w:tcPr>
            <w:tcW w:w="4876" w:type="dxa"/>
          </w:tcPr>
          <w:p w:rsidR="00103A80" w:rsidRPr="001012B7" w:rsidRDefault="00F817DF" w:rsidP="00F817DF">
            <w:pPr>
              <w:pStyle w:val="Normal6"/>
              <w:widowControl/>
            </w:pPr>
            <w:r w:rsidRPr="001012B7">
              <w:t>2.</w:t>
            </w:r>
            <w:r w:rsidRPr="001012B7">
              <w:tab/>
              <w:t xml:space="preserve">Den medlemsstat som befinner sig i en instrumentaliseringssituation ska </w:t>
            </w:r>
            <w:r w:rsidRPr="001012B7">
              <w:rPr>
                <w:b/>
                <w:bCs/>
                <w:i/>
                <w:iCs/>
              </w:rPr>
              <w:t>säkerställa</w:t>
            </w:r>
            <w:r w:rsidRPr="001012B7">
              <w:t xml:space="preserve"> ett nära samarbete med FN:s flyktingkommissariat och relevanta partnerorganisationer </w:t>
            </w:r>
            <w:r w:rsidRPr="001012B7">
              <w:rPr>
                <w:b/>
                <w:bCs/>
                <w:i/>
                <w:iCs/>
              </w:rPr>
              <w:t>för att fastställa formerna för stödet till sökande i en instrumentaliseringssituation</w:t>
            </w:r>
            <w:r w:rsidRPr="001012B7">
              <w:t xml:space="preserve"> i </w:t>
            </w:r>
            <w:r w:rsidRPr="001012B7">
              <w:rPr>
                <w:b/>
                <w:bCs/>
                <w:i/>
                <w:iCs/>
              </w:rPr>
              <w:t>linje</w:t>
            </w:r>
            <w:r w:rsidRPr="001012B7">
              <w:t xml:space="preserve"> med </w:t>
            </w:r>
            <w:r w:rsidRPr="001012B7">
              <w:rPr>
                <w:b/>
                <w:bCs/>
                <w:i/>
                <w:iCs/>
              </w:rPr>
              <w:t>bestämmelserna i</w:t>
            </w:r>
            <w:r w:rsidRPr="001012B7">
              <w:t xml:space="preserve"> detta kapitel </w:t>
            </w:r>
            <w:r w:rsidRPr="001012B7">
              <w:rPr>
                <w:b/>
                <w:bCs/>
                <w:i/>
                <w:iCs/>
              </w:rPr>
              <w:t>och</w:t>
            </w:r>
            <w:r w:rsidRPr="001012B7">
              <w:t xml:space="preserve"> förordning (EU) XXX/XXX [förordninge</w:t>
            </w:r>
            <w:r w:rsidRPr="001012B7">
              <w:t>n om asylförfaranden] och direktiv XXX/XXX [det omarbetade direktivet om mottagningsvillkor].</w:t>
            </w:r>
          </w:p>
        </w:tc>
        <w:tc>
          <w:tcPr>
            <w:tcW w:w="4876" w:type="dxa"/>
          </w:tcPr>
          <w:p w:rsidR="00103A80" w:rsidRPr="001012B7" w:rsidRDefault="00F817DF" w:rsidP="00F817DF">
            <w:pPr>
              <w:pStyle w:val="Normal6"/>
              <w:widowControl/>
              <w:rPr>
                <w:szCs w:val="24"/>
              </w:rPr>
            </w:pPr>
            <w:r w:rsidRPr="001012B7">
              <w:t>2.</w:t>
            </w:r>
            <w:r w:rsidRPr="001012B7">
              <w:tab/>
              <w:t xml:space="preserve">Den medlemsstat som befinner sig i en instrumentaliseringssituation ska </w:t>
            </w:r>
            <w:r w:rsidRPr="001012B7">
              <w:rPr>
                <w:b/>
                <w:bCs/>
                <w:i/>
                <w:iCs/>
              </w:rPr>
              <w:t>upprätthålla</w:t>
            </w:r>
            <w:r w:rsidRPr="001012B7">
              <w:t xml:space="preserve"> ett nära samarbete med FN:s flyktingkommissariat och </w:t>
            </w:r>
            <w:r w:rsidRPr="001012B7">
              <w:rPr>
                <w:b/>
                <w:bCs/>
                <w:i/>
                <w:iCs/>
              </w:rPr>
              <w:t>andra</w:t>
            </w:r>
            <w:r w:rsidRPr="001012B7">
              <w:t xml:space="preserve"> relevanta partn</w:t>
            </w:r>
            <w:r w:rsidRPr="001012B7">
              <w:t xml:space="preserve">erorganisationer </w:t>
            </w:r>
            <w:r w:rsidRPr="001012B7">
              <w:rPr>
                <w:b/>
                <w:bCs/>
                <w:i/>
                <w:iCs/>
              </w:rPr>
              <w:t>som</w:t>
            </w:r>
            <w:r w:rsidRPr="001012B7">
              <w:t xml:space="preserve"> </w:t>
            </w:r>
            <w:r w:rsidRPr="001012B7">
              <w:rPr>
                <w:b/>
                <w:bCs/>
                <w:i/>
                <w:iCs/>
              </w:rPr>
              <w:t>anförtrotts särskilda uppgifter av medlemsstaterna</w:t>
            </w:r>
            <w:r w:rsidRPr="001012B7">
              <w:t xml:space="preserve"> i enlighet med detta kapitel </w:t>
            </w:r>
            <w:r w:rsidRPr="001012B7">
              <w:rPr>
                <w:b/>
                <w:bCs/>
                <w:i/>
                <w:iCs/>
              </w:rPr>
              <w:t>samt</w:t>
            </w:r>
            <w:r w:rsidRPr="001012B7">
              <w:t xml:space="preserve"> förordning (EU) XXX/XXX [förordningen om asylförfaranden] och direktiv XXX/XXX [det omarbetade direktivet om mottagningsvillkor].</w:t>
            </w:r>
          </w:p>
        </w:tc>
      </w:tr>
    </w:tbl>
    <w:p w:rsidR="00103A80" w:rsidRPr="001012B7" w:rsidRDefault="00F817DF" w:rsidP="00F817DF">
      <w:pPr>
        <w:pStyle w:val="Olang"/>
        <w:widowControl/>
      </w:pPr>
      <w:r w:rsidRPr="001012B7">
        <w:rPr>
          <w:noProof w:val="0"/>
        </w:rPr>
        <w:t xml:space="preserve">Or. </w:t>
      </w:r>
      <w:r w:rsidRPr="001012B7">
        <w:rPr>
          <w:rStyle w:val="HideTWBExt"/>
          <w:noProof w:val="0"/>
        </w:rPr>
        <w:t>&lt;Original&gt;</w:t>
      </w:r>
      <w:r w:rsidRPr="001012B7">
        <w:rPr>
          <w:rStyle w:val="HideTWBInt"/>
          <w:noProof w:val="0"/>
        </w:rPr>
        <w:t>{EN}</w:t>
      </w:r>
      <w:r w:rsidRPr="001012B7">
        <w:rPr>
          <w:noProof w:val="0"/>
        </w:rPr>
        <w:t>e</w:t>
      </w:r>
      <w:r w:rsidRPr="001012B7">
        <w:rPr>
          <w:noProof w:val="0"/>
        </w:rPr>
        <w:t>n</w:t>
      </w:r>
      <w:r w:rsidRPr="001012B7">
        <w:rPr>
          <w:rStyle w:val="HideTWBExt"/>
          <w:noProof w:val="0"/>
        </w:rPr>
        <w:t>&lt;/Original&gt;</w:t>
      </w:r>
    </w:p>
    <w:p w:rsidR="00103A80" w:rsidRPr="001012B7" w:rsidRDefault="00F817DF" w:rsidP="00F817DF">
      <w:pPr>
        <w:widowControl/>
      </w:pPr>
      <w:r w:rsidRPr="001012B7">
        <w:rPr>
          <w:rStyle w:val="HideTWBExt"/>
        </w:rPr>
        <w:t>&lt;/Amend&gt;&lt;/RepeatBlock-Amend&gt;</w:t>
      </w:r>
    </w:p>
    <w:p w:rsidR="00103A80" w:rsidRPr="001012B7" w:rsidRDefault="00103A80" w:rsidP="00F817DF">
      <w:pPr>
        <w:widowControl/>
      </w:pPr>
      <w:bookmarkStart w:id="2" w:name="_GoBack"/>
      <w:bookmarkEnd w:id="1"/>
      <w:bookmarkEnd w:id="2"/>
    </w:p>
    <w:sectPr w:rsidR="00103A80" w:rsidRPr="001012B7" w:rsidSect="001012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012B7" w:rsidRDefault="00F817DF">
      <w:r w:rsidRPr="001012B7">
        <w:separator/>
      </w:r>
    </w:p>
  </w:endnote>
  <w:endnote w:type="continuationSeparator" w:id="0">
    <w:p w:rsidR="00000000" w:rsidRPr="001012B7" w:rsidRDefault="00F817DF">
      <w:r w:rsidRPr="001012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2B7" w:rsidRPr="001012B7" w:rsidRDefault="001012B7" w:rsidP="001012B7">
    <w:pPr>
      <w:pStyle w:val="EPFooter"/>
    </w:pPr>
    <w:r w:rsidRPr="001012B7">
      <w:t>PE</w:t>
    </w:r>
    <w:r w:rsidRPr="001012B7">
      <w:rPr>
        <w:rStyle w:val="HideTWBExt"/>
      </w:rPr>
      <w:t>&lt;NoPE&gt;</w:t>
    </w:r>
    <w:r w:rsidRPr="001012B7">
      <w:t>752.890</w:t>
    </w:r>
    <w:r w:rsidRPr="001012B7">
      <w:rPr>
        <w:rStyle w:val="HideTWBExt"/>
      </w:rPr>
      <w:t>&lt;/NoPE&gt;&lt;Version&gt;</w:t>
    </w:r>
    <w:r w:rsidRPr="001012B7">
      <w:t>v01-00</w:t>
    </w:r>
    <w:r w:rsidRPr="001012B7">
      <w:rPr>
        <w:rStyle w:val="HideTWBExt"/>
      </w:rPr>
      <w:t>&lt;/Version&gt;</w:t>
    </w:r>
    <w:r w:rsidRPr="001012B7">
      <w:tab/>
    </w:r>
    <w:r w:rsidRPr="001012B7">
      <w:fldChar w:fldCharType="begin"/>
    </w:r>
    <w:r w:rsidRPr="001012B7">
      <w:instrText xml:space="preserve"> PAGE  \* MERGEFORMAT </w:instrText>
    </w:r>
    <w:r w:rsidRPr="001012B7">
      <w:fldChar w:fldCharType="separate"/>
    </w:r>
    <w:r w:rsidR="00F817DF">
      <w:rPr>
        <w:noProof/>
      </w:rPr>
      <w:t>26</w:t>
    </w:r>
    <w:r w:rsidRPr="001012B7">
      <w:fldChar w:fldCharType="end"/>
    </w:r>
    <w:r w:rsidRPr="001012B7">
      <w:t>/</w:t>
    </w:r>
    <w:fldSimple w:instr=" NUMPAGES  \* MERGEFORMAT ">
      <w:r w:rsidR="00F817DF">
        <w:rPr>
          <w:noProof/>
        </w:rPr>
        <w:t>27</w:t>
      </w:r>
    </w:fldSimple>
    <w:r w:rsidRPr="001012B7">
      <w:tab/>
    </w:r>
    <w:r w:rsidRPr="001012B7">
      <w:rPr>
        <w:rStyle w:val="HideTWBExt"/>
      </w:rPr>
      <w:t>&lt;PathFdR&gt;</w:t>
    </w:r>
    <w:r w:rsidRPr="001012B7">
      <w:t>PR\1285389SV.docx</w:t>
    </w:r>
    <w:r w:rsidRPr="001012B7">
      <w:rPr>
        <w:rStyle w:val="HideTWBExt"/>
      </w:rPr>
      <w:t>&lt;/PathFdR&gt;</w:t>
    </w:r>
  </w:p>
  <w:p w:rsidR="00103A80" w:rsidRPr="001012B7" w:rsidRDefault="001012B7" w:rsidP="001012B7">
    <w:pPr>
      <w:pStyle w:val="EPFooter2"/>
    </w:pPr>
    <w:r w:rsidRPr="001012B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2B7" w:rsidRPr="001012B7" w:rsidRDefault="001012B7" w:rsidP="001012B7">
    <w:pPr>
      <w:pStyle w:val="EPFooter"/>
    </w:pPr>
    <w:r w:rsidRPr="001012B7">
      <w:rPr>
        <w:rStyle w:val="HideTWBExt"/>
      </w:rPr>
      <w:t>&lt;PathFdR&gt;</w:t>
    </w:r>
    <w:r w:rsidRPr="001012B7">
      <w:t>PR\1285389SV.docx</w:t>
    </w:r>
    <w:r w:rsidRPr="001012B7">
      <w:rPr>
        <w:rStyle w:val="HideTWBExt"/>
      </w:rPr>
      <w:t>&lt;/PathFdR&gt;</w:t>
    </w:r>
    <w:r w:rsidRPr="001012B7">
      <w:tab/>
    </w:r>
    <w:r w:rsidRPr="001012B7">
      <w:fldChar w:fldCharType="begin"/>
    </w:r>
    <w:r w:rsidRPr="001012B7">
      <w:instrText xml:space="preserve"> PAGE  \* MERGEFORMAT </w:instrText>
    </w:r>
    <w:r w:rsidRPr="001012B7">
      <w:fldChar w:fldCharType="separate"/>
    </w:r>
    <w:r w:rsidR="00F817DF">
      <w:rPr>
        <w:noProof/>
      </w:rPr>
      <w:t>27</w:t>
    </w:r>
    <w:r w:rsidRPr="001012B7">
      <w:fldChar w:fldCharType="end"/>
    </w:r>
    <w:r w:rsidRPr="001012B7">
      <w:t>/</w:t>
    </w:r>
    <w:fldSimple w:instr=" NUMPAGES  \* MERGEFORMAT ">
      <w:r w:rsidR="00F817DF">
        <w:rPr>
          <w:noProof/>
        </w:rPr>
        <w:t>27</w:t>
      </w:r>
    </w:fldSimple>
    <w:r w:rsidRPr="001012B7">
      <w:tab/>
      <w:t>PE</w:t>
    </w:r>
    <w:r w:rsidRPr="001012B7">
      <w:rPr>
        <w:rStyle w:val="HideTWBExt"/>
      </w:rPr>
      <w:t>&lt;NoPE&gt;</w:t>
    </w:r>
    <w:r w:rsidRPr="001012B7">
      <w:t>752.890</w:t>
    </w:r>
    <w:r w:rsidRPr="001012B7">
      <w:rPr>
        <w:rStyle w:val="HideTWBExt"/>
      </w:rPr>
      <w:t>&lt;/NoPE&gt;&lt;Version&gt;</w:t>
    </w:r>
    <w:r w:rsidRPr="001012B7">
      <w:t>v01-00</w:t>
    </w:r>
    <w:r w:rsidRPr="001012B7">
      <w:rPr>
        <w:rStyle w:val="HideTWBExt"/>
      </w:rPr>
      <w:t>&lt;/Version&gt;</w:t>
    </w:r>
  </w:p>
  <w:p w:rsidR="00103A80" w:rsidRPr="001012B7" w:rsidRDefault="001012B7" w:rsidP="001012B7">
    <w:pPr>
      <w:pStyle w:val="EPFooter2"/>
    </w:pPr>
    <w:r w:rsidRPr="001012B7">
      <w:tab/>
    </w:r>
    <w:r w:rsidRPr="001012B7">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2B7" w:rsidRPr="001012B7" w:rsidRDefault="001012B7" w:rsidP="001012B7">
    <w:pPr>
      <w:pStyle w:val="EPFooter"/>
    </w:pPr>
    <w:r w:rsidRPr="001012B7">
      <w:rPr>
        <w:rStyle w:val="HideTWBExt"/>
      </w:rPr>
      <w:t>&lt;PathFdR&gt;</w:t>
    </w:r>
    <w:r w:rsidRPr="001012B7">
      <w:t>PR\1285389SV.docx</w:t>
    </w:r>
    <w:r w:rsidRPr="001012B7">
      <w:rPr>
        <w:rStyle w:val="HideTWBExt"/>
      </w:rPr>
      <w:t>&lt;/PathFdR&gt;</w:t>
    </w:r>
    <w:r w:rsidRPr="001012B7">
      <w:tab/>
    </w:r>
    <w:r w:rsidRPr="001012B7">
      <w:tab/>
      <w:t>PE</w:t>
    </w:r>
    <w:r w:rsidRPr="001012B7">
      <w:rPr>
        <w:rStyle w:val="HideTWBExt"/>
      </w:rPr>
      <w:t>&lt;NoPE&gt;</w:t>
    </w:r>
    <w:r w:rsidRPr="001012B7">
      <w:t>752.890</w:t>
    </w:r>
    <w:r w:rsidRPr="001012B7">
      <w:rPr>
        <w:rStyle w:val="HideTWBExt"/>
      </w:rPr>
      <w:t>&lt;/NoPE&gt;&lt;Version&gt;</w:t>
    </w:r>
    <w:r w:rsidRPr="001012B7">
      <w:t>v01-00</w:t>
    </w:r>
    <w:r w:rsidRPr="001012B7">
      <w:rPr>
        <w:rStyle w:val="HideTWBExt"/>
      </w:rPr>
      <w:t>&lt;/Version&gt;</w:t>
    </w:r>
  </w:p>
  <w:p w:rsidR="00103A80" w:rsidRPr="001012B7" w:rsidRDefault="001012B7" w:rsidP="001012B7">
    <w:pPr>
      <w:pStyle w:val="EPFooter2"/>
    </w:pPr>
    <w:r w:rsidRPr="001012B7">
      <w:t>SV</w:t>
    </w:r>
    <w:r w:rsidRPr="001012B7">
      <w:tab/>
    </w:r>
    <w:r w:rsidRPr="001012B7">
      <w:rPr>
        <w:b w:val="0"/>
        <w:i/>
        <w:color w:val="C0C0C0"/>
        <w:sz w:val="22"/>
      </w:rPr>
      <w:t>Förenade i mångfalden</w:t>
    </w:r>
    <w:r w:rsidRPr="001012B7">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012B7" w:rsidRDefault="00F817DF">
      <w:r w:rsidRPr="001012B7">
        <w:separator/>
      </w:r>
    </w:p>
  </w:footnote>
  <w:footnote w:type="continuationSeparator" w:id="0">
    <w:p w:rsidR="00000000" w:rsidRPr="001012B7" w:rsidRDefault="00F817DF">
      <w:r w:rsidRPr="001012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7DF" w:rsidRDefault="00F817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7DF" w:rsidRDefault="00F817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7DF" w:rsidRDefault="00F817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Var" w:val="33"/>
    <w:docVar w:name="DOCMNU" w:val=" 1"/>
    <w:docVar w:name="EPSTATMNU" w:val=" 5"/>
    <w:docVar w:name="iNoAmend" w:val="33"/>
    <w:docVar w:name="INSTITUTIONSMNU" w:val=" 2"/>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51928 HideTWBExt;}{\*\cs18 \additive \v\f1\fs20\cf15 _x000d__x000a_\spriority0 \styrsid3351928 HideTWBInt;}{\s19\ql \li0\ri0\sa120\nowidctlpar\wrapdefault\aspalpha\aspnum\faauto\adjustright\rin0\lin0\itap0 \rtlch\fcs1 \af0\afs20\alang1025 \ltrch\fcs0 \fs24\lang2057\langfe2057\cgrid\langnp2057\langfenp2057 _x000d__x000a_\sbasedon0 \snext19 \spriority0 \styrsid3351928 Normal6a;}{\s20\ql \li0\ri0\nowidctlpar\wrapdefault\aspalpha\aspnum\faauto\adjustright\rin0\lin0\itap0 \rtlch\fcs1 \af0\afs20\alang1025 \ltrch\fcs0 \b\fs24\lang2057\langfe2057\cgrid\langnp2057\langfenp2057 _x000d__x000a_\sbasedon0 \snext20 \spriority0 \styrsid3351928 NormalBold;}{\s21\ql \li0\ri0\sa240\nowidctlpar\wrapdefault\aspalpha\aspnum\faauto\adjustright\rin0\lin0\itap0 \rtlch\fcs1 \af0\afs20\alang1025 \ltrch\fcs0 _x000d__x000a_\i\fs24\lang2057\langfe2057\cgrid\langnp2057\langfenp2057 \sbasedon0 \snext21 \spriority0 \styrsid3351928 AmJustText;}{\s22\qc \li0\ri0\sb240\sa240\nowidctlpar\wrapdefault\aspalpha\aspnum\faauto\adjustright\rin0\lin0\itap0 \rtlch\fcs1 _x000d__x000a_\af0\afs20\alang1025 \ltrch\fcs0 \i\fs24\lang2057\langfe2057\cgrid\langnp2057\langfenp2057 \sbasedon0 \snext22 \spriority0 \styrsid3351928 AmCrossRef;}{_x000d__x000a_\s23\qc \li0\ri0\sb240\sa240\keepn\nowidctlpar\wrapdefault\aspalpha\aspnum\faauto\adjustright\rin0\lin0\itap0 \rtlch\fcs1 \af0\afs20\alang1025 \ltrch\fcs0 \i\fs24\lang2057\langfe2057\cgrid\langnp2057\langfenp2057 _x000d__x000a_\sbasedon0 \snext21 \spriority0 \styrsid3351928 AmJustTitle;}{\s24\qr \li0\ri0\sb240\sa240\nowidctlpar\wrapdefault\aspalpha\aspnum\faauto\adjustright\rin0\lin0\itap0 \rtlch\fcs1 \af0\afs20\alang1025 \ltrch\fcs0 _x000d__x000a_\fs24\lang2057\langfe2057\cgrid\langnp2057\langfenp2057 \sbasedon0 \snext24 \spriority0 \styrsid3351928 AmOrLang;}{\s25\qc \li0\ri0\sa240\nowidctlpar\wrapdefault\aspalpha\aspnum\faauto\adjustright\rin0\lin0\itap0 \rtlch\fcs1 \af0\afs20\alang1025 _x000d__x000a_\ltrch\fcs0 \i\fs24\lang2057\langfe2057\cgrid\langnp2057\langfenp2057 \sbasedon0 \snext25 \spriority0 \styrsid33519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351928 AmNumberTabs;}{\s27\ql \li0\ri0\sb240\nowidctlpar\wrapdefault\aspalpha\aspnum\faauto\adjustright\rin0\lin0\itap0 \rtlch\fcs1 _x000d__x000a_\af0\afs20\alang1025 \ltrch\fcs0 \b\fs24\lang2057\langfe2057\cgrid\langnp2057\langfenp2057 \sbasedon0 \snext27 \spriority0 \styrsid3351928 NormalBold12b;}}{\*\rsidtbl \rsid24658\rsid223860\rsid735077\rsid1718133\rsid2707246\rsid2892074\rsid3351928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HILLIPS Deborah}{\operator PHILLIPS Deborah}{\creatim\yr2023\mo4\dy25\hr11\min46}{\revtim\yr2023\mo4\dy25\hr11\min46}{\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5192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707246 \chftnsep _x000d__x000a_\par }}{\*\ftnsepc \ltrpar \pard\plain \ltrpar\ql \li0\ri0\widctlpar\wrapdefault\aspalpha\aspnum\faauto\adjustright\rin0\lin0\itap0 \rtlch\fcs1 \af0\afs20\alang1025 \ltrch\fcs0 \fs24\lang2057\langfe2057\cgrid\langnp2057\langfenp2057 {\rtlch\fcs1 \af0 _x000d__x000a_\ltrch\fcs0 \insrsid2707246 \chftnsepc _x000d__x000a_\par }}{\*\aftnsep \ltrpar \pard\plain \ltrpar\ql \li0\ri0\widctlpar\wrapdefault\aspalpha\aspnum\faauto\adjustright\rin0\lin0\itap0 \rtlch\fcs1 \af0\afs20\alang1025 \ltrch\fcs0 \fs24\lang2057\langfe2057\cgrid\langnp2057\langfenp2057 {\rtlch\fcs1 \af0 _x000d__x000a_\ltrch\fcs0 \insrsid2707246 \chftnsep _x000d__x000a_\par }}{\*\aftnsepc \ltrpar \pard\plain \ltrpar\ql \li0\ri0\widctlpar\wrapdefault\aspalpha\aspnum\faauto\adjustright\rin0\lin0\itap0 \rtlch\fcs1 \af0\afs20\alang1025 \ltrch\fcs0 \fs24\lang2057\langfe2057\cgrid\langnp2057\langfenp2057 {\rtlch\fcs1 \af0 _x000d__x000a_\ltrch\fcs0 \insrsid27072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351928 \rtlch\fcs1 _x000d__x000a_\af0\afs20\alang1025 \ltrch\fcs0 \b\fs24\lang2057\langfe2057\cgrid\langnp2057\langfenp2057 {\rtlch\fcs1 \af0 \ltrch\fcs0 \cs17\b0\v\fs20\cf9\lang1024\langfe1024\loch\af1\hich\af1\dbch\af31501\noproof\insrsid3351928\charrsid10895074 {\*\bkmkstart restart}_x000d__x000a_\hich\af1\dbch\af31501\loch\f1 &lt;Amend&gt;}{\rtlch\fcs1 \af0 \ltrch\fcs0 \insrsid3351928\charrsid10895074 Amendment\tab \tab }{\rtlch\fcs1 \af0 \ltrch\fcs0 _x000d__x000a_\cs17\b0\v\fs20\cf9\lang1024\langfe1024\loch\af1\hich\af1\dbch\af31501\noproof\insrsid3351928\charrsid10895074 \hich\af1\dbch\af31501\loch\f1 &lt;NumAm&gt;}{\rtlch\fcs1 \af0 \ltrch\fcs0 \insrsid3351928\charrsid10895074 #}{\rtlch\fcs1 \af1 \ltrch\fcs0 _x000d__x000a_\cs18\v\f1\fs20\cf15\insrsid3351928\charrsid10895074 ENMIENDA@NRAM@}{\rtlch\fcs1 \af0 \ltrch\fcs0 \insrsid3351928\charrsid10895074 #}{\rtlch\fcs1 \af0 \ltrch\fcs0 _x000d__x000a_\cs17\b0\v\fs20\cf9\lang1024\langfe1024\loch\af1\hich\af1\dbch\af31501\noproof\insrsid3351928\charrsid10895074 \hich\af1\dbch\af31501\loch\f1 &lt;/NumAm&gt;}{\rtlch\fcs1 \af0 \ltrch\fcs0 \insrsid3351928\charrsid10895074 _x000d__x000a_\par }\pard\plain \ltrpar\s27\ql \li0\ri0\sb240\keepn\nowidctlpar\wrapdefault\aspalpha\aspnum\faauto\adjustright\rin0\lin0\itap0\pararsid3351928 \rtlch\fcs1 \af0\afs20\alang1025 \ltrch\fcs0 \b\fs24\lang2057\langfe2057\cgrid\langnp2057\langfenp2057 {_x000d__x000a_\rtlch\fcs1 \af0 \ltrch\fcs0 \cs17\b0\v\fs20\cf9\lang1024\langfe1024\loch\af1\hich\af1\dbch\af31501\noproof\insrsid3351928\charrsid10895074 \hich\af1\dbch\af31501\loch\f1 &lt;DocAmend&gt;}{\rtlch\fcs1 \af0 \ltrch\fcs0 \insrsid3351928\charrsid10895074 _x000d__x000a_Proposal for a #}{\rtlch\fcs1 \af1 \ltrch\fcs0 \cs18\v\f1\fs20\cf15\insrsid3351928\charrsid10895074 MNU[DOC1][DOC2][DOC3]@DOCMSG@DOCMNU}{\rtlch\fcs1 \af0 \ltrch\fcs0 \insrsid3351928\charrsid10895074 ##}{\rtlch\fcs1 \af1 \ltrch\fcs0 _x000d__x000a_\cs18\v\f1\fs20\cf15\insrsid3351928\charrsid10895074 MNU[AMACTYES][NOTAPP]@CHOICE@AMACTMNU}{\rtlch\fcs1 \af0 \ltrch\fcs0 \insrsid3351928\charrsid10895074 #}{\rtlch\fcs1 \af0 \ltrch\fcs0 _x000d__x000a_\cs17\b0\v\fs20\cf9\lang1024\langfe1024\loch\af1\hich\af1\dbch\af31501\noproof\insrsid3351928\charrsid10895074 \hich\af1\dbch\af31501\loch\f1 &lt;/DocAmend&gt;}{\rtlch\fcs1 \af0 \ltrch\fcs0 \insrsid3351928\charrsid10895074 _x000d__x000a_\par }\pard\plain \ltrpar\s20\ql \li0\ri0\keepn\nowidctlpar\wrapdefault\aspalpha\aspnum\faauto\adjustright\rin0\lin0\itap0\pararsid3351928 \rtlch\fcs1 \af0\afs20\alang1025 \ltrch\fcs0 \b\fs24\lang2057\langfe2057\cgrid\langnp2057\langfenp2057 {\rtlch\fcs1 \af0 _x000d__x000a_\ltrch\fcs0 \cs17\b0\v\fs20\cf9\lang1024\langfe1024\loch\af1\hich\af1\dbch\af31501\noproof\insrsid3351928\charrsid10895074 \hich\af1\dbch\af31501\loch\f1 &lt;Article&gt;}{\rtlch\fcs1 \af0 \ltrch\fcs0 \insrsid3351928\charrsid10895074 #}{\rtlch\fcs1 \af1 _x000d__x000a_\ltrch\fcs0 \cs18\v\f1\fs20\cf15\insrsid3351928\charrsid10895074 MNU[AMACTPARTYES][AMACTPARTNO]@CHOICE@AMACTMNU}{\rtlch\fcs1 \af0 \ltrch\fcs0 \insrsid3351928\charrsid10895074 #}{\rtlch\fcs1 \af0 \ltrch\fcs0 _x000d__x000a_\cs17\b0\v\fs20\cf9\lang1024\langfe1024\loch\af1\hich\af1\dbch\af31501\noproof\insrsid3351928\charrsid10895074 \hich\af1\dbch\af31501\loch\f1 &lt;/Article&gt;}{\rtlch\fcs1 \af0 \ltrch\fcs0 \insrsid3351928\charrsid10895074 _x000d__x000a_\par }\pard\plain \ltrpar\ql \li0\ri0\keepn\widctlpar\wrapdefault\aspalpha\aspnum\faauto\adjustright\rin0\lin0\itap0\pararsid3351928 \rtlch\fcs1 \af0\afs20\alang1025 \ltrch\fcs0 \fs24\lang2057\langfe2057\cgrid\langnp2057\langfenp2057 {\rtlch\fcs1 \af0 _x000d__x000a_\ltrch\fcs0 \cs17\v\fs20\cf9\lang1024\langfe1024\loch\af1\hich\af1\dbch\af31501\noproof\insrsid3351928\charrsid10895074 \hich\af1\dbch\af31501\loch\f1 &lt;DocAmend2&gt;&lt;OptDel&gt;}{\rtlch\fcs1 \af0 \ltrch\fcs0 \insrsid3351928\charrsid10895074 #}{\rtlch\fcs1 \af1 _x000d__x000a_\ltrch\fcs0 \cs18\v\f1\fs20\cf15\insrsid3351928\charrsid10895074 MNU[OPTNRACTYES][NOTAPP]@CHOICE@AMACTMNU}{\rtlch\fcs1 \af0 \ltrch\fcs0 \insrsid3351928\charrsid10895074 #}{\rtlch\fcs1 \af0 \ltrch\fcs0 _x000d__x000a_\cs17\v\fs20\cf9\lang1024\langfe1024\loch\af1\hich\af1\dbch\af31501\noproof\insrsid3351928\charrsid10895074 \hich\af1\dbch\af31501\loch\f1 &lt;/OptDel&gt;&lt;/DocAmend2&gt;}{\rtlch\fcs1 \af0 \ltrch\fcs0 \insrsid3351928\charrsid10895074 _x000d__x000a_\par }\pard \ltrpar\ql \li0\ri0\widctlpar\wrapdefault\aspalpha\aspnum\faauto\adjustright\rin0\lin0\itap0\pararsid3351928 {\rtlch\fcs1 \af0 \ltrch\fcs0 \cs17\v\fs20\cf9\lang1024\langfe1024\loch\af1\hich\af1\dbch\af31501\noproof\insrsid3351928\charrsid10895074 _x000d__x000a_\hich\af1\dbch\af31501\loch\f1 &lt;Article2&gt;&lt;OptDel&gt;}{\rtlch\fcs1 \af0 \ltrch\fcs0 \insrsid3351928\charrsid10895074 #}{\rtlch\fcs1 \af1 \ltrch\fcs0 \cs18\v\f1\fs20\cf15\insrsid3351928\charrsid10895074 MNU[OPTACTPARTYES][NOTAPP]@CHOICE@AMACTMNU}{\rtlch\fcs1 _x000d__x000a_\af0 \ltrch\fcs0 \insrsid3351928\charrsid10895074 #}{\rtlch\fcs1 \af0 \ltrch\fcs0 \cs17\v\fs20\cf9\lang1024\langfe1024\loch\af1\hich\af1\dbch\af31501\noproof\insrsid3351928\charrsid10895074 \hich\af1\dbch\af31501\loch\f1 &lt;/OptDel&gt;&lt;/Article2&gt;}{\rtlch\fcs1 _x000d__x000a_\af0 \ltrch\fcs0 \insrsid3351928\charrsid1089507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3351928\charrsid10895074 #}{\rtlch\fcs1 \af1 \ltrch\fcs0 \cs18\v\f1\fs20\cf15\insrsid3351928\charrsid10895074 MNU[OPTLEFTAMACT][LEFTPROP]@CHOICE@AMACTMNU}{\rtlch\fcs1 \af0 \ltrch\fcs0 \insrsid3351928\charrsid10895074 #\cell Amendment\cell _x000d__x000a_}\pard\plain \ltrpar\ql \li0\ri0\widctlpar\intbl\wrapdefault\aspalpha\aspnum\faauto\adjustright\rin0\lin0 \rtlch\fcs1 \af0\afs20\alang1025 \ltrch\fcs0 \fs24\lang2057\langfe2057\cgrid\langnp2057\langfenp2057 {\rtlch\fcs1 \af0 \ltrch\fcs0 _x000d__x000a_\insrsid3351928\charrsid10895074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3351928\charrsid10895074 ##\cell ##}{\rtlch\fcs1 \af0\afs24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351928 \rtlch\fcs1 \af0\afs20\alang1025 \ltrch\fcs0 \fs24\lang2057\langfe2057\cgrid\langnp2057\langfenp2057 {\rtlch\fcs1 \af0 \ltrch\fcs0 _x000d__x000a_\insrsid3351928\charrsid10895074 Or. }{\rtlch\fcs1 \af0 \ltrch\fcs0 \cs17\v\fs20\cf9\lang1024\langfe1024\loch\af1\hich\af1\dbch\af31501\noproof\insrsid3351928\charrsid10895074 \hich\af1\dbch\af31501\loch\f1 &lt;Original&gt;}{\rtlch\fcs1 \af0 \ltrch\fcs0 _x000d__x000a_\insrsid3351928\charrsid10895074 #}{\rtlch\fcs1 \af1 \ltrch\fcs0 \cs18\v\f1\fs20\cf15\insrsid3351928\charrsid10895074 MNU[ORLANGONE][ORLANGMORE]@CHOICE@ORLANGMNU}{\rtlch\fcs1 \af0 \ltrch\fcs0 \insrsid3351928\charrsid10895074 #}{\rtlch\fcs1 \af0 _x000d__x000a_\ltrch\fcs0 \cs17\v\fs20\cf9\lang1024\langfe1024\loch\af1\hich\af1\dbch\af31501\noproof\insrsid3351928\charrsid10895074 \hich\af1\dbch\af31501\loch\f1 &lt;/Original&gt;}{\rtlch\fcs1 \af0 \ltrch\fcs0 \insrsid3351928\charrsid10895074 _x000d__x000a_\par }\pard\plain \ltrpar\s22\qc \li0\ri0\sb240\sa240\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OptDel&gt;}{\rtlch\fcs1 \af0 \ltrch\fcs0 \insrsid3351928\charrsid10895074 #}{_x000d__x000a_\rtlch\fcs1 \af1 \ltrch\fcs0 \cs18\v\f1\fs20\cf15\insrsid3351928\charrsid10895074 MNU[CROSSREFNO][CROSSREFYES]@CHOICE@}{\rtlch\fcs1 \af0 \ltrch\fcs0 \insrsid3351928\charrsid10895074 #}{\rtlch\fcs1 \af0 \ltrch\fcs0 _x000d__x000a_\cs17\i0\v\fs20\cf9\lang1024\langfe1024\loch\af1\hich\af1\dbch\af31501\noproof\insrsid3351928\charrsid10895074 \hich\af1\dbch\af31501\loch\f1 &lt;/OptDel&gt;}{\rtlch\fcs1 \af0 \ltrch\fcs0 \insrsid3351928\charrsid10895074 _x000d__x000a_\par }\pard\plain \ltrpar\s23\qc \li0\ri0\sb240\sa240\keepn\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TitreJust&gt;}{\rtlch\fcs1 \af0 \ltrch\fcs0 \insrsid3351928\charrsid10895074 _x000d__x000a_Justification}{\rtlch\fcs1 \af0 \ltrch\fcs0 \cs17\i0\v\fs20\cf9\lang1024\langfe1024\loch\af1\hich\af1\dbch\af31501\noproof\insrsid3351928\charrsid10895074 \hich\af1\dbch\af31501\loch\f1 &lt;/TitreJust&gt;}{\rtlch\fcs1 \af0 \ltrch\fcs0 _x000d__x000a_\insrsid3351928\charrsid10895074 _x000d__x000a_\par }\pard\plain \ltrpar\s21\ql \li0\ri0\sa240\nowidctlpar\wrapdefault\aspalpha\aspnum\faauto\adjustright\rin0\lin0\itap0\pararsid3351928 \rtlch\fcs1 \af0\afs20\alang1025 \ltrch\fcs0 \i\fs24\lang2057\langfe2057\cgrid\langnp2057\langfenp2057 {\rtlch\fcs1 \af0 _x000d__x000a_\ltrch\fcs0 \cs17\i0\v\fs20\cf9\lang1024\langfe1024\loch\af1\hich\af1\dbch\af31501\noproof\insrsid3351928\charrsid10895074 \hich\af1\dbch\af31501\loch\f1 &lt;OptDelPrev&gt;}{\rtlch\fcs1 \af0 \ltrch\fcs0 \insrsid3351928\charrsid10895074 #}{\rtlch\fcs1 \af1 _x000d__x000a_\ltrch\fcs0 \cs18\v\f1\fs20\cf15\insrsid3351928\charrsid10895074 MNU[TEXTJUSTYES][TEXTJUSTNO]@CHOICE@}{\rtlch\fcs1 \af0 \ltrch\fcs0 \insrsid3351928\charrsid10895074 #}{\rtlch\fcs1 \af0 \ltrch\fcs0 _x000d__x000a_\cs17\i0\v\fs20\cf9\lang1024\langfe1024\loch\af1\hich\af1\dbch\af31501\noproof\insrsid3351928\charrsid10895074 \hich\af1\dbch\af31501\loch\f1 &lt;/OptDelPrev&gt;}{\rtlch\fcs1 \af0 \ltrch\fcs0 \insrsid3351928\charrsid10895074 _x000d__x000a_\par }\pard\plain \ltrpar\ql \li0\ri0\widctlpar\wrapdefault\aspalpha\aspnum\faauto\adjustright\rin0\lin0\itap0\pararsid3351928 \rtlch\fcs1 \af0\afs20\alang1025 \ltrch\fcs0 \fs24\lang2057\langfe2057\cgrid\langnp2057\langfenp2057 {\rtlch\fcs1 \af0 \ltrch\fcs0 _x000d__x000a_\cs17\v\fs20\cf9\lang1024\langfe1024\loch\af1\hich\af1\dbch\af31501\noproof\insrsid3351928\charrsid108950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72_x000d__x000a_f0d45a7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XTAUTHOR" w:val="Patryk Jaki"/>
    <w:docVar w:name="TXTLANGUE" w:val="EN"/>
    <w:docVar w:name="TXTLANGUEMIN" w:val="en"/>
    <w:docVar w:name="TXTNRC" w:val="0474/2021"/>
    <w:docVar w:name="TXTNRCOD" w:val="2021/0427"/>
    <w:docVar w:name="TXTNRCOM" w:val="2021/0890"/>
    <w:docVar w:name="TXTNRFIRSTAM" w:val="1"/>
    <w:docVar w:name="TXTNRLASTAM" w:val="33"/>
    <w:docVar w:name="TXTNRPE" w:val="752.890"/>
    <w:docVar w:name="TXTPEorAP" w:val="PE"/>
    <w:docVar w:name="TXTROUTE" w:val="PR\1285389EN.docx"/>
    <w:docVar w:name="TXTTITLE" w:val=" addressing situations of instrumentalisation in the field of migration and asylum"/>
    <w:docVar w:name="TXTVERSION" w:val="01-00"/>
  </w:docVars>
  <w:rsids>
    <w:rsidRoot w:val="00462F6F"/>
    <w:rsid w:val="00011AAB"/>
    <w:rsid w:val="00012351"/>
    <w:rsid w:val="000137B0"/>
    <w:rsid w:val="000139E5"/>
    <w:rsid w:val="000147E7"/>
    <w:rsid w:val="00084DD2"/>
    <w:rsid w:val="00084E89"/>
    <w:rsid w:val="000B7489"/>
    <w:rsid w:val="000F1096"/>
    <w:rsid w:val="001012B7"/>
    <w:rsid w:val="00103A80"/>
    <w:rsid w:val="00120948"/>
    <w:rsid w:val="00123DD5"/>
    <w:rsid w:val="001261D4"/>
    <w:rsid w:val="001277AE"/>
    <w:rsid w:val="00142215"/>
    <w:rsid w:val="001767E2"/>
    <w:rsid w:val="00187008"/>
    <w:rsid w:val="001B3829"/>
    <w:rsid w:val="001C39AB"/>
    <w:rsid w:val="001C5592"/>
    <w:rsid w:val="001C5B44"/>
    <w:rsid w:val="001C6FFC"/>
    <w:rsid w:val="001F51BE"/>
    <w:rsid w:val="001F7C7C"/>
    <w:rsid w:val="00200600"/>
    <w:rsid w:val="00212B84"/>
    <w:rsid w:val="002346B0"/>
    <w:rsid w:val="002667C3"/>
    <w:rsid w:val="002669B6"/>
    <w:rsid w:val="00290BED"/>
    <w:rsid w:val="002D13EE"/>
    <w:rsid w:val="002E33EE"/>
    <w:rsid w:val="002F40BB"/>
    <w:rsid w:val="002F4B02"/>
    <w:rsid w:val="00323EF8"/>
    <w:rsid w:val="003316DD"/>
    <w:rsid w:val="00341BCE"/>
    <w:rsid w:val="00366A46"/>
    <w:rsid w:val="00370AC3"/>
    <w:rsid w:val="003824EE"/>
    <w:rsid w:val="003B4689"/>
    <w:rsid w:val="003C2068"/>
    <w:rsid w:val="003C37CF"/>
    <w:rsid w:val="00400D0C"/>
    <w:rsid w:val="004100B1"/>
    <w:rsid w:val="00426E47"/>
    <w:rsid w:val="00452C7A"/>
    <w:rsid w:val="00455743"/>
    <w:rsid w:val="00461601"/>
    <w:rsid w:val="00462F6F"/>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E1BC0"/>
    <w:rsid w:val="005E6280"/>
    <w:rsid w:val="00642325"/>
    <w:rsid w:val="00653AAE"/>
    <w:rsid w:val="006825E7"/>
    <w:rsid w:val="006A2F5D"/>
    <w:rsid w:val="006F7907"/>
    <w:rsid w:val="00743189"/>
    <w:rsid w:val="00743D33"/>
    <w:rsid w:val="007932B3"/>
    <w:rsid w:val="00793EA9"/>
    <w:rsid w:val="007D6F68"/>
    <w:rsid w:val="00823E6B"/>
    <w:rsid w:val="00826780"/>
    <w:rsid w:val="00837CCD"/>
    <w:rsid w:val="008633CC"/>
    <w:rsid w:val="00865190"/>
    <w:rsid w:val="008719B9"/>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B017E"/>
    <w:rsid w:val="00BC6489"/>
    <w:rsid w:val="00BD480C"/>
    <w:rsid w:val="00C20954"/>
    <w:rsid w:val="00C23324"/>
    <w:rsid w:val="00C42A41"/>
    <w:rsid w:val="00C47E74"/>
    <w:rsid w:val="00C57A72"/>
    <w:rsid w:val="00C73602"/>
    <w:rsid w:val="00CC042E"/>
    <w:rsid w:val="00CF60C8"/>
    <w:rsid w:val="00D30DE2"/>
    <w:rsid w:val="00D32924"/>
    <w:rsid w:val="00D503A3"/>
    <w:rsid w:val="00D931A1"/>
    <w:rsid w:val="00DA6ED0"/>
    <w:rsid w:val="00DC5011"/>
    <w:rsid w:val="00E171B6"/>
    <w:rsid w:val="00E72695"/>
    <w:rsid w:val="00EA4CE2"/>
    <w:rsid w:val="00EB1753"/>
    <w:rsid w:val="00EB6CFF"/>
    <w:rsid w:val="00EE3996"/>
    <w:rsid w:val="00F07062"/>
    <w:rsid w:val="00F23CFC"/>
    <w:rsid w:val="00F433E2"/>
    <w:rsid w:val="00F61B86"/>
    <w:rsid w:val="00F817DF"/>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EFBCA"/>
  <w15:chartTrackingRefBased/>
  <w15:docId w15:val="{4238EB5D-06C1-4374-97A4-7345B59D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103A80"/>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6280"/>
    <w:pPr>
      <w:tabs>
        <w:tab w:val="right" w:pos="454"/>
        <w:tab w:val="left" w:pos="737"/>
      </w:tabs>
      <w:ind w:left="737" w:hanging="737"/>
    </w:pPr>
    <w:rPr>
      <w:snapToGrid w:val="0"/>
      <w:sz w:val="18"/>
      <w:lang w:eastAsia="en-US"/>
    </w:rPr>
  </w:style>
  <w:style w:type="paragraph" w:customStyle="1" w:styleId="Lgendetitre">
    <w:name w:val="Légende titre"/>
    <w:basedOn w:val="Normal"/>
    <w:rsid w:val="005E6280"/>
    <w:pPr>
      <w:spacing w:before="240" w:after="240"/>
    </w:pPr>
    <w:rPr>
      <w:b/>
      <w:i/>
      <w:snapToGrid w:val="0"/>
      <w:lang w:eastAsia="en-US"/>
    </w:rPr>
  </w:style>
  <w:style w:type="paragraph" w:customStyle="1" w:styleId="Lgendestandard">
    <w:name w:val="Légende standard"/>
    <w:basedOn w:val="Normal"/>
    <w:rsid w:val="005E6280"/>
    <w:rPr>
      <w:sz w:val="18"/>
    </w:rPr>
  </w:style>
  <w:style w:type="paragraph" w:customStyle="1" w:styleId="EntPE">
    <w:name w:val="EntPE"/>
    <w:basedOn w:val="Normal12"/>
    <w:rsid w:val="00103A80"/>
    <w:pPr>
      <w:jc w:val="center"/>
    </w:pPr>
    <w:rPr>
      <w:noProof w:val="0"/>
      <w:sz w:val="56"/>
    </w:rPr>
  </w:style>
  <w:style w:type="paragraph" w:customStyle="1" w:styleId="Normal12">
    <w:name w:val="Normal12"/>
    <w:basedOn w:val="Normal"/>
    <w:link w:val="Normal12Char"/>
    <w:rsid w:val="00103A80"/>
    <w:pPr>
      <w:spacing w:after="240"/>
    </w:pPr>
    <w:rPr>
      <w:noProof/>
    </w:rPr>
  </w:style>
  <w:style w:type="character" w:customStyle="1" w:styleId="Normal12Char">
    <w:name w:val="Normal12 Char"/>
    <w:basedOn w:val="DefaultParagraphFont"/>
    <w:link w:val="Normal12"/>
    <w:locked/>
    <w:rsid w:val="00103A80"/>
    <w:rPr>
      <w:noProof/>
      <w:sz w:val="24"/>
    </w:rPr>
  </w:style>
  <w:style w:type="paragraph" w:customStyle="1" w:styleId="Normal6">
    <w:name w:val="Normal6"/>
    <w:basedOn w:val="Normal"/>
    <w:link w:val="Normal6Char"/>
    <w:rsid w:val="00103A80"/>
    <w:pPr>
      <w:spacing w:after="120"/>
    </w:pPr>
  </w:style>
  <w:style w:type="character" w:customStyle="1" w:styleId="Normal6Char">
    <w:name w:val="Normal6 Char"/>
    <w:basedOn w:val="DefaultParagraphFont"/>
    <w:link w:val="Normal6"/>
    <w:rsid w:val="00103A80"/>
    <w:rPr>
      <w:sz w:val="24"/>
      <w:lang w:val="sv-SE"/>
    </w:rPr>
  </w:style>
  <w:style w:type="paragraph" w:customStyle="1" w:styleId="Normal12Italic">
    <w:name w:val="Normal12Italic"/>
    <w:basedOn w:val="Normal12"/>
    <w:rsid w:val="00103A80"/>
    <w:rPr>
      <w:i/>
    </w:rPr>
  </w:style>
  <w:style w:type="character" w:customStyle="1" w:styleId="FooterChar">
    <w:name w:val="Footer Char"/>
    <w:basedOn w:val="DefaultParagraphFont"/>
    <w:link w:val="Footer"/>
    <w:rsid w:val="00103A80"/>
    <w:rPr>
      <w:sz w:val="22"/>
    </w:rPr>
  </w:style>
  <w:style w:type="paragraph" w:styleId="Footer">
    <w:name w:val="footer"/>
    <w:link w:val="FooterChar"/>
    <w:rsid w:val="00103A80"/>
    <w:pPr>
      <w:tabs>
        <w:tab w:val="center" w:pos="4536"/>
        <w:tab w:val="right" w:pos="9072"/>
      </w:tabs>
      <w:spacing w:before="240" w:after="240" w:line="221" w:lineRule="auto"/>
    </w:pPr>
    <w:rPr>
      <w:sz w:val="22"/>
    </w:rPr>
  </w:style>
  <w:style w:type="paragraph" w:customStyle="1" w:styleId="Footer2">
    <w:name w:val="Footer2"/>
    <w:basedOn w:val="Normal12"/>
    <w:rsid w:val="00103A80"/>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rsid w:val="00103A80"/>
    <w:rPr>
      <w:sz w:val="16"/>
      <w:szCs w:val="16"/>
    </w:rPr>
  </w:style>
  <w:style w:type="paragraph" w:styleId="CommentText">
    <w:name w:val="annotation text"/>
    <w:basedOn w:val="Normal"/>
    <w:link w:val="CommentTextChar"/>
    <w:rsid w:val="00103A80"/>
    <w:rPr>
      <w:sz w:val="20"/>
    </w:rPr>
  </w:style>
  <w:style w:type="character" w:customStyle="1" w:styleId="CommentTextChar">
    <w:name w:val="Comment Text Char"/>
    <w:basedOn w:val="DefaultParagraphFont"/>
    <w:link w:val="CommentText"/>
    <w:rsid w:val="00103A80"/>
  </w:style>
  <w:style w:type="paragraph" w:styleId="CommentSubject">
    <w:name w:val="annotation subject"/>
    <w:basedOn w:val="CommentText"/>
    <w:next w:val="CommentText"/>
    <w:link w:val="CommentSubjectChar"/>
    <w:semiHidden/>
    <w:unhideWhenUsed/>
    <w:rsid w:val="00103A80"/>
    <w:rPr>
      <w:b/>
      <w:bCs/>
    </w:rPr>
  </w:style>
  <w:style w:type="character" w:customStyle="1" w:styleId="CommentSubjectChar">
    <w:name w:val="Comment Subject Char"/>
    <w:basedOn w:val="CommentTextChar"/>
    <w:link w:val="CommentSubject"/>
    <w:semiHidden/>
    <w:rsid w:val="00103A80"/>
    <w:rPr>
      <w:b/>
      <w:bCs/>
    </w:rPr>
  </w:style>
  <w:style w:type="paragraph" w:styleId="BalloonText">
    <w:name w:val="Balloon Text"/>
    <w:basedOn w:val="Normal"/>
    <w:link w:val="BalloonTextChar"/>
    <w:semiHidden/>
    <w:unhideWhenUsed/>
    <w:rsid w:val="00103A80"/>
    <w:rPr>
      <w:rFonts w:ascii="Segoe UI" w:hAnsi="Segoe UI" w:cs="Segoe UI"/>
      <w:sz w:val="18"/>
      <w:szCs w:val="18"/>
    </w:rPr>
  </w:style>
  <w:style w:type="character" w:customStyle="1" w:styleId="BalloonTextChar">
    <w:name w:val="Balloon Text Char"/>
    <w:basedOn w:val="DefaultParagraphFont"/>
    <w:link w:val="BalloonText"/>
    <w:semiHidden/>
    <w:rsid w:val="00103A80"/>
    <w:rPr>
      <w:rFonts w:ascii="Segoe UI" w:hAnsi="Segoe UI" w:cs="Segoe UI"/>
      <w:sz w:val="18"/>
      <w:szCs w:val="18"/>
    </w:rPr>
  </w:style>
  <w:style w:type="paragraph" w:customStyle="1" w:styleId="AMNumberTabs0">
    <w:name w:val="AMNumberTabs"/>
    <w:basedOn w:val="Normal"/>
    <w:rsid w:val="00103A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03A80"/>
    <w:pPr>
      <w:spacing w:after="240"/>
      <w:jc w:val="center"/>
    </w:pPr>
    <w:rPr>
      <w:i/>
    </w:rPr>
  </w:style>
  <w:style w:type="paragraph" w:customStyle="1" w:styleId="Olang">
    <w:name w:val="Olang"/>
    <w:basedOn w:val="Normal"/>
    <w:rsid w:val="00103A80"/>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45E31-4546-43BB-B051-76A7E7E3D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6841</Words>
  <Characters>43236</Characters>
  <Application>Microsoft Office Word</Application>
  <DocSecurity>0</DocSecurity>
  <Lines>1601</Lines>
  <Paragraphs>385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POLDMA Margit</cp:lastModifiedBy>
  <cp:revision>2</cp:revision>
  <cp:lastPrinted>2004-11-04T09:41:00Z</cp:lastPrinted>
  <dcterms:created xsi:type="dcterms:W3CDTF">2023-09-19T09:39:00Z</dcterms:created>
  <dcterms:modified xsi:type="dcterms:W3CDTF">2023-09-19T09:39:00Z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1285389</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PR\1285389SV.docx</vt:lpwstr>
  </property>
  <property fmtid="{D5CDD505-2E9C-101B-9397-08002B2CF9AE}" pid="10" name="LastEdited with">
    <vt:lpwstr>9.14.1 Build [20230315]</vt:lpwstr>
  </property>
  <property fmtid="{D5CDD505-2E9C-101B-9397-08002B2CF9AE}" pid="11" name="PE number">
    <vt:lpwstr>752.890</vt:lpwstr>
  </property>
  <property fmtid="{D5CDD505-2E9C-101B-9397-08002B2CF9AE}" pid="12" name="SDLStudio">
    <vt:lpwstr/>
  </property>
  <property fmtid="{D5CDD505-2E9C-101B-9397-08002B2CF9AE}" pid="13" name="SendToEpades">
    <vt:lpwstr>OK(AMNUM) - 2023/09/11 07:11</vt:lpwstr>
  </property>
  <property fmtid="{D5CDD505-2E9C-101B-9397-08002B2CF9AE}" pid="14" name="Bookout">
    <vt:lpwstr>OK - 2023/09/19 11:36</vt:lpwstr>
  </property>
</Properties>
</file>