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77AC9" w:rsidTr="00C85D0F">
        <w:trPr>
          <w:trHeight w:hRule="exact" w:val="1418"/>
        </w:trPr>
        <w:tc>
          <w:tcPr>
            <w:tcW w:w="6804" w:type="dxa"/>
            <w:shd w:val="clear" w:color="auto" w:fill="auto"/>
            <w:vAlign w:val="center"/>
          </w:tcPr>
          <w:p w:rsidR="00B13D6F" w:rsidRPr="00085F16" w:rsidRDefault="00BC6B2E" w:rsidP="00C85D0F">
            <w:pPr>
              <w:pStyle w:val="EPName"/>
            </w:pPr>
            <w:r>
              <w:t>Parlement européen</w:t>
            </w:r>
          </w:p>
          <w:p w:rsidR="00B13D6F" w:rsidRPr="00085F16" w:rsidRDefault="00BC6B2E" w:rsidP="00F741C3">
            <w:pPr>
              <w:pStyle w:val="EPTerm"/>
            </w:pPr>
            <w:r>
              <w:t>2019-2024</w:t>
            </w:r>
          </w:p>
        </w:tc>
        <w:tc>
          <w:tcPr>
            <w:tcW w:w="2268" w:type="dxa"/>
            <w:shd w:val="clear" w:color="auto" w:fill="auto"/>
          </w:tcPr>
          <w:p w:rsidR="00B13D6F" w:rsidRPr="00085F16" w:rsidRDefault="00BC6B2E" w:rsidP="00C85D0F">
            <w:pPr>
              <w:pStyle w:val="EPLogo"/>
            </w:pPr>
            <w:r w:rsidRPr="00085F1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085F16" w:rsidRDefault="00461601" w:rsidP="00461601">
      <w:pPr>
        <w:pStyle w:val="LineTop"/>
      </w:pPr>
    </w:p>
    <w:p w:rsidR="00461601" w:rsidRPr="00085F16" w:rsidRDefault="00BC6B2E" w:rsidP="00461601">
      <w:pPr>
        <w:pStyle w:val="EPBody"/>
      </w:pPr>
      <w:r>
        <w:rPr>
          <w:rStyle w:val="HideTWBExt"/>
        </w:rPr>
        <w:t>&lt;</w:t>
      </w:r>
      <w:r>
        <w:rPr>
          <w:rStyle w:val="HideTWBExt"/>
          <w:i w:val="0"/>
        </w:rPr>
        <w:t>Commission</w:t>
      </w:r>
      <w:r>
        <w:rPr>
          <w:rStyle w:val="HideTWBExt"/>
        </w:rPr>
        <w:t>&gt;</w:t>
      </w:r>
      <w:r>
        <w:rPr>
          <w:rStyle w:val="HideTWBInt"/>
          <w:color w:val="auto"/>
        </w:rPr>
        <w:t>{LIBE}</w:t>
      </w:r>
      <w:r>
        <w:t>Commission des libertés civiles, de la justice et des affaires intérieures</w:t>
      </w:r>
      <w:r>
        <w:rPr>
          <w:rStyle w:val="HideTWBExt"/>
        </w:rPr>
        <w:t>&lt;/</w:t>
      </w:r>
      <w:r>
        <w:rPr>
          <w:rStyle w:val="HideTWBExt"/>
          <w:i w:val="0"/>
        </w:rPr>
        <w:t>Commission</w:t>
      </w:r>
      <w:r>
        <w:rPr>
          <w:rStyle w:val="HideTWBExt"/>
        </w:rPr>
        <w:t>&gt;</w:t>
      </w:r>
    </w:p>
    <w:p w:rsidR="00461601" w:rsidRPr="00085F16" w:rsidRDefault="00461601" w:rsidP="00461601">
      <w:pPr>
        <w:pStyle w:val="LineBottom"/>
      </w:pPr>
    </w:p>
    <w:p w:rsidR="00793EA9" w:rsidRPr="00085F16" w:rsidRDefault="00BC6B2E">
      <w:pPr>
        <w:pStyle w:val="CoverReference"/>
      </w:pPr>
      <w:r>
        <w:rPr>
          <w:rStyle w:val="HideTWBExt"/>
          <w:b w:val="0"/>
        </w:rPr>
        <w:t>&lt;RefProc&gt;</w:t>
      </w:r>
      <w:r>
        <w:t>2023/0143</w:t>
      </w:r>
      <w:r>
        <w:rPr>
          <w:rStyle w:val="HideTWBExt"/>
          <w:b w:val="0"/>
        </w:rPr>
        <w:t>&lt;/RefProc&gt;&lt;RefTypeProc&gt;</w:t>
      </w:r>
      <w:r>
        <w:t>(COD)</w:t>
      </w:r>
      <w:r>
        <w:rPr>
          <w:rStyle w:val="HideTWBExt"/>
          <w:b w:val="0"/>
        </w:rPr>
        <w:t>&lt;/RefTypeProc&gt;</w:t>
      </w:r>
    </w:p>
    <w:p w:rsidR="00793EA9" w:rsidRPr="00085F16" w:rsidRDefault="00BC6B2E">
      <w:pPr>
        <w:pStyle w:val="CoverDate"/>
      </w:pPr>
      <w:r>
        <w:rPr>
          <w:rStyle w:val="HideTWBExt"/>
        </w:rPr>
        <w:t>&lt;Date&gt;</w:t>
      </w:r>
      <w:r>
        <w:rPr>
          <w:rStyle w:val="HideTWBInt"/>
          <w:color w:val="auto"/>
        </w:rPr>
        <w:t>{03/10/2023}</w:t>
      </w:r>
      <w:r>
        <w:t>3.10.2023</w:t>
      </w:r>
      <w:r>
        <w:rPr>
          <w:rStyle w:val="HideTWBExt"/>
        </w:rPr>
        <w:t>&lt;/Date&gt;</w:t>
      </w:r>
    </w:p>
    <w:p w:rsidR="00793EA9" w:rsidRPr="00085F16" w:rsidRDefault="00BC6B2E">
      <w:pPr>
        <w:pStyle w:val="CoverDocType"/>
      </w:pPr>
      <w:r>
        <w:rPr>
          <w:rStyle w:val="HideTWBExt"/>
          <w:b w:val="0"/>
        </w:rPr>
        <w:t>&lt;RefProcLect&gt;</w:t>
      </w:r>
      <w:r>
        <w:t>***I</w:t>
      </w:r>
      <w:r>
        <w:rPr>
          <w:rStyle w:val="HideTWBExt"/>
          <w:b w:val="0"/>
        </w:rPr>
        <w:t>&lt;/RefProcLect&gt;</w:t>
      </w:r>
    </w:p>
    <w:p w:rsidR="00793EA9" w:rsidRPr="00085F16" w:rsidRDefault="00BC6B2E">
      <w:pPr>
        <w:pStyle w:val="CoverDocType24a"/>
      </w:pPr>
      <w:r>
        <w:rPr>
          <w:rStyle w:val="HideTWBExt"/>
          <w:b w:val="0"/>
        </w:rPr>
        <w:t>&lt;TitreType&gt;</w:t>
      </w:r>
      <w:r>
        <w:t>PROJET DE RAPPORT</w:t>
      </w:r>
      <w:r>
        <w:rPr>
          <w:rStyle w:val="HideTWBExt"/>
          <w:b w:val="0"/>
        </w:rPr>
        <w:t>&lt;/TitreType&gt;</w:t>
      </w:r>
    </w:p>
    <w:p w:rsidR="00793EA9" w:rsidRPr="00085F16" w:rsidRDefault="00BC6B2E">
      <w:pPr>
        <w:pStyle w:val="CoverNormal"/>
      </w:pPr>
      <w:r>
        <w:rPr>
          <w:rStyle w:val="HideTWBExt"/>
        </w:rPr>
        <w:t>&lt;Titre&gt;</w:t>
      </w:r>
      <w:r>
        <w:t>sur la proposition de règlement du Parlement européen et du Conseil modifiant la décision 2009/917/JAI du Conseil en ce qui concerne sa mise en conformité avec les règles de l’Union relatives à</w:t>
      </w:r>
      <w:r>
        <w:t xml:space="preserve"> la protection des données à caractère personnel</w:t>
      </w:r>
      <w:r>
        <w:rPr>
          <w:rStyle w:val="HideTWBExt"/>
        </w:rPr>
        <w:t>&lt;/Titre&gt;</w:t>
      </w:r>
    </w:p>
    <w:p w:rsidR="00793EA9" w:rsidRPr="00BC6B2E" w:rsidRDefault="00BC6B2E">
      <w:pPr>
        <w:pStyle w:val="CoverNormal24a"/>
        <w:rPr>
          <w:lang w:val="pt-PT"/>
        </w:rPr>
      </w:pPr>
      <w:r w:rsidRPr="00BC6B2E">
        <w:rPr>
          <w:rStyle w:val="HideTWBExt"/>
          <w:lang w:val="pt-PT"/>
        </w:rPr>
        <w:t>&lt;DocRef&gt;</w:t>
      </w:r>
      <w:r w:rsidRPr="00BC6B2E">
        <w:rPr>
          <w:lang w:val="pt-PT"/>
        </w:rPr>
        <w:t>(COM(2023)0244 – C9</w:t>
      </w:r>
      <w:r w:rsidRPr="00BC6B2E">
        <w:rPr>
          <w:lang w:val="pt-PT"/>
        </w:rPr>
        <w:noBreakHyphen/>
        <w:t>0170/2023 – 2023/0143(COD))</w:t>
      </w:r>
      <w:r w:rsidRPr="00BC6B2E">
        <w:rPr>
          <w:rStyle w:val="HideTWBExt"/>
          <w:lang w:val="pt-PT"/>
        </w:rPr>
        <w:t>&lt;/DocRef&gt;</w:t>
      </w:r>
    </w:p>
    <w:p w:rsidR="00793EA9" w:rsidRPr="00085F16" w:rsidRDefault="00BC6B2E">
      <w:pPr>
        <w:pStyle w:val="CoverNormal24a"/>
      </w:pPr>
      <w:r>
        <w:rPr>
          <w:rStyle w:val="HideTWBExt"/>
        </w:rPr>
        <w:t>&lt;Commission&gt;</w:t>
      </w:r>
      <w:r>
        <w:rPr>
          <w:rStyle w:val="HideTWBInt"/>
          <w:color w:val="auto"/>
        </w:rPr>
        <w:t>{LIBE}</w:t>
      </w:r>
      <w:r>
        <w:t>Commission des libertés civiles, de la justice et des affaires intérieures</w:t>
      </w:r>
      <w:r>
        <w:rPr>
          <w:rStyle w:val="HideTWBExt"/>
        </w:rPr>
        <w:t>&lt;/Commission&gt;</w:t>
      </w:r>
    </w:p>
    <w:p w:rsidR="00793EA9" w:rsidRPr="00085F16" w:rsidRDefault="00BC6B2E">
      <w:pPr>
        <w:pStyle w:val="CoverNormal24a"/>
      </w:pPr>
      <w:r>
        <w:t xml:space="preserve">Rapporteure: </w:t>
      </w:r>
      <w:r>
        <w:rPr>
          <w:rStyle w:val="HideTWBExt"/>
        </w:rPr>
        <w:t>&lt;Depute&gt;</w:t>
      </w:r>
      <w:r>
        <w:t>Cornelia Ernst</w:t>
      </w:r>
      <w:r>
        <w:rPr>
          <w:rStyle w:val="HideTWBExt"/>
        </w:rPr>
        <w:t>&lt;/Depute&gt;</w:t>
      </w:r>
    </w:p>
    <w:p w:rsidR="001C5B44" w:rsidRPr="00085F16" w:rsidRDefault="001C5B44" w:rsidP="001C5B44">
      <w:pPr>
        <w:pStyle w:val="CoverNormal"/>
      </w:pPr>
    </w:p>
    <w:p w:rsidR="00913869" w:rsidRPr="00085F16" w:rsidRDefault="00BC6B2E" w:rsidP="00894923">
      <w:r>
        <w:br w:type="page"/>
      </w:r>
      <w:r w:rsidR="00C27A83">
        <w:lastRenderedPageBreak/>
        <w:fldChar w:fldCharType="begin"/>
      </w:r>
      <w:r>
        <w:instrText xml:space="preserve"> TITLE  \* MERGEFORMAT </w:instrText>
      </w:r>
      <w:r w:rsidR="00C27A83">
        <w:fldChar w:fldCharType="separate"/>
      </w:r>
      <w:r>
        <w:t>PR_COD_1amCom</w:t>
      </w:r>
      <w:r w:rsidR="00C27A83">
        <w:fldChar w:fldCharType="end"/>
      </w:r>
    </w:p>
    <w:p w:rsidR="00913869" w:rsidRPr="00085F16" w:rsidRDefault="00913869" w:rsidP="00894923"/>
    <w:p w:rsidR="00913869" w:rsidRPr="00085F16" w:rsidRDefault="00913869"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077AC9">
        <w:tc>
          <w:tcPr>
            <w:tcW w:w="5811" w:type="dxa"/>
          </w:tcPr>
          <w:p w:rsidR="00913869" w:rsidRPr="00085F16" w:rsidRDefault="00BC6B2E" w:rsidP="00894923">
            <w:pPr>
              <w:pStyle w:val="Lgendetitre"/>
            </w:pPr>
            <w:r>
              <w:t>Légende des signes utilisés</w:t>
            </w:r>
          </w:p>
        </w:tc>
      </w:tr>
      <w:tr w:rsidR="00077AC9" w:rsidTr="007452CB">
        <w:trPr>
          <w:cantSplit/>
          <w:trHeight w:val="1807"/>
        </w:trPr>
        <w:tc>
          <w:tcPr>
            <w:tcW w:w="5811" w:type="dxa"/>
            <w:tcBorders>
              <w:bottom w:val="single" w:sz="4" w:space="0" w:color="auto"/>
            </w:tcBorders>
          </w:tcPr>
          <w:p w:rsidR="00913869" w:rsidRPr="00085F16" w:rsidRDefault="00BC6B2E" w:rsidP="003506ED">
            <w:pPr>
              <w:pStyle w:val="Lgendesigne"/>
            </w:pPr>
            <w:r>
              <w:tab/>
              <w:t>*</w:t>
            </w:r>
            <w:r>
              <w:tab/>
              <w:t>Procédure de consultation</w:t>
            </w:r>
          </w:p>
          <w:p w:rsidR="00913869" w:rsidRPr="00085F16" w:rsidRDefault="00BC6B2E" w:rsidP="003506ED">
            <w:pPr>
              <w:pStyle w:val="Lgendesigne"/>
            </w:pPr>
            <w:r>
              <w:tab/>
              <w:t>***</w:t>
            </w:r>
            <w:r>
              <w:tab/>
              <w:t>Procédure d’approbation</w:t>
            </w:r>
          </w:p>
          <w:p w:rsidR="00913869" w:rsidRPr="00085F16" w:rsidRDefault="00BC6B2E" w:rsidP="003506ED">
            <w:pPr>
              <w:pStyle w:val="Lgendesigne"/>
            </w:pPr>
            <w:r>
              <w:tab/>
              <w:t>***I</w:t>
            </w:r>
            <w:r>
              <w:tab/>
              <w:t>Procédure législative ordinaire (première lecture)</w:t>
            </w:r>
          </w:p>
          <w:p w:rsidR="00913869" w:rsidRPr="00085F16" w:rsidRDefault="00BC6B2E" w:rsidP="003506ED">
            <w:pPr>
              <w:pStyle w:val="Lgendesigne"/>
            </w:pPr>
            <w:r>
              <w:tab/>
              <w:t>***II</w:t>
            </w:r>
            <w:r>
              <w:tab/>
              <w:t xml:space="preserve">Procédure législative ordinaire </w:t>
            </w:r>
            <w:r>
              <w:t>(deuxième lecture)</w:t>
            </w:r>
          </w:p>
          <w:p w:rsidR="00913869" w:rsidRPr="00085F16" w:rsidRDefault="00BC6B2E" w:rsidP="003506ED">
            <w:pPr>
              <w:pStyle w:val="Lgendesigne"/>
            </w:pPr>
            <w:r>
              <w:tab/>
              <w:t>***III</w:t>
            </w:r>
            <w:r>
              <w:tab/>
              <w:t>Procédure législative ordinaire (troisième lecture)</w:t>
            </w:r>
          </w:p>
          <w:p w:rsidR="00913869" w:rsidRPr="00085F16" w:rsidRDefault="00913869" w:rsidP="003506ED">
            <w:pPr>
              <w:pStyle w:val="Lgendestandard"/>
            </w:pPr>
          </w:p>
          <w:p w:rsidR="00913869" w:rsidRPr="00085F16" w:rsidRDefault="00BC6B2E" w:rsidP="003506ED">
            <w:pPr>
              <w:pStyle w:val="Lgendestandard"/>
            </w:pPr>
            <w:r>
              <w:t>(La procédure indiquée est fondée sur la base juridique proposée par le projet d’acte.)</w:t>
            </w:r>
          </w:p>
          <w:p w:rsidR="00913869" w:rsidRPr="00085F16" w:rsidRDefault="00913869" w:rsidP="00B54EAF">
            <w:pPr>
              <w:pStyle w:val="Lgendestandard"/>
            </w:pPr>
          </w:p>
        </w:tc>
      </w:tr>
    </w:tbl>
    <w:p w:rsidR="00913869" w:rsidRPr="00085F16" w:rsidRDefault="00913869" w:rsidP="00894923"/>
    <w:p w:rsidR="00913869" w:rsidRPr="00085F16" w:rsidRDefault="00913869" w:rsidP="00894923"/>
    <w:p w:rsidR="00913869" w:rsidRPr="00085F16" w:rsidRDefault="00913869" w:rsidP="00894923"/>
    <w:p w:rsidR="00913869" w:rsidRPr="00085F16" w:rsidRDefault="00913869"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077AC9">
        <w:tc>
          <w:tcPr>
            <w:tcW w:w="5811" w:type="dxa"/>
          </w:tcPr>
          <w:p w:rsidR="00913869" w:rsidRPr="00085F16" w:rsidRDefault="00BC6B2E" w:rsidP="00894923">
            <w:pPr>
              <w:pStyle w:val="Lgendetitre"/>
            </w:pPr>
            <w:r>
              <w:t>Amendements à un projet d’acte</w:t>
            </w:r>
          </w:p>
        </w:tc>
      </w:tr>
      <w:tr w:rsidR="00077AC9" w:rsidTr="00554250">
        <w:trPr>
          <w:trHeight w:val="4496"/>
        </w:trPr>
        <w:tc>
          <w:tcPr>
            <w:tcW w:w="5811" w:type="dxa"/>
          </w:tcPr>
          <w:p w:rsidR="00913869" w:rsidRPr="00085F16" w:rsidRDefault="00BC6B2E" w:rsidP="003506ED">
            <w:pPr>
              <w:pStyle w:val="Lgendestandard"/>
              <w:rPr>
                <w:szCs w:val="24"/>
              </w:rPr>
            </w:pPr>
            <w:r>
              <w:rPr>
                <w:b/>
              </w:rPr>
              <w:t xml:space="preserve">Amendements du Parlement présentés en deux </w:t>
            </w:r>
            <w:r>
              <w:rPr>
                <w:b/>
              </w:rPr>
              <w:t>colonnes</w:t>
            </w:r>
          </w:p>
          <w:p w:rsidR="00913869" w:rsidRPr="00085F16" w:rsidRDefault="00913869" w:rsidP="003506ED">
            <w:pPr>
              <w:pStyle w:val="Lgendestandard"/>
              <w:rPr>
                <w:szCs w:val="24"/>
              </w:rPr>
            </w:pPr>
          </w:p>
          <w:p w:rsidR="00913869" w:rsidRPr="00085F16" w:rsidRDefault="00BC6B2E" w:rsidP="003506ED">
            <w:pPr>
              <w:pStyle w:val="Lgendestandard"/>
              <w:rPr>
                <w:szCs w:val="24"/>
              </w:rPr>
            </w:pPr>
            <w:r>
              <w:t xml:space="preserve">Les suppressions sont signalées par des </w:t>
            </w:r>
            <w:r>
              <w:rPr>
                <w:b/>
                <w:i/>
              </w:rPr>
              <w:t>italiques gras</w:t>
            </w:r>
            <w:r>
              <w:t xml:space="preserve"> dans la colonne de gauche. Les remplacements sont signalés par des </w:t>
            </w:r>
            <w:r>
              <w:rPr>
                <w:b/>
                <w:i/>
              </w:rPr>
              <w:t>italiques gras</w:t>
            </w:r>
            <w:r>
              <w:t xml:space="preserve"> dans les deux colonnes. Le texte nouveau est signalé par des </w:t>
            </w:r>
            <w:r>
              <w:rPr>
                <w:b/>
                <w:i/>
              </w:rPr>
              <w:t>italiques gras</w:t>
            </w:r>
            <w:r>
              <w:t xml:space="preserve"> dans la colonne de droite.</w:t>
            </w:r>
          </w:p>
          <w:p w:rsidR="00913869" w:rsidRPr="00085F16" w:rsidRDefault="00913869" w:rsidP="003506ED">
            <w:pPr>
              <w:pStyle w:val="Lgendestandard"/>
              <w:rPr>
                <w:szCs w:val="24"/>
              </w:rPr>
            </w:pPr>
          </w:p>
          <w:p w:rsidR="00913869" w:rsidRPr="00085F16" w:rsidRDefault="00BC6B2E" w:rsidP="003506ED">
            <w:pPr>
              <w:pStyle w:val="Lgendestandard"/>
              <w:rPr>
                <w:szCs w:val="24"/>
              </w:rPr>
            </w:pPr>
            <w:r>
              <w:t xml:space="preserve">Les </w:t>
            </w:r>
            <w:r>
              <w:t xml:space="preserve">première et deuxième lignes de l’en-tête de chaque amendement identifient le passage concerné dans le projet d’acte à l’examen. Si un amendement porte sur un acte existant, que le projet d’acte entend modifier, l’en-tête comporte en outre une troisième et </w:t>
            </w:r>
            <w:r>
              <w:t>une quatrième lignes qui identifient respectivement l’acte existant et la disposition de celui-ci qui est concernée.</w:t>
            </w:r>
          </w:p>
          <w:p w:rsidR="00913869" w:rsidRPr="00085F16" w:rsidRDefault="00913869" w:rsidP="003506ED">
            <w:pPr>
              <w:pStyle w:val="Lgendestandard"/>
              <w:rPr>
                <w:szCs w:val="24"/>
              </w:rPr>
            </w:pPr>
          </w:p>
          <w:p w:rsidR="00913869" w:rsidRPr="00085F16" w:rsidRDefault="00BC6B2E" w:rsidP="003506ED">
            <w:pPr>
              <w:pStyle w:val="Lgendestandard"/>
              <w:rPr>
                <w:b/>
                <w:szCs w:val="24"/>
              </w:rPr>
            </w:pPr>
            <w:r>
              <w:rPr>
                <w:b/>
              </w:rPr>
              <w:t>Amendements du Parlement prenant la forme d’un texte consolidé</w:t>
            </w:r>
          </w:p>
          <w:p w:rsidR="00913869" w:rsidRPr="00085F16" w:rsidRDefault="00913869" w:rsidP="003506ED">
            <w:pPr>
              <w:pStyle w:val="Lgendestandard"/>
              <w:rPr>
                <w:szCs w:val="24"/>
              </w:rPr>
            </w:pPr>
          </w:p>
          <w:p w:rsidR="00913869" w:rsidRPr="00085F16" w:rsidRDefault="00BC6B2E" w:rsidP="003506ED">
            <w:pPr>
              <w:pStyle w:val="Lgendestandard"/>
              <w:rPr>
                <w:szCs w:val="24"/>
              </w:rPr>
            </w:pPr>
            <w:r>
              <w:t xml:space="preserve">Les parties de textes nouvelles sont indiquées en </w:t>
            </w:r>
            <w:r>
              <w:rPr>
                <w:b/>
                <w:i/>
              </w:rPr>
              <w:t>italiques gras</w:t>
            </w:r>
            <w:r>
              <w:t>. Les part</w:t>
            </w:r>
            <w:r>
              <w:t xml:space="preserve">ies de texte supprimées sont indiquées par le symbole ▌ ou barrées. Les remplacements sont signalés en indiquant en </w:t>
            </w:r>
            <w:r>
              <w:rPr>
                <w:b/>
                <w:i/>
              </w:rPr>
              <w:t>italiques gras</w:t>
            </w:r>
            <w:r>
              <w:t xml:space="preserve"> le texte nouveau et en effaçant ou en barrant le texte remplacé. </w:t>
            </w:r>
          </w:p>
          <w:p w:rsidR="00913869" w:rsidRPr="00085F16" w:rsidRDefault="00BC6B2E" w:rsidP="003506ED">
            <w:pPr>
              <w:pStyle w:val="Lgendestandard"/>
            </w:pPr>
            <w:r>
              <w:t>Par exception, les modifications de nature strictement tech</w:t>
            </w:r>
            <w:r>
              <w:t>nique apportées par les services en vue de l’élaboration du texte final ne sont pas marquées.</w:t>
            </w:r>
          </w:p>
          <w:p w:rsidR="00913869" w:rsidRPr="00085F16" w:rsidRDefault="00913869" w:rsidP="0069092A">
            <w:pPr>
              <w:pStyle w:val="Lgendestandard"/>
            </w:pPr>
          </w:p>
        </w:tc>
      </w:tr>
    </w:tbl>
    <w:p w:rsidR="00913869" w:rsidRPr="00085F16" w:rsidRDefault="00913869" w:rsidP="00894923"/>
    <w:p w:rsidR="00793EA9" w:rsidRPr="00085F16" w:rsidRDefault="00793EA9" w:rsidP="00012351">
      <w:pPr>
        <w:widowControl/>
        <w:tabs>
          <w:tab w:val="center" w:pos="4677"/>
        </w:tabs>
      </w:pPr>
    </w:p>
    <w:p w:rsidR="00793EA9" w:rsidRPr="00085F16" w:rsidRDefault="00BC6B2E">
      <w:pPr>
        <w:pStyle w:val="TOCHeading"/>
      </w:pPr>
      <w:r>
        <w:br w:type="page"/>
      </w:r>
      <w:r>
        <w:lastRenderedPageBreak/>
        <w:t>SOMMAIRE</w:t>
      </w:r>
    </w:p>
    <w:p w:rsidR="00793EA9" w:rsidRPr="00085F16" w:rsidRDefault="00BC6B2E">
      <w:pPr>
        <w:pStyle w:val="TOCPage"/>
      </w:pPr>
      <w:r>
        <w:t>Page</w:t>
      </w:r>
    </w:p>
    <w:p w:rsidR="00BC6B2E" w:rsidRDefault="00BC6B2E">
      <w:pPr>
        <w:pStyle w:val="TOC1"/>
        <w:tabs>
          <w:tab w:val="right" w:leader="dot" w:pos="9060"/>
        </w:tabs>
        <w:rPr>
          <w:rFonts w:asciiTheme="minorHAnsi" w:eastAsiaTheme="minorEastAsia" w:hAnsiTheme="minorHAnsi" w:cstheme="minorBidi"/>
          <w:noProof/>
          <w:sz w:val="22"/>
          <w:szCs w:val="22"/>
          <w:lang w:val="en-GB"/>
        </w:rPr>
      </w:pPr>
      <w:r w:rsidRPr="00085F16">
        <w:rPr>
          <w:b/>
        </w:rPr>
        <w:fldChar w:fldCharType="begin"/>
      </w:r>
      <w:r w:rsidRPr="00085F16">
        <w:rPr>
          <w:b/>
        </w:rPr>
        <w:instrText xml:space="preserve"> TOC \t "PageHeading</w:instrText>
      </w:r>
      <w:r w:rsidR="006429E4" w:rsidRPr="00085F16">
        <w:rPr>
          <w:b/>
        </w:rPr>
        <w:instrText>;</w:instrText>
      </w:r>
      <w:r w:rsidRPr="00085F16">
        <w:rPr>
          <w:b/>
        </w:rPr>
        <w:instrText xml:space="preserve">1" </w:instrText>
      </w:r>
      <w:r w:rsidRPr="00085F16">
        <w:rPr>
          <w:b/>
        </w:rPr>
        <w:fldChar w:fldCharType="separate"/>
      </w:r>
      <w:r>
        <w:rPr>
          <w:noProof/>
        </w:rPr>
        <w:t>PROJET DE RÉSOLUTION LÉGISLATIVE DU PARLEMENT EUROPÉEN</w:t>
      </w:r>
      <w:r>
        <w:rPr>
          <w:noProof/>
        </w:rPr>
        <w:tab/>
      </w:r>
      <w:r>
        <w:rPr>
          <w:noProof/>
        </w:rPr>
        <w:fldChar w:fldCharType="begin"/>
      </w:r>
      <w:r>
        <w:rPr>
          <w:noProof/>
        </w:rPr>
        <w:instrText xml:space="preserve"> PAGEREF _Toc148363059 \h </w:instrText>
      </w:r>
      <w:r>
        <w:rPr>
          <w:noProof/>
        </w:rPr>
      </w:r>
      <w:r>
        <w:rPr>
          <w:noProof/>
        </w:rPr>
        <w:fldChar w:fldCharType="separate"/>
      </w:r>
      <w:r>
        <w:rPr>
          <w:noProof/>
        </w:rPr>
        <w:t>5</w:t>
      </w:r>
      <w:r>
        <w:rPr>
          <w:noProof/>
        </w:rPr>
        <w:fldChar w:fldCharType="end"/>
      </w:r>
    </w:p>
    <w:p w:rsidR="002346B0" w:rsidRPr="00085F16" w:rsidRDefault="00BC6B2E" w:rsidP="00C23324">
      <w:r w:rsidRPr="00085F16">
        <w:rPr>
          <w:b/>
        </w:rPr>
        <w:fldChar w:fldCharType="end"/>
      </w:r>
    </w:p>
    <w:p w:rsidR="00793EA9" w:rsidRPr="00085F16" w:rsidRDefault="00BC6B2E">
      <w:pPr>
        <w:pStyle w:val="PageHeading"/>
      </w:pPr>
      <w:r>
        <w:br w:type="page"/>
      </w:r>
      <w:r>
        <w:lastRenderedPageBreak/>
        <w:br w:type="page"/>
      </w:r>
      <w:bookmarkStart w:id="0" w:name="_Toc148363059"/>
      <w:r>
        <w:lastRenderedPageBreak/>
        <w:t>PROJET DE RÉSOLUTION LÉGISLATIVE DU PARLEMENT EUROPÉEN</w:t>
      </w:r>
      <w:bookmarkEnd w:id="0"/>
    </w:p>
    <w:p w:rsidR="00793EA9" w:rsidRPr="00085F16" w:rsidRDefault="00BC6B2E">
      <w:pPr>
        <w:pStyle w:val="NormalBold"/>
      </w:pPr>
      <w:r>
        <w:t>sur la proposition de règlement du Parlement européen et du Conseil modifiant la décision 2009/917/JAI du Conseil en ce qui concerne sa mise en conformité avec les règles</w:t>
      </w:r>
      <w:r>
        <w:t xml:space="preserve"> de l’Union relatives à la protection des données à caractère personnel</w:t>
      </w:r>
    </w:p>
    <w:p w:rsidR="00793EA9" w:rsidRPr="00085F16" w:rsidRDefault="00BC6B2E">
      <w:pPr>
        <w:pStyle w:val="NormalBold12a"/>
      </w:pPr>
      <w:r>
        <w:t>(COM(2023)0244 – C9</w:t>
      </w:r>
      <w:r>
        <w:noBreakHyphen/>
        <w:t>0170/2023 – 2023/0143(COD))</w:t>
      </w:r>
    </w:p>
    <w:p w:rsidR="00793EA9" w:rsidRPr="00085F16" w:rsidRDefault="00BC6B2E" w:rsidP="00A910C9">
      <w:pPr>
        <w:pStyle w:val="NormalBold"/>
      </w:pPr>
      <w:r>
        <w:t>(Procédure législative ordinaire: première lecture)</w:t>
      </w:r>
    </w:p>
    <w:p w:rsidR="00793EA9" w:rsidRPr="00085F16" w:rsidRDefault="00BC6B2E" w:rsidP="00A910C9">
      <w:pPr>
        <w:pStyle w:val="EPComma"/>
      </w:pPr>
      <w:r>
        <w:rPr>
          <w:i/>
        </w:rPr>
        <w:t>Le Parlement européen</w:t>
      </w:r>
      <w:r>
        <w:t>,</w:t>
      </w:r>
    </w:p>
    <w:p w:rsidR="00793EA9" w:rsidRPr="00085F16" w:rsidRDefault="00BC6B2E">
      <w:pPr>
        <w:pStyle w:val="NormalHanging12a"/>
      </w:pPr>
      <w:r>
        <w:t>–</w:t>
      </w:r>
      <w:r>
        <w:tab/>
        <w:t>vu la proposition de la Commission au Parlement européen et</w:t>
      </w:r>
      <w:r>
        <w:t xml:space="preserve"> au Conseil (COM(2023)0244),</w:t>
      </w:r>
    </w:p>
    <w:p w:rsidR="00793EA9" w:rsidRPr="00085F16" w:rsidRDefault="00BC6B2E">
      <w:pPr>
        <w:pStyle w:val="NormalHanging12a"/>
      </w:pPr>
      <w:r>
        <w:t>–</w:t>
      </w:r>
      <w:r>
        <w:tab/>
        <w:t>vu l’article 294, paragraphe 2, et l’article 16, paragraphe 2 du traité sur le fonctionnement de l’Union européenne, conformément auxquels la proposition lui a été présentée par la Commission (C9</w:t>
      </w:r>
      <w:r>
        <w:noBreakHyphen/>
        <w:t>0170/2023),</w:t>
      </w:r>
    </w:p>
    <w:p w:rsidR="00A26F46" w:rsidRPr="00085F16" w:rsidRDefault="00BC6B2E" w:rsidP="00A26F46">
      <w:pPr>
        <w:pStyle w:val="NormalHanging12a"/>
      </w:pPr>
      <w:r>
        <w:t>–</w:t>
      </w:r>
      <w:r>
        <w:tab/>
        <w:t>vu l’article 29</w:t>
      </w:r>
      <w:r>
        <w:t>4, paragraphe 3, du traité sur le fonctionnement de l’Union européenne,</w:t>
      </w:r>
    </w:p>
    <w:p w:rsidR="00793EA9" w:rsidRPr="00085F16" w:rsidRDefault="00BC6B2E">
      <w:pPr>
        <w:pStyle w:val="NormalHanging12a"/>
      </w:pPr>
      <w:r>
        <w:t>–</w:t>
      </w:r>
      <w:r>
        <w:tab/>
        <w:t>vu l’article 59 de son règlement intérieur,</w:t>
      </w:r>
    </w:p>
    <w:p w:rsidR="006A2F5D" w:rsidRPr="00085F16" w:rsidRDefault="00BC6B2E" w:rsidP="006A2F5D">
      <w:pPr>
        <w:pStyle w:val="NormalHanging12a"/>
      </w:pPr>
      <w:r>
        <w:t>–</w:t>
      </w:r>
      <w:r>
        <w:tab/>
        <w:t>vu le rapport de la commission des libertés civiles, de la justice et des affaires intérieures (A9</w:t>
      </w:r>
      <w:r>
        <w:noBreakHyphen/>
        <w:t>0000/2023),</w:t>
      </w:r>
    </w:p>
    <w:p w:rsidR="009F6C2F" w:rsidRPr="00085F16" w:rsidRDefault="00BC6B2E" w:rsidP="009F6C2F">
      <w:pPr>
        <w:pStyle w:val="NormalHanging12a"/>
      </w:pPr>
      <w:r>
        <w:t>1.</w:t>
      </w:r>
      <w:r>
        <w:tab/>
        <w:t xml:space="preserve">arrête la position en </w:t>
      </w:r>
      <w:r>
        <w:t>première lecture figurant ci-après;</w:t>
      </w:r>
    </w:p>
    <w:p w:rsidR="003416CE" w:rsidRPr="00085F16" w:rsidRDefault="00BC6B2E" w:rsidP="009F6C2F">
      <w:pPr>
        <w:pStyle w:val="NormalHanging12a"/>
      </w:pPr>
      <w:r>
        <w:t>2.</w:t>
      </w:r>
      <w:r>
        <w:tab/>
        <w:t>demande à la Commission de le saisir à nouveau, si elle remplace, modifie de manière substantielle ou entend modifier de manière substantielle sa proposition;</w:t>
      </w:r>
    </w:p>
    <w:p w:rsidR="009F6C2F" w:rsidRPr="00085F16" w:rsidRDefault="00BC6B2E" w:rsidP="009F6C2F">
      <w:pPr>
        <w:pStyle w:val="NormalHanging12a"/>
      </w:pPr>
      <w:r>
        <w:t>3.</w:t>
      </w:r>
      <w:r>
        <w:tab/>
        <w:t>charge sa Présidente de transmettre la position du Parl</w:t>
      </w:r>
      <w:r>
        <w:t>ement au Conseil et à la Commission ainsi qu’aux parlements nationaux.</w:t>
      </w:r>
    </w:p>
    <w:p w:rsidR="00D30DE2" w:rsidRPr="00085F16" w:rsidRDefault="00D30DE2" w:rsidP="00D30DE2"/>
    <w:p w:rsidR="002669B6" w:rsidRPr="00085F16" w:rsidRDefault="002669B6" w:rsidP="002669B6"/>
    <w:p w:rsidR="00913869" w:rsidRPr="00085F16" w:rsidRDefault="00BC6B2E" w:rsidP="00913869">
      <w:pPr>
        <w:pStyle w:val="AMNumberTabs0"/>
        <w:keepNext/>
      </w:pPr>
      <w:r>
        <w:rPr>
          <w:rStyle w:val="HideTWBExt"/>
          <w:b w:val="0"/>
        </w:rPr>
        <w:t>&lt;RepeatBlock-Amend&gt;&lt;Amend&gt;</w:t>
      </w:r>
      <w:r>
        <w:t>Amendement</w:t>
      </w:r>
      <w:r>
        <w:tab/>
      </w:r>
      <w:r>
        <w:tab/>
      </w:r>
      <w:r>
        <w:rPr>
          <w:rStyle w:val="HideTWBExt"/>
          <w:b w:val="0"/>
        </w:rPr>
        <w:t>&lt;NumAm&gt;</w:t>
      </w:r>
      <w:r>
        <w:t>1</w:t>
      </w:r>
      <w:r>
        <w:rPr>
          <w:rStyle w:val="HideTWBExt"/>
          <w:b w:val="0"/>
        </w:rPr>
        <w:t>&lt;/NumAm&gt;</w:t>
      </w:r>
    </w:p>
    <w:p w:rsidR="00913869" w:rsidRPr="00085F16" w:rsidRDefault="00BC6B2E" w:rsidP="00913869">
      <w:pPr>
        <w:pStyle w:val="NormalBold12b"/>
        <w:keepNext/>
      </w:pPr>
      <w:r>
        <w:rPr>
          <w:rStyle w:val="HideTWBExt"/>
          <w:b w:val="0"/>
        </w:rPr>
        <w:t>&lt;DocAmend&gt;</w:t>
      </w:r>
      <w:r>
        <w:t>Proposition de règlement</w:t>
      </w:r>
      <w:r>
        <w:rPr>
          <w:rStyle w:val="HideTWBExt"/>
          <w:b w:val="0"/>
        </w:rPr>
        <w:t>&lt;/DocAmend&gt;</w:t>
      </w:r>
    </w:p>
    <w:p w:rsidR="00913869" w:rsidRPr="00085F16" w:rsidRDefault="00BC6B2E" w:rsidP="00913869">
      <w:pPr>
        <w:pStyle w:val="NormalBold"/>
      </w:pPr>
      <w:r>
        <w:rPr>
          <w:rStyle w:val="HideTWBExt"/>
          <w:b w:val="0"/>
        </w:rPr>
        <w:t>&lt;Article&gt;</w:t>
      </w:r>
      <w:r>
        <w:t>Considérant 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77AC9" w:rsidTr="00DE2933">
        <w:trPr>
          <w:jc w:val="center"/>
        </w:trPr>
        <w:tc>
          <w:tcPr>
            <w:tcW w:w="9752" w:type="dxa"/>
            <w:gridSpan w:val="2"/>
          </w:tcPr>
          <w:p w:rsidR="00913869" w:rsidRPr="00085F16" w:rsidRDefault="00913869" w:rsidP="00DE2933">
            <w:pPr>
              <w:keepNext/>
            </w:pPr>
          </w:p>
        </w:tc>
      </w:tr>
      <w:tr w:rsidR="00077AC9" w:rsidTr="00DE2933">
        <w:trPr>
          <w:jc w:val="center"/>
        </w:trPr>
        <w:tc>
          <w:tcPr>
            <w:tcW w:w="4876" w:type="dxa"/>
          </w:tcPr>
          <w:p w:rsidR="00913869" w:rsidRPr="00085F16" w:rsidRDefault="00BC6B2E" w:rsidP="00DE2933">
            <w:pPr>
              <w:pStyle w:val="ColumnHeading"/>
              <w:keepNext/>
            </w:pPr>
            <w:r>
              <w:t>Texte proposé par la Commission</w:t>
            </w:r>
          </w:p>
        </w:tc>
        <w:tc>
          <w:tcPr>
            <w:tcW w:w="4876" w:type="dxa"/>
          </w:tcPr>
          <w:p w:rsidR="00913869" w:rsidRPr="00085F16" w:rsidRDefault="00BC6B2E" w:rsidP="00DE2933">
            <w:pPr>
              <w:pStyle w:val="ColumnHeading"/>
              <w:keepNext/>
            </w:pPr>
            <w:r>
              <w:t>Amendement</w:t>
            </w:r>
          </w:p>
        </w:tc>
      </w:tr>
      <w:tr w:rsidR="00077AC9" w:rsidTr="00DE2933">
        <w:trPr>
          <w:jc w:val="center"/>
        </w:trPr>
        <w:tc>
          <w:tcPr>
            <w:tcW w:w="4876" w:type="dxa"/>
          </w:tcPr>
          <w:p w:rsidR="00913869" w:rsidRPr="00085F16" w:rsidRDefault="00BC6B2E" w:rsidP="00DE2933">
            <w:pPr>
              <w:pStyle w:val="Normal6"/>
            </w:pPr>
            <w:r>
              <w:t>(2)</w:t>
            </w:r>
            <w:r>
              <w:tab/>
              <w:t>La décision 2009/917/JAI</w:t>
            </w:r>
            <w:r>
              <w:rPr>
                <w:vertAlign w:val="superscript"/>
              </w:rPr>
              <w:t>10</w:t>
            </w:r>
            <w:r>
              <w:t xml:space="preserve"> du Conseil sur l’emploi de l’informatique dans le domaine des douanes institue le système d’information des douanes afin d’aider à prévenir, rechercher et poursuivre les infractions graves aux lois nationales en </w:t>
            </w:r>
            <w:r>
              <w:lastRenderedPageBreak/>
              <w:t>rendant les donn</w:t>
            </w:r>
            <w:r>
              <w:t>ées plus rapidement disponibles et de renforcer l’efficacité des administrations douanières. Pour assurer une approche cohérente de la protection des données à caractère personnel dans l’Union, il convient de modifier cette décision afin de la mettre en co</w:t>
            </w:r>
            <w:r>
              <w:t xml:space="preserve">nformité avec la directive (UE) 2016/680. En particulier, les règles en matière de protection des données à caractère personnel devraient respecter le principe de </w:t>
            </w:r>
            <w:r>
              <w:rPr>
                <w:b/>
                <w:i/>
              </w:rPr>
              <w:t>précision</w:t>
            </w:r>
            <w:r>
              <w:t xml:space="preserve"> des finalités, être limitées à certaines catégories de personnes concernées et de d</w:t>
            </w:r>
            <w:r>
              <w:t>onnées à caractère personnel, respecter les exigences en matière de sécurité des données, inclure une protection supplémentaire pour des catégories particulières de données à caractère personnel et respecter les conditions applicables au traitement ultérie</w:t>
            </w:r>
            <w:r>
              <w:t>ur. En outre, il convient de prévoir le modèle de contrôle coordonné introduit par l’article 62 du règlement (UE) 2018/1725</w:t>
            </w:r>
            <w:r>
              <w:rPr>
                <w:vertAlign w:val="superscript"/>
              </w:rPr>
              <w:t>11</w:t>
            </w:r>
            <w:r>
              <w:t xml:space="preserve"> .</w:t>
            </w:r>
          </w:p>
        </w:tc>
        <w:tc>
          <w:tcPr>
            <w:tcW w:w="4876" w:type="dxa"/>
          </w:tcPr>
          <w:p w:rsidR="00913869" w:rsidRPr="00085F16" w:rsidRDefault="00BC6B2E" w:rsidP="00DE2933">
            <w:pPr>
              <w:pStyle w:val="Normal6"/>
              <w:rPr>
                <w:szCs w:val="24"/>
              </w:rPr>
            </w:pPr>
            <w:r>
              <w:lastRenderedPageBreak/>
              <w:t>(2)</w:t>
            </w:r>
            <w:r>
              <w:tab/>
              <w:t>La décision 2009/917/JAI</w:t>
            </w:r>
            <w:r>
              <w:rPr>
                <w:vertAlign w:val="superscript"/>
              </w:rPr>
              <w:t>10</w:t>
            </w:r>
            <w:r>
              <w:t xml:space="preserve"> du Conseil sur l’emploi de l’informatique dans le domaine des douanes institue le système d’infor</w:t>
            </w:r>
            <w:r>
              <w:t xml:space="preserve">mation des douanes afin d’aider à prévenir, rechercher et poursuivre les infractions graves aux lois nationales en </w:t>
            </w:r>
            <w:r>
              <w:lastRenderedPageBreak/>
              <w:t>rendant les données plus rapidement disponibles et de renforcer l’efficacité des administrations douanières. Pour assurer une approche cohére</w:t>
            </w:r>
            <w:r>
              <w:t>nte de la protection des données à caractère personnel dans l’Union, il convient de modifier cette décision afin de la mettre en conformité avec la directive (UE) 2016/680. En particulier, les règles en matière de protection des données à caractère personn</w:t>
            </w:r>
            <w:r>
              <w:t xml:space="preserve">el devraient respecter le principe de </w:t>
            </w:r>
            <w:r>
              <w:rPr>
                <w:b/>
                <w:i/>
              </w:rPr>
              <w:t>limitation</w:t>
            </w:r>
            <w:r>
              <w:t xml:space="preserve"> des finalités, être limitées à certaines catégories de personnes concernées et de données à caractère personnel, respecter les exigences en matière de sécurité des données, inclure une protection supplémenta</w:t>
            </w:r>
            <w:r>
              <w:t>ire pour des catégories particulières de données à caractère personnel et respecter les conditions applicables au traitement ultérieur. En outre, il convient de prévoir le modèle de contrôle coordonné introduit par l’article 62 du règlement (UE) 2018/1725</w:t>
            </w:r>
            <w:r>
              <w:rPr>
                <w:vertAlign w:val="superscript"/>
              </w:rPr>
              <w:t>1</w:t>
            </w:r>
            <w:r>
              <w:rPr>
                <w:vertAlign w:val="superscript"/>
              </w:rPr>
              <w:t>1</w:t>
            </w:r>
            <w:r>
              <w:t xml:space="preserve"> .</w:t>
            </w:r>
          </w:p>
        </w:tc>
      </w:tr>
      <w:tr w:rsidR="00077AC9" w:rsidTr="00DE2933">
        <w:trPr>
          <w:jc w:val="center"/>
        </w:trPr>
        <w:tc>
          <w:tcPr>
            <w:tcW w:w="4876" w:type="dxa"/>
          </w:tcPr>
          <w:p w:rsidR="00913869" w:rsidRPr="00085F16" w:rsidRDefault="00BC6B2E" w:rsidP="00DE2933">
            <w:pPr>
              <w:pStyle w:val="Normal6"/>
            </w:pPr>
            <w:r>
              <w:lastRenderedPageBreak/>
              <w:t>__________________</w:t>
            </w:r>
          </w:p>
        </w:tc>
        <w:tc>
          <w:tcPr>
            <w:tcW w:w="4876" w:type="dxa"/>
          </w:tcPr>
          <w:p w:rsidR="00913869" w:rsidRPr="00085F16" w:rsidRDefault="00BC6B2E" w:rsidP="00DE2933">
            <w:pPr>
              <w:pStyle w:val="Normal6"/>
              <w:rPr>
                <w:szCs w:val="24"/>
              </w:rPr>
            </w:pPr>
            <w:r>
              <w:t>__________________</w:t>
            </w:r>
          </w:p>
        </w:tc>
      </w:tr>
      <w:tr w:rsidR="00077AC9" w:rsidTr="00DE2933">
        <w:trPr>
          <w:jc w:val="center"/>
        </w:trPr>
        <w:tc>
          <w:tcPr>
            <w:tcW w:w="4876" w:type="dxa"/>
          </w:tcPr>
          <w:p w:rsidR="00913869" w:rsidRPr="00085F16" w:rsidRDefault="00BC6B2E" w:rsidP="00DE2933">
            <w:pPr>
              <w:pStyle w:val="Normal6"/>
            </w:pPr>
            <w:r>
              <w:rPr>
                <w:vertAlign w:val="superscript"/>
              </w:rPr>
              <w:t>10</w:t>
            </w:r>
            <w:r>
              <w:t> Décision 2009/917/JAI du Conseil sur l’emploi de l’informatique dans le domaine des douanes (JO L 323 du 10.12.2009, p. 20).</w:t>
            </w:r>
          </w:p>
        </w:tc>
        <w:tc>
          <w:tcPr>
            <w:tcW w:w="4876" w:type="dxa"/>
          </w:tcPr>
          <w:p w:rsidR="00913869" w:rsidRPr="00085F16" w:rsidRDefault="00BC6B2E" w:rsidP="00DE2933">
            <w:pPr>
              <w:pStyle w:val="Normal6"/>
              <w:rPr>
                <w:szCs w:val="24"/>
              </w:rPr>
            </w:pPr>
            <w:r>
              <w:t xml:space="preserve">10 Décision 2009/917/JAI du Conseil sur l’emploi de l’informatique dans le domaine </w:t>
            </w:r>
            <w:r>
              <w:t>des douanes (JO L 323 du 10.12.2009, p. 20).</w:t>
            </w:r>
          </w:p>
        </w:tc>
      </w:tr>
      <w:tr w:rsidR="00077AC9" w:rsidTr="00DE2933">
        <w:trPr>
          <w:jc w:val="center"/>
        </w:trPr>
        <w:tc>
          <w:tcPr>
            <w:tcW w:w="4876" w:type="dxa"/>
          </w:tcPr>
          <w:p w:rsidR="00913869" w:rsidRPr="00085F16" w:rsidRDefault="00BC6B2E" w:rsidP="00DE2933">
            <w:pPr>
              <w:pStyle w:val="Normal6"/>
            </w:pPr>
            <w:r>
              <w:rPr>
                <w:vertAlign w:val="superscript"/>
              </w:rPr>
              <w:t>11</w:t>
            </w:r>
            <w:r>
              <w:t> Règlement (UE) 2018/1725 du Parlement européen et du Conseil du 23 octobre 2018 relatif à la protection des personnes physiques à l’égard du traitement des données à caractère personnel par les institutions,</w:t>
            </w:r>
            <w:r>
              <w:t xml:space="preserve"> organes et organismes de l’Union et à la libre circulation de ces données, et abrogeant le règlement (CE) nº 45/2001 et la décision nº 1247/2002/CE (JO L 295 du 21.11.2018, p. 39).</w:t>
            </w:r>
          </w:p>
        </w:tc>
        <w:tc>
          <w:tcPr>
            <w:tcW w:w="4876" w:type="dxa"/>
          </w:tcPr>
          <w:p w:rsidR="00913869" w:rsidRPr="00085F16" w:rsidRDefault="00BC6B2E" w:rsidP="00DE2933">
            <w:pPr>
              <w:pStyle w:val="Normal6"/>
              <w:rPr>
                <w:szCs w:val="24"/>
              </w:rPr>
            </w:pPr>
            <w:r>
              <w:rPr>
                <w:vertAlign w:val="superscript"/>
              </w:rPr>
              <w:t>11</w:t>
            </w:r>
            <w:r>
              <w:t> Règlement (UE) 2018/1725 du Parlement européen et du Conseil du 23 octo</w:t>
            </w:r>
            <w:r>
              <w:t>bre 2018 relatif à la protection des personnes physiques à l’égard du traitement des données à caractère personnel par les institutions, organes et organismes de l’Union et à la libre circulation de ces données, et abrogeant le règlement (CE) nº 45/2001 et</w:t>
            </w:r>
            <w:r>
              <w:t xml:space="preserve"> la décision nº 1247/2002/CE (JO L 295 du 21.11.2018, p. 39).</w:t>
            </w:r>
          </w:p>
        </w:tc>
      </w:tr>
    </w:tbl>
    <w:p w:rsidR="00913869" w:rsidRPr="00BC6B2E" w:rsidRDefault="00BC6B2E" w:rsidP="00913869">
      <w:pPr>
        <w:pStyle w:val="Olang"/>
        <w:rPr>
          <w:sz w:val="24"/>
          <w:szCs w:val="24"/>
          <w:lang w:val="en-GB"/>
        </w:rPr>
      </w:pPr>
      <w:r w:rsidRPr="00BC6B2E">
        <w:rPr>
          <w:sz w:val="24"/>
          <w:szCs w:val="24"/>
          <w:lang w:val="en-GB"/>
        </w:rPr>
        <w:t xml:space="preserve">Or. </w:t>
      </w:r>
      <w:r w:rsidRPr="00BC6B2E">
        <w:rPr>
          <w:rStyle w:val="HideTWBExt"/>
          <w:lang w:val="en-GB"/>
        </w:rPr>
        <w:t>&lt;Original&gt;</w:t>
      </w:r>
      <w:r w:rsidRPr="00BC6B2E">
        <w:rPr>
          <w:rStyle w:val="HideTWBInt"/>
          <w:sz w:val="24"/>
          <w:szCs w:val="24"/>
          <w:lang w:val="en-GB"/>
        </w:rPr>
        <w:t>{EN}</w:t>
      </w:r>
      <w:r w:rsidRPr="00BC6B2E">
        <w:rPr>
          <w:sz w:val="24"/>
          <w:szCs w:val="24"/>
          <w:lang w:val="en-GB"/>
        </w:rPr>
        <w:t>en</w:t>
      </w:r>
      <w:r w:rsidRPr="00BC6B2E">
        <w:rPr>
          <w:rStyle w:val="HideTWBExt"/>
          <w:lang w:val="en-GB"/>
        </w:rPr>
        <w:t>&lt;/Original&gt;</w:t>
      </w:r>
    </w:p>
    <w:p w:rsidR="00913869" w:rsidRPr="00BC6B2E" w:rsidRDefault="00BC6B2E" w:rsidP="00913869">
      <w:pPr>
        <w:rPr>
          <w:lang w:val="en-GB"/>
        </w:rPr>
      </w:pPr>
      <w:r w:rsidRPr="00BC6B2E">
        <w:rPr>
          <w:rStyle w:val="HideTWBExt"/>
          <w:lang w:val="en-GB"/>
        </w:rPr>
        <w:t>&lt;/Amend&gt;</w:t>
      </w:r>
    </w:p>
    <w:p w:rsidR="00913869" w:rsidRPr="00085F16" w:rsidRDefault="00BC6B2E" w:rsidP="00913869">
      <w:pPr>
        <w:pStyle w:val="AMNumberTabs0"/>
        <w:keepNext/>
      </w:pPr>
      <w:r>
        <w:rPr>
          <w:rStyle w:val="HideTWBExt"/>
          <w:b w:val="0"/>
        </w:rPr>
        <w:t>&lt;Amend&gt;</w:t>
      </w:r>
      <w:r>
        <w:t>Amendement</w:t>
      </w:r>
      <w:r>
        <w:tab/>
      </w:r>
      <w:r>
        <w:tab/>
      </w:r>
      <w:r>
        <w:rPr>
          <w:rStyle w:val="HideTWBExt"/>
          <w:b w:val="0"/>
        </w:rPr>
        <w:t>&lt;NumAm&gt;</w:t>
      </w:r>
      <w:r>
        <w:t>2</w:t>
      </w:r>
      <w:r>
        <w:rPr>
          <w:rStyle w:val="HideTWBExt"/>
          <w:b w:val="0"/>
        </w:rPr>
        <w:t>&lt;/NumAm&gt;</w:t>
      </w:r>
    </w:p>
    <w:p w:rsidR="00913869" w:rsidRPr="00085F16" w:rsidRDefault="00BC6B2E" w:rsidP="00913869">
      <w:pPr>
        <w:pStyle w:val="NormalBold12b"/>
        <w:keepNext/>
      </w:pPr>
      <w:r>
        <w:rPr>
          <w:rStyle w:val="HideTWBExt"/>
          <w:b w:val="0"/>
        </w:rPr>
        <w:t>&lt;DocAmend&gt;</w:t>
      </w:r>
      <w:r>
        <w:t>Proposition de règlement</w:t>
      </w:r>
      <w:r>
        <w:rPr>
          <w:rStyle w:val="HideTWBExt"/>
          <w:b w:val="0"/>
        </w:rPr>
        <w:t>&lt;/DocAmend&gt;</w:t>
      </w:r>
    </w:p>
    <w:p w:rsidR="00913869" w:rsidRPr="00085F16" w:rsidRDefault="00BC6B2E" w:rsidP="00913869">
      <w:pPr>
        <w:pStyle w:val="NormalBold"/>
      </w:pPr>
      <w:r>
        <w:rPr>
          <w:rStyle w:val="HideTWBExt"/>
          <w:b w:val="0"/>
        </w:rPr>
        <w:t>&lt;Article&gt;</w:t>
      </w:r>
      <w:r>
        <w:t>Considérant 5</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77AC9" w:rsidTr="00DE2933">
        <w:trPr>
          <w:jc w:val="center"/>
        </w:trPr>
        <w:tc>
          <w:tcPr>
            <w:tcW w:w="9752" w:type="dxa"/>
            <w:gridSpan w:val="2"/>
          </w:tcPr>
          <w:p w:rsidR="00913869" w:rsidRPr="00085F16" w:rsidRDefault="00913869" w:rsidP="00DE2933">
            <w:pPr>
              <w:keepNext/>
            </w:pPr>
          </w:p>
        </w:tc>
      </w:tr>
      <w:tr w:rsidR="00077AC9" w:rsidTr="00DE2933">
        <w:trPr>
          <w:jc w:val="center"/>
        </w:trPr>
        <w:tc>
          <w:tcPr>
            <w:tcW w:w="4876" w:type="dxa"/>
          </w:tcPr>
          <w:p w:rsidR="00913869" w:rsidRPr="00085F16" w:rsidRDefault="00BC6B2E" w:rsidP="00DE2933">
            <w:pPr>
              <w:pStyle w:val="ColumnHeading"/>
              <w:keepNext/>
            </w:pPr>
            <w:r>
              <w:t>Texte proposé par la Commission</w:t>
            </w:r>
          </w:p>
        </w:tc>
        <w:tc>
          <w:tcPr>
            <w:tcW w:w="4876" w:type="dxa"/>
          </w:tcPr>
          <w:p w:rsidR="00913869" w:rsidRPr="00085F16" w:rsidRDefault="00BC6B2E" w:rsidP="00DE2933">
            <w:pPr>
              <w:pStyle w:val="ColumnHeading"/>
              <w:keepNext/>
            </w:pPr>
            <w:r>
              <w:t>Amendement</w:t>
            </w:r>
          </w:p>
        </w:tc>
      </w:tr>
      <w:tr w:rsidR="00077AC9" w:rsidTr="00DE2933">
        <w:trPr>
          <w:jc w:val="center"/>
        </w:trPr>
        <w:tc>
          <w:tcPr>
            <w:tcW w:w="4876" w:type="dxa"/>
          </w:tcPr>
          <w:p w:rsidR="00913869" w:rsidRPr="00085F16" w:rsidRDefault="00BC6B2E" w:rsidP="00DE2933">
            <w:pPr>
              <w:pStyle w:val="Normal6"/>
            </w:pPr>
            <w:r>
              <w:t>(5)</w:t>
            </w:r>
            <w:r>
              <w:tab/>
              <w:t>Afin d’assurer une conservation optimale des données tout en réduisant la charge administrative pesant sur les autorités compétentes, la procédure régissant la conservation des données à caractère personnel dans le système d’information des</w:t>
            </w:r>
            <w:r>
              <w:t xml:space="preserve"> douanes devrait être simplifiée en supprimant l’obligation de réexaminer les données chaque année et en fixant une durée maximale de conservation de </w:t>
            </w:r>
            <w:r>
              <w:rPr>
                <w:b/>
                <w:i/>
              </w:rPr>
              <w:t>cinq</w:t>
            </w:r>
            <w:r>
              <w:t xml:space="preserve"> ans, qui peut être augmentée, sous réserve de justification, d’une période supplémentaire de deux ans</w:t>
            </w:r>
            <w:r>
              <w:t>. Cette durée de conservation est nécessaire et proportionnée compte tenu de la durée habituelle des procédures pénales et de la nécessité de disposer des données pour l’exécution d’opérations douanières conjointes et d’enquêtes.</w:t>
            </w:r>
          </w:p>
        </w:tc>
        <w:tc>
          <w:tcPr>
            <w:tcW w:w="4876" w:type="dxa"/>
          </w:tcPr>
          <w:p w:rsidR="00913869" w:rsidRPr="00085F16" w:rsidRDefault="00BC6B2E" w:rsidP="00DE2933">
            <w:pPr>
              <w:pStyle w:val="Normal6"/>
              <w:rPr>
                <w:szCs w:val="24"/>
              </w:rPr>
            </w:pPr>
            <w:r>
              <w:t>(5)</w:t>
            </w:r>
            <w:r>
              <w:tab/>
              <w:t>Afin d’assurer une con</w:t>
            </w:r>
            <w:r>
              <w:t>servation optimale des données tout en réduisant la charge administrative pesant sur les autorités compétentes, la procédure régissant la conservation des données à caractère personnel dans le système d’information des douanes devrait être simplifiée en su</w:t>
            </w:r>
            <w:r>
              <w:t xml:space="preserve">pprimant l’obligation de réexaminer les données chaque année et en fixant une durée maximale de conservation de </w:t>
            </w:r>
            <w:r>
              <w:rPr>
                <w:b/>
                <w:i/>
              </w:rPr>
              <w:t>trois</w:t>
            </w:r>
            <w:r>
              <w:t xml:space="preserve"> ans, qui peut être augmentée, sous réserve de justification, d’une période supplémentaire de deux ans. Cette durée de conservation est néc</w:t>
            </w:r>
            <w:r>
              <w:t>essaire et proportionnée compte tenu de la durée habituelle des procédures pénales et de la nécessité de disposer des données pour l’exécution d’opérations douanières conjointes et d’enquêtes.</w:t>
            </w:r>
          </w:p>
        </w:tc>
      </w:tr>
    </w:tbl>
    <w:p w:rsidR="00913869" w:rsidRPr="00BC6B2E" w:rsidRDefault="00BC6B2E" w:rsidP="00913869">
      <w:pPr>
        <w:pStyle w:val="Olang"/>
        <w:rPr>
          <w:sz w:val="24"/>
          <w:szCs w:val="24"/>
          <w:lang w:val="en-GB"/>
        </w:rPr>
      </w:pPr>
      <w:r w:rsidRPr="00BC6B2E">
        <w:rPr>
          <w:sz w:val="24"/>
          <w:szCs w:val="24"/>
          <w:lang w:val="en-GB"/>
        </w:rPr>
        <w:t xml:space="preserve">Or. </w:t>
      </w:r>
      <w:r w:rsidRPr="00BC6B2E">
        <w:rPr>
          <w:rStyle w:val="HideTWBExt"/>
          <w:lang w:val="en-GB"/>
        </w:rPr>
        <w:t>&lt;Original&gt;</w:t>
      </w:r>
      <w:r w:rsidRPr="00BC6B2E">
        <w:rPr>
          <w:rStyle w:val="HideTWBInt"/>
          <w:sz w:val="24"/>
          <w:szCs w:val="24"/>
          <w:lang w:val="en-GB"/>
        </w:rPr>
        <w:t>{EN}</w:t>
      </w:r>
      <w:r w:rsidRPr="00BC6B2E">
        <w:rPr>
          <w:sz w:val="24"/>
          <w:szCs w:val="24"/>
          <w:lang w:val="en-GB"/>
        </w:rPr>
        <w:t>en</w:t>
      </w:r>
      <w:r w:rsidRPr="00BC6B2E">
        <w:rPr>
          <w:rStyle w:val="HideTWBExt"/>
          <w:lang w:val="en-GB"/>
        </w:rPr>
        <w:t>&lt;/Original&gt;</w:t>
      </w:r>
    </w:p>
    <w:p w:rsidR="00913869" w:rsidRPr="00BC6B2E" w:rsidRDefault="00BC6B2E" w:rsidP="00913869">
      <w:pPr>
        <w:rPr>
          <w:lang w:val="en-GB"/>
        </w:rPr>
      </w:pPr>
      <w:r w:rsidRPr="00BC6B2E">
        <w:rPr>
          <w:rStyle w:val="HideTWBExt"/>
          <w:lang w:val="en-GB"/>
        </w:rPr>
        <w:t>&lt;/Amend&gt;</w:t>
      </w:r>
    </w:p>
    <w:p w:rsidR="00913869" w:rsidRPr="00085F16" w:rsidRDefault="00BC6B2E" w:rsidP="00913869">
      <w:pPr>
        <w:pStyle w:val="AMNumberTabs0"/>
        <w:keepNext/>
      </w:pPr>
      <w:r>
        <w:rPr>
          <w:rStyle w:val="HideTWBExt"/>
          <w:b w:val="0"/>
        </w:rPr>
        <w:t>&lt;Amend&gt;</w:t>
      </w:r>
      <w:r>
        <w:t>Amendement</w:t>
      </w:r>
      <w:r>
        <w:tab/>
      </w:r>
      <w:r>
        <w:tab/>
      </w:r>
      <w:r>
        <w:rPr>
          <w:rStyle w:val="HideTWBExt"/>
          <w:b w:val="0"/>
        </w:rPr>
        <w:t>&lt;NumAm&gt;</w:t>
      </w:r>
      <w:r>
        <w:t>3</w:t>
      </w:r>
      <w:r>
        <w:rPr>
          <w:rStyle w:val="HideTWBExt"/>
          <w:b w:val="0"/>
        </w:rPr>
        <w:t>&lt;/NumAm&gt;</w:t>
      </w:r>
    </w:p>
    <w:p w:rsidR="00913869" w:rsidRPr="00085F16" w:rsidRDefault="00BC6B2E" w:rsidP="00913869">
      <w:pPr>
        <w:pStyle w:val="NormalBold12b"/>
        <w:keepNext/>
      </w:pPr>
      <w:r>
        <w:rPr>
          <w:rStyle w:val="HideTWBExt"/>
          <w:b w:val="0"/>
        </w:rPr>
        <w:t>&lt;DocAmend&gt;</w:t>
      </w:r>
      <w:r>
        <w:t>Proposition de règlement</w:t>
      </w:r>
      <w:r>
        <w:rPr>
          <w:rStyle w:val="HideTWBExt"/>
          <w:b w:val="0"/>
        </w:rPr>
        <w:t>&lt;/DocAmend&gt;</w:t>
      </w:r>
    </w:p>
    <w:p w:rsidR="00B82CF4" w:rsidRPr="00085F16" w:rsidRDefault="00BC6B2E" w:rsidP="00531669">
      <w:pPr>
        <w:pStyle w:val="NormalBold"/>
      </w:pPr>
      <w:r>
        <w:rPr>
          <w:rStyle w:val="HideTWBExt"/>
          <w:b w:val="0"/>
        </w:rPr>
        <w:t>&lt;Article&gt;</w:t>
      </w:r>
      <w:r>
        <w:t>Article 1 – paragraphe 1 – point 2</w:t>
      </w:r>
      <w:r>
        <w:rPr>
          <w:rStyle w:val="HideTWBExt"/>
          <w:b w:val="0"/>
        </w:rPr>
        <w:t>&lt;/Article&gt;</w:t>
      </w:r>
    </w:p>
    <w:p w:rsidR="00E36F9D" w:rsidRPr="00085F16" w:rsidRDefault="00BC6B2E" w:rsidP="00B82CF4">
      <w:pPr>
        <w:pStyle w:val="NormalBold"/>
        <w:rPr>
          <w:b w:val="0"/>
        </w:rPr>
      </w:pPr>
      <w:r>
        <w:rPr>
          <w:rStyle w:val="HideTWBExt"/>
          <w:b w:val="0"/>
        </w:rPr>
        <w:t>&lt;DocAmend2&gt;</w:t>
      </w:r>
      <w:r>
        <w:rPr>
          <w:b w:val="0"/>
        </w:rPr>
        <w:t>Décision 2009/917/JAI du Conseil</w:t>
      </w:r>
      <w:r>
        <w:rPr>
          <w:rStyle w:val="HideTWBExt"/>
          <w:b w:val="0"/>
        </w:rPr>
        <w:t>&lt;/DocAmend2&gt;</w:t>
      </w:r>
    </w:p>
    <w:p w:rsidR="00E36F9D" w:rsidRPr="00085F16" w:rsidRDefault="00BC6B2E" w:rsidP="00BB5969">
      <w:r>
        <w:rPr>
          <w:rStyle w:val="HideTWBExt"/>
        </w:rPr>
        <w:t>&lt;Article2&gt;</w:t>
      </w:r>
      <w:r>
        <w:t>Article 2 – paragraphe 1 – point 2</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77AC9" w:rsidTr="00DE2933">
        <w:trPr>
          <w:jc w:val="center"/>
        </w:trPr>
        <w:tc>
          <w:tcPr>
            <w:tcW w:w="9752" w:type="dxa"/>
            <w:gridSpan w:val="2"/>
          </w:tcPr>
          <w:p w:rsidR="00913869" w:rsidRPr="00085F16" w:rsidRDefault="00913869" w:rsidP="00DE2933">
            <w:pPr>
              <w:keepNext/>
            </w:pPr>
          </w:p>
        </w:tc>
      </w:tr>
      <w:tr w:rsidR="00077AC9" w:rsidTr="00DE2933">
        <w:trPr>
          <w:jc w:val="center"/>
        </w:trPr>
        <w:tc>
          <w:tcPr>
            <w:tcW w:w="4876" w:type="dxa"/>
          </w:tcPr>
          <w:p w:rsidR="00913869" w:rsidRPr="00085F16" w:rsidRDefault="00BC6B2E" w:rsidP="00DE2933">
            <w:pPr>
              <w:pStyle w:val="ColumnHeading"/>
              <w:keepNext/>
            </w:pPr>
            <w:r>
              <w:t>Texte proposé par la Comm</w:t>
            </w:r>
            <w:r>
              <w:t>ission</w:t>
            </w:r>
          </w:p>
        </w:tc>
        <w:tc>
          <w:tcPr>
            <w:tcW w:w="4876" w:type="dxa"/>
          </w:tcPr>
          <w:p w:rsidR="00913869" w:rsidRPr="00085F16" w:rsidRDefault="00BC6B2E" w:rsidP="00DE2933">
            <w:pPr>
              <w:pStyle w:val="ColumnHeading"/>
              <w:keepNext/>
            </w:pPr>
            <w:r>
              <w:t>Amendement</w:t>
            </w:r>
          </w:p>
        </w:tc>
      </w:tr>
      <w:tr w:rsidR="00077AC9" w:rsidTr="00DE2933">
        <w:trPr>
          <w:jc w:val="center"/>
        </w:trPr>
        <w:tc>
          <w:tcPr>
            <w:tcW w:w="4876" w:type="dxa"/>
          </w:tcPr>
          <w:p w:rsidR="00913869" w:rsidRPr="00085F16" w:rsidRDefault="00BC6B2E" w:rsidP="00DE2933">
            <w:pPr>
              <w:pStyle w:val="Normal6"/>
            </w:pPr>
            <w:r>
              <w:t>(2)</w:t>
            </w:r>
            <w:r>
              <w:tab/>
              <w:t xml:space="preserve">À l’article 2, le point 2 est </w:t>
            </w:r>
            <w:r>
              <w:rPr>
                <w:b/>
                <w:i/>
              </w:rPr>
              <w:t>supprimé</w:t>
            </w:r>
            <w:r>
              <w:t>.</w:t>
            </w:r>
          </w:p>
        </w:tc>
        <w:tc>
          <w:tcPr>
            <w:tcW w:w="4876" w:type="dxa"/>
          </w:tcPr>
          <w:p w:rsidR="00913869" w:rsidRPr="00085F16" w:rsidRDefault="00BC6B2E" w:rsidP="00745BC2">
            <w:pPr>
              <w:pStyle w:val="Normal6"/>
              <w:rPr>
                <w:szCs w:val="24"/>
              </w:rPr>
            </w:pPr>
            <w:r>
              <w:t>(2)</w:t>
            </w:r>
            <w:r>
              <w:tab/>
              <w:t>À l’article 2, le point 2 est</w:t>
            </w:r>
            <w:r>
              <w:rPr>
                <w:b/>
                <w:i/>
              </w:rPr>
              <w:t xml:space="preserve"> remplacé par le texte suivant</w:t>
            </w:r>
            <w:r>
              <w:t>:</w:t>
            </w:r>
          </w:p>
        </w:tc>
      </w:tr>
      <w:tr w:rsidR="00077AC9" w:rsidTr="00DE2933">
        <w:trPr>
          <w:jc w:val="center"/>
        </w:trPr>
        <w:tc>
          <w:tcPr>
            <w:tcW w:w="4876" w:type="dxa"/>
          </w:tcPr>
          <w:p w:rsidR="00913869" w:rsidRPr="00085F16" w:rsidRDefault="00913869" w:rsidP="00DE2933">
            <w:pPr>
              <w:pStyle w:val="Normal6"/>
            </w:pPr>
          </w:p>
        </w:tc>
        <w:tc>
          <w:tcPr>
            <w:tcW w:w="4876" w:type="dxa"/>
          </w:tcPr>
          <w:p w:rsidR="00913869" w:rsidRPr="00085F16" w:rsidRDefault="00BC6B2E" w:rsidP="00FE6435">
            <w:pPr>
              <w:pStyle w:val="Normal6"/>
              <w:rPr>
                <w:szCs w:val="24"/>
              </w:rPr>
            </w:pPr>
            <w:r>
              <w:rPr>
                <w:b/>
                <w:i/>
              </w:rPr>
              <w:t>2.</w:t>
            </w:r>
            <w:r>
              <w:tab/>
            </w:r>
            <w:r>
              <w:rPr>
                <w:b/>
                <w:i/>
              </w:rPr>
              <w:t xml:space="preserve">«données à caractère personnel»: les données à caractère personnel au sens de l’article 3, point 1, de la </w:t>
            </w:r>
            <w:r>
              <w:rPr>
                <w:b/>
                <w:i/>
              </w:rPr>
              <w:t>directive (UE) 2016/680</w:t>
            </w:r>
            <w:r>
              <w:t>.</w:t>
            </w:r>
          </w:p>
        </w:tc>
      </w:tr>
    </w:tbl>
    <w:p w:rsidR="00913869" w:rsidRPr="00BC6B2E" w:rsidRDefault="00BC6B2E" w:rsidP="00913869">
      <w:pPr>
        <w:pStyle w:val="Olang"/>
        <w:rPr>
          <w:sz w:val="24"/>
          <w:szCs w:val="24"/>
          <w:lang w:val="en-GB"/>
        </w:rPr>
      </w:pPr>
      <w:r w:rsidRPr="00BC6B2E">
        <w:rPr>
          <w:sz w:val="24"/>
          <w:szCs w:val="24"/>
          <w:lang w:val="en-GB"/>
        </w:rPr>
        <w:t xml:space="preserve">Or. </w:t>
      </w:r>
      <w:r w:rsidRPr="00BC6B2E">
        <w:rPr>
          <w:rStyle w:val="HideTWBExt"/>
          <w:lang w:val="en-GB"/>
        </w:rPr>
        <w:t>&lt;Original&gt;</w:t>
      </w:r>
      <w:r w:rsidRPr="00BC6B2E">
        <w:rPr>
          <w:rStyle w:val="HideTWBInt"/>
          <w:sz w:val="24"/>
          <w:szCs w:val="24"/>
          <w:lang w:val="en-GB"/>
        </w:rPr>
        <w:t>{EN}</w:t>
      </w:r>
      <w:r w:rsidRPr="00BC6B2E">
        <w:rPr>
          <w:sz w:val="24"/>
          <w:szCs w:val="24"/>
          <w:lang w:val="en-GB"/>
        </w:rPr>
        <w:t>en</w:t>
      </w:r>
      <w:r w:rsidRPr="00BC6B2E">
        <w:rPr>
          <w:rStyle w:val="HideTWBExt"/>
          <w:lang w:val="en-GB"/>
        </w:rPr>
        <w:t>&lt;/Original&gt;</w:t>
      </w:r>
    </w:p>
    <w:p w:rsidR="00913869" w:rsidRPr="00BC6B2E" w:rsidRDefault="00BC6B2E" w:rsidP="00913869">
      <w:pPr>
        <w:rPr>
          <w:lang w:val="en-GB"/>
        </w:rPr>
      </w:pPr>
      <w:r w:rsidRPr="00BC6B2E">
        <w:rPr>
          <w:rStyle w:val="HideTWBExt"/>
          <w:lang w:val="en-GB"/>
        </w:rPr>
        <w:t>&lt;/Amend&gt;</w:t>
      </w:r>
    </w:p>
    <w:p w:rsidR="00913869" w:rsidRPr="00085F16" w:rsidRDefault="00BC6B2E" w:rsidP="00913869">
      <w:pPr>
        <w:pStyle w:val="AMNumberTabs0"/>
        <w:keepNext/>
      </w:pPr>
      <w:r>
        <w:rPr>
          <w:rStyle w:val="HideTWBExt"/>
          <w:b w:val="0"/>
        </w:rPr>
        <w:t>&lt;Amend&gt;</w:t>
      </w:r>
      <w:r>
        <w:t>Amendement</w:t>
      </w:r>
      <w:r>
        <w:tab/>
      </w:r>
      <w:r>
        <w:tab/>
      </w:r>
      <w:r>
        <w:rPr>
          <w:rStyle w:val="HideTWBExt"/>
          <w:b w:val="0"/>
        </w:rPr>
        <w:t>&lt;NumAm&gt;</w:t>
      </w:r>
      <w:r>
        <w:t>4</w:t>
      </w:r>
      <w:r>
        <w:rPr>
          <w:rStyle w:val="HideTWBExt"/>
          <w:b w:val="0"/>
        </w:rPr>
        <w:t>&lt;/NumAm&gt;</w:t>
      </w:r>
    </w:p>
    <w:p w:rsidR="00913869" w:rsidRPr="00085F16" w:rsidRDefault="00BC6B2E" w:rsidP="00913869">
      <w:pPr>
        <w:pStyle w:val="NormalBold12b"/>
        <w:keepNext/>
      </w:pPr>
      <w:r>
        <w:rPr>
          <w:rStyle w:val="HideTWBExt"/>
          <w:b w:val="0"/>
        </w:rPr>
        <w:t>&lt;DocAmend&gt;</w:t>
      </w:r>
      <w:r>
        <w:t>Proposition de règlement</w:t>
      </w:r>
      <w:r>
        <w:rPr>
          <w:rStyle w:val="HideTWBExt"/>
          <w:b w:val="0"/>
        </w:rPr>
        <w:t>&lt;/DocAmend&gt;</w:t>
      </w:r>
    </w:p>
    <w:p w:rsidR="00913869" w:rsidRPr="00085F16" w:rsidRDefault="00BC6B2E" w:rsidP="00913869">
      <w:pPr>
        <w:pStyle w:val="NormalBold"/>
      </w:pPr>
      <w:r>
        <w:rPr>
          <w:rStyle w:val="HideTWBExt"/>
          <w:b w:val="0"/>
        </w:rPr>
        <w:t>&lt;Article&gt;</w:t>
      </w:r>
      <w:r>
        <w:t>Article 1 – paragraphe 1 – point 3</w:t>
      </w:r>
      <w:r>
        <w:rPr>
          <w:rStyle w:val="HideTWBExt"/>
          <w:b w:val="0"/>
        </w:rPr>
        <w:t>&lt;/Article&gt;</w:t>
      </w:r>
    </w:p>
    <w:p w:rsidR="00913869" w:rsidRPr="00085F16" w:rsidRDefault="00BC6B2E" w:rsidP="00913869">
      <w:pPr>
        <w:keepNext/>
      </w:pPr>
      <w:r>
        <w:rPr>
          <w:rStyle w:val="HideTWBExt"/>
        </w:rPr>
        <w:lastRenderedPageBreak/>
        <w:t>&lt;DocAmend2&gt;</w:t>
      </w:r>
      <w:r>
        <w:t>Décision 2009/917/JAI du Conseil</w:t>
      </w:r>
      <w:r>
        <w:rPr>
          <w:rStyle w:val="HideTWBExt"/>
        </w:rPr>
        <w:t>&lt;/DocAmend2&gt;</w:t>
      </w:r>
    </w:p>
    <w:p w:rsidR="00913869" w:rsidRPr="00085F16" w:rsidRDefault="00BC6B2E" w:rsidP="00913869">
      <w:r>
        <w:rPr>
          <w:rStyle w:val="HideTWBExt"/>
        </w:rPr>
        <w:t>&lt;Article2&gt;</w:t>
      </w:r>
      <w:r>
        <w:t>Article 3 – paragraphe 2</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77AC9" w:rsidTr="00DE2933">
        <w:trPr>
          <w:jc w:val="center"/>
        </w:trPr>
        <w:tc>
          <w:tcPr>
            <w:tcW w:w="9752" w:type="dxa"/>
            <w:gridSpan w:val="2"/>
          </w:tcPr>
          <w:p w:rsidR="00913869" w:rsidRPr="00085F16" w:rsidRDefault="00913869" w:rsidP="00DE2933">
            <w:pPr>
              <w:keepNext/>
            </w:pPr>
          </w:p>
        </w:tc>
      </w:tr>
      <w:tr w:rsidR="00077AC9" w:rsidTr="00DE2933">
        <w:trPr>
          <w:jc w:val="center"/>
        </w:trPr>
        <w:tc>
          <w:tcPr>
            <w:tcW w:w="4876" w:type="dxa"/>
          </w:tcPr>
          <w:p w:rsidR="00913869" w:rsidRPr="00085F16" w:rsidRDefault="00BC6B2E" w:rsidP="00DE2933">
            <w:pPr>
              <w:pStyle w:val="ColumnHeading"/>
              <w:keepNext/>
            </w:pPr>
            <w:r>
              <w:t>Texte proposé par la Commission</w:t>
            </w:r>
          </w:p>
        </w:tc>
        <w:tc>
          <w:tcPr>
            <w:tcW w:w="4876" w:type="dxa"/>
          </w:tcPr>
          <w:p w:rsidR="00913869" w:rsidRPr="00085F16" w:rsidRDefault="00BC6B2E" w:rsidP="00DE2933">
            <w:pPr>
              <w:pStyle w:val="ColumnHeading"/>
              <w:keepNext/>
            </w:pPr>
            <w:r>
              <w:t>Amendement</w:t>
            </w:r>
          </w:p>
        </w:tc>
      </w:tr>
      <w:tr w:rsidR="00077AC9" w:rsidTr="00DE2933">
        <w:trPr>
          <w:jc w:val="center"/>
        </w:trPr>
        <w:tc>
          <w:tcPr>
            <w:tcW w:w="4876" w:type="dxa"/>
          </w:tcPr>
          <w:p w:rsidR="00913869" w:rsidRPr="00085F16" w:rsidRDefault="00BC6B2E" w:rsidP="00DE2933">
            <w:pPr>
              <w:pStyle w:val="Normal6"/>
            </w:pPr>
            <w:r>
              <w:t xml:space="preserve">En ce qui concerne le traitement des données à caractère personnel dans le système d’information des douanes, la Commission est considérée comme le </w:t>
            </w:r>
            <w:r>
              <w:t>sous-traitant, au sens de l’article 3, point 12), du règlement (UE) 2018/1725, agissant pour le compte des autorités nationales désignées par chaque État membre, qui sont considérées comme les responsables du traitement des données à caractère personnel.</w:t>
            </w:r>
          </w:p>
        </w:tc>
        <w:tc>
          <w:tcPr>
            <w:tcW w:w="4876" w:type="dxa"/>
          </w:tcPr>
          <w:p w:rsidR="00913869" w:rsidRPr="00085F16" w:rsidRDefault="00BC6B2E" w:rsidP="00DE2933">
            <w:pPr>
              <w:pStyle w:val="Normal6"/>
              <w:rPr>
                <w:szCs w:val="24"/>
              </w:rPr>
            </w:pPr>
            <w:r>
              <w:t>E</w:t>
            </w:r>
            <w:r>
              <w:t xml:space="preserve">n ce qui concerne le traitement des données à caractère personnel dans le système d’information des douanes, la Commission est considérée comme le sous-traitant, au sens de l’article 3, point 12), du règlement (UE) 2018/1725, agissant </w:t>
            </w:r>
            <w:r>
              <w:rPr>
                <w:b/>
                <w:i/>
              </w:rPr>
              <w:t>conformément à l’arti</w:t>
            </w:r>
            <w:r>
              <w:rPr>
                <w:b/>
                <w:i/>
              </w:rPr>
              <w:t>cle 29 de ce règlement,</w:t>
            </w:r>
            <w:r>
              <w:t xml:space="preserve"> pour le compte des autorités nationales désignées par chaque État membre, qui sont considérées comme les responsables du traitement des données à caractère personnel.</w:t>
            </w:r>
          </w:p>
        </w:tc>
      </w:tr>
    </w:tbl>
    <w:p w:rsidR="00913869" w:rsidRPr="00BC6B2E" w:rsidRDefault="00BC6B2E" w:rsidP="00913869">
      <w:pPr>
        <w:pStyle w:val="Olang"/>
        <w:rPr>
          <w:sz w:val="24"/>
          <w:szCs w:val="24"/>
          <w:lang w:val="en-GB"/>
        </w:rPr>
      </w:pPr>
      <w:r w:rsidRPr="00BC6B2E">
        <w:rPr>
          <w:sz w:val="24"/>
          <w:szCs w:val="24"/>
          <w:lang w:val="en-GB"/>
        </w:rPr>
        <w:t xml:space="preserve">Or. </w:t>
      </w:r>
      <w:r w:rsidRPr="00BC6B2E">
        <w:rPr>
          <w:rStyle w:val="HideTWBExt"/>
          <w:lang w:val="en-GB"/>
        </w:rPr>
        <w:t>&lt;Original&gt;</w:t>
      </w:r>
      <w:r w:rsidRPr="00BC6B2E">
        <w:rPr>
          <w:rStyle w:val="HideTWBInt"/>
          <w:sz w:val="24"/>
          <w:szCs w:val="24"/>
          <w:lang w:val="en-GB"/>
        </w:rPr>
        <w:t>{EN}</w:t>
      </w:r>
      <w:r w:rsidRPr="00BC6B2E">
        <w:rPr>
          <w:sz w:val="24"/>
          <w:szCs w:val="24"/>
          <w:lang w:val="en-GB"/>
        </w:rPr>
        <w:t>en</w:t>
      </w:r>
      <w:r w:rsidRPr="00BC6B2E">
        <w:rPr>
          <w:rStyle w:val="HideTWBExt"/>
          <w:lang w:val="en-GB"/>
        </w:rPr>
        <w:t>&lt;/Original&gt;</w:t>
      </w:r>
    </w:p>
    <w:p w:rsidR="00913869" w:rsidRPr="00BC6B2E" w:rsidRDefault="00BC6B2E" w:rsidP="00913869">
      <w:pPr>
        <w:rPr>
          <w:lang w:val="en-GB"/>
        </w:rPr>
      </w:pPr>
      <w:r w:rsidRPr="00BC6B2E">
        <w:rPr>
          <w:rStyle w:val="HideTWBExt"/>
          <w:lang w:val="en-GB"/>
        </w:rPr>
        <w:t>&lt;/Amend&gt;</w:t>
      </w:r>
    </w:p>
    <w:p w:rsidR="00913869" w:rsidRPr="00085F16" w:rsidRDefault="00BC6B2E" w:rsidP="00913869">
      <w:pPr>
        <w:pStyle w:val="AMNumberTabs0"/>
        <w:keepNext/>
      </w:pPr>
      <w:r>
        <w:rPr>
          <w:rStyle w:val="HideTWBExt"/>
          <w:b w:val="0"/>
        </w:rPr>
        <w:t>&lt;Amend&gt;</w:t>
      </w:r>
      <w:r>
        <w:t>Amendement</w:t>
      </w:r>
      <w:r>
        <w:tab/>
      </w:r>
      <w:r>
        <w:tab/>
      </w:r>
      <w:r>
        <w:rPr>
          <w:rStyle w:val="HideTWBExt"/>
          <w:b w:val="0"/>
        </w:rPr>
        <w:t>&lt;Num</w:t>
      </w:r>
      <w:r>
        <w:rPr>
          <w:rStyle w:val="HideTWBExt"/>
          <w:b w:val="0"/>
        </w:rPr>
        <w:t>Am&gt;</w:t>
      </w:r>
      <w:r>
        <w:t>5</w:t>
      </w:r>
      <w:r>
        <w:rPr>
          <w:rStyle w:val="HideTWBExt"/>
          <w:b w:val="0"/>
        </w:rPr>
        <w:t>&lt;/NumAm&gt;</w:t>
      </w:r>
    </w:p>
    <w:p w:rsidR="00913869" w:rsidRPr="00085F16" w:rsidRDefault="00BC6B2E" w:rsidP="00913869">
      <w:pPr>
        <w:pStyle w:val="NormalBold12b"/>
        <w:keepNext/>
      </w:pPr>
      <w:r>
        <w:rPr>
          <w:rStyle w:val="HideTWBExt"/>
          <w:b w:val="0"/>
        </w:rPr>
        <w:t>&lt;DocAmend&gt;</w:t>
      </w:r>
      <w:r>
        <w:t>Proposition de règlement</w:t>
      </w:r>
      <w:r>
        <w:rPr>
          <w:rStyle w:val="HideTWBExt"/>
          <w:b w:val="0"/>
        </w:rPr>
        <w:t>&lt;/DocAmend&gt;</w:t>
      </w:r>
    </w:p>
    <w:p w:rsidR="00913869" w:rsidRPr="00085F16" w:rsidRDefault="00BC6B2E" w:rsidP="00913869">
      <w:pPr>
        <w:pStyle w:val="NormalBold"/>
      </w:pPr>
      <w:r>
        <w:rPr>
          <w:rStyle w:val="HideTWBExt"/>
          <w:b w:val="0"/>
        </w:rPr>
        <w:t>&lt;Article&gt;</w:t>
      </w:r>
      <w:r>
        <w:t>Article 1 – paragraphe 1 – point 5</w:t>
      </w:r>
      <w:r>
        <w:rPr>
          <w:rStyle w:val="HideTWBExt"/>
          <w:b w:val="0"/>
        </w:rPr>
        <w:t>&lt;/Article&gt;</w:t>
      </w:r>
    </w:p>
    <w:p w:rsidR="00913869" w:rsidRPr="00085F16" w:rsidRDefault="00BC6B2E" w:rsidP="00913869">
      <w:pPr>
        <w:keepNext/>
      </w:pPr>
      <w:r>
        <w:rPr>
          <w:rStyle w:val="HideTWBExt"/>
        </w:rPr>
        <w:t>&lt;DocAmend2&gt;</w:t>
      </w:r>
      <w:r>
        <w:t>Décision 2009/917/JAI du Conseil</w:t>
      </w:r>
      <w:r>
        <w:rPr>
          <w:rStyle w:val="HideTWBExt"/>
        </w:rPr>
        <w:t>&lt;/DocAmend2&gt;</w:t>
      </w:r>
    </w:p>
    <w:p w:rsidR="00913869" w:rsidRPr="00085F16" w:rsidRDefault="00BC6B2E" w:rsidP="00913869">
      <w:r>
        <w:rPr>
          <w:rStyle w:val="HideTWBExt"/>
        </w:rPr>
        <w:t>&lt;Article2&gt;</w:t>
      </w:r>
      <w:r>
        <w:t>Article 5 – paragraphe 2</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77AC9" w:rsidTr="00DE2933">
        <w:trPr>
          <w:jc w:val="center"/>
        </w:trPr>
        <w:tc>
          <w:tcPr>
            <w:tcW w:w="9752" w:type="dxa"/>
            <w:gridSpan w:val="2"/>
          </w:tcPr>
          <w:p w:rsidR="00913869" w:rsidRPr="00085F16" w:rsidRDefault="00913869" w:rsidP="00DE2933">
            <w:pPr>
              <w:keepNext/>
            </w:pPr>
          </w:p>
        </w:tc>
      </w:tr>
      <w:tr w:rsidR="00077AC9" w:rsidTr="00DE2933">
        <w:trPr>
          <w:jc w:val="center"/>
        </w:trPr>
        <w:tc>
          <w:tcPr>
            <w:tcW w:w="4876" w:type="dxa"/>
          </w:tcPr>
          <w:p w:rsidR="00913869" w:rsidRPr="00085F16" w:rsidRDefault="00BC6B2E" w:rsidP="00DE2933">
            <w:pPr>
              <w:pStyle w:val="ColumnHeading"/>
              <w:keepNext/>
            </w:pPr>
            <w:r>
              <w:t>Texte proposé par la Commission</w:t>
            </w:r>
          </w:p>
        </w:tc>
        <w:tc>
          <w:tcPr>
            <w:tcW w:w="4876" w:type="dxa"/>
          </w:tcPr>
          <w:p w:rsidR="00913869" w:rsidRPr="00085F16" w:rsidRDefault="00BC6B2E" w:rsidP="00DE2933">
            <w:pPr>
              <w:pStyle w:val="ColumnHeading"/>
              <w:keepNext/>
            </w:pPr>
            <w:r>
              <w:t>Amendement</w:t>
            </w:r>
          </w:p>
        </w:tc>
      </w:tr>
      <w:tr w:rsidR="00077AC9" w:rsidTr="00DE2933">
        <w:trPr>
          <w:jc w:val="center"/>
        </w:trPr>
        <w:tc>
          <w:tcPr>
            <w:tcW w:w="4876" w:type="dxa"/>
          </w:tcPr>
          <w:p w:rsidR="00913869" w:rsidRPr="00085F16" w:rsidRDefault="00BC6B2E" w:rsidP="00DE2933">
            <w:pPr>
              <w:pStyle w:val="Normal6"/>
            </w:pPr>
            <w:r>
              <w:t>2.</w:t>
            </w:r>
            <w:r>
              <w:tab/>
              <w:t>Aux fins des actions visées au paragraphe 1, les données à caractère personnel qui entrent dans les catégories visées à l’article 3, paragraphe 1, ne peuvent être introduites dans le système d’information des douanes que si des motifs raison</w:t>
            </w:r>
            <w:r>
              <w:t>nables, en particulier sur la base d’activités illégales préalables, portent à croire que la personne en question a commis, est en train de commettre ou commettra des infractions pénales prévues par les lois nationales.</w:t>
            </w:r>
          </w:p>
        </w:tc>
        <w:tc>
          <w:tcPr>
            <w:tcW w:w="4876" w:type="dxa"/>
          </w:tcPr>
          <w:p w:rsidR="00913869" w:rsidRPr="00085F16" w:rsidRDefault="00BC6B2E" w:rsidP="00DE2933">
            <w:pPr>
              <w:pStyle w:val="Normal6"/>
              <w:rPr>
                <w:szCs w:val="24"/>
              </w:rPr>
            </w:pPr>
            <w:r>
              <w:t>2.</w:t>
            </w:r>
            <w:r>
              <w:tab/>
              <w:t>Aux fins des actions visées au pa</w:t>
            </w:r>
            <w:r>
              <w:t xml:space="preserve">ragraphe 1, les données à caractère personnel qui entrent dans les catégories visées à l’article 3, paragraphe 1, ne peuvent être introduites dans le système d’information des douanes que si des motifs </w:t>
            </w:r>
            <w:r>
              <w:rPr>
                <w:b/>
                <w:i/>
              </w:rPr>
              <w:t>et des objectifs</w:t>
            </w:r>
            <w:r>
              <w:t xml:space="preserve"> raisonnables, en particulier sur la b</w:t>
            </w:r>
            <w:r>
              <w:t>ase d’activités illégales préalables, portent à croire que la personne en question a commis, est en train de commettre ou commettra des infractions pénales prévues par les lois nationales.».</w:t>
            </w:r>
          </w:p>
        </w:tc>
      </w:tr>
    </w:tbl>
    <w:p w:rsidR="00913869" w:rsidRPr="00BC6B2E" w:rsidRDefault="00BC6B2E" w:rsidP="00913869">
      <w:pPr>
        <w:pStyle w:val="Olang"/>
        <w:rPr>
          <w:sz w:val="24"/>
          <w:szCs w:val="24"/>
          <w:lang w:val="en-GB"/>
        </w:rPr>
      </w:pPr>
      <w:r w:rsidRPr="00BC6B2E">
        <w:rPr>
          <w:sz w:val="24"/>
          <w:szCs w:val="24"/>
          <w:lang w:val="en-GB"/>
        </w:rPr>
        <w:t xml:space="preserve">Or. </w:t>
      </w:r>
      <w:r w:rsidRPr="00BC6B2E">
        <w:rPr>
          <w:rStyle w:val="HideTWBExt"/>
          <w:lang w:val="en-GB"/>
        </w:rPr>
        <w:t>&lt;Original&gt;</w:t>
      </w:r>
      <w:r w:rsidRPr="00BC6B2E">
        <w:rPr>
          <w:rStyle w:val="HideTWBInt"/>
          <w:sz w:val="24"/>
          <w:szCs w:val="24"/>
          <w:lang w:val="en-GB"/>
        </w:rPr>
        <w:t>{EN}</w:t>
      </w:r>
      <w:r w:rsidRPr="00BC6B2E">
        <w:rPr>
          <w:sz w:val="24"/>
          <w:szCs w:val="24"/>
          <w:lang w:val="en-GB"/>
        </w:rPr>
        <w:t>en</w:t>
      </w:r>
      <w:r w:rsidRPr="00BC6B2E">
        <w:rPr>
          <w:rStyle w:val="HideTWBExt"/>
          <w:lang w:val="en-GB"/>
        </w:rPr>
        <w:t>&lt;/Original&gt;</w:t>
      </w:r>
    </w:p>
    <w:p w:rsidR="00913869" w:rsidRPr="00BC6B2E" w:rsidRDefault="00BC6B2E" w:rsidP="00913869">
      <w:pPr>
        <w:rPr>
          <w:lang w:val="en-GB"/>
        </w:rPr>
      </w:pPr>
      <w:r w:rsidRPr="00BC6B2E">
        <w:rPr>
          <w:rStyle w:val="HideTWBExt"/>
          <w:lang w:val="en-GB"/>
        </w:rPr>
        <w:t>&lt;/Amend&gt;</w:t>
      </w:r>
    </w:p>
    <w:p w:rsidR="00913869" w:rsidRPr="00085F16" w:rsidRDefault="00BC6B2E" w:rsidP="00913869">
      <w:pPr>
        <w:pStyle w:val="AMNumberTabs0"/>
        <w:keepNext/>
      </w:pPr>
      <w:r>
        <w:rPr>
          <w:rStyle w:val="HideTWBExt"/>
          <w:b w:val="0"/>
        </w:rPr>
        <w:lastRenderedPageBreak/>
        <w:t>&lt;Amend&gt;</w:t>
      </w:r>
      <w:r>
        <w:t>Amendement</w:t>
      </w:r>
      <w:r>
        <w:tab/>
      </w:r>
      <w:r>
        <w:tab/>
      </w:r>
      <w:r>
        <w:rPr>
          <w:rStyle w:val="HideTWBExt"/>
          <w:b w:val="0"/>
        </w:rPr>
        <w:t>&lt;Num</w:t>
      </w:r>
      <w:r>
        <w:rPr>
          <w:rStyle w:val="HideTWBExt"/>
          <w:b w:val="0"/>
        </w:rPr>
        <w:t>Am&gt;</w:t>
      </w:r>
      <w:r>
        <w:t>6</w:t>
      </w:r>
      <w:r>
        <w:rPr>
          <w:rStyle w:val="HideTWBExt"/>
          <w:b w:val="0"/>
        </w:rPr>
        <w:t>&lt;/NumAm&gt;</w:t>
      </w:r>
    </w:p>
    <w:p w:rsidR="00913869" w:rsidRPr="00085F16" w:rsidRDefault="00BC6B2E" w:rsidP="00913869">
      <w:pPr>
        <w:pStyle w:val="NormalBold12b"/>
        <w:keepNext/>
      </w:pPr>
      <w:r>
        <w:rPr>
          <w:rStyle w:val="HideTWBExt"/>
          <w:b w:val="0"/>
        </w:rPr>
        <w:t>&lt;DocAmend&gt;</w:t>
      </w:r>
      <w:r>
        <w:t>Proposition de règlement</w:t>
      </w:r>
      <w:r>
        <w:rPr>
          <w:rStyle w:val="HideTWBExt"/>
          <w:b w:val="0"/>
        </w:rPr>
        <w:t>&lt;/DocAmend&gt;</w:t>
      </w:r>
    </w:p>
    <w:p w:rsidR="00B82CF4" w:rsidRPr="00085F16" w:rsidRDefault="00BC6B2E" w:rsidP="00B82CF4">
      <w:pPr>
        <w:pStyle w:val="NormalBold12b"/>
        <w:keepNext/>
      </w:pPr>
      <w:r>
        <w:rPr>
          <w:rStyle w:val="HideTWBExt"/>
          <w:b w:val="0"/>
        </w:rPr>
        <w:t>&lt;Article&gt;</w:t>
      </w:r>
      <w:r>
        <w:t>Article 1 – paragraphe 1 – point 6 – partie introductive</w:t>
      </w:r>
      <w:r>
        <w:rPr>
          <w:rStyle w:val="HideTWBExt"/>
          <w:b w:val="0"/>
        </w:rPr>
        <w:t>&lt;/Article&gt;</w:t>
      </w:r>
    </w:p>
    <w:p w:rsidR="00E36F9D" w:rsidRPr="00085F16" w:rsidRDefault="00BC6B2E" w:rsidP="00E36F9D">
      <w:pPr>
        <w:keepNext/>
      </w:pPr>
      <w:r>
        <w:rPr>
          <w:rStyle w:val="HideTWBExt"/>
        </w:rPr>
        <w:t>&lt;DocAmend2&gt;</w:t>
      </w:r>
      <w:r>
        <w:t>Décision 2009/917/JAI du Conseil</w:t>
      </w:r>
      <w:r>
        <w:rPr>
          <w:rStyle w:val="HideTWBExt"/>
        </w:rPr>
        <w:t>&lt;/DocAmend2&gt;</w:t>
      </w:r>
    </w:p>
    <w:p w:rsidR="00E36F9D" w:rsidRPr="00085F16" w:rsidRDefault="00BC6B2E" w:rsidP="00BB5969">
      <w:r>
        <w:rPr>
          <w:rStyle w:val="HideTWBExt"/>
        </w:rPr>
        <w:t>&lt;Article2&gt;</w:t>
      </w:r>
      <w:r>
        <w:t>Article 7 – paragraphe 3</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77AC9" w:rsidTr="00DE2933">
        <w:trPr>
          <w:jc w:val="center"/>
        </w:trPr>
        <w:tc>
          <w:tcPr>
            <w:tcW w:w="9752" w:type="dxa"/>
            <w:gridSpan w:val="2"/>
          </w:tcPr>
          <w:p w:rsidR="00913869" w:rsidRPr="00085F16" w:rsidRDefault="00913869" w:rsidP="00DE2933">
            <w:pPr>
              <w:keepNext/>
            </w:pPr>
          </w:p>
        </w:tc>
      </w:tr>
      <w:tr w:rsidR="00077AC9" w:rsidTr="00DE2933">
        <w:trPr>
          <w:jc w:val="center"/>
        </w:trPr>
        <w:tc>
          <w:tcPr>
            <w:tcW w:w="4876" w:type="dxa"/>
          </w:tcPr>
          <w:p w:rsidR="00913869" w:rsidRPr="00085F16" w:rsidRDefault="00BC6B2E" w:rsidP="00DE2933">
            <w:pPr>
              <w:pStyle w:val="ColumnHeading"/>
              <w:keepNext/>
            </w:pPr>
            <w:r>
              <w:t>Texte proposé par</w:t>
            </w:r>
            <w:r>
              <w:t xml:space="preserve"> la Commission</w:t>
            </w:r>
          </w:p>
        </w:tc>
        <w:tc>
          <w:tcPr>
            <w:tcW w:w="4876" w:type="dxa"/>
          </w:tcPr>
          <w:p w:rsidR="00913869" w:rsidRPr="00085F16" w:rsidRDefault="00BC6B2E" w:rsidP="00DE2933">
            <w:pPr>
              <w:pStyle w:val="ColumnHeading"/>
              <w:keepNext/>
            </w:pPr>
            <w:r>
              <w:t>Amendement</w:t>
            </w:r>
          </w:p>
        </w:tc>
      </w:tr>
      <w:tr w:rsidR="00077AC9" w:rsidTr="00DE2933">
        <w:trPr>
          <w:jc w:val="center"/>
        </w:trPr>
        <w:tc>
          <w:tcPr>
            <w:tcW w:w="4876" w:type="dxa"/>
          </w:tcPr>
          <w:p w:rsidR="00913869" w:rsidRPr="00085F16" w:rsidRDefault="00BC6B2E" w:rsidP="00DE2933">
            <w:pPr>
              <w:pStyle w:val="Normal6"/>
            </w:pPr>
            <w:r>
              <w:t>(6)</w:t>
            </w:r>
            <w:r>
              <w:tab/>
              <w:t xml:space="preserve">À l’article 7, le paragraphe 3 est </w:t>
            </w:r>
            <w:r>
              <w:rPr>
                <w:b/>
                <w:i/>
              </w:rPr>
              <w:t>remplacé par le texte suivant</w:t>
            </w:r>
            <w:r>
              <w:t>:</w:t>
            </w:r>
          </w:p>
        </w:tc>
        <w:tc>
          <w:tcPr>
            <w:tcW w:w="4876" w:type="dxa"/>
          </w:tcPr>
          <w:p w:rsidR="00913869" w:rsidRPr="00085F16" w:rsidRDefault="00BC6B2E" w:rsidP="00DE2933">
            <w:pPr>
              <w:pStyle w:val="Normal6"/>
              <w:rPr>
                <w:szCs w:val="24"/>
              </w:rPr>
            </w:pPr>
            <w:r>
              <w:t>(6)</w:t>
            </w:r>
            <w:r>
              <w:tab/>
              <w:t xml:space="preserve">À l'article 7, le paragraphe 3 est </w:t>
            </w:r>
            <w:r>
              <w:rPr>
                <w:b/>
                <w:i/>
              </w:rPr>
              <w:t>supprimé</w:t>
            </w:r>
            <w:r>
              <w:t>.</w:t>
            </w:r>
          </w:p>
        </w:tc>
      </w:tr>
      <w:tr w:rsidR="00077AC9" w:rsidTr="00DE2933">
        <w:trPr>
          <w:jc w:val="center"/>
        </w:trPr>
        <w:tc>
          <w:tcPr>
            <w:tcW w:w="4876" w:type="dxa"/>
          </w:tcPr>
          <w:p w:rsidR="00E36F9D" w:rsidRPr="00085F16" w:rsidRDefault="00BC6B2E" w:rsidP="00DE2933">
            <w:pPr>
              <w:pStyle w:val="Normal6"/>
              <w:rPr>
                <w:b/>
                <w:i/>
              </w:rPr>
            </w:pPr>
            <w:r>
              <w:rPr>
                <w:b/>
                <w:i/>
              </w:rPr>
              <w:t>«3.</w:t>
            </w:r>
            <w:r>
              <w:rPr>
                <w:b/>
                <w:i/>
              </w:rPr>
              <w:tab/>
              <w:t>Par dérogation aux paragraphes 1 et 2, le Conseil peut, à titre exceptionnel, par une décision à l’unanim</w:t>
            </w:r>
            <w:r>
              <w:rPr>
                <w:b/>
                <w:i/>
              </w:rPr>
              <w:t>ité et après consultation du comité européen de la protection des données, permettre à des organisations internationales ou régionales d’accéder au système d’information des douanes, pour autant que les deux conditions suivantes soient remplies:</w:t>
            </w:r>
          </w:p>
        </w:tc>
        <w:tc>
          <w:tcPr>
            <w:tcW w:w="4876" w:type="dxa"/>
          </w:tcPr>
          <w:p w:rsidR="00E36F9D" w:rsidRPr="00085F16" w:rsidRDefault="00E36F9D" w:rsidP="00DE2933">
            <w:pPr>
              <w:pStyle w:val="Normal6"/>
            </w:pPr>
          </w:p>
        </w:tc>
      </w:tr>
      <w:tr w:rsidR="00077AC9" w:rsidTr="00DE2933">
        <w:trPr>
          <w:jc w:val="center"/>
        </w:trPr>
        <w:tc>
          <w:tcPr>
            <w:tcW w:w="4876" w:type="dxa"/>
          </w:tcPr>
          <w:p w:rsidR="00E36F9D" w:rsidRPr="00085F16" w:rsidRDefault="00BC6B2E" w:rsidP="00DE2933">
            <w:pPr>
              <w:pStyle w:val="Normal6"/>
              <w:rPr>
                <w:b/>
                <w:i/>
              </w:rPr>
            </w:pPr>
            <w:r>
              <w:rPr>
                <w:b/>
                <w:i/>
              </w:rPr>
              <w:t>(a)</w:t>
            </w:r>
            <w:r>
              <w:rPr>
                <w:b/>
                <w:i/>
              </w:rPr>
              <w:tab/>
            </w:r>
            <w:r>
              <w:rPr>
                <w:b/>
                <w:i/>
              </w:rPr>
              <w:t>l’accès est conforme aux principes généraux applicables aux transferts de données à caractère personnel énoncés à l’article 35 ou, le cas échéant, à l’article 39 de la directive (UE) 2016/680;</w:t>
            </w:r>
          </w:p>
        </w:tc>
        <w:tc>
          <w:tcPr>
            <w:tcW w:w="4876" w:type="dxa"/>
          </w:tcPr>
          <w:p w:rsidR="00E36F9D" w:rsidRPr="00085F16" w:rsidRDefault="00E36F9D" w:rsidP="00DE2933">
            <w:pPr>
              <w:pStyle w:val="Normal6"/>
            </w:pPr>
          </w:p>
        </w:tc>
      </w:tr>
      <w:tr w:rsidR="00077AC9" w:rsidTr="00DE2933">
        <w:trPr>
          <w:jc w:val="center"/>
        </w:trPr>
        <w:tc>
          <w:tcPr>
            <w:tcW w:w="4876" w:type="dxa"/>
          </w:tcPr>
          <w:p w:rsidR="00E36F9D" w:rsidRPr="00085F16" w:rsidRDefault="00BC6B2E" w:rsidP="00DE2933">
            <w:pPr>
              <w:pStyle w:val="Normal6"/>
              <w:rPr>
                <w:b/>
                <w:i/>
              </w:rPr>
            </w:pPr>
            <w:r>
              <w:rPr>
                <w:b/>
                <w:i/>
              </w:rPr>
              <w:t>(b)</w:t>
            </w:r>
            <w:r>
              <w:rPr>
                <w:b/>
                <w:i/>
              </w:rPr>
              <w:tab/>
              <w:t>l’accès est fondé sur une décision d’adéquation adoptée e</w:t>
            </w:r>
            <w:r>
              <w:rPr>
                <w:b/>
                <w:i/>
              </w:rPr>
              <w:t>n vertu de l’article 36 de ladite directive ou est soumis à des garanties appropriées en vertu de l’article 37 de ladite directive.»</w:t>
            </w:r>
          </w:p>
        </w:tc>
        <w:tc>
          <w:tcPr>
            <w:tcW w:w="4876" w:type="dxa"/>
          </w:tcPr>
          <w:p w:rsidR="00E36F9D" w:rsidRPr="00085F16" w:rsidRDefault="00E36F9D" w:rsidP="00DE2933">
            <w:pPr>
              <w:pStyle w:val="Normal6"/>
            </w:pPr>
          </w:p>
        </w:tc>
      </w:tr>
    </w:tbl>
    <w:p w:rsidR="00913869" w:rsidRPr="00BC6B2E" w:rsidRDefault="00BC6B2E" w:rsidP="00913869">
      <w:pPr>
        <w:pStyle w:val="Olang"/>
        <w:rPr>
          <w:sz w:val="24"/>
          <w:szCs w:val="24"/>
          <w:lang w:val="en-GB"/>
        </w:rPr>
      </w:pPr>
      <w:r w:rsidRPr="00BC6B2E">
        <w:rPr>
          <w:sz w:val="24"/>
          <w:szCs w:val="24"/>
          <w:lang w:val="en-GB"/>
        </w:rPr>
        <w:t xml:space="preserve">Or. </w:t>
      </w:r>
      <w:r w:rsidRPr="00BC6B2E">
        <w:rPr>
          <w:rStyle w:val="HideTWBExt"/>
          <w:lang w:val="en-GB"/>
        </w:rPr>
        <w:t>&lt;Original&gt;</w:t>
      </w:r>
      <w:r w:rsidRPr="00BC6B2E">
        <w:rPr>
          <w:rStyle w:val="HideTWBInt"/>
          <w:sz w:val="24"/>
          <w:szCs w:val="24"/>
          <w:lang w:val="en-GB"/>
        </w:rPr>
        <w:t>{EN}</w:t>
      </w:r>
      <w:r w:rsidRPr="00BC6B2E">
        <w:rPr>
          <w:sz w:val="24"/>
          <w:szCs w:val="24"/>
          <w:lang w:val="en-GB"/>
        </w:rPr>
        <w:t>en</w:t>
      </w:r>
      <w:r w:rsidRPr="00BC6B2E">
        <w:rPr>
          <w:rStyle w:val="HideTWBExt"/>
          <w:lang w:val="en-GB"/>
        </w:rPr>
        <w:t>&lt;/Original&gt;</w:t>
      </w:r>
    </w:p>
    <w:p w:rsidR="00913869" w:rsidRPr="00BC6B2E" w:rsidRDefault="00BC6B2E" w:rsidP="00913869">
      <w:pPr>
        <w:rPr>
          <w:lang w:val="en-GB"/>
        </w:rPr>
      </w:pPr>
      <w:r w:rsidRPr="00BC6B2E">
        <w:rPr>
          <w:rStyle w:val="HideTWBExt"/>
          <w:lang w:val="en-GB"/>
        </w:rPr>
        <w:t>&lt;/Amend&gt;</w:t>
      </w:r>
    </w:p>
    <w:p w:rsidR="00913869" w:rsidRPr="00085F16" w:rsidRDefault="00BC6B2E" w:rsidP="00913869">
      <w:pPr>
        <w:pStyle w:val="AMNumberTabs0"/>
        <w:keepNext/>
      </w:pPr>
      <w:r>
        <w:rPr>
          <w:rStyle w:val="HideTWBExt"/>
          <w:b w:val="0"/>
        </w:rPr>
        <w:t>&lt;Amend&gt;</w:t>
      </w:r>
      <w:r>
        <w:t>Amendement</w:t>
      </w:r>
      <w:r>
        <w:tab/>
      </w:r>
      <w:r>
        <w:tab/>
      </w:r>
      <w:r>
        <w:rPr>
          <w:rStyle w:val="HideTWBExt"/>
          <w:b w:val="0"/>
        </w:rPr>
        <w:t>&lt;NumAm&gt;</w:t>
      </w:r>
      <w:r>
        <w:t>7</w:t>
      </w:r>
      <w:r>
        <w:rPr>
          <w:rStyle w:val="HideTWBExt"/>
          <w:b w:val="0"/>
        </w:rPr>
        <w:t>&lt;/NumAm&gt;</w:t>
      </w:r>
    </w:p>
    <w:p w:rsidR="00913869" w:rsidRPr="00085F16" w:rsidRDefault="00BC6B2E" w:rsidP="00913869">
      <w:pPr>
        <w:pStyle w:val="NormalBold12b"/>
        <w:keepNext/>
      </w:pPr>
      <w:r>
        <w:rPr>
          <w:rStyle w:val="HideTWBExt"/>
          <w:b w:val="0"/>
        </w:rPr>
        <w:t>&lt;DocAmend&gt;</w:t>
      </w:r>
      <w:r>
        <w:t>Proposition de règlement</w:t>
      </w:r>
      <w:r>
        <w:rPr>
          <w:rStyle w:val="HideTWBExt"/>
          <w:b w:val="0"/>
        </w:rPr>
        <w:t>&lt;/DocAmend</w:t>
      </w:r>
      <w:r>
        <w:rPr>
          <w:rStyle w:val="HideTWBExt"/>
          <w:b w:val="0"/>
        </w:rPr>
        <w:t>&gt;</w:t>
      </w:r>
    </w:p>
    <w:p w:rsidR="00913869" w:rsidRPr="00085F16" w:rsidRDefault="00BC6B2E" w:rsidP="00913869">
      <w:pPr>
        <w:pStyle w:val="NormalBold"/>
      </w:pPr>
      <w:r>
        <w:rPr>
          <w:rStyle w:val="HideTWBExt"/>
          <w:b w:val="0"/>
        </w:rPr>
        <w:t>&lt;Article&gt;</w:t>
      </w:r>
      <w:r>
        <w:t>Article 1 – paragraphe 1 – point 7</w:t>
      </w:r>
      <w:r>
        <w:rPr>
          <w:rStyle w:val="HideTWBExt"/>
          <w:b w:val="0"/>
        </w:rPr>
        <w:t>&lt;/Article&gt;</w:t>
      </w:r>
    </w:p>
    <w:p w:rsidR="00913869" w:rsidRPr="00085F16" w:rsidRDefault="00BC6B2E" w:rsidP="00913869">
      <w:pPr>
        <w:keepNext/>
      </w:pPr>
      <w:r>
        <w:rPr>
          <w:rStyle w:val="HideTWBExt"/>
        </w:rPr>
        <w:t>&lt;DocAmend2&gt;</w:t>
      </w:r>
      <w:r>
        <w:t>Décision 2009/917/JAI du Conseil</w:t>
      </w:r>
      <w:r>
        <w:rPr>
          <w:rStyle w:val="HideTWBExt"/>
        </w:rPr>
        <w:t>&lt;/DocAmend2&gt;</w:t>
      </w:r>
    </w:p>
    <w:p w:rsidR="00913869" w:rsidRPr="00085F16" w:rsidRDefault="00BC6B2E" w:rsidP="00913869">
      <w:r>
        <w:rPr>
          <w:rStyle w:val="HideTWBExt"/>
        </w:rPr>
        <w:t>&lt;Article2&gt;</w:t>
      </w:r>
      <w:r>
        <w:t>Article 8 – paragraphe 1 – sous-paragraphe 1</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77AC9" w:rsidTr="00DE2933">
        <w:trPr>
          <w:jc w:val="center"/>
        </w:trPr>
        <w:tc>
          <w:tcPr>
            <w:tcW w:w="9752" w:type="dxa"/>
            <w:gridSpan w:val="2"/>
          </w:tcPr>
          <w:p w:rsidR="00913869" w:rsidRPr="00085F16" w:rsidRDefault="00913869" w:rsidP="00DE2933">
            <w:pPr>
              <w:keepNext/>
            </w:pPr>
          </w:p>
        </w:tc>
      </w:tr>
      <w:tr w:rsidR="00077AC9" w:rsidTr="00DE2933">
        <w:trPr>
          <w:jc w:val="center"/>
        </w:trPr>
        <w:tc>
          <w:tcPr>
            <w:tcW w:w="4876" w:type="dxa"/>
          </w:tcPr>
          <w:p w:rsidR="00913869" w:rsidRPr="00085F16" w:rsidRDefault="00BC6B2E" w:rsidP="00DE2933">
            <w:pPr>
              <w:pStyle w:val="ColumnHeading"/>
              <w:keepNext/>
            </w:pPr>
            <w:r>
              <w:t>Texte proposé par la Commission</w:t>
            </w:r>
          </w:p>
        </w:tc>
        <w:tc>
          <w:tcPr>
            <w:tcW w:w="4876" w:type="dxa"/>
          </w:tcPr>
          <w:p w:rsidR="00913869" w:rsidRPr="00085F16" w:rsidRDefault="00BC6B2E" w:rsidP="00DE2933">
            <w:pPr>
              <w:pStyle w:val="ColumnHeading"/>
              <w:keepNext/>
            </w:pPr>
            <w:r>
              <w:t>Amendement</w:t>
            </w:r>
          </w:p>
        </w:tc>
      </w:tr>
      <w:tr w:rsidR="00077AC9" w:rsidTr="00DE2933">
        <w:trPr>
          <w:jc w:val="center"/>
        </w:trPr>
        <w:tc>
          <w:tcPr>
            <w:tcW w:w="4876" w:type="dxa"/>
          </w:tcPr>
          <w:p w:rsidR="00913869" w:rsidRPr="00085F16" w:rsidRDefault="00BC6B2E" w:rsidP="00DE2933">
            <w:pPr>
              <w:pStyle w:val="Normal6"/>
            </w:pPr>
            <w:r>
              <w:t xml:space="preserve">Les États membres, Europol et </w:t>
            </w:r>
            <w:r>
              <w:t xml:space="preserve">Eurojust ne peuvent traiter des données à caractère personnel provenant du système d’information des douanes que dans le but </w:t>
            </w:r>
            <w:r>
              <w:lastRenderedPageBreak/>
              <w:t>d’atteindre l’objectif énoncé à l’article 1</w:t>
            </w:r>
            <w:r>
              <w:rPr>
                <w:vertAlign w:val="superscript"/>
              </w:rPr>
              <w:t>er</w:t>
            </w:r>
            <w:r>
              <w:t xml:space="preserve">, paragraphe 2, conformément aux règles applicables du droit de l’Union relatives </w:t>
            </w:r>
            <w:r>
              <w:rPr>
                <w:b/>
                <w:i/>
              </w:rPr>
              <w:t>au t</w:t>
            </w:r>
            <w:r>
              <w:rPr>
                <w:b/>
                <w:i/>
              </w:rPr>
              <w:t>raitement</w:t>
            </w:r>
            <w:r>
              <w:t xml:space="preserve"> des données à caractère personnel.</w:t>
            </w:r>
          </w:p>
        </w:tc>
        <w:tc>
          <w:tcPr>
            <w:tcW w:w="4876" w:type="dxa"/>
          </w:tcPr>
          <w:p w:rsidR="00913869" w:rsidRPr="00085F16" w:rsidRDefault="00BC6B2E" w:rsidP="00DE2933">
            <w:pPr>
              <w:pStyle w:val="Normal6"/>
              <w:rPr>
                <w:szCs w:val="24"/>
              </w:rPr>
            </w:pPr>
            <w:r>
              <w:lastRenderedPageBreak/>
              <w:t xml:space="preserve">Les États membres, Europol et Eurojust ne peuvent traiter des données à caractère personnel provenant du système d’information des douanes que dans le but </w:t>
            </w:r>
            <w:r>
              <w:lastRenderedPageBreak/>
              <w:t>d’atteindre l’objectif énoncé à l’article 1</w:t>
            </w:r>
            <w:r>
              <w:rPr>
                <w:vertAlign w:val="superscript"/>
              </w:rPr>
              <w:t>er</w:t>
            </w:r>
            <w:r>
              <w:t>, paragraph</w:t>
            </w:r>
            <w:r>
              <w:t xml:space="preserve">e 2, conformément aux règles applicables du droit de l’Union relatives </w:t>
            </w:r>
            <w:r>
              <w:rPr>
                <w:b/>
                <w:i/>
              </w:rPr>
              <w:t>à la protection</w:t>
            </w:r>
            <w:r>
              <w:t xml:space="preserve"> des données à caractère personnel.</w:t>
            </w:r>
          </w:p>
        </w:tc>
      </w:tr>
    </w:tbl>
    <w:p w:rsidR="00913869" w:rsidRPr="00BC6B2E" w:rsidRDefault="00BC6B2E" w:rsidP="00913869">
      <w:pPr>
        <w:pStyle w:val="Olang"/>
        <w:rPr>
          <w:sz w:val="24"/>
          <w:szCs w:val="24"/>
          <w:lang w:val="en-GB"/>
        </w:rPr>
      </w:pPr>
      <w:r w:rsidRPr="00BC6B2E">
        <w:rPr>
          <w:sz w:val="24"/>
          <w:szCs w:val="24"/>
          <w:lang w:val="en-GB"/>
        </w:rPr>
        <w:lastRenderedPageBreak/>
        <w:t xml:space="preserve">Or. </w:t>
      </w:r>
      <w:r w:rsidRPr="00BC6B2E">
        <w:rPr>
          <w:rStyle w:val="HideTWBExt"/>
          <w:lang w:val="en-GB"/>
        </w:rPr>
        <w:t>&lt;Original&gt;</w:t>
      </w:r>
      <w:r w:rsidRPr="00BC6B2E">
        <w:rPr>
          <w:rStyle w:val="HideTWBInt"/>
          <w:sz w:val="24"/>
          <w:szCs w:val="24"/>
          <w:lang w:val="en-GB"/>
        </w:rPr>
        <w:t>{EN}</w:t>
      </w:r>
      <w:r w:rsidRPr="00BC6B2E">
        <w:rPr>
          <w:sz w:val="24"/>
          <w:szCs w:val="24"/>
          <w:lang w:val="en-GB"/>
        </w:rPr>
        <w:t>en</w:t>
      </w:r>
      <w:r w:rsidRPr="00BC6B2E">
        <w:rPr>
          <w:rStyle w:val="HideTWBExt"/>
          <w:lang w:val="en-GB"/>
        </w:rPr>
        <w:t>&lt;/Original&gt;</w:t>
      </w:r>
    </w:p>
    <w:p w:rsidR="00913869" w:rsidRPr="00BC6B2E" w:rsidRDefault="00BC6B2E" w:rsidP="00913869">
      <w:pPr>
        <w:rPr>
          <w:lang w:val="en-GB"/>
        </w:rPr>
      </w:pPr>
      <w:r w:rsidRPr="00BC6B2E">
        <w:rPr>
          <w:rStyle w:val="HideTWBExt"/>
          <w:lang w:val="en-GB"/>
        </w:rPr>
        <w:t>&lt;/Amend&gt;</w:t>
      </w:r>
    </w:p>
    <w:p w:rsidR="00913869" w:rsidRPr="00085F16" w:rsidRDefault="00BC6B2E" w:rsidP="00913869">
      <w:pPr>
        <w:pStyle w:val="AMNumberTabs0"/>
        <w:keepNext/>
      </w:pPr>
      <w:r>
        <w:rPr>
          <w:rStyle w:val="HideTWBExt"/>
          <w:b w:val="0"/>
        </w:rPr>
        <w:t>&lt;Amend&gt;</w:t>
      </w:r>
      <w:r>
        <w:t>Amendement</w:t>
      </w:r>
      <w:r>
        <w:tab/>
      </w:r>
      <w:r>
        <w:tab/>
      </w:r>
      <w:r>
        <w:rPr>
          <w:rStyle w:val="HideTWBExt"/>
          <w:b w:val="0"/>
        </w:rPr>
        <w:t>&lt;NumAm&gt;</w:t>
      </w:r>
      <w:r>
        <w:t>8</w:t>
      </w:r>
      <w:r>
        <w:rPr>
          <w:rStyle w:val="HideTWBExt"/>
          <w:b w:val="0"/>
        </w:rPr>
        <w:t>&lt;/NumAm&gt;</w:t>
      </w:r>
    </w:p>
    <w:p w:rsidR="00913869" w:rsidRPr="00085F16" w:rsidRDefault="00BC6B2E" w:rsidP="00913869">
      <w:pPr>
        <w:pStyle w:val="NormalBold12b"/>
        <w:keepNext/>
      </w:pPr>
      <w:r>
        <w:rPr>
          <w:rStyle w:val="HideTWBExt"/>
          <w:b w:val="0"/>
        </w:rPr>
        <w:t>&lt;DocAmend&gt;</w:t>
      </w:r>
      <w:r>
        <w:t>Proposition de règlement</w:t>
      </w:r>
      <w:r>
        <w:rPr>
          <w:rStyle w:val="HideTWBExt"/>
          <w:b w:val="0"/>
        </w:rPr>
        <w:t>&lt;/DocAmend&gt;</w:t>
      </w:r>
    </w:p>
    <w:p w:rsidR="00913869" w:rsidRPr="00085F16" w:rsidRDefault="00BC6B2E" w:rsidP="00913869">
      <w:pPr>
        <w:pStyle w:val="NormalBold"/>
      </w:pPr>
      <w:r>
        <w:rPr>
          <w:rStyle w:val="HideTWBExt"/>
          <w:b w:val="0"/>
        </w:rPr>
        <w:t>&lt;Article&gt;</w:t>
      </w:r>
      <w:r>
        <w:t>Article 1 – paragraphe 1 – point 7 bis (nouveau)</w:t>
      </w:r>
      <w:r>
        <w:rPr>
          <w:rStyle w:val="HideTWBExt"/>
          <w:b w:val="0"/>
        </w:rPr>
        <w:t>&lt;/Article&gt;</w:t>
      </w:r>
    </w:p>
    <w:p w:rsidR="00913869" w:rsidRPr="00085F16" w:rsidRDefault="00BC6B2E" w:rsidP="00913869">
      <w:pPr>
        <w:keepNext/>
      </w:pPr>
      <w:r>
        <w:rPr>
          <w:rStyle w:val="HideTWBExt"/>
        </w:rPr>
        <w:t>&lt;DocAmend2&gt;</w:t>
      </w:r>
      <w:r>
        <w:t>Décision 2009/917/JAI du Conseil</w:t>
      </w:r>
      <w:r>
        <w:rPr>
          <w:rStyle w:val="HideTWBExt"/>
        </w:rPr>
        <w:t>&lt;/DocAmend2&gt;</w:t>
      </w:r>
    </w:p>
    <w:p w:rsidR="00913869" w:rsidRPr="00085F16" w:rsidRDefault="00BC6B2E" w:rsidP="00913869">
      <w:r>
        <w:rPr>
          <w:rStyle w:val="HideTWBExt"/>
        </w:rPr>
        <w:t>&lt;Article2&gt;</w:t>
      </w:r>
      <w:r>
        <w:t>Article 8 – paragraphe 2</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77AC9" w:rsidTr="00DE2933">
        <w:trPr>
          <w:jc w:val="center"/>
        </w:trPr>
        <w:tc>
          <w:tcPr>
            <w:tcW w:w="9752" w:type="dxa"/>
            <w:gridSpan w:val="2"/>
          </w:tcPr>
          <w:p w:rsidR="00913869" w:rsidRPr="00085F16" w:rsidRDefault="00913869" w:rsidP="00DE2933">
            <w:pPr>
              <w:keepNext/>
            </w:pPr>
          </w:p>
        </w:tc>
      </w:tr>
      <w:tr w:rsidR="00077AC9" w:rsidTr="00DE2933">
        <w:trPr>
          <w:jc w:val="center"/>
        </w:trPr>
        <w:tc>
          <w:tcPr>
            <w:tcW w:w="4876" w:type="dxa"/>
          </w:tcPr>
          <w:p w:rsidR="00913869" w:rsidRPr="00085F16" w:rsidRDefault="00BC6B2E" w:rsidP="003B48F1">
            <w:pPr>
              <w:pStyle w:val="ColumnHeading"/>
              <w:keepNext/>
            </w:pPr>
            <w:r>
              <w:t>Texte en vigueur</w:t>
            </w:r>
          </w:p>
        </w:tc>
        <w:tc>
          <w:tcPr>
            <w:tcW w:w="4876" w:type="dxa"/>
          </w:tcPr>
          <w:p w:rsidR="00913869" w:rsidRPr="00085F16" w:rsidRDefault="00BC6B2E" w:rsidP="00DE2933">
            <w:pPr>
              <w:pStyle w:val="ColumnHeading"/>
              <w:keepNext/>
            </w:pPr>
            <w:r>
              <w:t>Amendement</w:t>
            </w:r>
          </w:p>
        </w:tc>
      </w:tr>
      <w:tr w:rsidR="00077AC9" w:rsidTr="00DE2933">
        <w:trPr>
          <w:jc w:val="center"/>
        </w:trPr>
        <w:tc>
          <w:tcPr>
            <w:tcW w:w="4876" w:type="dxa"/>
          </w:tcPr>
          <w:p w:rsidR="00913869" w:rsidRPr="00085F16" w:rsidRDefault="00913869" w:rsidP="00DE2933">
            <w:pPr>
              <w:pStyle w:val="Normal6"/>
            </w:pPr>
          </w:p>
        </w:tc>
        <w:tc>
          <w:tcPr>
            <w:tcW w:w="4876" w:type="dxa"/>
          </w:tcPr>
          <w:p w:rsidR="00913869" w:rsidRPr="00085F16" w:rsidRDefault="00BC6B2E" w:rsidP="00DE2933">
            <w:pPr>
              <w:pStyle w:val="Normal6"/>
              <w:rPr>
                <w:szCs w:val="24"/>
              </w:rPr>
            </w:pPr>
            <w:r>
              <w:rPr>
                <w:b/>
                <w:i/>
              </w:rPr>
              <w:t>(7 bis)</w:t>
            </w:r>
            <w:r>
              <w:rPr>
                <w:b/>
                <w:i/>
              </w:rPr>
              <w:tab/>
              <w:t xml:space="preserve">À l’article 8, le paragraphe 2 est remplacé par le </w:t>
            </w:r>
            <w:r>
              <w:rPr>
                <w:b/>
                <w:i/>
              </w:rPr>
              <w:t xml:space="preserve">texte suivant: </w:t>
            </w:r>
          </w:p>
        </w:tc>
      </w:tr>
      <w:tr w:rsidR="00077AC9" w:rsidTr="00DE2933">
        <w:trPr>
          <w:jc w:val="center"/>
        </w:trPr>
        <w:tc>
          <w:tcPr>
            <w:tcW w:w="4876" w:type="dxa"/>
          </w:tcPr>
          <w:p w:rsidR="00913869" w:rsidRPr="00085F16" w:rsidRDefault="00BC6B2E" w:rsidP="00E36F9D">
            <w:pPr>
              <w:pStyle w:val="Normal6"/>
            </w:pPr>
            <w:r>
              <w:t xml:space="preserve">2. </w:t>
            </w:r>
            <w:r>
              <w:rPr>
                <w:b/>
                <w:i/>
              </w:rPr>
              <w:tab/>
            </w:r>
            <w:r>
              <w:t xml:space="preserve">Sans préjudice des paragraphes 1 et 4 du présent article, </w:t>
            </w:r>
            <w:r>
              <w:rPr>
                <w:b/>
                <w:i/>
              </w:rPr>
              <w:t>de l’article 7, paragraphe 3,</w:t>
            </w:r>
            <w:r>
              <w:t xml:space="preserve"> et des articles 11 et 12, les données provenant du système d’information des douanes ne peuvent être exploitées que par les autorités nationales da</w:t>
            </w:r>
            <w:r>
              <w:t>ns chaque État membre désignées par l’État membre en question, qui sont compétentes pour agir afin d’atteindre l’objectif visé à l’article 1</w:t>
            </w:r>
            <w:r>
              <w:rPr>
                <w:vertAlign w:val="superscript"/>
              </w:rPr>
              <w:t>er</w:t>
            </w:r>
            <w:r>
              <w:t>, paragraphe 2, conformément aux lois, réglementations et procédures dudit État membre.</w:t>
            </w:r>
          </w:p>
        </w:tc>
        <w:tc>
          <w:tcPr>
            <w:tcW w:w="4876" w:type="dxa"/>
          </w:tcPr>
          <w:p w:rsidR="00913869" w:rsidRPr="00085F16" w:rsidRDefault="00BC6B2E" w:rsidP="00DE2933">
            <w:pPr>
              <w:pStyle w:val="Normal6"/>
              <w:rPr>
                <w:szCs w:val="24"/>
              </w:rPr>
            </w:pPr>
            <w:r>
              <w:t xml:space="preserve">«2. </w:t>
            </w:r>
            <w:r>
              <w:tab/>
              <w:t>Sans préjudice des pa</w:t>
            </w:r>
            <w:r>
              <w:t xml:space="preserve">ragraphes 1 et 4 du présent article, et des articles 11 et 12, les données provenant du système d’information des douanes ne peuvent être exploitées que par les autorités nationales dans chaque État membre désignées par l’État membre en question, qui sont </w:t>
            </w:r>
            <w:r>
              <w:t>compétentes pour agir afin d’atteindre l’objectif visé à l’article 1</w:t>
            </w:r>
            <w:r>
              <w:rPr>
                <w:vertAlign w:val="superscript"/>
              </w:rPr>
              <w:t>er</w:t>
            </w:r>
            <w:r>
              <w:t xml:space="preserve">, paragraphe 2, conformément aux lois, réglementations et procédures dudit État membre.» </w:t>
            </w:r>
          </w:p>
        </w:tc>
      </w:tr>
    </w:tbl>
    <w:p w:rsidR="00913869" w:rsidRPr="00085F16" w:rsidRDefault="00BC6B2E" w:rsidP="00913869">
      <w:pPr>
        <w:pStyle w:val="Olang"/>
        <w:rPr>
          <w:sz w:val="24"/>
          <w:szCs w:val="24"/>
        </w:rPr>
      </w:pPr>
      <w:r w:rsidRPr="00085F16">
        <w:rPr>
          <w:sz w:val="24"/>
          <w:szCs w:val="24"/>
        </w:rPr>
        <w:t xml:space="preserve">Or. </w:t>
      </w:r>
      <w:r w:rsidRPr="00085F16">
        <w:rPr>
          <w:rStyle w:val="HideTWBExt"/>
        </w:rPr>
        <w:t>&lt;Original&gt;</w:t>
      </w:r>
      <w:r w:rsidRPr="00085F16">
        <w:rPr>
          <w:rStyle w:val="HideTWBInt"/>
          <w:sz w:val="24"/>
          <w:szCs w:val="24"/>
        </w:rPr>
        <w:t>{EN}</w:t>
      </w:r>
      <w:r w:rsidRPr="00085F16">
        <w:rPr>
          <w:sz w:val="24"/>
          <w:szCs w:val="24"/>
        </w:rPr>
        <w:t>en</w:t>
      </w:r>
      <w:r w:rsidRPr="00085F16">
        <w:rPr>
          <w:rStyle w:val="HideTWBExt"/>
        </w:rPr>
        <w:t>&lt;/Original&gt;</w:t>
      </w:r>
    </w:p>
    <w:p w:rsidR="00913869" w:rsidRPr="00085F16" w:rsidRDefault="00BC6B2E" w:rsidP="00913869">
      <w:pPr>
        <w:pStyle w:val="JustificationTitle"/>
        <w:rPr>
          <w:noProof w:val="0"/>
        </w:rPr>
      </w:pPr>
      <w:r>
        <w:rPr>
          <w:rStyle w:val="HideTWBExt"/>
          <w:i w:val="0"/>
        </w:rPr>
        <w:t>&lt;TitreJust&gt;</w:t>
      </w:r>
      <w:r>
        <w:t>Justification</w:t>
      </w:r>
      <w:r>
        <w:rPr>
          <w:rStyle w:val="HideTWBExt"/>
          <w:i w:val="0"/>
        </w:rPr>
        <w:t>&lt;/TitreJust&gt;</w:t>
      </w:r>
    </w:p>
    <w:p w:rsidR="00913869" w:rsidRPr="00085F16" w:rsidRDefault="00BC6B2E" w:rsidP="00913869">
      <w:pPr>
        <w:pStyle w:val="Normal12Italic"/>
        <w:rPr>
          <w:noProof w:val="0"/>
        </w:rPr>
      </w:pPr>
      <w:r>
        <w:t xml:space="preserve">Suppression d’une </w:t>
      </w:r>
      <w:r>
        <w:t>référence à l’article 7, paragraphe 3, à la suite de la suppression de ce paragraphe.</w:t>
      </w:r>
    </w:p>
    <w:p w:rsidR="00913869" w:rsidRPr="00BC6B2E" w:rsidRDefault="00BC6B2E" w:rsidP="00913869">
      <w:pPr>
        <w:rPr>
          <w:lang w:val="de-DE"/>
        </w:rPr>
      </w:pPr>
      <w:r w:rsidRPr="00BC6B2E">
        <w:rPr>
          <w:rStyle w:val="HideTWBExt"/>
          <w:lang w:val="de-DE"/>
        </w:rPr>
        <w:t>&lt;/Amend&gt;</w:t>
      </w:r>
    </w:p>
    <w:p w:rsidR="00913869" w:rsidRPr="00BC6B2E" w:rsidRDefault="00BC6B2E" w:rsidP="00913869">
      <w:pPr>
        <w:pStyle w:val="AMNumberTabs0"/>
        <w:keepNext/>
        <w:rPr>
          <w:lang w:val="de-DE"/>
        </w:rPr>
      </w:pPr>
      <w:r w:rsidRPr="00BC6B2E">
        <w:rPr>
          <w:rStyle w:val="HideTWBExt"/>
          <w:b w:val="0"/>
          <w:lang w:val="de-DE"/>
        </w:rPr>
        <w:t>&lt;Amend&gt;</w:t>
      </w:r>
      <w:r w:rsidRPr="00BC6B2E">
        <w:rPr>
          <w:lang w:val="de-DE"/>
        </w:rPr>
        <w:t>Amendement</w:t>
      </w:r>
      <w:r w:rsidRPr="00BC6B2E">
        <w:rPr>
          <w:lang w:val="de-DE"/>
        </w:rPr>
        <w:tab/>
      </w:r>
      <w:r w:rsidRPr="00BC6B2E">
        <w:rPr>
          <w:lang w:val="de-DE"/>
        </w:rPr>
        <w:tab/>
      </w:r>
      <w:r w:rsidRPr="00BC6B2E">
        <w:rPr>
          <w:rStyle w:val="HideTWBExt"/>
          <w:b w:val="0"/>
          <w:lang w:val="de-DE"/>
        </w:rPr>
        <w:t>&lt;NumAm&gt;</w:t>
      </w:r>
      <w:r w:rsidRPr="00BC6B2E">
        <w:rPr>
          <w:lang w:val="de-DE"/>
        </w:rPr>
        <w:t>9</w:t>
      </w:r>
      <w:r w:rsidRPr="00BC6B2E">
        <w:rPr>
          <w:rStyle w:val="HideTWBExt"/>
          <w:b w:val="0"/>
          <w:lang w:val="de-DE"/>
        </w:rPr>
        <w:t>&lt;/NumAm&gt;</w:t>
      </w:r>
    </w:p>
    <w:p w:rsidR="00913869" w:rsidRPr="00085F16" w:rsidRDefault="00BC6B2E" w:rsidP="00913869">
      <w:pPr>
        <w:pStyle w:val="NormalBold12b"/>
        <w:keepNext/>
      </w:pPr>
      <w:r>
        <w:rPr>
          <w:rStyle w:val="HideTWBExt"/>
          <w:b w:val="0"/>
        </w:rPr>
        <w:t>&lt;DocAmend&gt;</w:t>
      </w:r>
      <w:r>
        <w:t>Proposition de règlement</w:t>
      </w:r>
      <w:r>
        <w:rPr>
          <w:rStyle w:val="HideTWBExt"/>
          <w:b w:val="0"/>
        </w:rPr>
        <w:t>&lt;/DocAmend&gt;</w:t>
      </w:r>
    </w:p>
    <w:p w:rsidR="00913869" w:rsidRPr="00085F16" w:rsidRDefault="00BC6B2E" w:rsidP="00913869">
      <w:pPr>
        <w:pStyle w:val="NormalBold"/>
      </w:pPr>
      <w:r>
        <w:rPr>
          <w:rStyle w:val="HideTWBExt"/>
          <w:b w:val="0"/>
        </w:rPr>
        <w:t>&lt;Article&gt;</w:t>
      </w:r>
      <w:r>
        <w:t>Article 1 – paragraphe 1 – point 8</w:t>
      </w:r>
      <w:r>
        <w:rPr>
          <w:rStyle w:val="HideTWBExt"/>
          <w:b w:val="0"/>
        </w:rPr>
        <w:t>&lt;/Article&gt;</w:t>
      </w:r>
    </w:p>
    <w:p w:rsidR="00913869" w:rsidRPr="00085F16" w:rsidRDefault="00BC6B2E" w:rsidP="00913869">
      <w:pPr>
        <w:keepNext/>
      </w:pPr>
      <w:r>
        <w:rPr>
          <w:rStyle w:val="HideTWBExt"/>
        </w:rPr>
        <w:t>&lt;DocAmend2&gt;</w:t>
      </w:r>
      <w:r>
        <w:t>Décision 2009/</w:t>
      </w:r>
      <w:r>
        <w:t>917/JAI du Conseil</w:t>
      </w:r>
      <w:r>
        <w:rPr>
          <w:rStyle w:val="HideTWBExt"/>
        </w:rPr>
        <w:t>&lt;/DocAmend2&gt;</w:t>
      </w:r>
    </w:p>
    <w:p w:rsidR="00913869" w:rsidRPr="00085F16" w:rsidRDefault="00BC6B2E" w:rsidP="00913869">
      <w:r>
        <w:rPr>
          <w:rStyle w:val="HideTWBExt"/>
        </w:rPr>
        <w:t>&lt;Article2&gt;</w:t>
      </w:r>
      <w:r>
        <w:t>Article 8 – paragraphe 4 – sous-paragraphe 1 – point a</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77AC9" w:rsidTr="00DE2933">
        <w:trPr>
          <w:jc w:val="center"/>
        </w:trPr>
        <w:tc>
          <w:tcPr>
            <w:tcW w:w="9752" w:type="dxa"/>
            <w:gridSpan w:val="2"/>
          </w:tcPr>
          <w:p w:rsidR="00913869" w:rsidRPr="00085F16" w:rsidRDefault="00913869" w:rsidP="00DE2933">
            <w:pPr>
              <w:keepNext/>
            </w:pPr>
          </w:p>
        </w:tc>
      </w:tr>
      <w:tr w:rsidR="00077AC9" w:rsidTr="00DE2933">
        <w:trPr>
          <w:jc w:val="center"/>
        </w:trPr>
        <w:tc>
          <w:tcPr>
            <w:tcW w:w="4876" w:type="dxa"/>
          </w:tcPr>
          <w:p w:rsidR="00913869" w:rsidRPr="00085F16" w:rsidRDefault="00BC6B2E" w:rsidP="00DE2933">
            <w:pPr>
              <w:pStyle w:val="ColumnHeading"/>
              <w:keepNext/>
            </w:pPr>
            <w:r>
              <w:t>Texte proposé par la Commission</w:t>
            </w:r>
          </w:p>
        </w:tc>
        <w:tc>
          <w:tcPr>
            <w:tcW w:w="4876" w:type="dxa"/>
          </w:tcPr>
          <w:p w:rsidR="00913869" w:rsidRPr="00085F16" w:rsidRDefault="00BC6B2E" w:rsidP="00DE2933">
            <w:pPr>
              <w:pStyle w:val="ColumnHeading"/>
              <w:keepNext/>
            </w:pPr>
            <w:r>
              <w:t>Amendement</w:t>
            </w:r>
          </w:p>
        </w:tc>
      </w:tr>
      <w:tr w:rsidR="00077AC9" w:rsidTr="00DE2933">
        <w:trPr>
          <w:jc w:val="center"/>
        </w:trPr>
        <w:tc>
          <w:tcPr>
            <w:tcW w:w="4876" w:type="dxa"/>
          </w:tcPr>
          <w:p w:rsidR="00913869" w:rsidRPr="00085F16" w:rsidRDefault="00BC6B2E" w:rsidP="00DE2933">
            <w:pPr>
              <w:pStyle w:val="Normal6"/>
            </w:pPr>
            <w:r>
              <w:t>(a)</w:t>
            </w:r>
            <w:r>
              <w:tab/>
            </w:r>
            <w:r>
              <w:t xml:space="preserve">transmises à des autorités nationales autres que celles désignées en vertu du paragraphe 2 et traitées ultérieurement par celles-ci, conformément aux règles applicables du droit de l’Union relatives </w:t>
            </w:r>
            <w:r>
              <w:rPr>
                <w:b/>
                <w:i/>
              </w:rPr>
              <w:t>au traitement</w:t>
            </w:r>
            <w:r>
              <w:t xml:space="preserve"> des données à caractère personnel; ou</w:t>
            </w:r>
          </w:p>
        </w:tc>
        <w:tc>
          <w:tcPr>
            <w:tcW w:w="4876" w:type="dxa"/>
          </w:tcPr>
          <w:p w:rsidR="00913869" w:rsidRPr="00085F16" w:rsidRDefault="00BC6B2E" w:rsidP="00DE2933">
            <w:pPr>
              <w:pStyle w:val="Normal6"/>
              <w:rPr>
                <w:szCs w:val="24"/>
              </w:rPr>
            </w:pPr>
            <w:r>
              <w:t>(a)</w:t>
            </w:r>
            <w:r>
              <w:tab/>
              <w:t>t</w:t>
            </w:r>
            <w:r>
              <w:t xml:space="preserve">ransmises à des autorités nationales autres que celles désignées en vertu du paragraphe 2 et traitées ultérieurement par celles-ci, conformément aux règles applicables du droit de l’Union relatives </w:t>
            </w:r>
            <w:r>
              <w:rPr>
                <w:b/>
                <w:i/>
              </w:rPr>
              <w:t>à la protection</w:t>
            </w:r>
            <w:r>
              <w:t xml:space="preserve"> des données à caractère personnel; ou</w:t>
            </w:r>
          </w:p>
        </w:tc>
      </w:tr>
    </w:tbl>
    <w:p w:rsidR="00913869" w:rsidRPr="00BC6B2E" w:rsidRDefault="00BC6B2E" w:rsidP="00913869">
      <w:pPr>
        <w:pStyle w:val="Olang"/>
        <w:rPr>
          <w:sz w:val="24"/>
          <w:szCs w:val="24"/>
          <w:lang w:val="en-GB"/>
        </w:rPr>
      </w:pPr>
      <w:r w:rsidRPr="00BC6B2E">
        <w:rPr>
          <w:sz w:val="24"/>
          <w:szCs w:val="24"/>
          <w:lang w:val="en-GB"/>
        </w:rPr>
        <w:t>Or.</w:t>
      </w:r>
      <w:r w:rsidRPr="00BC6B2E">
        <w:rPr>
          <w:sz w:val="24"/>
          <w:szCs w:val="24"/>
          <w:lang w:val="en-GB"/>
        </w:rPr>
        <w:t xml:space="preserve"> </w:t>
      </w:r>
      <w:r w:rsidRPr="00BC6B2E">
        <w:rPr>
          <w:rStyle w:val="HideTWBExt"/>
          <w:lang w:val="en-GB"/>
        </w:rPr>
        <w:t>&lt;Original&gt;</w:t>
      </w:r>
      <w:r w:rsidRPr="00BC6B2E">
        <w:rPr>
          <w:rStyle w:val="HideTWBInt"/>
          <w:sz w:val="24"/>
          <w:szCs w:val="24"/>
          <w:lang w:val="en-GB"/>
        </w:rPr>
        <w:t>{EN}</w:t>
      </w:r>
      <w:r w:rsidRPr="00BC6B2E">
        <w:rPr>
          <w:sz w:val="24"/>
          <w:szCs w:val="24"/>
          <w:lang w:val="en-GB"/>
        </w:rPr>
        <w:t>en</w:t>
      </w:r>
      <w:r w:rsidRPr="00BC6B2E">
        <w:rPr>
          <w:rStyle w:val="HideTWBExt"/>
          <w:lang w:val="en-GB"/>
        </w:rPr>
        <w:t>&lt;/Original&gt;</w:t>
      </w:r>
    </w:p>
    <w:p w:rsidR="00913869" w:rsidRPr="00BC6B2E" w:rsidRDefault="00BC6B2E" w:rsidP="00913869">
      <w:pPr>
        <w:rPr>
          <w:lang w:val="en-GB"/>
        </w:rPr>
      </w:pPr>
      <w:r w:rsidRPr="00BC6B2E">
        <w:rPr>
          <w:rStyle w:val="HideTWBExt"/>
          <w:lang w:val="en-GB"/>
        </w:rPr>
        <w:t>&lt;/Amend&gt;</w:t>
      </w:r>
    </w:p>
    <w:p w:rsidR="00913869" w:rsidRPr="00085F16" w:rsidRDefault="00BC6B2E" w:rsidP="00913869">
      <w:pPr>
        <w:pStyle w:val="AMNumberTabs0"/>
        <w:keepNext/>
      </w:pPr>
      <w:r>
        <w:rPr>
          <w:rStyle w:val="HideTWBExt"/>
          <w:b w:val="0"/>
        </w:rPr>
        <w:t>&lt;Amend&gt;</w:t>
      </w:r>
      <w:r>
        <w:t>Amendement</w:t>
      </w:r>
      <w:r>
        <w:tab/>
      </w:r>
      <w:r>
        <w:tab/>
      </w:r>
      <w:r>
        <w:rPr>
          <w:rStyle w:val="HideTWBExt"/>
          <w:b w:val="0"/>
        </w:rPr>
        <w:t>&lt;NumAm&gt;</w:t>
      </w:r>
      <w:r>
        <w:t>10</w:t>
      </w:r>
      <w:r>
        <w:rPr>
          <w:rStyle w:val="HideTWBExt"/>
          <w:b w:val="0"/>
        </w:rPr>
        <w:t>&lt;/NumAm&gt;</w:t>
      </w:r>
    </w:p>
    <w:p w:rsidR="00913869" w:rsidRPr="00085F16" w:rsidRDefault="00BC6B2E" w:rsidP="00913869">
      <w:pPr>
        <w:pStyle w:val="NormalBold12b"/>
        <w:keepNext/>
      </w:pPr>
      <w:r>
        <w:rPr>
          <w:rStyle w:val="HideTWBExt"/>
          <w:b w:val="0"/>
        </w:rPr>
        <w:t>&lt;DocAmend&gt;</w:t>
      </w:r>
      <w:r>
        <w:t>Proposition de règlement</w:t>
      </w:r>
      <w:r>
        <w:rPr>
          <w:rStyle w:val="HideTWBExt"/>
          <w:b w:val="0"/>
        </w:rPr>
        <w:t>&lt;/DocAmend&gt;</w:t>
      </w:r>
    </w:p>
    <w:p w:rsidR="00913869" w:rsidRPr="00085F16" w:rsidRDefault="00BC6B2E" w:rsidP="00913869">
      <w:pPr>
        <w:pStyle w:val="NormalBold"/>
      </w:pPr>
      <w:r>
        <w:rPr>
          <w:rStyle w:val="HideTWBExt"/>
          <w:b w:val="0"/>
        </w:rPr>
        <w:t>&lt;Article&gt;</w:t>
      </w:r>
      <w:r>
        <w:t>Article 1 – paragraphe 1 – point 8</w:t>
      </w:r>
      <w:r>
        <w:rPr>
          <w:rStyle w:val="HideTWBExt"/>
          <w:b w:val="0"/>
        </w:rPr>
        <w:t>&lt;/Article&gt;</w:t>
      </w:r>
    </w:p>
    <w:p w:rsidR="00913869" w:rsidRPr="00085F16" w:rsidRDefault="00BC6B2E" w:rsidP="00913869">
      <w:pPr>
        <w:keepNext/>
      </w:pPr>
      <w:r>
        <w:rPr>
          <w:rStyle w:val="HideTWBExt"/>
        </w:rPr>
        <w:t>&lt;DocAmend2&gt;</w:t>
      </w:r>
      <w:r>
        <w:t>Décision 2009/917/JAI du Conseil</w:t>
      </w:r>
      <w:r>
        <w:rPr>
          <w:rStyle w:val="HideTWBExt"/>
        </w:rPr>
        <w:t>&lt;/DocAmend2&gt;</w:t>
      </w:r>
    </w:p>
    <w:p w:rsidR="00913869" w:rsidRPr="00085F16" w:rsidRDefault="00BC6B2E" w:rsidP="00913869">
      <w:r>
        <w:rPr>
          <w:rStyle w:val="HideTWBExt"/>
        </w:rPr>
        <w:t>&lt;Article2&gt;</w:t>
      </w:r>
      <w:r>
        <w:t xml:space="preserve">Article 8 – </w:t>
      </w:r>
      <w:r>
        <w:t>paragraphe 4 – sous-paragraphe 1 – point b</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77AC9" w:rsidTr="00DE2933">
        <w:trPr>
          <w:jc w:val="center"/>
        </w:trPr>
        <w:tc>
          <w:tcPr>
            <w:tcW w:w="9752" w:type="dxa"/>
            <w:gridSpan w:val="2"/>
          </w:tcPr>
          <w:p w:rsidR="00913869" w:rsidRPr="00085F16" w:rsidRDefault="00913869" w:rsidP="00DE2933">
            <w:pPr>
              <w:keepNext/>
            </w:pPr>
          </w:p>
        </w:tc>
      </w:tr>
      <w:tr w:rsidR="00077AC9" w:rsidTr="00DE2933">
        <w:trPr>
          <w:jc w:val="center"/>
        </w:trPr>
        <w:tc>
          <w:tcPr>
            <w:tcW w:w="4876" w:type="dxa"/>
          </w:tcPr>
          <w:p w:rsidR="00913869" w:rsidRPr="00085F16" w:rsidRDefault="00BC6B2E" w:rsidP="00DE2933">
            <w:pPr>
              <w:pStyle w:val="ColumnHeading"/>
              <w:keepNext/>
            </w:pPr>
            <w:r>
              <w:t>Texte proposé par la Commission</w:t>
            </w:r>
          </w:p>
        </w:tc>
        <w:tc>
          <w:tcPr>
            <w:tcW w:w="4876" w:type="dxa"/>
          </w:tcPr>
          <w:p w:rsidR="00913869" w:rsidRPr="00085F16" w:rsidRDefault="00BC6B2E" w:rsidP="00DE2933">
            <w:pPr>
              <w:pStyle w:val="ColumnHeading"/>
              <w:keepNext/>
            </w:pPr>
            <w:r>
              <w:t>Amendement</w:t>
            </w:r>
          </w:p>
        </w:tc>
      </w:tr>
      <w:tr w:rsidR="00077AC9" w:rsidTr="00DE2933">
        <w:trPr>
          <w:jc w:val="center"/>
        </w:trPr>
        <w:tc>
          <w:tcPr>
            <w:tcW w:w="4876" w:type="dxa"/>
          </w:tcPr>
          <w:p w:rsidR="00913869" w:rsidRPr="00085F16" w:rsidRDefault="00BC6B2E" w:rsidP="00DE2933">
            <w:pPr>
              <w:pStyle w:val="Normal6"/>
            </w:pPr>
            <w:r>
              <w:t>(b)</w:t>
            </w:r>
            <w:r>
              <w:tab/>
            </w:r>
            <w:r>
              <w:t xml:space="preserve">transférées aux autorités compétentes de pays tiers et à des organisations internationales ou régionales et traitées ultérieurement par celles-ci, conformément au chapitre V de la directive (UE) 2016/680 et, le cas échéant, </w:t>
            </w:r>
            <w:r>
              <w:rPr>
                <w:b/>
                <w:i/>
              </w:rPr>
              <w:t>au chapitre V</w:t>
            </w:r>
            <w:r>
              <w:t xml:space="preserve"> du règlement (UE) </w:t>
            </w:r>
            <w:r>
              <w:t>2018/1725.</w:t>
            </w:r>
          </w:p>
        </w:tc>
        <w:tc>
          <w:tcPr>
            <w:tcW w:w="4876" w:type="dxa"/>
          </w:tcPr>
          <w:p w:rsidR="00913869" w:rsidRPr="00085F16" w:rsidRDefault="00BC6B2E" w:rsidP="00DE2933">
            <w:pPr>
              <w:pStyle w:val="Normal6"/>
              <w:rPr>
                <w:szCs w:val="24"/>
              </w:rPr>
            </w:pPr>
            <w:r>
              <w:t>(b)</w:t>
            </w:r>
            <w:r>
              <w:tab/>
              <w:t xml:space="preserve">transférées aux autorités compétentes de pays tiers et à des organisations internationales ou régionales et traitées ultérieurement par celles-ci, conformément au chapitre V de la directive (UE) 2016/680 et, le cas échéant, </w:t>
            </w:r>
            <w:r>
              <w:rPr>
                <w:b/>
                <w:i/>
              </w:rPr>
              <w:t>aux chapitres V e</w:t>
            </w:r>
            <w:r>
              <w:rPr>
                <w:b/>
                <w:i/>
              </w:rPr>
              <w:t>t IX</w:t>
            </w:r>
            <w:r>
              <w:t xml:space="preserve"> du règlement (UE) 2018/1725.</w:t>
            </w:r>
          </w:p>
        </w:tc>
      </w:tr>
    </w:tbl>
    <w:p w:rsidR="00913869" w:rsidRPr="00085F16" w:rsidRDefault="00BC6B2E" w:rsidP="00913869">
      <w:pPr>
        <w:pStyle w:val="Olang"/>
        <w:rPr>
          <w:sz w:val="24"/>
          <w:szCs w:val="24"/>
        </w:rPr>
      </w:pPr>
      <w:r w:rsidRPr="00085F16">
        <w:rPr>
          <w:sz w:val="24"/>
          <w:szCs w:val="24"/>
        </w:rPr>
        <w:t xml:space="preserve">Or. </w:t>
      </w:r>
      <w:r w:rsidRPr="00085F16">
        <w:rPr>
          <w:rStyle w:val="HideTWBExt"/>
        </w:rPr>
        <w:t>&lt;Original&gt;</w:t>
      </w:r>
      <w:r w:rsidRPr="00085F16">
        <w:rPr>
          <w:rStyle w:val="HideTWBInt"/>
          <w:sz w:val="24"/>
          <w:szCs w:val="24"/>
        </w:rPr>
        <w:t>{EN}</w:t>
      </w:r>
      <w:r w:rsidRPr="00085F16">
        <w:rPr>
          <w:sz w:val="24"/>
          <w:szCs w:val="24"/>
        </w:rPr>
        <w:t>en</w:t>
      </w:r>
      <w:r w:rsidRPr="00085F16">
        <w:rPr>
          <w:rStyle w:val="HideTWBExt"/>
        </w:rPr>
        <w:t>&lt;/Original&gt;</w:t>
      </w:r>
    </w:p>
    <w:p w:rsidR="00913869" w:rsidRPr="00085F16" w:rsidRDefault="00BC6B2E" w:rsidP="00913869">
      <w:pPr>
        <w:pStyle w:val="JustificationTitle"/>
        <w:rPr>
          <w:noProof w:val="0"/>
        </w:rPr>
      </w:pPr>
      <w:r>
        <w:rPr>
          <w:rStyle w:val="HideTWBExt"/>
          <w:i w:val="0"/>
        </w:rPr>
        <w:t>&lt;TitreJust&gt;</w:t>
      </w:r>
      <w:r>
        <w:t>Justification</w:t>
      </w:r>
      <w:r>
        <w:rPr>
          <w:rStyle w:val="HideTWBExt"/>
          <w:i w:val="0"/>
        </w:rPr>
        <w:t>&lt;/TitreJust&gt;</w:t>
      </w:r>
    </w:p>
    <w:p w:rsidR="00913869" w:rsidRPr="00085F16" w:rsidRDefault="00BC6B2E" w:rsidP="00913869">
      <w:pPr>
        <w:pStyle w:val="Normal12Italic"/>
        <w:rPr>
          <w:noProof w:val="0"/>
        </w:rPr>
      </w:pPr>
      <w:r>
        <w:t>L’article 94 du Chaper IX contient des règles spécifiques pour le transfert de données opérationnelles à caractère personnel vers des pays tiers et il c</w:t>
      </w:r>
      <w:r>
        <w:t>onvient d’ajouter ici une référence par souci d’exhaustivité.</w:t>
      </w:r>
    </w:p>
    <w:p w:rsidR="00913869" w:rsidRPr="00BC6B2E" w:rsidRDefault="00BC6B2E" w:rsidP="00913869">
      <w:pPr>
        <w:rPr>
          <w:lang w:val="de-DE"/>
        </w:rPr>
      </w:pPr>
      <w:r w:rsidRPr="00BC6B2E">
        <w:rPr>
          <w:rStyle w:val="HideTWBExt"/>
          <w:lang w:val="de-DE"/>
        </w:rPr>
        <w:t>&lt;/Amend&gt;</w:t>
      </w:r>
    </w:p>
    <w:p w:rsidR="00913869" w:rsidRPr="00BC6B2E" w:rsidRDefault="00BC6B2E" w:rsidP="00913869">
      <w:pPr>
        <w:pStyle w:val="AMNumberTabs0"/>
        <w:keepNext/>
        <w:rPr>
          <w:lang w:val="de-DE"/>
        </w:rPr>
      </w:pPr>
      <w:r w:rsidRPr="00BC6B2E">
        <w:rPr>
          <w:rStyle w:val="HideTWBExt"/>
          <w:b w:val="0"/>
          <w:lang w:val="de-DE"/>
        </w:rPr>
        <w:t>&lt;Amend&gt;</w:t>
      </w:r>
      <w:r w:rsidRPr="00BC6B2E">
        <w:rPr>
          <w:lang w:val="de-DE"/>
        </w:rPr>
        <w:t>Amendement</w:t>
      </w:r>
      <w:r w:rsidRPr="00BC6B2E">
        <w:rPr>
          <w:lang w:val="de-DE"/>
        </w:rPr>
        <w:tab/>
      </w:r>
      <w:r w:rsidRPr="00BC6B2E">
        <w:rPr>
          <w:lang w:val="de-DE"/>
        </w:rPr>
        <w:tab/>
      </w:r>
      <w:r w:rsidRPr="00BC6B2E">
        <w:rPr>
          <w:rStyle w:val="HideTWBExt"/>
          <w:b w:val="0"/>
          <w:lang w:val="de-DE"/>
        </w:rPr>
        <w:t>&lt;NumAm&gt;</w:t>
      </w:r>
      <w:r w:rsidRPr="00BC6B2E">
        <w:rPr>
          <w:lang w:val="de-DE"/>
        </w:rPr>
        <w:t>11</w:t>
      </w:r>
      <w:r w:rsidRPr="00BC6B2E">
        <w:rPr>
          <w:rStyle w:val="HideTWBExt"/>
          <w:b w:val="0"/>
          <w:lang w:val="de-DE"/>
        </w:rPr>
        <w:t>&lt;/NumAm&gt;</w:t>
      </w:r>
    </w:p>
    <w:p w:rsidR="00913869" w:rsidRPr="00085F16" w:rsidRDefault="00BC6B2E" w:rsidP="00913869">
      <w:pPr>
        <w:pStyle w:val="NormalBold12b"/>
        <w:keepNext/>
      </w:pPr>
      <w:r>
        <w:rPr>
          <w:rStyle w:val="HideTWBExt"/>
          <w:b w:val="0"/>
        </w:rPr>
        <w:t>&lt;DocAmend&gt;</w:t>
      </w:r>
      <w:r>
        <w:t>Proposition de règlement</w:t>
      </w:r>
      <w:r>
        <w:rPr>
          <w:rStyle w:val="HideTWBExt"/>
          <w:b w:val="0"/>
        </w:rPr>
        <w:t>&lt;/DocAmend&gt;</w:t>
      </w:r>
    </w:p>
    <w:p w:rsidR="00913869" w:rsidRPr="00085F16" w:rsidRDefault="00BC6B2E" w:rsidP="00913869">
      <w:pPr>
        <w:pStyle w:val="NormalBold"/>
      </w:pPr>
      <w:r>
        <w:rPr>
          <w:rStyle w:val="HideTWBExt"/>
          <w:b w:val="0"/>
        </w:rPr>
        <w:t>&lt;Article&gt;</w:t>
      </w:r>
      <w:r>
        <w:t>Article 1 – paragraphe 1 – point 9</w:t>
      </w:r>
      <w:r>
        <w:rPr>
          <w:rStyle w:val="HideTWBExt"/>
          <w:b w:val="0"/>
        </w:rPr>
        <w:t>&lt;/Article&gt;</w:t>
      </w:r>
    </w:p>
    <w:p w:rsidR="00913869" w:rsidRPr="00085F16" w:rsidRDefault="00BC6B2E" w:rsidP="00913869">
      <w:pPr>
        <w:keepNext/>
      </w:pPr>
      <w:r>
        <w:rPr>
          <w:rStyle w:val="HideTWBExt"/>
        </w:rPr>
        <w:t>&lt;DocAmend2&gt;</w:t>
      </w:r>
      <w:r>
        <w:t>Décision 2009/917/JAI du Conseil</w:t>
      </w:r>
      <w:r>
        <w:rPr>
          <w:rStyle w:val="HideTWBExt"/>
        </w:rPr>
        <w:t>&lt;/DocAmend2&gt;</w:t>
      </w:r>
    </w:p>
    <w:p w:rsidR="00913869" w:rsidRPr="00085F16" w:rsidRDefault="00BC6B2E" w:rsidP="00913869">
      <w:r>
        <w:rPr>
          <w:rStyle w:val="HideTWBExt"/>
        </w:rPr>
        <w:t>&lt;Article2&gt;</w:t>
      </w:r>
      <w:r>
        <w:t>Article 14</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77AC9" w:rsidTr="00BB5969">
        <w:trPr>
          <w:jc w:val="center"/>
        </w:trPr>
        <w:tc>
          <w:tcPr>
            <w:tcW w:w="9752" w:type="dxa"/>
            <w:gridSpan w:val="2"/>
          </w:tcPr>
          <w:p w:rsidR="00913869" w:rsidRPr="00085F16" w:rsidRDefault="00913869" w:rsidP="00DE2933">
            <w:pPr>
              <w:keepNext/>
            </w:pPr>
          </w:p>
        </w:tc>
      </w:tr>
      <w:tr w:rsidR="00077AC9" w:rsidTr="00BB5969">
        <w:trPr>
          <w:jc w:val="center"/>
        </w:trPr>
        <w:tc>
          <w:tcPr>
            <w:tcW w:w="4876" w:type="dxa"/>
          </w:tcPr>
          <w:p w:rsidR="00913869" w:rsidRPr="00085F16" w:rsidRDefault="00BC6B2E" w:rsidP="00DE2933">
            <w:pPr>
              <w:pStyle w:val="ColumnHeading"/>
              <w:keepNext/>
            </w:pPr>
            <w:r>
              <w:t>Texte proposé par la Commission</w:t>
            </w:r>
          </w:p>
        </w:tc>
        <w:tc>
          <w:tcPr>
            <w:tcW w:w="4876" w:type="dxa"/>
          </w:tcPr>
          <w:p w:rsidR="00913869" w:rsidRPr="00085F16" w:rsidRDefault="00BC6B2E" w:rsidP="00DE2933">
            <w:pPr>
              <w:pStyle w:val="ColumnHeading"/>
              <w:keepNext/>
            </w:pPr>
            <w:r>
              <w:t>Amendement</w:t>
            </w:r>
          </w:p>
        </w:tc>
      </w:tr>
      <w:tr w:rsidR="00077AC9" w:rsidTr="00BB5969">
        <w:trPr>
          <w:jc w:val="center"/>
        </w:trPr>
        <w:tc>
          <w:tcPr>
            <w:tcW w:w="4876" w:type="dxa"/>
          </w:tcPr>
          <w:p w:rsidR="003E101F" w:rsidRPr="00085F16" w:rsidRDefault="003E101F" w:rsidP="00BB5969">
            <w:pPr>
              <w:pStyle w:val="Normal6"/>
              <w:jc w:val="center"/>
            </w:pPr>
          </w:p>
        </w:tc>
        <w:tc>
          <w:tcPr>
            <w:tcW w:w="4876" w:type="dxa"/>
          </w:tcPr>
          <w:p w:rsidR="003E101F" w:rsidRPr="00085F16" w:rsidRDefault="00BC6B2E" w:rsidP="00BB5969">
            <w:pPr>
              <w:pStyle w:val="Normal6"/>
              <w:jc w:val="center"/>
              <w:rPr>
                <w:b/>
                <w:i/>
              </w:rPr>
            </w:pPr>
            <w:r>
              <w:rPr>
                <w:b/>
                <w:i/>
              </w:rPr>
              <w:t>Article 14</w:t>
            </w:r>
          </w:p>
        </w:tc>
      </w:tr>
      <w:tr w:rsidR="00077AC9" w:rsidTr="00BB5969">
        <w:trPr>
          <w:jc w:val="center"/>
        </w:trPr>
        <w:tc>
          <w:tcPr>
            <w:tcW w:w="4876" w:type="dxa"/>
          </w:tcPr>
          <w:p w:rsidR="00913869" w:rsidRPr="00085F16" w:rsidRDefault="00BC6B2E" w:rsidP="00DE2933">
            <w:pPr>
              <w:pStyle w:val="Normal6"/>
            </w:pPr>
            <w:r>
              <w:t>Les données à caractère personnel introduites dans le système d’information des douanes ne sont conservées que pendant la durée nécessaire pour atteindr</w:t>
            </w:r>
            <w:r>
              <w:t>e l’objectif énoncé à l’article 1</w:t>
            </w:r>
            <w:r>
              <w:rPr>
                <w:vertAlign w:val="superscript"/>
              </w:rPr>
              <w:t>er</w:t>
            </w:r>
            <w:r>
              <w:t xml:space="preserve">, paragraphe 2, </w:t>
            </w:r>
            <w:r>
              <w:rPr>
                <w:b/>
                <w:i/>
              </w:rPr>
              <w:t>et ne peuvent être conservées plus de cinq</w:t>
            </w:r>
            <w:r>
              <w:t xml:space="preserve"> ans. Toutefois, à titre exceptionnel, ces données peuvent être conservées pendant une période supplémentaire de deux ans au maximum, lorsqu’</w:t>
            </w:r>
            <w:r>
              <w:rPr>
                <w:b/>
                <w:i/>
              </w:rPr>
              <w:t xml:space="preserve">une stricte nécessité </w:t>
            </w:r>
            <w:r>
              <w:rPr>
                <w:b/>
                <w:i/>
              </w:rPr>
              <w:t>de le faire</w:t>
            </w:r>
            <w:r>
              <w:t xml:space="preserve"> pour atteindre cet objectif </w:t>
            </w:r>
            <w:r>
              <w:rPr>
                <w:b/>
                <w:i/>
              </w:rPr>
              <w:t>est établie</w:t>
            </w:r>
            <w:r>
              <w:t xml:space="preserve"> au cas par cas, et dans cette mesure uniquement.</w:t>
            </w:r>
          </w:p>
        </w:tc>
        <w:tc>
          <w:tcPr>
            <w:tcW w:w="4876" w:type="dxa"/>
          </w:tcPr>
          <w:p w:rsidR="00913869" w:rsidRPr="00085F16" w:rsidRDefault="00BC6B2E" w:rsidP="00DE2933">
            <w:pPr>
              <w:pStyle w:val="Normal6"/>
              <w:rPr>
                <w:szCs w:val="24"/>
              </w:rPr>
            </w:pPr>
            <w:r>
              <w:t xml:space="preserve">Les données à caractère personnel introduites dans le système d’information des douanes ne sont conservées que pendant la durée nécessaire pour atteindre </w:t>
            </w:r>
            <w:r>
              <w:t>l’objectif énoncé à l’article 1</w:t>
            </w:r>
            <w:r>
              <w:rPr>
                <w:vertAlign w:val="superscript"/>
              </w:rPr>
              <w:t>er</w:t>
            </w:r>
            <w:r>
              <w:t>, paragraphe 2</w:t>
            </w:r>
            <w:r>
              <w:rPr>
                <w:b/>
                <w:i/>
              </w:rPr>
              <w:t>. La nécessité de les conserver est examinée au moins une fois tous les trois</w:t>
            </w:r>
            <w:r>
              <w:t xml:space="preserve"> ans. Toutefois, à titre exceptionnel, ces données peuvent être conservées pendant une période supplémentaire de deux ans au maximum</w:t>
            </w:r>
            <w:r>
              <w:t xml:space="preserve">, lorsque </w:t>
            </w:r>
            <w:r>
              <w:rPr>
                <w:b/>
                <w:i/>
              </w:rPr>
              <w:t>cela est strictement nécessaire</w:t>
            </w:r>
            <w:r>
              <w:t xml:space="preserve"> pour atteindre cet objectif au cas par cas, et dans cette mesure uniquement.</w:t>
            </w:r>
          </w:p>
        </w:tc>
      </w:tr>
    </w:tbl>
    <w:p w:rsidR="00913869" w:rsidRPr="00BC6B2E" w:rsidRDefault="00BC6B2E" w:rsidP="00913869">
      <w:pPr>
        <w:pStyle w:val="Olang"/>
        <w:rPr>
          <w:sz w:val="24"/>
          <w:szCs w:val="24"/>
          <w:lang w:val="en-GB"/>
        </w:rPr>
      </w:pPr>
      <w:r w:rsidRPr="00BC6B2E">
        <w:rPr>
          <w:sz w:val="24"/>
          <w:szCs w:val="24"/>
          <w:lang w:val="en-GB"/>
        </w:rPr>
        <w:t xml:space="preserve">Or. </w:t>
      </w:r>
      <w:r w:rsidRPr="00BC6B2E">
        <w:rPr>
          <w:rStyle w:val="HideTWBExt"/>
          <w:lang w:val="en-GB"/>
        </w:rPr>
        <w:t>&lt;Original&gt;</w:t>
      </w:r>
      <w:r w:rsidRPr="00BC6B2E">
        <w:rPr>
          <w:rStyle w:val="HideTWBInt"/>
          <w:sz w:val="24"/>
          <w:szCs w:val="24"/>
          <w:lang w:val="en-GB"/>
        </w:rPr>
        <w:t>{EN}</w:t>
      </w:r>
      <w:r w:rsidRPr="00BC6B2E">
        <w:rPr>
          <w:sz w:val="24"/>
          <w:szCs w:val="24"/>
          <w:lang w:val="en-GB"/>
        </w:rPr>
        <w:t>en</w:t>
      </w:r>
      <w:r w:rsidRPr="00BC6B2E">
        <w:rPr>
          <w:rStyle w:val="HideTWBExt"/>
          <w:lang w:val="en-GB"/>
        </w:rPr>
        <w:t>&lt;/Original&gt;</w:t>
      </w:r>
    </w:p>
    <w:p w:rsidR="00913869" w:rsidRPr="00BC6B2E" w:rsidRDefault="00BC6B2E" w:rsidP="00913869">
      <w:pPr>
        <w:rPr>
          <w:lang w:val="en-GB"/>
        </w:rPr>
      </w:pPr>
      <w:r w:rsidRPr="00BC6B2E">
        <w:rPr>
          <w:rStyle w:val="HideTWBExt"/>
          <w:lang w:val="en-GB"/>
        </w:rPr>
        <w:t>&lt;/Amend&gt;</w:t>
      </w:r>
    </w:p>
    <w:p w:rsidR="00913869" w:rsidRPr="00085F16" w:rsidRDefault="00BC6B2E" w:rsidP="00913869">
      <w:pPr>
        <w:pStyle w:val="AMNumberTabs0"/>
        <w:keepNext/>
      </w:pPr>
      <w:r>
        <w:rPr>
          <w:rStyle w:val="HideTWBExt"/>
          <w:b w:val="0"/>
        </w:rPr>
        <w:t>&lt;Amend&gt;</w:t>
      </w:r>
      <w:r>
        <w:t>Amendement</w:t>
      </w:r>
      <w:r>
        <w:tab/>
      </w:r>
      <w:r>
        <w:tab/>
      </w:r>
      <w:r>
        <w:rPr>
          <w:rStyle w:val="HideTWBExt"/>
          <w:b w:val="0"/>
        </w:rPr>
        <w:t>&lt;NumAm&gt;</w:t>
      </w:r>
      <w:r>
        <w:t>12</w:t>
      </w:r>
      <w:r>
        <w:rPr>
          <w:rStyle w:val="HideTWBExt"/>
          <w:b w:val="0"/>
        </w:rPr>
        <w:t>&lt;/NumAm&gt;</w:t>
      </w:r>
    </w:p>
    <w:p w:rsidR="00913869" w:rsidRPr="00085F16" w:rsidRDefault="00BC6B2E" w:rsidP="00913869">
      <w:pPr>
        <w:pStyle w:val="NormalBold12b"/>
        <w:keepNext/>
      </w:pPr>
      <w:r>
        <w:rPr>
          <w:rStyle w:val="HideTWBExt"/>
          <w:b w:val="0"/>
        </w:rPr>
        <w:t>&lt;DocAmend&gt;</w:t>
      </w:r>
      <w:r>
        <w:t>Proposition de règlement</w:t>
      </w:r>
      <w:r>
        <w:rPr>
          <w:rStyle w:val="HideTWBExt"/>
          <w:b w:val="0"/>
        </w:rPr>
        <w:t>&lt;/DocAmend&gt;</w:t>
      </w:r>
    </w:p>
    <w:p w:rsidR="00913869" w:rsidRPr="00085F16" w:rsidRDefault="00BC6B2E" w:rsidP="00913869">
      <w:pPr>
        <w:pStyle w:val="NormalBold"/>
      </w:pPr>
      <w:r>
        <w:rPr>
          <w:rStyle w:val="HideTWBExt"/>
          <w:b w:val="0"/>
        </w:rPr>
        <w:t>&lt;Article&gt;</w:t>
      </w:r>
      <w:r>
        <w:t>Art</w:t>
      </w:r>
      <w:r>
        <w:t>icle 1 – paragraphe 1 – point 11</w:t>
      </w:r>
      <w:r>
        <w:rPr>
          <w:rStyle w:val="HideTWBExt"/>
          <w:b w:val="0"/>
        </w:rPr>
        <w:t>&lt;/Article&gt;</w:t>
      </w:r>
    </w:p>
    <w:p w:rsidR="00913869" w:rsidRPr="00085F16" w:rsidRDefault="00BC6B2E" w:rsidP="00913869">
      <w:pPr>
        <w:keepNext/>
      </w:pPr>
      <w:r>
        <w:rPr>
          <w:rStyle w:val="HideTWBExt"/>
        </w:rPr>
        <w:t>&lt;DocAmend2&gt;</w:t>
      </w:r>
      <w:r>
        <w:t>Décision 2009/917/JAI du Conseil</w:t>
      </w:r>
      <w:r>
        <w:rPr>
          <w:rStyle w:val="HideTWBExt"/>
        </w:rPr>
        <w:t>&lt;/DocAmend2&gt;</w:t>
      </w:r>
    </w:p>
    <w:p w:rsidR="00913869" w:rsidRPr="00085F16" w:rsidRDefault="00BC6B2E" w:rsidP="00913869">
      <w:r>
        <w:rPr>
          <w:rStyle w:val="HideTWBExt"/>
        </w:rPr>
        <w:t>&lt;Article2&gt;</w:t>
      </w:r>
      <w:r>
        <w:t>Article 20</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77AC9" w:rsidTr="00DE2933">
        <w:trPr>
          <w:jc w:val="center"/>
        </w:trPr>
        <w:tc>
          <w:tcPr>
            <w:tcW w:w="9752" w:type="dxa"/>
            <w:gridSpan w:val="2"/>
          </w:tcPr>
          <w:p w:rsidR="00913869" w:rsidRPr="00085F16" w:rsidRDefault="00913869" w:rsidP="00DE2933">
            <w:pPr>
              <w:keepNext/>
            </w:pPr>
          </w:p>
        </w:tc>
      </w:tr>
      <w:tr w:rsidR="00077AC9" w:rsidTr="00DE2933">
        <w:trPr>
          <w:jc w:val="center"/>
        </w:trPr>
        <w:tc>
          <w:tcPr>
            <w:tcW w:w="4876" w:type="dxa"/>
          </w:tcPr>
          <w:p w:rsidR="00913869" w:rsidRPr="00085F16" w:rsidRDefault="00BC6B2E" w:rsidP="00DE2933">
            <w:pPr>
              <w:pStyle w:val="ColumnHeading"/>
              <w:keepNext/>
            </w:pPr>
            <w:r>
              <w:t>Texte proposé par la Commission</w:t>
            </w:r>
          </w:p>
        </w:tc>
        <w:tc>
          <w:tcPr>
            <w:tcW w:w="4876" w:type="dxa"/>
          </w:tcPr>
          <w:p w:rsidR="00913869" w:rsidRPr="00085F16" w:rsidRDefault="00BC6B2E" w:rsidP="00DE2933">
            <w:pPr>
              <w:pStyle w:val="ColumnHeading"/>
              <w:keepNext/>
            </w:pPr>
            <w:r>
              <w:t>Amendement</w:t>
            </w:r>
          </w:p>
        </w:tc>
      </w:tr>
      <w:tr w:rsidR="00077AC9" w:rsidTr="00DE2933">
        <w:trPr>
          <w:jc w:val="center"/>
        </w:trPr>
        <w:tc>
          <w:tcPr>
            <w:tcW w:w="4876" w:type="dxa"/>
          </w:tcPr>
          <w:p w:rsidR="00913869" w:rsidRPr="00085F16" w:rsidRDefault="00BC6B2E" w:rsidP="00DE2933">
            <w:pPr>
              <w:pStyle w:val="Normal6"/>
            </w:pPr>
            <w:r>
              <w:t xml:space="preserve">La directive (UE) 2016/680 s’applique aux fins du traitement des données à </w:t>
            </w:r>
            <w:r>
              <w:t>caractère personnel effectué en vertu de la présente décision.</w:t>
            </w:r>
          </w:p>
        </w:tc>
        <w:tc>
          <w:tcPr>
            <w:tcW w:w="4876" w:type="dxa"/>
          </w:tcPr>
          <w:p w:rsidR="00913869" w:rsidRPr="00085F16" w:rsidRDefault="00BC6B2E" w:rsidP="00DE2933">
            <w:pPr>
              <w:pStyle w:val="Normal6"/>
              <w:rPr>
                <w:szCs w:val="24"/>
              </w:rPr>
            </w:pPr>
            <w:r>
              <w:t xml:space="preserve">La directive (UE) 2016/680 </w:t>
            </w:r>
            <w:r>
              <w:rPr>
                <w:b/>
                <w:i/>
              </w:rPr>
              <w:t>et le règlement (UE) 2018/1725</w:t>
            </w:r>
            <w:r>
              <w:t xml:space="preserve"> s’appliquent aux fins du traitement des données à caractère personnel effectué en vertu de la présente décision.</w:t>
            </w:r>
          </w:p>
        </w:tc>
      </w:tr>
    </w:tbl>
    <w:p w:rsidR="00913869" w:rsidRPr="00085F16" w:rsidRDefault="00BC6B2E" w:rsidP="00913869">
      <w:pPr>
        <w:pStyle w:val="Olang"/>
        <w:rPr>
          <w:sz w:val="24"/>
          <w:szCs w:val="24"/>
        </w:rPr>
      </w:pPr>
      <w:r w:rsidRPr="00085F16">
        <w:rPr>
          <w:sz w:val="24"/>
          <w:szCs w:val="24"/>
        </w:rPr>
        <w:t xml:space="preserve">Or. </w:t>
      </w:r>
      <w:r w:rsidRPr="00085F16">
        <w:rPr>
          <w:rStyle w:val="HideTWBExt"/>
        </w:rPr>
        <w:t>&lt;Original&gt;</w:t>
      </w:r>
      <w:r w:rsidRPr="00085F16">
        <w:rPr>
          <w:rStyle w:val="HideTWBInt"/>
          <w:sz w:val="24"/>
          <w:szCs w:val="24"/>
        </w:rPr>
        <w:t>{EN}</w:t>
      </w:r>
      <w:r w:rsidRPr="00085F16">
        <w:rPr>
          <w:sz w:val="24"/>
          <w:szCs w:val="24"/>
        </w:rPr>
        <w:t>en</w:t>
      </w:r>
      <w:r w:rsidRPr="00085F16">
        <w:rPr>
          <w:rStyle w:val="HideTWBExt"/>
        </w:rPr>
        <w:t>&lt;</w:t>
      </w:r>
      <w:r w:rsidRPr="00085F16">
        <w:rPr>
          <w:rStyle w:val="HideTWBExt"/>
        </w:rPr>
        <w:t>/Original&gt;</w:t>
      </w:r>
    </w:p>
    <w:p w:rsidR="00913869" w:rsidRPr="00085F16" w:rsidRDefault="00BC6B2E" w:rsidP="00913869">
      <w:pPr>
        <w:pStyle w:val="JustificationTitle"/>
        <w:rPr>
          <w:noProof w:val="0"/>
        </w:rPr>
      </w:pPr>
      <w:r>
        <w:rPr>
          <w:rStyle w:val="HideTWBExt"/>
          <w:i w:val="0"/>
        </w:rPr>
        <w:t>&lt;TitreJust&gt;</w:t>
      </w:r>
      <w:r>
        <w:t>Justification</w:t>
      </w:r>
      <w:r>
        <w:rPr>
          <w:rStyle w:val="HideTWBExt"/>
          <w:i w:val="0"/>
        </w:rPr>
        <w:t>&lt;/TitreJust&gt;</w:t>
      </w:r>
    </w:p>
    <w:p w:rsidR="00913869" w:rsidRPr="00085F16" w:rsidRDefault="00BC6B2E" w:rsidP="00913869">
      <w:pPr>
        <w:pStyle w:val="Normal12Italic"/>
        <w:rPr>
          <w:noProof w:val="0"/>
        </w:rPr>
      </w:pPr>
      <w:r>
        <w:t>Ajout d’une référence au RPDUE par souci d’exhaustivité, étant donné que certaines opérations de traitement sont effectuées par l’IUE.</w:t>
      </w:r>
    </w:p>
    <w:p w:rsidR="00913869" w:rsidRPr="00BC6B2E" w:rsidRDefault="00BC6B2E" w:rsidP="00913869">
      <w:pPr>
        <w:rPr>
          <w:lang w:val="de-DE"/>
        </w:rPr>
      </w:pPr>
      <w:r w:rsidRPr="00BC6B2E">
        <w:rPr>
          <w:rStyle w:val="HideTWBExt"/>
          <w:lang w:val="de-DE"/>
        </w:rPr>
        <w:t>&lt;/Amend&gt;</w:t>
      </w:r>
    </w:p>
    <w:p w:rsidR="00913869" w:rsidRPr="00BC6B2E" w:rsidRDefault="00BC6B2E" w:rsidP="00913869">
      <w:pPr>
        <w:pStyle w:val="AMNumberTabs0"/>
        <w:keepNext/>
        <w:rPr>
          <w:lang w:val="de-DE"/>
        </w:rPr>
      </w:pPr>
      <w:r w:rsidRPr="00BC6B2E">
        <w:rPr>
          <w:rStyle w:val="HideTWBExt"/>
          <w:b w:val="0"/>
          <w:lang w:val="de-DE"/>
        </w:rPr>
        <w:t>&lt;Amend&gt;</w:t>
      </w:r>
      <w:r w:rsidRPr="00BC6B2E">
        <w:rPr>
          <w:lang w:val="de-DE"/>
        </w:rPr>
        <w:t>Amendement</w:t>
      </w:r>
      <w:r w:rsidRPr="00BC6B2E">
        <w:rPr>
          <w:lang w:val="de-DE"/>
        </w:rPr>
        <w:tab/>
      </w:r>
      <w:r w:rsidRPr="00BC6B2E">
        <w:rPr>
          <w:lang w:val="de-DE"/>
        </w:rPr>
        <w:tab/>
      </w:r>
      <w:r w:rsidRPr="00BC6B2E">
        <w:rPr>
          <w:rStyle w:val="HideTWBExt"/>
          <w:b w:val="0"/>
          <w:lang w:val="de-DE"/>
        </w:rPr>
        <w:t>&lt;NumAm&gt;</w:t>
      </w:r>
      <w:r w:rsidRPr="00BC6B2E">
        <w:rPr>
          <w:lang w:val="de-DE"/>
        </w:rPr>
        <w:t>13</w:t>
      </w:r>
      <w:r w:rsidRPr="00BC6B2E">
        <w:rPr>
          <w:rStyle w:val="HideTWBExt"/>
          <w:b w:val="0"/>
          <w:lang w:val="de-DE"/>
        </w:rPr>
        <w:t>&lt;/NumAm&gt;</w:t>
      </w:r>
    </w:p>
    <w:p w:rsidR="00913869" w:rsidRPr="00085F16" w:rsidRDefault="00BC6B2E" w:rsidP="00913869">
      <w:pPr>
        <w:pStyle w:val="NormalBold12b"/>
        <w:keepNext/>
      </w:pPr>
      <w:r>
        <w:rPr>
          <w:rStyle w:val="HideTWBExt"/>
          <w:b w:val="0"/>
        </w:rPr>
        <w:t>&lt;DocAmend&gt;</w:t>
      </w:r>
      <w:r>
        <w:t>Proposition de rè</w:t>
      </w:r>
      <w:r>
        <w:t>glement</w:t>
      </w:r>
      <w:r>
        <w:rPr>
          <w:rStyle w:val="HideTWBExt"/>
          <w:b w:val="0"/>
        </w:rPr>
        <w:t>&lt;/DocAmend&gt;</w:t>
      </w:r>
    </w:p>
    <w:p w:rsidR="00913869" w:rsidRPr="00085F16" w:rsidRDefault="00BC6B2E" w:rsidP="00913869">
      <w:pPr>
        <w:pStyle w:val="NormalBold"/>
      </w:pPr>
      <w:r>
        <w:rPr>
          <w:rStyle w:val="HideTWBExt"/>
          <w:b w:val="0"/>
        </w:rPr>
        <w:t>&lt;Article&gt;</w:t>
      </w:r>
      <w:r>
        <w:t>Article 1 – paragraphe 1 –point 13</w:t>
      </w:r>
      <w:r>
        <w:rPr>
          <w:rStyle w:val="HideTWBExt"/>
          <w:b w:val="0"/>
        </w:rPr>
        <w:t>&lt;/Article&gt;</w:t>
      </w:r>
    </w:p>
    <w:p w:rsidR="00913869" w:rsidRPr="00085F16" w:rsidRDefault="00BC6B2E" w:rsidP="00913869">
      <w:pPr>
        <w:keepNext/>
      </w:pPr>
      <w:r>
        <w:rPr>
          <w:rStyle w:val="HideTWBExt"/>
        </w:rPr>
        <w:lastRenderedPageBreak/>
        <w:t>&lt;DocAmend2&gt;</w:t>
      </w:r>
      <w:r>
        <w:t>Décision 2009/917/JAI du Conseil</w:t>
      </w:r>
      <w:r>
        <w:rPr>
          <w:rStyle w:val="HideTWBExt"/>
        </w:rPr>
        <w:t>&lt;/DocAmend2&gt;</w:t>
      </w:r>
    </w:p>
    <w:p w:rsidR="00913869" w:rsidRPr="00085F16" w:rsidRDefault="00BC6B2E" w:rsidP="00913869">
      <w:r>
        <w:rPr>
          <w:rStyle w:val="HideTWBExt"/>
        </w:rPr>
        <w:t>&lt;Article2&gt;</w:t>
      </w:r>
      <w:r>
        <w:t>Article 26</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77AC9" w:rsidTr="00DE2933">
        <w:trPr>
          <w:jc w:val="center"/>
        </w:trPr>
        <w:tc>
          <w:tcPr>
            <w:tcW w:w="9752" w:type="dxa"/>
            <w:gridSpan w:val="2"/>
          </w:tcPr>
          <w:p w:rsidR="00913869" w:rsidRPr="00085F16" w:rsidRDefault="00913869" w:rsidP="00DE2933">
            <w:pPr>
              <w:keepNext/>
            </w:pPr>
          </w:p>
        </w:tc>
      </w:tr>
      <w:tr w:rsidR="00077AC9" w:rsidTr="00DE2933">
        <w:trPr>
          <w:jc w:val="center"/>
        </w:trPr>
        <w:tc>
          <w:tcPr>
            <w:tcW w:w="4876" w:type="dxa"/>
          </w:tcPr>
          <w:p w:rsidR="00913869" w:rsidRPr="00085F16" w:rsidRDefault="00BC6B2E" w:rsidP="00DE2933">
            <w:pPr>
              <w:pStyle w:val="ColumnHeading"/>
              <w:keepNext/>
            </w:pPr>
            <w:r>
              <w:t>Texte proposé par la Commission</w:t>
            </w:r>
          </w:p>
        </w:tc>
        <w:tc>
          <w:tcPr>
            <w:tcW w:w="4876" w:type="dxa"/>
          </w:tcPr>
          <w:p w:rsidR="00913869" w:rsidRPr="00085F16" w:rsidRDefault="00BC6B2E" w:rsidP="00DE2933">
            <w:pPr>
              <w:pStyle w:val="ColumnHeading"/>
              <w:keepNext/>
            </w:pPr>
            <w:r>
              <w:t>Amendement</w:t>
            </w:r>
          </w:p>
        </w:tc>
      </w:tr>
      <w:tr w:rsidR="00077AC9" w:rsidTr="00DE2933">
        <w:trPr>
          <w:jc w:val="center"/>
        </w:trPr>
        <w:tc>
          <w:tcPr>
            <w:tcW w:w="4876" w:type="dxa"/>
          </w:tcPr>
          <w:p w:rsidR="003B48F1" w:rsidRPr="00085F16" w:rsidRDefault="003B48F1" w:rsidP="00BB5969">
            <w:pPr>
              <w:pStyle w:val="Normal6"/>
              <w:jc w:val="center"/>
              <w:rPr>
                <w:b/>
                <w:bCs/>
                <w:i/>
                <w:iCs/>
              </w:rPr>
            </w:pPr>
          </w:p>
        </w:tc>
        <w:tc>
          <w:tcPr>
            <w:tcW w:w="4876" w:type="dxa"/>
          </w:tcPr>
          <w:p w:rsidR="003B48F1" w:rsidRPr="00085F16" w:rsidRDefault="00BC6B2E" w:rsidP="00BB5969">
            <w:pPr>
              <w:pStyle w:val="Normal6"/>
              <w:jc w:val="center"/>
              <w:rPr>
                <w:b/>
                <w:bCs/>
                <w:i/>
                <w:iCs/>
              </w:rPr>
            </w:pPr>
            <w:r>
              <w:rPr>
                <w:b/>
                <w:i/>
              </w:rPr>
              <w:t>Article 26</w:t>
            </w:r>
          </w:p>
        </w:tc>
      </w:tr>
      <w:tr w:rsidR="00077AC9" w:rsidTr="00DE2933">
        <w:trPr>
          <w:jc w:val="center"/>
        </w:trPr>
        <w:tc>
          <w:tcPr>
            <w:tcW w:w="4876" w:type="dxa"/>
          </w:tcPr>
          <w:p w:rsidR="00913869" w:rsidRPr="00085F16" w:rsidRDefault="00BC6B2E" w:rsidP="00DE2933">
            <w:pPr>
              <w:pStyle w:val="Normal6"/>
            </w:pPr>
            <w:r>
              <w:rPr>
                <w:b/>
                <w:i/>
              </w:rPr>
              <w:t xml:space="preserve">Un contrôle coordonné entre les </w:t>
            </w:r>
            <w:r>
              <w:rPr>
                <w:b/>
                <w:i/>
              </w:rPr>
              <w:t>autorités de contrôle nationales et</w:t>
            </w:r>
            <w:r>
              <w:t xml:space="preserve"> le Contrôleur européen de la protection des données est </w:t>
            </w:r>
            <w:r>
              <w:rPr>
                <w:b/>
                <w:i/>
              </w:rPr>
              <w:t>assuré</w:t>
            </w:r>
            <w:r>
              <w:t xml:space="preserve"> conformément à l’article 62 du règlement (UE) 2018/1725.</w:t>
            </w:r>
          </w:p>
        </w:tc>
        <w:tc>
          <w:tcPr>
            <w:tcW w:w="4876" w:type="dxa"/>
          </w:tcPr>
          <w:p w:rsidR="00913869" w:rsidRPr="00085F16" w:rsidRDefault="00BC6B2E" w:rsidP="00DE2933">
            <w:pPr>
              <w:pStyle w:val="Normal6"/>
              <w:rPr>
                <w:szCs w:val="24"/>
              </w:rPr>
            </w:pPr>
            <w:r>
              <w:rPr>
                <w:b/>
                <w:i/>
              </w:rPr>
              <w:t>«1.</w:t>
            </w:r>
            <w:r>
              <w:t xml:space="preserve"> </w:t>
            </w:r>
            <w:r>
              <w:tab/>
              <w:t xml:space="preserve">Le Contrôleur européen de la protection des données est </w:t>
            </w:r>
            <w:r>
              <w:rPr>
                <w:b/>
                <w:i/>
              </w:rPr>
              <w:t>chargé de contrôler le traitement des d</w:t>
            </w:r>
            <w:r>
              <w:rPr>
                <w:b/>
                <w:i/>
              </w:rPr>
              <w:t>onnées à caractère personnel par la commission au titre du présent r</w:t>
            </w:r>
            <w:bookmarkStart w:id="1" w:name="_GoBack"/>
            <w:bookmarkEnd w:id="1"/>
            <w:r>
              <w:rPr>
                <w:b/>
                <w:i/>
              </w:rPr>
              <w:t>èglement et de veiller à ce qu’il soit effectué conformément au présent règlement. Les tâches et pouvoirs visés aux articles 57 et 58 du règlement (UE) 2018/1725 s’appliquent en conséquenc</w:t>
            </w:r>
            <w:r>
              <w:rPr>
                <w:b/>
                <w:i/>
              </w:rPr>
              <w:t>e.</w:t>
            </w:r>
          </w:p>
        </w:tc>
      </w:tr>
      <w:tr w:rsidR="00077AC9" w:rsidTr="00DE2933">
        <w:trPr>
          <w:jc w:val="center"/>
        </w:trPr>
        <w:tc>
          <w:tcPr>
            <w:tcW w:w="4876" w:type="dxa"/>
          </w:tcPr>
          <w:p w:rsidR="00913869" w:rsidRPr="00085F16" w:rsidRDefault="00913869" w:rsidP="00DE2933">
            <w:pPr>
              <w:pStyle w:val="Normal6"/>
            </w:pPr>
          </w:p>
        </w:tc>
        <w:tc>
          <w:tcPr>
            <w:tcW w:w="4876" w:type="dxa"/>
          </w:tcPr>
          <w:p w:rsidR="00913869" w:rsidRPr="00085F16" w:rsidRDefault="00BC6B2E" w:rsidP="00DE2933">
            <w:pPr>
              <w:pStyle w:val="Normal6"/>
              <w:rPr>
                <w:szCs w:val="24"/>
              </w:rPr>
            </w:pPr>
            <w:r>
              <w:rPr>
                <w:b/>
                <w:i/>
              </w:rPr>
              <w:t xml:space="preserve">2. </w:t>
            </w:r>
            <w:r>
              <w:tab/>
            </w:r>
            <w:r>
              <w:rPr>
                <w:b/>
                <w:i/>
              </w:rPr>
              <w:t>Le Contrôleur européen de la protection des données réalise tous les trois ans au minimum, un audit du traitement des données à caractère personnel par la Commission au titre du présent règlement, répondant aux normes internationales d’audit. Un r</w:t>
            </w:r>
            <w:r>
              <w:rPr>
                <w:b/>
                <w:i/>
              </w:rPr>
              <w:t>apport sur cet audit est communiqué au Parlement européen, au Conseil, à la Commission et aux autorités de contrôle nationales.</w:t>
            </w:r>
          </w:p>
        </w:tc>
      </w:tr>
      <w:tr w:rsidR="00077AC9" w:rsidTr="00DE2933">
        <w:trPr>
          <w:jc w:val="center"/>
        </w:trPr>
        <w:tc>
          <w:tcPr>
            <w:tcW w:w="4876" w:type="dxa"/>
          </w:tcPr>
          <w:p w:rsidR="00913869" w:rsidRPr="00085F16" w:rsidRDefault="00913869" w:rsidP="00DE2933">
            <w:pPr>
              <w:pStyle w:val="Normal6"/>
            </w:pPr>
          </w:p>
        </w:tc>
        <w:tc>
          <w:tcPr>
            <w:tcW w:w="4876" w:type="dxa"/>
          </w:tcPr>
          <w:p w:rsidR="00913869" w:rsidRPr="00085F16" w:rsidRDefault="00BC6B2E" w:rsidP="00DE2933">
            <w:pPr>
              <w:pStyle w:val="Normal6"/>
              <w:rPr>
                <w:szCs w:val="24"/>
              </w:rPr>
            </w:pPr>
            <w:r>
              <w:rPr>
                <w:b/>
                <w:i/>
              </w:rPr>
              <w:t xml:space="preserve">3. </w:t>
            </w:r>
            <w:r>
              <w:tab/>
            </w:r>
            <w:r>
              <w:rPr>
                <w:b/>
                <w:i/>
              </w:rPr>
              <w:t>Les autorités de contrôle nationales des États membres et le Contrôleur européen de la protection des données, agissant ch</w:t>
            </w:r>
            <w:r>
              <w:rPr>
                <w:b/>
                <w:i/>
              </w:rPr>
              <w:t>acun dans le cadre de leurs compétences respectives, coopèrent activement dans le cadre de leurs responsabilités et assurent un contrôle coordonné</w:t>
            </w:r>
            <w:r>
              <w:t xml:space="preserve"> conformément à l’article 62 du règlement (UE) 2018/1725.</w:t>
            </w:r>
            <w:r>
              <w:rPr>
                <w:b/>
                <w:i/>
              </w:rPr>
              <w:t>»</w:t>
            </w:r>
          </w:p>
        </w:tc>
      </w:tr>
    </w:tbl>
    <w:p w:rsidR="00913869" w:rsidRPr="00BC6B2E" w:rsidRDefault="00BC6B2E" w:rsidP="00913869">
      <w:pPr>
        <w:pStyle w:val="Olang"/>
        <w:rPr>
          <w:sz w:val="24"/>
          <w:szCs w:val="24"/>
          <w:lang w:val="en-GB"/>
        </w:rPr>
      </w:pPr>
      <w:r w:rsidRPr="00BC6B2E">
        <w:rPr>
          <w:sz w:val="24"/>
          <w:szCs w:val="24"/>
          <w:lang w:val="en-GB"/>
        </w:rPr>
        <w:t xml:space="preserve">Or. </w:t>
      </w:r>
      <w:r w:rsidRPr="00BC6B2E">
        <w:rPr>
          <w:rStyle w:val="HideTWBExt"/>
          <w:lang w:val="en-GB"/>
        </w:rPr>
        <w:t>&lt;Original&gt;</w:t>
      </w:r>
      <w:r w:rsidRPr="00BC6B2E">
        <w:rPr>
          <w:rStyle w:val="HideTWBInt"/>
          <w:sz w:val="24"/>
          <w:szCs w:val="24"/>
          <w:lang w:val="en-GB"/>
        </w:rPr>
        <w:t>{EN}</w:t>
      </w:r>
      <w:r w:rsidRPr="00BC6B2E">
        <w:rPr>
          <w:sz w:val="24"/>
          <w:szCs w:val="24"/>
          <w:lang w:val="en-GB"/>
        </w:rPr>
        <w:t>en</w:t>
      </w:r>
      <w:r w:rsidRPr="00BC6B2E">
        <w:rPr>
          <w:rStyle w:val="HideTWBExt"/>
          <w:lang w:val="en-GB"/>
        </w:rPr>
        <w:t>&lt;/Original&gt;</w:t>
      </w:r>
    </w:p>
    <w:p w:rsidR="002669B6" w:rsidRPr="00BC6B2E" w:rsidRDefault="00BC6B2E" w:rsidP="00913869">
      <w:pPr>
        <w:rPr>
          <w:rStyle w:val="HideTWBExt"/>
          <w:lang w:val="en-GB"/>
        </w:rPr>
      </w:pPr>
      <w:r w:rsidRPr="00BC6B2E">
        <w:rPr>
          <w:rStyle w:val="HideTWBExt"/>
          <w:lang w:val="en-GB"/>
        </w:rPr>
        <w:t>&lt;/Amend&gt;&lt;/RepeatBlock-Amend&gt;</w:t>
      </w:r>
    </w:p>
    <w:sectPr w:rsidR="002669B6" w:rsidRPr="00BC6B2E" w:rsidSect="00DE32F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BC6B2E">
      <w:r>
        <w:separator/>
      </w:r>
    </w:p>
  </w:endnote>
  <w:endnote w:type="continuationSeparator" w:id="0">
    <w:p w:rsidR="00000000" w:rsidRDefault="00BC6B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32F3" w:rsidRPr="00085F16" w:rsidRDefault="00BC6B2E" w:rsidP="00DE32F3">
    <w:pPr>
      <w:pStyle w:val="EPFooter"/>
    </w:pPr>
    <w:r w:rsidRPr="00085F16">
      <w:t>PE</w:t>
    </w:r>
    <w:r w:rsidRPr="00085F16">
      <w:rPr>
        <w:rStyle w:val="HideTWBExt"/>
      </w:rPr>
      <w:t>&lt;NoPE&gt;</w:t>
    </w:r>
    <w:r w:rsidRPr="00085F16">
      <w:t>753.732</w:t>
    </w:r>
    <w:r w:rsidRPr="00085F16">
      <w:rPr>
        <w:rStyle w:val="HideTWBExt"/>
      </w:rPr>
      <w:t>&lt;/NoPE&gt;&lt;Version&gt;</w:t>
    </w:r>
    <w:r w:rsidRPr="00085F16">
      <w:t>v01-00</w:t>
    </w:r>
    <w:r w:rsidRPr="00085F16">
      <w:rPr>
        <w:rStyle w:val="HideTWBExt"/>
      </w:rPr>
      <w:t>&lt;/Version&gt;</w:t>
    </w:r>
    <w:r w:rsidRPr="00085F16">
      <w:tab/>
    </w:r>
    <w:r w:rsidRPr="00085F16">
      <w:fldChar w:fldCharType="begin"/>
    </w:r>
    <w:r w:rsidRPr="00085F16">
      <w:instrText xml:space="preserve"> PAGE  \* MERGEFORMAT </w:instrText>
    </w:r>
    <w:r w:rsidRPr="00085F16">
      <w:fldChar w:fldCharType="separate"/>
    </w:r>
    <w:r>
      <w:rPr>
        <w:noProof/>
      </w:rPr>
      <w:t>10</w:t>
    </w:r>
    <w:r w:rsidRPr="00085F16">
      <w:fldChar w:fldCharType="end"/>
    </w:r>
    <w:r w:rsidRPr="00085F16">
      <w:t>/</w:t>
    </w:r>
    <w:r w:rsidR="00C27A83">
      <w:fldChar w:fldCharType="begin"/>
    </w:r>
    <w:r>
      <w:instrText xml:space="preserve"> NUMPAGES  \* MERGEFORMAT </w:instrText>
    </w:r>
    <w:r w:rsidR="00C27A83">
      <w:fldChar w:fldCharType="separate"/>
    </w:r>
    <w:r>
      <w:rPr>
        <w:noProof/>
      </w:rPr>
      <w:t>13</w:t>
    </w:r>
    <w:r w:rsidR="00C27A83">
      <w:rPr>
        <w:noProof/>
      </w:rPr>
      <w:fldChar w:fldCharType="end"/>
    </w:r>
    <w:r w:rsidRPr="00085F16">
      <w:tab/>
    </w:r>
    <w:r w:rsidRPr="00085F16">
      <w:rPr>
        <w:rStyle w:val="HideTWBExt"/>
      </w:rPr>
      <w:t>&lt;PathFdR&gt;</w:t>
    </w:r>
    <w:r w:rsidRPr="00085F16">
      <w:t>PR\1287064FR.docx</w:t>
    </w:r>
    <w:r w:rsidRPr="00085F16">
      <w:rPr>
        <w:rStyle w:val="HideTWBExt"/>
      </w:rPr>
      <w:t>&lt;/PathFdR&gt;</w:t>
    </w:r>
  </w:p>
  <w:p w:rsidR="00FB52FE" w:rsidRPr="00085F16" w:rsidRDefault="00BC6B2E" w:rsidP="00DE32F3">
    <w:pPr>
      <w:pStyle w:val="EPFooter2"/>
    </w:pPr>
    <w:r w:rsidRPr="00085F16">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32F3" w:rsidRPr="00085F16" w:rsidRDefault="00BC6B2E" w:rsidP="00DE32F3">
    <w:pPr>
      <w:pStyle w:val="EPFooter"/>
    </w:pPr>
    <w:r w:rsidRPr="00085F16">
      <w:rPr>
        <w:rStyle w:val="HideTWBExt"/>
      </w:rPr>
      <w:t>&lt;PathFdR&gt;</w:t>
    </w:r>
    <w:r w:rsidRPr="00085F16">
      <w:t>PR\1287064FR.docx</w:t>
    </w:r>
    <w:r w:rsidRPr="00085F16">
      <w:rPr>
        <w:rStyle w:val="HideTWBExt"/>
      </w:rPr>
      <w:t>&lt;/PathFdR&gt;</w:t>
    </w:r>
    <w:r w:rsidRPr="00085F16">
      <w:tab/>
    </w:r>
    <w:r w:rsidRPr="00085F16">
      <w:fldChar w:fldCharType="begin"/>
    </w:r>
    <w:r w:rsidRPr="00085F16">
      <w:instrText xml:space="preserve"> PAGE  \* MERGEFORMAT </w:instrText>
    </w:r>
    <w:r w:rsidRPr="00085F16">
      <w:fldChar w:fldCharType="separate"/>
    </w:r>
    <w:r>
      <w:rPr>
        <w:noProof/>
      </w:rPr>
      <w:t>9</w:t>
    </w:r>
    <w:r w:rsidRPr="00085F16">
      <w:fldChar w:fldCharType="end"/>
    </w:r>
    <w:r w:rsidRPr="00085F16">
      <w:t>/</w:t>
    </w:r>
    <w:r w:rsidR="00C27A83">
      <w:fldChar w:fldCharType="begin"/>
    </w:r>
    <w:r>
      <w:instrText xml:space="preserve"> NUMPAGES  \* MERGEFORMAT </w:instrText>
    </w:r>
    <w:r w:rsidR="00C27A83">
      <w:fldChar w:fldCharType="separate"/>
    </w:r>
    <w:r>
      <w:rPr>
        <w:noProof/>
      </w:rPr>
      <w:t>13</w:t>
    </w:r>
    <w:r w:rsidR="00C27A83">
      <w:rPr>
        <w:noProof/>
      </w:rPr>
      <w:fldChar w:fldCharType="end"/>
    </w:r>
    <w:r w:rsidRPr="00085F16">
      <w:tab/>
      <w:t>PE</w:t>
    </w:r>
    <w:r w:rsidRPr="00085F16">
      <w:rPr>
        <w:rStyle w:val="HideTWBExt"/>
      </w:rPr>
      <w:t>&lt;NoPE&gt;</w:t>
    </w:r>
    <w:r w:rsidRPr="00085F16">
      <w:t>753.732</w:t>
    </w:r>
    <w:r w:rsidRPr="00085F16">
      <w:rPr>
        <w:rStyle w:val="HideTWBExt"/>
      </w:rPr>
      <w:t>&lt;/NoPE&gt;&lt;Version&gt;</w:t>
    </w:r>
    <w:r w:rsidRPr="00085F16">
      <w:t>v01-00</w:t>
    </w:r>
    <w:r w:rsidRPr="00085F16">
      <w:rPr>
        <w:rStyle w:val="HideTWBExt"/>
      </w:rPr>
      <w:t>&lt;/Version&gt;</w:t>
    </w:r>
  </w:p>
  <w:p w:rsidR="00FB52FE" w:rsidRPr="00085F16" w:rsidRDefault="00BC6B2E" w:rsidP="00DE32F3">
    <w:pPr>
      <w:pStyle w:val="EPFooter2"/>
    </w:pPr>
    <w:r w:rsidRPr="00085F16">
      <w:tab/>
    </w:r>
    <w:r w:rsidRPr="00085F16">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32F3" w:rsidRPr="00085F16" w:rsidRDefault="00BC6B2E" w:rsidP="00DE32F3">
    <w:pPr>
      <w:pStyle w:val="EPFooter"/>
    </w:pPr>
    <w:r w:rsidRPr="00085F16">
      <w:rPr>
        <w:rStyle w:val="HideTWBExt"/>
      </w:rPr>
      <w:t>&lt;PathFdR&gt;</w:t>
    </w:r>
    <w:r w:rsidRPr="00085F16">
      <w:t>PR\1287064FR.docx</w:t>
    </w:r>
    <w:r w:rsidRPr="00085F16">
      <w:rPr>
        <w:rStyle w:val="HideTWBExt"/>
      </w:rPr>
      <w:t>&lt;/PathFdR&gt;</w:t>
    </w:r>
    <w:r w:rsidRPr="00085F16">
      <w:tab/>
    </w:r>
    <w:r w:rsidRPr="00085F16">
      <w:tab/>
      <w:t>PE</w:t>
    </w:r>
    <w:r w:rsidRPr="00085F16">
      <w:rPr>
        <w:rStyle w:val="HideTWBExt"/>
      </w:rPr>
      <w:t>&lt;NoPE&gt;</w:t>
    </w:r>
    <w:r w:rsidRPr="00085F16">
      <w:t>753.732</w:t>
    </w:r>
    <w:r w:rsidRPr="00085F16">
      <w:rPr>
        <w:rStyle w:val="HideTWBExt"/>
      </w:rPr>
      <w:t>&lt;/NoPE&gt;&lt;Version&gt;</w:t>
    </w:r>
    <w:r w:rsidRPr="00085F16">
      <w:t>v01-00</w:t>
    </w:r>
    <w:r w:rsidRPr="00085F16">
      <w:rPr>
        <w:rStyle w:val="HideTWBExt"/>
      </w:rPr>
      <w:t>&lt;/Version&gt;</w:t>
    </w:r>
  </w:p>
  <w:p w:rsidR="00FB52FE" w:rsidRPr="00085F16" w:rsidRDefault="00BC6B2E" w:rsidP="00DE32F3">
    <w:pPr>
      <w:pStyle w:val="EPFooter2"/>
    </w:pPr>
    <w:r w:rsidRPr="00085F16">
      <w:t>FR</w:t>
    </w:r>
    <w:r w:rsidRPr="00085F16">
      <w:tab/>
    </w:r>
    <w:r w:rsidRPr="00085F16">
      <w:rPr>
        <w:b w:val="0"/>
        <w:i/>
        <w:color w:val="C0C0C0"/>
        <w:sz w:val="22"/>
      </w:rPr>
      <w:t>Unie dans la div</w:t>
    </w:r>
    <w:r w:rsidRPr="00085F16">
      <w:rPr>
        <w:b w:val="0"/>
        <w:i/>
        <w:color w:val="C0C0C0"/>
        <w:sz w:val="22"/>
      </w:rPr>
      <w:t>ersité</w:t>
    </w:r>
    <w:r w:rsidRPr="00085F16">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BC6B2E">
      <w:r>
        <w:separator/>
      </w:r>
    </w:p>
  </w:footnote>
  <w:footnote w:type="continuationSeparator" w:id="0">
    <w:p w:rsidR="00000000" w:rsidRDefault="00BC6B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7A83" w:rsidRDefault="00C27A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7A83" w:rsidRDefault="00C27A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7A83" w:rsidRDefault="00C27A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JMNU" w:val="1"/>
    <w:docVar w:name="COMKEY" w:val="LIBE"/>
    <w:docVar w:name="CopyToNetwork" w:val="-1"/>
    <w:docVar w:name="DOCMNU" w:val=" 1"/>
    <w:docVar w:name="EPSTATMNU" w:val=" 5"/>
    <w:docVar w:name="INSTITUTIONSMNU" w:val=" 2"/>
    <w:docVar w:name="JURI1MNU" w:val=" 1"/>
    <w:docVar w:name="JURI2MNU" w:val=" 2"/>
    <w:docVar w:name="LastEditedSection"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7\fbidi \froman\fcharset238\fprq2 Times New Roman CE;}{\f328\fbidi \froman\fcharset204\fprq2 Times New Roman Cyr;}_x000d__x000a_{\f330\fbidi \froman\fcharset161\fprq2 Times New Roman Greek;}{\f331\fbidi \froman\fcharset162\fprq2 Times New Roman Tur;}{\f332\fbidi \froman\fcharset177\fprq2 Times New Roman (Hebrew);}{\f333\fbidi \froman\fcharset178\fprq2 Times New Roman (Arabic);}_x000d__x000a_{\f334\fbidi \froman\fcharset186\fprq2 Times New Roman Baltic;}{\f335\fbidi \froman\fcharset163\fprq2 Times New Roman (Vietnamese);}{\f337\fbidi \fswiss\fcharset238\fprq2 Arial CE;}{\f338\fbidi \fswiss\fcharset204\fprq2 Arial Cyr;}_x000d__x000a_{\f340\fbidi \fswiss\fcharset161\fprq2 Arial Greek;}{\f341\fbidi \fswiss\fcharset162\fprq2 Arial Tur;}{\f342\fbidi \fswiss\fcharset177\fprq2 Arial (Hebrew);}{\f343\fbidi \fswiss\fcharset178\fprq2 Arial (Arabic);}_x000d__x000a_{\f344\fbidi \fswiss\fcharset186\fprq2 Arial Baltic;}{\f345\fbidi \fswiss\fcharset163\fprq2 Arial (Vietnamese);}{\f667\fbidi \froman\fcharset238\fprq2 Cambria Math CE;}{\f668\fbidi \froman\fcharset204\fprq2 Cambria Math Cyr;}_x000d__x000a_{\f670\fbidi \froman\fcharset161\fprq2 Cambria Math Greek;}{\f671\fbidi \froman\fcharset162\fprq2 Cambria Math Tur;}{\f674\fbidi \froman\fcharset186\fprq2 Cambria Math Baltic;}{\f67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689061 HideTWBExt;}{\*\cs18 \additive \v\f1\fs20\cf15 _x000d__x000a_\spriority0 \styrsid7689061 HideTWBInt;}{\s19\ql \li0\ri0\sa120\nowidctlpar\wrapdefault\aspalpha\aspnum\faauto\adjustright\rin0\lin0\itap0 \rtlch\fcs1 \af0\afs20\alang1025 \ltrch\fcs0 \fs24\lang2057\langfe2057\cgrid\langnp2057\langfenp2057 _x000d__x000a_\sbasedon0 \snext19 \spriority0 \styrsid7689061 Normal6a;}{\s20\ql \li0\ri0\nowidctlpar\wrapdefault\aspalpha\aspnum\faauto\adjustright\rin0\lin0\itap0 \rtlch\fcs1 \af0\afs20\alang1025 \ltrch\fcs0 \b\fs24\lang2057\langfe2057\cgrid\langnp2057\langfenp2057 _x000d__x000a_\sbasedon0 \snext20 \spriority0 \styrsid7689061 NormalBold;}{\s21\ql \li0\ri0\sa240\nowidctlpar\wrapdefault\aspalpha\aspnum\faauto\adjustright\rin0\lin0\itap0 \rtlch\fcs1 \af0\afs20\alang1025 \ltrch\fcs0 _x000d__x000a_\i\fs24\lang2057\langfe2057\cgrid\langnp2057\langfenp2057 \sbasedon0 \snext21 \spriority0 \styrsid7689061 AmJustText;}{\s22\qc \li0\ri0\sb240\sa240\nowidctlpar\wrapdefault\aspalpha\aspnum\faauto\adjustright\rin0\lin0\itap0 \rtlch\fcs1 _x000d__x000a_\af0\afs20\alang1025 \ltrch\fcs0 \i\fs24\lang2057\langfe2057\cgrid\langnp2057\langfenp2057 \sbasedon0 \snext22 \spriority0 \styrsid7689061 AmCrossRef;}{_x000d__x000a_\s23\qc \li0\ri0\sb240\sa240\keepn\nowidctlpar\wrapdefault\aspalpha\aspnum\faauto\adjustright\rin0\lin0\itap0 \rtlch\fcs1 \af0\afs20\alang1025 \ltrch\fcs0 \i\fs24\lang2057\langfe2057\cgrid\langnp2057\langfenp2057 _x000d__x000a_\sbasedon0 \snext21 \spriority0 \styrsid7689061 AmJustTitle;}{\s24\qr \li0\ri0\sb240\sa240\nowidctlpar\wrapdefault\aspalpha\aspnum\faauto\adjustright\rin0\lin0\itap0 \rtlch\fcs1 \af0\afs20\alang1025 \ltrch\fcs0 _x000d__x000a_\fs24\lang2057\langfe2057\cgrid\langnp2057\langfenp2057 \sbasedon0 \snext24 \spriority0 \styrsid7689061 AmOrLang;}{\s25\qc \li0\ri0\sa240\nowidctlpar\wrapdefault\aspalpha\aspnum\faauto\adjustright\rin0\lin0\itap0 \rtlch\fcs1 \af0\afs20\alang1025 _x000d__x000a_\ltrch\fcs0 \i\fs24\lang2057\langfe2057\cgrid\langnp2057\langfenp2057 \sbasedon0 \snext25 \spriority0 \styrsid768906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689061 AmNumberTabs;}{\s27\ql \li0\ri0\sb240\nowidctlpar\wrapdefault\aspalpha\aspnum\faauto\adjustright\rin0\lin0\itap0 \rtlch\fcs1 _x000d__x000a_\af0\afs20\alang1025 \ltrch\fcs0 \b\fs24\lang2057\langfe2057\cgrid\langnp2057\langfenp2057 \sbasedon0 \snext27 \spriority0 \styrsid7689061 NormalBold12b;}}{\*\rsidtbl \rsid24658\rsid223860\rsid735077\rsid1718133\rsid2892074\rsid3565327\rsid4666813_x000d__x000a_\rsid6641733\rsid7689061\rsid7823322\rsid9636012\rsid10377208\rsid11215221\rsid11549030\rsid12154954\rsid14382809\rsid14424199\rsid15204470\rsid15285974\rsid15950462\rsid16324206\rsid16583342\rsid16662270}{\mmathPr\mmathFont34\mbrkBin0\mbrkBinSub0_x000d__x000a_\msmallFrac0\mdispDef1\mlMargin0\mrMargin0\mdefJc1\mwrapIndent1440\mintLim0\mnaryLim1}{\info{\author LECUYER Katarzyna}{\operator LECUYER Katarzyna}{\creatim\yr2023\mo10\dy2\hr9\min58}{\revtim\yr2023\mo10\dy2\hr9\min58}{\version1}{\edmins0}{\nofpages1}_x000d__x000a_{\nofwords104}{\nofchars596}{\nofcharsws69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689061\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6583342 \chftnsep _x000d__x000a_\par }}{\*\ftnsepc \ltrpar \pard\plain \ltrpar\ql \li0\ri0\widctlpar\wrapdefault\aspalpha\aspnum\faauto\adjustright\rin0\lin0\itap0 \rtlch\fcs1 \af0\afs20\alang1025 \ltrch\fcs0 \fs24\lang2057\langfe2057\cgrid\langnp2057\langfenp2057 {\rtlch\fcs1 \af0 _x000d__x000a_\ltrch\fcs0 \insrsid16583342 \chftnsepc _x000d__x000a_\par }}{\*\aftnsep \ltrpar \pard\plain \ltrpar\ql \li0\ri0\widctlpar\wrapdefault\aspalpha\aspnum\faauto\adjustright\rin0\lin0\itap0 \rtlch\fcs1 \af0\afs20\alang1025 \ltrch\fcs0 \fs24\lang2057\langfe2057\cgrid\langnp2057\langfenp2057 {\rtlch\fcs1 \af0 _x000d__x000a_\ltrch\fcs0 \insrsid16583342 \chftnsep _x000d__x000a_\par }}{\*\aftnsepc \ltrpar \pard\plain \ltrpar\ql \li0\ri0\widctlpar\wrapdefault\aspalpha\aspnum\faauto\adjustright\rin0\lin0\itap0 \rtlch\fcs1 \af0\afs20\alang1025 \ltrch\fcs0 \fs24\lang2057\langfe2057\cgrid\langnp2057\langfenp2057 {\rtlch\fcs1 \af0 _x000d__x000a_\ltrch\fcs0 \insrsid1658334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689061 \rtlch\fcs1 _x000d__x000a_\af0\afs20\alang1025 \ltrch\fcs0 \b\fs24\lang2057\langfe2057\cgrid\langnp2057\langfenp2057 {\rtlch\fcs1 \af0 \ltrch\fcs0 \cs17\b0\v\fs20\cf9\lang1024\langfe1024\loch\af1\hich\af1\dbch\af31501\noproof\insrsid7689061\charrsid14307151 {\*\bkmkstart restart}_x000d__x000a_\hich\af1\dbch\af31501\loch\f1 &lt;Amend&gt;}{\rtlch\fcs1 \af0 \ltrch\fcs0 \insrsid7689061\charrsid14307151 Amendment\tab \tab }{\rtlch\fcs1 \af0 \ltrch\fcs0 _x000d__x000a_\cs17\b0\v\fs20\cf9\lang1024\langfe1024\loch\af1\hich\af1\dbch\af31501\noproof\insrsid7689061\charrsid14307151 \hich\af1\dbch\af31501\loch\f1 &lt;NumAm&gt;}{\rtlch\fcs1 \af0 \ltrch\fcs0 \insrsid7689061\charrsid14307151 #}{\rtlch\fcs1 \af1 \ltrch\fcs0 _x000d__x000a_\cs18\v\f1\fs20\cf15\insrsid7689061\charrsid14307151 ENMIENDA@NRAM@}{\rtlch\fcs1 \af0 \ltrch\fcs0 \insrsid7689061\charrsid14307151 #}{\rtlch\fcs1 \af0 \ltrch\fcs0 _x000d__x000a_\cs17\b0\v\fs20\cf9\lang1024\langfe1024\loch\af1\hich\af1\dbch\af31501\noproof\insrsid7689061\charrsid14307151 \hich\af1\dbch\af31501\loch\f1 &lt;/NumAm&gt;}{\rtlch\fcs1 \af0 \ltrch\fcs0 \insrsid7689061\charrsid14307151 _x000d__x000a_\par }\pard\plain \ltrpar\s27\ql \li0\ri0\sb240\keepn\nowidctlpar\wrapdefault\aspalpha\aspnum\faauto\adjustright\rin0\lin0\itap0\pararsid7689061 \rtlch\fcs1 \af0\afs20\alang1025 \ltrch\fcs0 \b\fs24\lang2057\langfe2057\cgrid\langnp2057\langfenp2057 {_x000d__x000a_\rtlch\fcs1 \af0 \ltrch\fcs0 \cs17\b0\v\fs20\cf9\lang1024\langfe1024\loch\af1\hich\af1\dbch\af31501\noproof\insrsid7689061\charrsid14307151 \hich\af1\dbch\af31501\loch\f1 &lt;DocAmend&gt;}{\rtlch\fcs1 \af0 \ltrch\fcs0 \insrsid7689061\charrsid14307151 _x000d__x000a_Proposal for a #}{\rtlch\fcs1 \af1 \ltrch\fcs0 \cs18\v\f1\fs20\cf15\insrsid7689061\charrsid14307151 MNU[DOC1][DOC2][DOC3]@DOCMSG@DOCMNU}{\rtlch\fcs1 \af0 \ltrch\fcs0 \insrsid7689061\charrsid14307151 ##}{\rtlch\fcs1 \af1 \ltrch\fcs0 _x000d__x000a_\cs18\v\f1\fs20\cf15\insrsid7689061\charrsid14307151 MNU[AMACTYES][NOTAPP]@CHOICE@AMACTMNU}{\rtlch\fcs1 \af0 \ltrch\fcs0 \insrsid7689061\charrsid14307151 #}{\rtlch\fcs1 \af0 \ltrch\fcs0 _x000d__x000a_\cs17\b0\v\fs20\cf9\lang1024\langfe1024\loch\af1\hich\af1\dbch\af31501\noproof\insrsid7689061\charrsid14307151 \hich\af1\dbch\af31501\loch\f1 &lt;/DocAmend&gt;}{\rtlch\fcs1 \af0 \ltrch\fcs0 \insrsid7689061\charrsid14307151 _x000d__x000a_\par }\pard\plain \ltrpar\s20\ql \li0\ri0\keepn\nowidctlpar\wrapdefault\aspalpha\aspnum\faauto\adjustright\rin0\lin0\itap0\pararsid7689061 \rtlch\fcs1 \af0\afs20\alang1025 \ltrch\fcs0 \b\fs24\lang2057\langfe2057\cgrid\langnp2057\langfenp2057 {\rtlch\fcs1 \af0 _x000d__x000a_\ltrch\fcs0 \cs17\b0\v\fs20\cf9\lang1024\langfe1024\loch\af1\hich\af1\dbch\af31501\noproof\insrsid7689061\charrsid14307151 \hich\af1\dbch\af31501\loch\f1 &lt;Article&gt;}{\rtlch\fcs1 \af0 \ltrch\fcs0 \insrsid7689061\charrsid14307151 #}{\rtlch\fcs1 \af1 _x000d__x000a_\ltrch\fcs0 \cs18\v\f1\fs20\cf15\insrsid7689061\charrsid14307151 MNU[AMACTPARTYES][AMACTPARTNO]@CHOICE@AMACTMNU}{\rtlch\fcs1 \af0 \ltrch\fcs0 \insrsid7689061\charrsid14307151 #}{\rtlch\fcs1 \af0 \ltrch\fcs0 _x000d__x000a_\cs17\b0\v\fs20\cf9\lang1024\langfe1024\loch\af1\hich\af1\dbch\af31501\noproof\insrsid7689061\charrsid14307151 \hich\af1\dbch\af31501\loch\f1 &lt;/Article&gt;}{\rtlch\fcs1 \af0 \ltrch\fcs0 \insrsid7689061\charrsid14307151 _x000d__x000a_\par }\pard\plain \ltrpar\ql \li0\ri0\keepn\widctlpar\wrapdefault\aspalpha\aspnum\faauto\adjustright\rin0\lin0\itap0\pararsid7689061 \rtlch\fcs1 \af0\afs20\alang1025 \ltrch\fcs0 \fs24\lang2057\langfe2057\cgrid\langnp2057\langfenp2057 {\rtlch\fcs1 \af0 _x000d__x000a_\ltrch\fcs0 \cs17\v\fs20\cf9\lang1024\langfe1024\loch\af1\hich\af1\dbch\af31501\noproof\insrsid7689061\charrsid14307151 \hich\af1\dbch\af31501\loch\f1 &lt;DocAmend2&gt;&lt;OptDel&gt;}{\rtlch\fcs1 \af0 \ltrch\fcs0 \insrsid7689061\charrsid14307151 #}{\rtlch\fcs1 \af1 _x000d__x000a_\ltrch\fcs0 \cs18\v\f1\fs20\cf15\insrsid7689061\charrsid14307151 MNU[OPTNRACTYES][NOTAPP]@CHOICE@AMACTMNU}{\rtlch\fcs1 \af0 \ltrch\fcs0 \insrsid7689061\charrsid14307151 #}{\rtlch\fcs1 \af0 \ltrch\fcs0 _x000d__x000a_\cs17\v\fs20\cf9\lang1024\langfe1024\loch\af1\hich\af1\dbch\af31501\noproof\insrsid7689061\charrsid14307151 \hich\af1\dbch\af31501\loch\f1 &lt;/OptDel&gt;&lt;/DocAmend2&gt;}{\rtlch\fcs1 \af0 \ltrch\fcs0 \insrsid7689061\charrsid14307151 _x000d__x000a_\par }\pard \ltrpar\ql \li0\ri0\widctlpar\wrapdefault\aspalpha\aspnum\faauto\adjustright\rin0\lin0\itap0\pararsid7689061 {\rtlch\fcs1 \af0 \ltrch\fcs0 \cs17\v\fs20\cf9\lang1024\langfe1024\loch\af1\hich\af1\dbch\af31501\noproof\insrsid7689061\charrsid14307151 _x000d__x000a_\hich\af1\dbch\af31501\loch\f1 &lt;Article2&gt;&lt;OptDel&gt;}{\rtlch\fcs1 \af0 \ltrch\fcs0 \insrsid7689061\charrsid14307151 #}{\rtlch\fcs1 \af1 \ltrch\fcs0 \cs18\v\f1\fs20\cf15\insrsid7689061\charrsid14307151 MNU[OPTACTPARTYES][NOTAPP]@CHOICE@AMACTMNU}{\rtlch\fcs1 _x000d__x000a_\af0 \ltrch\fcs0 \insrsid7689061\charrsid14307151 #}{\rtlch\fcs1 \af0 \ltrch\fcs0 \cs17\v\fs20\cf9\lang1024\langfe1024\loch\af1\hich\af1\dbch\af31501\noproof\insrsid7689061\charrsid14307151 \hich\af1\dbch\af31501\loch\f1 &lt;/OptDel&gt;&lt;/Article2&gt;}{\rtlch\fcs1 _x000d__x000a_\af0 \ltrch\fcs0 \insrsid7689061\charrsid14307151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7689061\charrsid14307151 \cell }\pard\plain \ltrpar\ql \li0\ri0\widctlpar\intbl\wrapdefault\aspalpha\aspnum\faauto\adjustright\rin0\lin0 \rtlch\fcs1 _x000d__x000a_\af0\afs20\alang1025 \ltrch\fcs0 \fs24\lang2057\langfe2057\cgrid\langnp2057\langfenp2057 {\rtlch\fcs1 \af0 \ltrch\fcs0 \insrsid7689061\charrsid14307151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7689061\charrsid14307151 #}{\rtlch\fcs1 \af1 \ltrch\fcs0 \cs18\v\f1\fs20\cf15\insrsid7689061\charrsid14307151 MNU[OPTLEFTAMACT][LEFTPROP]@CHOICE@AMACTMNU}{\rtlch\fcs1 \af0 \ltrch\fcs0 \insrsid7689061\charrsid14307151 #\cell Amendment\cell _x000d__x000a_}\pard\plain \ltrpar\ql \li0\ri0\widctlpar\intbl\wrapdefault\aspalpha\aspnum\faauto\adjustright\rin0\lin0 \rtlch\fcs1 \af0\afs20\alang1025 \ltrch\fcs0 \fs24\lang2057\langfe2057\cgrid\langnp2057\langfenp2057 {\rtlch\fcs1 \af0 \ltrch\fcs0 _x000d__x000a_\insrsid7689061\charrsid14307151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7689061\charrsid14307151 ##\cell ##}{\rtlch\fcs1 \af0\afs24 \ltrch\fcs0 \insrsid7689061\charrsid14307151 \cell }\pard\plain \ltrpar\ql \li0\ri0\widctlpar\intbl\wrapdefault\aspalpha\aspnum\faauto\adjustright\rin0\lin0 \rtlch\fcs1 _x000d__x000a_\af0\afs20\alang1025 \ltrch\fcs0 \fs24\lang2057\langfe2057\cgrid\langnp2057\langfenp2057 {\rtlch\fcs1 \af0 \ltrch\fcs0 \insrsid7689061\charrsid14307151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689061 \rtlch\fcs1 \af0\afs20\alang1025 \ltrch\fcs0 \fs24\lang2057\langfe2057\cgrid\langnp2057\langfenp2057 {\rtlch\fcs1 \af0 \ltrch\fcs0 _x000d__x000a_\insrsid7689061\charrsid14307151 Or. }{\rtlch\fcs1 \af0 \ltrch\fcs0 \cs17\v\fs20\cf9\lang1024\langfe1024\loch\af1\hich\af1\dbch\af31501\noproof\insrsid7689061\charrsid14307151 \hich\af1\dbch\af31501\loch\f1 &lt;Original&gt;}{\rtlch\fcs1 \af0 \ltrch\fcs0 _x000d__x000a_\insrsid7689061\charrsid14307151 #}{\rtlch\fcs1 \af1 \ltrch\fcs0 \cs18\v\f1\fs20\cf15\insrsid7689061\charrsid14307151 MNU[ORLANGONE][ORLANGMORE]@CHOICE@ORLANGMNU}{\rtlch\fcs1 \af0 \ltrch\fcs0 \insrsid7689061\charrsid14307151 #}{\rtlch\fcs1 \af0 _x000d__x000a_\ltrch\fcs0 \cs17\v\fs20\cf9\lang1024\langfe1024\loch\af1\hich\af1\dbch\af31501\noproof\insrsid7689061\charrsid14307151 \hich\af1\dbch\af31501\loch\f1 &lt;/Original&gt;}{\rtlch\fcs1 \af0 \ltrch\fcs0 \insrsid7689061\charrsid14307151 _x000d__x000a_\par }\pard\plain \ltrpar\s22\qc \li0\ri0\sb240\sa240\nowidctlpar\wrapdefault\aspalpha\aspnum\faauto\adjustright\rin0\lin0\itap0\pararsid7689061 \rtlch\fcs1 \af0\afs20\alang1025 \ltrch\fcs0 \i\fs24\lang2057\langfe2057\cgrid\langnp2057\langfenp2057 {_x000d__x000a_\rtlch\fcs1 \af0 \ltrch\fcs0 \cs17\i0\v\fs20\cf9\lang1024\langfe1024\loch\af1\hich\af1\dbch\af31501\noproof\insrsid7689061\charrsid14307151 \hich\af1\dbch\af31501\loch\f1 &lt;OptDel&gt;}{\rtlch\fcs1 \af0 \ltrch\fcs0 \insrsid7689061\charrsid14307151 #}{_x000d__x000a_\rtlch\fcs1 \af1 \ltrch\fcs0 \cs18\v\f1\fs20\cf15\insrsid7689061\charrsid14307151 MNU[CROSSREFNO][CROSSREFYES]@CHOICE@}{\rtlch\fcs1 \af0 \ltrch\fcs0 \insrsid7689061\charrsid14307151 #}{\rtlch\fcs1 \af0 \ltrch\fcs0 _x000d__x000a_\cs17\i0\v\fs20\cf9\lang1024\langfe1024\loch\af1\hich\af1\dbch\af31501\noproof\insrsid7689061\charrsid14307151 \hich\af1\dbch\af31501\loch\f1 &lt;/OptDel&gt;}{\rtlch\fcs1 \af0 \ltrch\fcs0 \insrsid7689061\charrsid14307151 _x000d__x000a_\par }\pard\plain \ltrpar\s23\qc \li0\ri0\sb240\sa240\keepn\nowidctlpar\wrapdefault\aspalpha\aspnum\faauto\adjustright\rin0\lin0\itap0\pararsid7689061 \rtlch\fcs1 \af0\afs20\alang1025 \ltrch\fcs0 \i\fs24\lang2057\langfe2057\cgrid\langnp2057\langfenp2057 {_x000d__x000a_\rtlch\fcs1 \af0 \ltrch\fcs0 \cs17\i0\v\fs20\cf9\lang1024\langfe1024\loch\af1\hich\af1\dbch\af31501\noproof\insrsid7689061\charrsid14307151 \hich\af1\dbch\af31501\loch\f1 &lt;TitreJust&gt;}{\rtlch\fcs1 \af0 \ltrch\fcs0 \insrsid7689061\charrsid14307151 _x000d__x000a_Justification}{\rtlch\fcs1 \af0 \ltrch\fcs0 \cs17\i0\v\fs20\cf9\lang1024\langfe1024\loch\af1\hich\af1\dbch\af31501\noproof\insrsid7689061\charrsid14307151 \hich\af1\dbch\af31501\loch\f1 &lt;/TitreJust&gt;}{\rtlch\fcs1 \af0 \ltrch\fcs0 _x000d__x000a_\insrsid7689061\charrsid14307151 _x000d__x000a_\par }\pard\plain \ltrpar\s21\ql \li0\ri0\sa240\nowidctlpar\wrapdefault\aspalpha\aspnum\faauto\adjustright\rin0\lin0\itap0\pararsid7689061 \rtlch\fcs1 \af0\afs20\alang1025 \ltrch\fcs0 \i\fs24\lang2057\langfe2057\cgrid\langnp2057\langfenp2057 {\rtlch\fcs1 \af0 _x000d__x000a_\ltrch\fcs0 \cs17\i0\v\fs20\cf9\lang1024\langfe1024\loch\af1\hich\af1\dbch\af31501\noproof\insrsid7689061\charrsid14307151 \hich\af1\dbch\af31501\loch\f1 &lt;OptDelPrev&gt;}{\rtlch\fcs1 \af0 \ltrch\fcs0 \insrsid7689061\charrsid14307151 #}{\rtlch\fcs1 \af1 _x000d__x000a_\ltrch\fcs0 \cs18\v\f1\fs20\cf15\insrsid7689061\charrsid14307151 MNU[TEXTJUSTYES][TEXTJUSTNO]@CHOICE@}{\rtlch\fcs1 \af0 \ltrch\fcs0 \insrsid7689061\charrsid14307151 #}{\rtlch\fcs1 \af0 \ltrch\fcs0 _x000d__x000a_\cs17\i0\v\fs20\cf9\lang1024\langfe1024\loch\af1\hich\af1\dbch\af31501\noproof\insrsid7689061\charrsid14307151 \hich\af1\dbch\af31501\loch\f1 &lt;/OptDelPrev&gt;}{\rtlch\fcs1 \af0 \ltrch\fcs0 \insrsid7689061\charrsid14307151 _x000d__x000a_\par }\pard\plain \ltrpar\ql \li0\ri0\widctlpar\wrapdefault\aspalpha\aspnum\faauto\adjustright\rin0\lin0\itap0\pararsid7689061 \rtlch\fcs1 \af0\afs20\alang1025 \ltrch\fcs0 \fs24\lang2057\langfe2057\cgrid\langnp2057\langfenp2057 {\rtlch\fcs1 \af0 \ltrch\fcs0 _x000d__x000a_\cs17\v\fs20\cf9\lang1024\langfe1024\loch\af1\hich\af1\dbch\af31501\noproof\insrsid7689061\charrsid14307151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df_x000d__x000a_f64006f5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7"/>
    <w:docVar w:name="TXTAUTHOR" w:val="Cornelia Ernst"/>
    <w:docVar w:name="TXTLANGUE" w:val="FR"/>
    <w:docVar w:name="TXTLANGUEMIN" w:val="fr"/>
    <w:docVar w:name="TXTNRC" w:val="0170/2023"/>
    <w:docVar w:name="TXTNRCOD" w:val="2023/0143"/>
    <w:docVar w:name="TXTNRCOM" w:val="(2023)0244"/>
    <w:docVar w:name="TXTNRFIRSTAM" w:val="1"/>
    <w:docVar w:name="TXTNRLASTAM" w:val="13"/>
    <w:docVar w:name="TXTNRPE" w:val="753.732"/>
    <w:docVar w:name="TXTPEorAP" w:val="PE"/>
    <w:docVar w:name="TXTROUTE" w:val="PR\1287064FR.docx"/>
    <w:docVar w:name="TXTTITLE" w:val="amending Council Decision 2009/917/JHA, as regards its alignment with Union rules on the protection of personal data"/>
    <w:docVar w:name="TXTVERSION" w:val="01-00"/>
  </w:docVars>
  <w:rsids>
    <w:rsidRoot w:val="00DA4F4F"/>
    <w:rsid w:val="00011AAB"/>
    <w:rsid w:val="00012351"/>
    <w:rsid w:val="000139E5"/>
    <w:rsid w:val="00077AC9"/>
    <w:rsid w:val="00084DD2"/>
    <w:rsid w:val="00084E89"/>
    <w:rsid w:val="00085F16"/>
    <w:rsid w:val="000B7489"/>
    <w:rsid w:val="000F1096"/>
    <w:rsid w:val="00120948"/>
    <w:rsid w:val="00123DD5"/>
    <w:rsid w:val="001277AE"/>
    <w:rsid w:val="00142215"/>
    <w:rsid w:val="001767E2"/>
    <w:rsid w:val="00187008"/>
    <w:rsid w:val="001B3829"/>
    <w:rsid w:val="001C5592"/>
    <w:rsid w:val="001C5B44"/>
    <w:rsid w:val="001C6FFC"/>
    <w:rsid w:val="001F7C7C"/>
    <w:rsid w:val="00212B84"/>
    <w:rsid w:val="002346B0"/>
    <w:rsid w:val="002667C3"/>
    <w:rsid w:val="002669B6"/>
    <w:rsid w:val="00290BED"/>
    <w:rsid w:val="002D13EE"/>
    <w:rsid w:val="002E33EE"/>
    <w:rsid w:val="002F40BB"/>
    <w:rsid w:val="002F4B02"/>
    <w:rsid w:val="00317D05"/>
    <w:rsid w:val="00323EF8"/>
    <w:rsid w:val="003316DD"/>
    <w:rsid w:val="0033553D"/>
    <w:rsid w:val="003416CE"/>
    <w:rsid w:val="003506ED"/>
    <w:rsid w:val="00366A46"/>
    <w:rsid w:val="00370AC3"/>
    <w:rsid w:val="003824EE"/>
    <w:rsid w:val="003B4689"/>
    <w:rsid w:val="003B48F1"/>
    <w:rsid w:val="003C2068"/>
    <w:rsid w:val="003C37CF"/>
    <w:rsid w:val="003E101F"/>
    <w:rsid w:val="004100B1"/>
    <w:rsid w:val="00426E47"/>
    <w:rsid w:val="00455743"/>
    <w:rsid w:val="00461601"/>
    <w:rsid w:val="004C0915"/>
    <w:rsid w:val="004D424E"/>
    <w:rsid w:val="004E42C8"/>
    <w:rsid w:val="004E733D"/>
    <w:rsid w:val="004F3FA5"/>
    <w:rsid w:val="0051271F"/>
    <w:rsid w:val="00521F46"/>
    <w:rsid w:val="00531669"/>
    <w:rsid w:val="00551111"/>
    <w:rsid w:val="00551123"/>
    <w:rsid w:val="00570A6A"/>
    <w:rsid w:val="00586E50"/>
    <w:rsid w:val="0059583D"/>
    <w:rsid w:val="005A42D9"/>
    <w:rsid w:val="005C2BEF"/>
    <w:rsid w:val="005D1A99"/>
    <w:rsid w:val="005D7609"/>
    <w:rsid w:val="005D7EE8"/>
    <w:rsid w:val="005F2FC9"/>
    <w:rsid w:val="0060531B"/>
    <w:rsid w:val="00616EEA"/>
    <w:rsid w:val="00642325"/>
    <w:rsid w:val="006429E4"/>
    <w:rsid w:val="00673636"/>
    <w:rsid w:val="0069092A"/>
    <w:rsid w:val="006A2F5D"/>
    <w:rsid w:val="006D0B75"/>
    <w:rsid w:val="006F7907"/>
    <w:rsid w:val="00743189"/>
    <w:rsid w:val="00743D33"/>
    <w:rsid w:val="00745BC2"/>
    <w:rsid w:val="007932B3"/>
    <w:rsid w:val="00793EA9"/>
    <w:rsid w:val="007D6F68"/>
    <w:rsid w:val="007E1D29"/>
    <w:rsid w:val="00823E6B"/>
    <w:rsid w:val="00826780"/>
    <w:rsid w:val="00837CCD"/>
    <w:rsid w:val="008633CC"/>
    <w:rsid w:val="00865190"/>
    <w:rsid w:val="008719B9"/>
    <w:rsid w:val="00894923"/>
    <w:rsid w:val="00894ECE"/>
    <w:rsid w:val="00896BB4"/>
    <w:rsid w:val="008A7FB8"/>
    <w:rsid w:val="009022B8"/>
    <w:rsid w:val="00913869"/>
    <w:rsid w:val="00914537"/>
    <w:rsid w:val="00917CC4"/>
    <w:rsid w:val="009763DA"/>
    <w:rsid w:val="009975B3"/>
    <w:rsid w:val="009A216D"/>
    <w:rsid w:val="009B4B93"/>
    <w:rsid w:val="009B650F"/>
    <w:rsid w:val="009F24BE"/>
    <w:rsid w:val="009F6C2F"/>
    <w:rsid w:val="009F767A"/>
    <w:rsid w:val="00A22533"/>
    <w:rsid w:val="00A26F46"/>
    <w:rsid w:val="00A34FD3"/>
    <w:rsid w:val="00A36929"/>
    <w:rsid w:val="00A50548"/>
    <w:rsid w:val="00A60EE7"/>
    <w:rsid w:val="00A660B3"/>
    <w:rsid w:val="00A77BA8"/>
    <w:rsid w:val="00A910C9"/>
    <w:rsid w:val="00AA35B0"/>
    <w:rsid w:val="00AD18C8"/>
    <w:rsid w:val="00AD7FA6"/>
    <w:rsid w:val="00AE4643"/>
    <w:rsid w:val="00AF0416"/>
    <w:rsid w:val="00B10CB4"/>
    <w:rsid w:val="00B13D6F"/>
    <w:rsid w:val="00B23B72"/>
    <w:rsid w:val="00B42702"/>
    <w:rsid w:val="00B54EAF"/>
    <w:rsid w:val="00B57B8B"/>
    <w:rsid w:val="00B77518"/>
    <w:rsid w:val="00B82CF4"/>
    <w:rsid w:val="00B85407"/>
    <w:rsid w:val="00B95702"/>
    <w:rsid w:val="00BB5969"/>
    <w:rsid w:val="00BC6489"/>
    <w:rsid w:val="00BC6B2E"/>
    <w:rsid w:val="00BD480C"/>
    <w:rsid w:val="00C20954"/>
    <w:rsid w:val="00C23324"/>
    <w:rsid w:val="00C27A83"/>
    <w:rsid w:val="00C42A41"/>
    <w:rsid w:val="00C47E74"/>
    <w:rsid w:val="00C57A72"/>
    <w:rsid w:val="00C73602"/>
    <w:rsid w:val="00C85D0F"/>
    <w:rsid w:val="00CF60C8"/>
    <w:rsid w:val="00D30DE2"/>
    <w:rsid w:val="00D32924"/>
    <w:rsid w:val="00D503A3"/>
    <w:rsid w:val="00DA4F4F"/>
    <w:rsid w:val="00DA6ED0"/>
    <w:rsid w:val="00DC5011"/>
    <w:rsid w:val="00DE2933"/>
    <w:rsid w:val="00DE32F3"/>
    <w:rsid w:val="00E171B6"/>
    <w:rsid w:val="00E32121"/>
    <w:rsid w:val="00E36F9D"/>
    <w:rsid w:val="00E72695"/>
    <w:rsid w:val="00E95B14"/>
    <w:rsid w:val="00EB1753"/>
    <w:rsid w:val="00EB6CFF"/>
    <w:rsid w:val="00EE3996"/>
    <w:rsid w:val="00F07062"/>
    <w:rsid w:val="00F23CFC"/>
    <w:rsid w:val="00F4149D"/>
    <w:rsid w:val="00F433E2"/>
    <w:rsid w:val="00F741C3"/>
    <w:rsid w:val="00F904AE"/>
    <w:rsid w:val="00F92D75"/>
    <w:rsid w:val="00F934F8"/>
    <w:rsid w:val="00FB52FE"/>
    <w:rsid w:val="00FC0391"/>
    <w:rsid w:val="00FC0A34"/>
    <w:rsid w:val="00FD1DEF"/>
    <w:rsid w:val="00FE3B3F"/>
    <w:rsid w:val="00FE6435"/>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2359249-5F59-40A1-9B90-2EE525EB0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913869"/>
    <w:pPr>
      <w:tabs>
        <w:tab w:val="right" w:pos="454"/>
        <w:tab w:val="left" w:pos="737"/>
      </w:tabs>
      <w:ind w:left="737" w:hanging="737"/>
    </w:pPr>
    <w:rPr>
      <w:snapToGrid w:val="0"/>
      <w:sz w:val="18"/>
      <w:lang w:eastAsia="en-US"/>
    </w:rPr>
  </w:style>
  <w:style w:type="paragraph" w:customStyle="1" w:styleId="Lgendetitre">
    <w:name w:val="Légende titre"/>
    <w:basedOn w:val="Normal"/>
    <w:rsid w:val="00913869"/>
    <w:pPr>
      <w:spacing w:before="240" w:after="240"/>
    </w:pPr>
    <w:rPr>
      <w:b/>
      <w:i/>
      <w:snapToGrid w:val="0"/>
      <w:lang w:eastAsia="en-US"/>
    </w:rPr>
  </w:style>
  <w:style w:type="paragraph" w:customStyle="1" w:styleId="Lgendestandard">
    <w:name w:val="Légende standard"/>
    <w:basedOn w:val="Normal"/>
    <w:rsid w:val="00913869"/>
    <w:rPr>
      <w:sz w:val="18"/>
    </w:rPr>
  </w:style>
  <w:style w:type="paragraph" w:customStyle="1" w:styleId="Normal6">
    <w:name w:val="Normal6"/>
    <w:basedOn w:val="Normal"/>
    <w:link w:val="Normal6Char"/>
    <w:rsid w:val="00913869"/>
    <w:pPr>
      <w:spacing w:after="120"/>
    </w:pPr>
  </w:style>
  <w:style w:type="paragraph" w:customStyle="1" w:styleId="Normal12Italic">
    <w:name w:val="Normal12Italic"/>
    <w:basedOn w:val="Normal"/>
    <w:rsid w:val="00913869"/>
    <w:pPr>
      <w:spacing w:after="240"/>
    </w:pPr>
    <w:rPr>
      <w:i/>
      <w:noProof/>
    </w:rPr>
  </w:style>
  <w:style w:type="character" w:customStyle="1" w:styleId="NormalBoldChar">
    <w:name w:val="NormalBold Char"/>
    <w:basedOn w:val="DefaultParagraphFont"/>
    <w:link w:val="NormalBold"/>
    <w:rsid w:val="00913869"/>
    <w:rPr>
      <w:b/>
      <w:sz w:val="24"/>
    </w:rPr>
  </w:style>
  <w:style w:type="paragraph" w:customStyle="1" w:styleId="JustificationTitle">
    <w:name w:val="JustificationTitle"/>
    <w:basedOn w:val="Normal"/>
    <w:next w:val="Normal"/>
    <w:rsid w:val="00913869"/>
    <w:pPr>
      <w:keepNext/>
      <w:spacing w:before="240" w:after="240"/>
      <w:jc w:val="center"/>
    </w:pPr>
    <w:rPr>
      <w:i/>
      <w:noProof/>
    </w:rPr>
  </w:style>
  <w:style w:type="character" w:customStyle="1" w:styleId="Normal6Char">
    <w:name w:val="Normal6 Char"/>
    <w:basedOn w:val="DefaultParagraphFont"/>
    <w:link w:val="Normal6"/>
    <w:rsid w:val="00913869"/>
    <w:rPr>
      <w:sz w:val="24"/>
      <w:lang w:val="fr-FR"/>
    </w:rPr>
  </w:style>
  <w:style w:type="paragraph" w:customStyle="1" w:styleId="ColumnHeading">
    <w:name w:val="ColumnHeading"/>
    <w:basedOn w:val="Normal"/>
    <w:rsid w:val="00913869"/>
    <w:pPr>
      <w:spacing w:after="240"/>
      <w:jc w:val="center"/>
    </w:pPr>
    <w:rPr>
      <w:i/>
    </w:rPr>
  </w:style>
  <w:style w:type="paragraph" w:customStyle="1" w:styleId="AMNumberTabs0">
    <w:name w:val="AMNumberTabs"/>
    <w:basedOn w:val="Normal"/>
    <w:rsid w:val="0091386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913869"/>
    <w:pPr>
      <w:jc w:val="right"/>
    </w:pPr>
  </w:style>
  <w:style w:type="paragraph" w:styleId="Footer">
    <w:name w:val="footer"/>
    <w:basedOn w:val="Normal"/>
    <w:link w:val="FooterChar"/>
    <w:semiHidden/>
    <w:rsid w:val="0033553D"/>
    <w:pPr>
      <w:tabs>
        <w:tab w:val="center" w:pos="4513"/>
        <w:tab w:val="right" w:pos="9026"/>
      </w:tabs>
    </w:pPr>
  </w:style>
  <w:style w:type="character" w:customStyle="1" w:styleId="FooterChar">
    <w:name w:val="Footer Char"/>
    <w:basedOn w:val="DefaultParagraphFont"/>
    <w:link w:val="Footer"/>
    <w:semiHidden/>
    <w:rsid w:val="0033553D"/>
    <w:rPr>
      <w:sz w:val="24"/>
    </w:rPr>
  </w:style>
  <w:style w:type="paragraph" w:styleId="BalloonText">
    <w:name w:val="Balloon Text"/>
    <w:basedOn w:val="Normal"/>
    <w:link w:val="BalloonTextChar"/>
    <w:semiHidden/>
    <w:unhideWhenUsed/>
    <w:rsid w:val="00E36F9D"/>
    <w:rPr>
      <w:rFonts w:ascii="Segoe UI" w:hAnsi="Segoe UI" w:cs="Segoe UI"/>
      <w:sz w:val="18"/>
      <w:szCs w:val="18"/>
    </w:rPr>
  </w:style>
  <w:style w:type="character" w:customStyle="1" w:styleId="BalloonTextChar">
    <w:name w:val="Balloon Text Char"/>
    <w:basedOn w:val="DefaultParagraphFont"/>
    <w:link w:val="BalloonText"/>
    <w:semiHidden/>
    <w:rsid w:val="00E36F9D"/>
    <w:rPr>
      <w:rFonts w:ascii="Segoe UI" w:hAnsi="Segoe UI" w:cs="Segoe UI"/>
      <w:sz w:val="18"/>
      <w:szCs w:val="18"/>
    </w:rPr>
  </w:style>
  <w:style w:type="character" w:styleId="CommentReference">
    <w:name w:val="annotation reference"/>
    <w:basedOn w:val="DefaultParagraphFont"/>
    <w:rsid w:val="00E36F9D"/>
    <w:rPr>
      <w:sz w:val="16"/>
      <w:szCs w:val="16"/>
    </w:rPr>
  </w:style>
  <w:style w:type="paragraph" w:styleId="CommentText">
    <w:name w:val="annotation text"/>
    <w:basedOn w:val="Normal"/>
    <w:link w:val="CommentTextChar"/>
    <w:rsid w:val="00E36F9D"/>
    <w:rPr>
      <w:sz w:val="20"/>
    </w:rPr>
  </w:style>
  <w:style w:type="character" w:customStyle="1" w:styleId="CommentTextChar">
    <w:name w:val="Comment Text Char"/>
    <w:basedOn w:val="DefaultParagraphFont"/>
    <w:link w:val="CommentText"/>
    <w:rsid w:val="00E36F9D"/>
  </w:style>
  <w:style w:type="paragraph" w:styleId="CommentSubject">
    <w:name w:val="annotation subject"/>
    <w:basedOn w:val="CommentText"/>
    <w:next w:val="CommentText"/>
    <w:link w:val="CommentSubjectChar"/>
    <w:semiHidden/>
    <w:unhideWhenUsed/>
    <w:rsid w:val="00E36F9D"/>
    <w:rPr>
      <w:b/>
      <w:bCs/>
    </w:rPr>
  </w:style>
  <w:style w:type="character" w:customStyle="1" w:styleId="CommentSubjectChar">
    <w:name w:val="Comment Subject Char"/>
    <w:basedOn w:val="CommentTextChar"/>
    <w:link w:val="CommentSubject"/>
    <w:semiHidden/>
    <w:rsid w:val="00E36F9D"/>
    <w:rPr>
      <w:b/>
      <w:bCs/>
    </w:rPr>
  </w:style>
  <w:style w:type="paragraph" w:styleId="Revision">
    <w:name w:val="Revision"/>
    <w:hidden/>
    <w:uiPriority w:val="99"/>
    <w:semiHidden/>
    <w:rsid w:val="0060531B"/>
    <w:rPr>
      <w:sz w:val="24"/>
    </w:rPr>
  </w:style>
  <w:style w:type="character" w:styleId="Hyperlink">
    <w:name w:val="Hyperlink"/>
    <w:basedOn w:val="DefaultParagraphFont"/>
    <w:rsid w:val="00A77BA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B3FEAC-C471-49B9-BD80-850119C2F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3236</Words>
  <Characters>18381</Characters>
  <Application>Microsoft Office Word</Application>
  <DocSecurity>0</DocSecurity>
  <Lines>680</Lines>
  <Paragraphs>248</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21369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LECUYER Katarzyna</dc:creator>
  <cp:lastModifiedBy>JACOBS Séverine</cp:lastModifiedBy>
  <cp:revision>2</cp:revision>
  <cp:lastPrinted>2004-11-04T09:41:00Z</cp:lastPrinted>
  <dcterms:created xsi:type="dcterms:W3CDTF">2023-10-16T13:37:00Z</dcterms:created>
  <dcterms:modified xsi:type="dcterms:W3CDTF">2023-10-16T13:37:00Z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1287064</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\\eiciBRUpr1\pdocep$\DocEP\TRANSFIL\EN\PR_COD_1amCom.EN(29/06/2022 10:21:37)</vt:lpwstr>
  </property>
  <property fmtid="{D5CDD505-2E9C-101B-9397-08002B2CF9AE}" pid="7" name="&lt;Type&gt;">
    <vt:lpwstr>PR</vt:lpwstr>
  </property>
  <property fmtid="{D5CDD505-2E9C-101B-9397-08002B2CF9AE}" pid="8" name="Bookout">
    <vt:lpwstr>OK - 2023/10/16 15:37</vt:lpwstr>
  </property>
  <property fmtid="{D5CDD505-2E9C-101B-9397-08002B2CF9AE}" pid="9" name="Created with">
    <vt:lpwstr>9.16.1 Build [20230915]</vt:lpwstr>
  </property>
  <property fmtid="{D5CDD505-2E9C-101B-9397-08002B2CF9AE}" pid="10" name="FooterPath">
    <vt:lpwstr>PR\1287064FR.docx</vt:lpwstr>
  </property>
  <property fmtid="{D5CDD505-2E9C-101B-9397-08002B2CF9AE}" pid="11" name="LastEdited with">
    <vt:lpwstr>9.16.1 Build [20230915]</vt:lpwstr>
  </property>
  <property fmtid="{D5CDD505-2E9C-101B-9397-08002B2CF9AE}" pid="12" name="PE number">
    <vt:lpwstr>753.732</vt:lpwstr>
  </property>
  <property fmtid="{D5CDD505-2E9C-101B-9397-08002B2CF9AE}" pid="13" name="SDLStudio">
    <vt:lpwstr/>
  </property>
  <property fmtid="{D5CDD505-2E9C-101B-9397-08002B2CF9AE}" pid="14" name="SendToEpades">
    <vt:lpwstr>NOK(Major:COM)(Minor:TC/AMNUM) - 2023/10/04 12:25</vt:lpwstr>
  </property>
</Properties>
</file>