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C6EF8" w:rsidRPr="00F126C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F126C6" w:rsidRDefault="002A7752" w:rsidP="00C85D0F">
            <w:pPr>
              <w:pStyle w:val="EPName"/>
            </w:pPr>
            <w:bookmarkStart w:id="0" w:name="_GoBack"/>
            <w:bookmarkEnd w:id="0"/>
            <w:r w:rsidRPr="00F126C6">
              <w:t>Parlamento Europeu</w:t>
            </w:r>
          </w:p>
          <w:p w:rsidR="00B13D6F" w:rsidRPr="00F126C6" w:rsidRDefault="002A7752" w:rsidP="00F741C3">
            <w:pPr>
              <w:pStyle w:val="EPTerm"/>
            </w:pPr>
            <w:r w:rsidRPr="00F126C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F126C6" w:rsidRDefault="002A7752" w:rsidP="00C85D0F">
            <w:pPr>
              <w:pStyle w:val="EPLogo"/>
            </w:pPr>
            <w:r w:rsidRPr="00F126C6">
              <w:rPr>
                <w:noProof/>
                <w:lang w:eastAsia="pt-P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F126C6" w:rsidRDefault="00461601" w:rsidP="00461601">
      <w:pPr>
        <w:pStyle w:val="LineTop"/>
      </w:pPr>
    </w:p>
    <w:p w:rsidR="00461601" w:rsidRPr="00F126C6" w:rsidRDefault="002A7752" w:rsidP="00461601">
      <w:pPr>
        <w:pStyle w:val="EPBody"/>
      </w:pPr>
      <w:r w:rsidRPr="00F126C6">
        <w:rPr>
          <w:rStyle w:val="HideTWBExt"/>
        </w:rPr>
        <w:t>&lt;</w:t>
      </w:r>
      <w:r w:rsidRPr="00F126C6">
        <w:rPr>
          <w:rStyle w:val="HideTWBExt"/>
          <w:i w:val="0"/>
        </w:rPr>
        <w:t>Commission</w:t>
      </w:r>
      <w:r w:rsidRPr="00F126C6">
        <w:rPr>
          <w:rStyle w:val="HideTWBExt"/>
        </w:rPr>
        <w:t>&gt;</w:t>
      </w:r>
      <w:r w:rsidRPr="00F126C6">
        <w:rPr>
          <w:rStyle w:val="HideTWBInt"/>
          <w:color w:val="auto"/>
        </w:rPr>
        <w:t>{LIBE}</w:t>
      </w:r>
      <w:r w:rsidRPr="00F126C6">
        <w:t>Comissão das Liberdades Cívicas, da Justiça e dos Assuntos Internos</w:t>
      </w:r>
      <w:r w:rsidRPr="00F126C6">
        <w:rPr>
          <w:rStyle w:val="HideTWBExt"/>
        </w:rPr>
        <w:t>&lt;/</w:t>
      </w:r>
      <w:r w:rsidRPr="00F126C6">
        <w:rPr>
          <w:rStyle w:val="HideTWBExt"/>
          <w:i w:val="0"/>
        </w:rPr>
        <w:t>Commission</w:t>
      </w:r>
      <w:r w:rsidRPr="00F126C6">
        <w:rPr>
          <w:rStyle w:val="HideTWBExt"/>
        </w:rPr>
        <w:t>&gt;</w:t>
      </w:r>
    </w:p>
    <w:p w:rsidR="00461601" w:rsidRPr="00F126C6" w:rsidRDefault="00461601" w:rsidP="00461601">
      <w:pPr>
        <w:pStyle w:val="LineBottom"/>
      </w:pPr>
    </w:p>
    <w:p w:rsidR="00793EA9" w:rsidRPr="00F126C6" w:rsidRDefault="002A7752">
      <w:pPr>
        <w:pStyle w:val="CoverReference"/>
      </w:pPr>
      <w:r w:rsidRPr="00F126C6">
        <w:rPr>
          <w:rStyle w:val="HideTWBExt"/>
          <w:b w:val="0"/>
        </w:rPr>
        <w:t>&lt;RefProc&gt;</w:t>
      </w:r>
      <w:r w:rsidRPr="00F126C6">
        <w:t>2023/0143</w:t>
      </w:r>
      <w:r w:rsidRPr="00F126C6">
        <w:rPr>
          <w:rStyle w:val="HideTWBExt"/>
          <w:b w:val="0"/>
        </w:rPr>
        <w:t>&lt;/RefProc&gt;&lt;RefTypeProc&gt;</w:t>
      </w:r>
      <w:r w:rsidRPr="00F126C6">
        <w:t>(COD)</w:t>
      </w:r>
      <w:r w:rsidRPr="00F126C6">
        <w:rPr>
          <w:rStyle w:val="HideTWBExt"/>
          <w:b w:val="0"/>
        </w:rPr>
        <w:t>&lt;/RefTypeProc&gt;</w:t>
      </w:r>
    </w:p>
    <w:p w:rsidR="00793EA9" w:rsidRPr="00F126C6" w:rsidRDefault="002A7752">
      <w:pPr>
        <w:pStyle w:val="CoverDate"/>
      </w:pPr>
      <w:r w:rsidRPr="00F126C6">
        <w:rPr>
          <w:rStyle w:val="HideTWBExt"/>
        </w:rPr>
        <w:t>&lt;Date&gt;</w:t>
      </w:r>
      <w:r w:rsidRPr="00F126C6">
        <w:rPr>
          <w:rStyle w:val="HideTWBInt"/>
          <w:color w:val="auto"/>
        </w:rPr>
        <w:t>{03/10/2023}</w:t>
      </w:r>
      <w:r w:rsidRPr="00F126C6">
        <w:t>3.10.2023</w:t>
      </w:r>
      <w:r w:rsidRPr="00F126C6">
        <w:rPr>
          <w:rStyle w:val="HideTWBExt"/>
        </w:rPr>
        <w:t>&lt;/Date&gt;</w:t>
      </w:r>
    </w:p>
    <w:p w:rsidR="00793EA9" w:rsidRPr="00F126C6" w:rsidRDefault="002A7752">
      <w:pPr>
        <w:pStyle w:val="CoverDocType"/>
      </w:pPr>
      <w:r w:rsidRPr="00F126C6">
        <w:rPr>
          <w:rStyle w:val="HideTWBExt"/>
          <w:b w:val="0"/>
        </w:rPr>
        <w:t>&lt;RefProcLect&gt;</w:t>
      </w:r>
      <w:r w:rsidRPr="00F126C6">
        <w:t>***I</w:t>
      </w:r>
      <w:r w:rsidRPr="00F126C6">
        <w:rPr>
          <w:rStyle w:val="HideTWBExt"/>
          <w:b w:val="0"/>
        </w:rPr>
        <w:t>&lt;/RefProcLect&gt;</w:t>
      </w:r>
    </w:p>
    <w:p w:rsidR="00793EA9" w:rsidRPr="00F126C6" w:rsidRDefault="002A7752">
      <w:pPr>
        <w:pStyle w:val="CoverDocType24a"/>
      </w:pPr>
      <w:r w:rsidRPr="00F126C6">
        <w:rPr>
          <w:rStyle w:val="HideTWBExt"/>
          <w:b w:val="0"/>
        </w:rPr>
        <w:t>&lt;TitreType&gt;</w:t>
      </w:r>
      <w:r w:rsidRPr="00F126C6">
        <w:t>PROJETO DE RELATÓRIO</w:t>
      </w:r>
      <w:r w:rsidRPr="00F126C6">
        <w:rPr>
          <w:rStyle w:val="HideTWBExt"/>
          <w:b w:val="0"/>
        </w:rPr>
        <w:t>&lt;/TitreType&gt;</w:t>
      </w:r>
    </w:p>
    <w:p w:rsidR="00793EA9" w:rsidRPr="00F126C6" w:rsidRDefault="002A7752">
      <w:pPr>
        <w:pStyle w:val="CoverNormal"/>
      </w:pPr>
      <w:r w:rsidRPr="00F126C6">
        <w:rPr>
          <w:rStyle w:val="HideTWBExt"/>
        </w:rPr>
        <w:t>&lt;Titre&gt;</w:t>
      </w:r>
      <w:r w:rsidRPr="00F126C6">
        <w:t>sobre a proposta de regulamento do Parlamento Europeu e do Conselho que altera a Decisão 2009/917/JAI do Conselho a fim de a harmonizar com as normas da União em matéria de proteção de dados</w:t>
      </w:r>
      <w:r w:rsidRPr="00F126C6">
        <w:t xml:space="preserve"> pessoais</w:t>
      </w:r>
      <w:r w:rsidRPr="00F126C6">
        <w:rPr>
          <w:rStyle w:val="HideTWBExt"/>
        </w:rPr>
        <w:t>&lt;/Titre&gt;</w:t>
      </w:r>
    </w:p>
    <w:p w:rsidR="00793EA9" w:rsidRPr="00F126C6" w:rsidRDefault="002A7752">
      <w:pPr>
        <w:pStyle w:val="CoverNormal24a"/>
      </w:pPr>
      <w:r w:rsidRPr="00F126C6">
        <w:rPr>
          <w:rStyle w:val="HideTWBExt"/>
        </w:rPr>
        <w:t>&lt;DocRef&gt;</w:t>
      </w:r>
      <w:r w:rsidRPr="00F126C6">
        <w:t>(COM(2023)0244 – C9</w:t>
      </w:r>
      <w:r w:rsidRPr="00F126C6">
        <w:noBreakHyphen/>
        <w:t>0170/2023 – 2023/0143(COD))</w:t>
      </w:r>
      <w:r w:rsidRPr="00F126C6">
        <w:rPr>
          <w:rStyle w:val="HideTWBExt"/>
        </w:rPr>
        <w:t>&lt;/DocRef&gt;</w:t>
      </w:r>
    </w:p>
    <w:p w:rsidR="00793EA9" w:rsidRPr="00F126C6" w:rsidRDefault="002A7752">
      <w:pPr>
        <w:pStyle w:val="CoverNormal24a"/>
      </w:pPr>
      <w:r w:rsidRPr="00F126C6">
        <w:rPr>
          <w:rStyle w:val="HideTWBExt"/>
        </w:rPr>
        <w:t>&lt;Commission&gt;</w:t>
      </w:r>
      <w:r w:rsidRPr="00F126C6">
        <w:rPr>
          <w:rStyle w:val="HideTWBInt"/>
          <w:color w:val="auto"/>
        </w:rPr>
        <w:t>{LIBE}</w:t>
      </w:r>
      <w:r w:rsidRPr="00F126C6">
        <w:t>Comissão das Liberdades Cívicas, da Justiça e dos Assuntos Internos</w:t>
      </w:r>
      <w:r w:rsidRPr="00F126C6">
        <w:rPr>
          <w:rStyle w:val="HideTWBExt"/>
        </w:rPr>
        <w:t>&lt;/Commission&gt;</w:t>
      </w:r>
    </w:p>
    <w:p w:rsidR="00793EA9" w:rsidRPr="00F126C6" w:rsidRDefault="002A7752">
      <w:pPr>
        <w:pStyle w:val="CoverNormal24a"/>
      </w:pPr>
      <w:r w:rsidRPr="00F126C6">
        <w:t xml:space="preserve">Relatora: </w:t>
      </w:r>
      <w:r w:rsidRPr="00F126C6">
        <w:rPr>
          <w:rStyle w:val="HideTWBExt"/>
        </w:rPr>
        <w:t>&lt;Depute&gt;</w:t>
      </w:r>
      <w:r w:rsidRPr="00F126C6">
        <w:t>Cornelia Ernst</w:t>
      </w:r>
      <w:r w:rsidRPr="00F126C6">
        <w:rPr>
          <w:rStyle w:val="HideTWBExt"/>
        </w:rPr>
        <w:t>&lt;/Depute&gt;</w:t>
      </w:r>
    </w:p>
    <w:p w:rsidR="001C5B44" w:rsidRPr="00F126C6" w:rsidRDefault="001C5B44" w:rsidP="001C5B44">
      <w:pPr>
        <w:pStyle w:val="CoverNormal"/>
      </w:pPr>
    </w:p>
    <w:p w:rsidR="00913869" w:rsidRPr="00F126C6" w:rsidRDefault="002A7752" w:rsidP="00894923">
      <w:r w:rsidRPr="00F126C6">
        <w:br w:type="page"/>
      </w:r>
      <w:r w:rsidRPr="00F126C6">
        <w:lastRenderedPageBreak/>
        <w:fldChar w:fldCharType="begin"/>
      </w:r>
      <w:r w:rsidRPr="00F126C6">
        <w:instrText xml:space="preserve"> TITLE  \* MERGEFORMAT </w:instrText>
      </w:r>
      <w:r w:rsidRPr="00F126C6">
        <w:fldChar w:fldCharType="separate"/>
      </w:r>
      <w:r>
        <w:t>PR_COD_1amCom</w:t>
      </w:r>
      <w:r w:rsidRPr="00F126C6">
        <w:fldChar w:fldCharType="end"/>
      </w:r>
    </w:p>
    <w:p w:rsidR="00913869" w:rsidRPr="00F126C6" w:rsidRDefault="00913869" w:rsidP="00894923"/>
    <w:p w:rsidR="00913869" w:rsidRPr="00F126C6" w:rsidRDefault="0091386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C6EF8" w:rsidRPr="00F126C6">
        <w:tc>
          <w:tcPr>
            <w:tcW w:w="5811" w:type="dxa"/>
          </w:tcPr>
          <w:p w:rsidR="00913869" w:rsidRPr="00F126C6" w:rsidRDefault="002A7752" w:rsidP="00894923">
            <w:pPr>
              <w:pStyle w:val="Lgendetitre"/>
            </w:pPr>
            <w:r w:rsidRPr="00F126C6">
              <w:t>Legenda dos símbolos utilizados</w:t>
            </w:r>
          </w:p>
        </w:tc>
      </w:tr>
      <w:tr w:rsidR="006C6EF8" w:rsidRPr="00F126C6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913869" w:rsidRPr="00F126C6" w:rsidRDefault="002A7752" w:rsidP="003506ED">
            <w:pPr>
              <w:pStyle w:val="Lgendesigne"/>
            </w:pPr>
            <w:r w:rsidRPr="00F126C6">
              <w:tab/>
              <w:t>*</w:t>
            </w:r>
            <w:r w:rsidRPr="00F126C6">
              <w:tab/>
              <w:t>Processo de consulta</w:t>
            </w:r>
          </w:p>
          <w:p w:rsidR="00913869" w:rsidRPr="00F126C6" w:rsidRDefault="002A7752" w:rsidP="003506ED">
            <w:pPr>
              <w:pStyle w:val="Lgendesigne"/>
            </w:pPr>
            <w:r w:rsidRPr="00F126C6">
              <w:tab/>
              <w:t>***</w:t>
            </w:r>
            <w:r w:rsidRPr="00F126C6">
              <w:tab/>
              <w:t>Processo de aprovação</w:t>
            </w:r>
          </w:p>
          <w:p w:rsidR="00913869" w:rsidRPr="00F126C6" w:rsidRDefault="002A7752" w:rsidP="003506ED">
            <w:pPr>
              <w:pStyle w:val="Lgendesigne"/>
            </w:pPr>
            <w:r w:rsidRPr="00F126C6">
              <w:tab/>
              <w:t>***I</w:t>
            </w:r>
            <w:r w:rsidRPr="00F126C6">
              <w:tab/>
              <w:t>Processo legislativo ordinário (primeira leitura)</w:t>
            </w:r>
          </w:p>
          <w:p w:rsidR="00913869" w:rsidRPr="00F126C6" w:rsidRDefault="002A7752" w:rsidP="003506ED">
            <w:pPr>
              <w:pStyle w:val="Lgendesigne"/>
            </w:pPr>
            <w:r w:rsidRPr="00F126C6">
              <w:tab/>
              <w:t>***II</w:t>
            </w:r>
            <w:r w:rsidRPr="00F126C6">
              <w:tab/>
              <w:t>Processo legislativo ordinário (segunda leitura)</w:t>
            </w:r>
          </w:p>
          <w:p w:rsidR="00913869" w:rsidRPr="00F126C6" w:rsidRDefault="002A7752" w:rsidP="003506ED">
            <w:pPr>
              <w:pStyle w:val="Lgendesigne"/>
            </w:pPr>
            <w:r w:rsidRPr="00F126C6">
              <w:tab/>
              <w:t>***III</w:t>
            </w:r>
            <w:r w:rsidRPr="00F126C6">
              <w:tab/>
              <w:t>Processo legislativo ordinário (t</w:t>
            </w:r>
            <w:r w:rsidRPr="00F126C6">
              <w:t>erceira leitura)</w:t>
            </w:r>
          </w:p>
          <w:p w:rsidR="00913869" w:rsidRPr="00F126C6" w:rsidRDefault="00913869" w:rsidP="003506ED">
            <w:pPr>
              <w:pStyle w:val="Lgendestandard"/>
            </w:pPr>
          </w:p>
          <w:p w:rsidR="00913869" w:rsidRPr="00F126C6" w:rsidRDefault="002A7752" w:rsidP="003506ED">
            <w:pPr>
              <w:pStyle w:val="Lgendestandard"/>
            </w:pPr>
            <w:r w:rsidRPr="00F126C6">
              <w:t>(O processo indicado tem por fundamento a base jurídica proposta no projeto de ato.)</w:t>
            </w:r>
          </w:p>
          <w:p w:rsidR="00913869" w:rsidRPr="00F126C6" w:rsidRDefault="00913869" w:rsidP="00B54EAF">
            <w:pPr>
              <w:pStyle w:val="Lgendestandard"/>
            </w:pPr>
          </w:p>
        </w:tc>
      </w:tr>
    </w:tbl>
    <w:p w:rsidR="00913869" w:rsidRPr="00F126C6" w:rsidRDefault="00913869" w:rsidP="00894923"/>
    <w:p w:rsidR="00913869" w:rsidRPr="00F126C6" w:rsidRDefault="00913869" w:rsidP="00894923"/>
    <w:p w:rsidR="00913869" w:rsidRPr="00F126C6" w:rsidRDefault="00913869" w:rsidP="00894923"/>
    <w:p w:rsidR="00913869" w:rsidRPr="00F126C6" w:rsidRDefault="0091386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6C6EF8" w:rsidRPr="00F126C6">
        <w:tc>
          <w:tcPr>
            <w:tcW w:w="5811" w:type="dxa"/>
          </w:tcPr>
          <w:p w:rsidR="00913869" w:rsidRPr="00F126C6" w:rsidRDefault="002A7752" w:rsidP="00894923">
            <w:pPr>
              <w:pStyle w:val="Lgendetitre"/>
            </w:pPr>
            <w:r w:rsidRPr="00F126C6">
              <w:t>Alterações a um projeto de ato</w:t>
            </w:r>
          </w:p>
        </w:tc>
      </w:tr>
      <w:tr w:rsidR="006C6EF8" w:rsidRPr="00F126C6" w:rsidTr="00554250">
        <w:trPr>
          <w:trHeight w:val="4496"/>
        </w:trPr>
        <w:tc>
          <w:tcPr>
            <w:tcW w:w="5811" w:type="dxa"/>
          </w:tcPr>
          <w:p w:rsidR="00913869" w:rsidRPr="00F126C6" w:rsidRDefault="002A7752" w:rsidP="003506ED">
            <w:pPr>
              <w:pStyle w:val="Lgendestandard"/>
              <w:rPr>
                <w:szCs w:val="24"/>
              </w:rPr>
            </w:pPr>
            <w:r w:rsidRPr="00F126C6">
              <w:rPr>
                <w:b/>
              </w:rPr>
              <w:t>Alterações do Parlamento apresentadas em duas colunas</w:t>
            </w:r>
          </w:p>
          <w:p w:rsidR="00913869" w:rsidRPr="00F126C6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F126C6" w:rsidRDefault="002A7752" w:rsidP="003506ED">
            <w:pPr>
              <w:pStyle w:val="Lgendestandard"/>
              <w:rPr>
                <w:szCs w:val="24"/>
              </w:rPr>
            </w:pPr>
            <w:r w:rsidRPr="00F126C6">
              <w:t xml:space="preserve">As supressões são assinaladas em </w:t>
            </w:r>
            <w:r w:rsidRPr="00F126C6">
              <w:rPr>
                <w:b/>
                <w:bCs/>
                <w:i/>
                <w:iCs/>
              </w:rPr>
              <w:t>itálico</w:t>
            </w:r>
            <w:r w:rsidRPr="00F126C6">
              <w:t xml:space="preserve"> e a </w:t>
            </w:r>
            <w:r w:rsidRPr="00F126C6">
              <w:rPr>
                <w:b/>
                <w:bCs/>
                <w:i/>
                <w:iCs/>
              </w:rPr>
              <w:t>negrito</w:t>
            </w:r>
            <w:r w:rsidRPr="00F126C6">
              <w:t xml:space="preserve"> na coluna da esquerda. As substituições são assinaladas em </w:t>
            </w:r>
            <w:r w:rsidRPr="00F126C6">
              <w:rPr>
                <w:b/>
                <w:bCs/>
                <w:i/>
                <w:iCs/>
              </w:rPr>
              <w:t>itálico</w:t>
            </w:r>
            <w:r w:rsidRPr="00F126C6">
              <w:t xml:space="preserve"> e a </w:t>
            </w:r>
            <w:r w:rsidRPr="00F126C6">
              <w:rPr>
                <w:b/>
                <w:bCs/>
                <w:i/>
                <w:iCs/>
              </w:rPr>
              <w:t>negrito</w:t>
            </w:r>
            <w:r w:rsidRPr="00F126C6">
              <w:t xml:space="preserve"> na coluna da esquerda e na coluna da direita. O texto novo é assinalado em </w:t>
            </w:r>
            <w:r w:rsidRPr="00F126C6">
              <w:rPr>
                <w:b/>
                <w:bCs/>
                <w:i/>
                <w:iCs/>
              </w:rPr>
              <w:t>itálico</w:t>
            </w:r>
            <w:r w:rsidRPr="00F126C6">
              <w:t xml:space="preserve"> e a </w:t>
            </w:r>
            <w:r w:rsidRPr="00F126C6">
              <w:rPr>
                <w:b/>
                <w:bCs/>
                <w:i/>
                <w:iCs/>
              </w:rPr>
              <w:t>negrito</w:t>
            </w:r>
            <w:r w:rsidRPr="00F126C6">
              <w:t xml:space="preserve"> na coluna da direita.</w:t>
            </w:r>
          </w:p>
          <w:p w:rsidR="00913869" w:rsidRPr="00F126C6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F126C6" w:rsidRDefault="002A7752" w:rsidP="003506ED">
            <w:pPr>
              <w:pStyle w:val="Lgendestandard"/>
              <w:rPr>
                <w:szCs w:val="24"/>
              </w:rPr>
            </w:pPr>
            <w:r w:rsidRPr="00F126C6">
              <w:t>A primeira e a segunda linhas do cabeçalho de cada alteraç</w:t>
            </w:r>
            <w:r w:rsidRPr="00F126C6">
              <w:t>ão identificam o passo relevante do projeto de ato em apreço. Se uma alteração disser respeito a um ato já existente, que o projeto de ato pretenda modificar, o cabeçalho comporta ainda uma terceira e uma quarta linhas, que identificam, respetivamente, o a</w:t>
            </w:r>
            <w:r w:rsidRPr="00F126C6">
              <w:t>to existente e a disposição visada do ato em causa.</w:t>
            </w:r>
          </w:p>
          <w:p w:rsidR="00913869" w:rsidRPr="00F126C6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F126C6" w:rsidRDefault="002A7752" w:rsidP="003506ED">
            <w:pPr>
              <w:pStyle w:val="Lgendestandard"/>
              <w:rPr>
                <w:b/>
                <w:szCs w:val="24"/>
              </w:rPr>
            </w:pPr>
            <w:r w:rsidRPr="00F126C6">
              <w:rPr>
                <w:b/>
              </w:rPr>
              <w:t>Alterações do Parlamento apresentadas sob a forma de texto consolidado</w:t>
            </w:r>
          </w:p>
          <w:p w:rsidR="00913869" w:rsidRPr="00F126C6" w:rsidRDefault="00913869" w:rsidP="003506ED">
            <w:pPr>
              <w:pStyle w:val="Lgendestandard"/>
              <w:rPr>
                <w:szCs w:val="24"/>
              </w:rPr>
            </w:pPr>
          </w:p>
          <w:p w:rsidR="00913869" w:rsidRPr="00F126C6" w:rsidRDefault="002A7752" w:rsidP="003506ED">
            <w:pPr>
              <w:pStyle w:val="Lgendestandard"/>
              <w:rPr>
                <w:szCs w:val="24"/>
              </w:rPr>
            </w:pPr>
            <w:r w:rsidRPr="00F126C6">
              <w:t xml:space="preserve">Os trechos novos são assinalados em </w:t>
            </w:r>
            <w:r w:rsidRPr="00F126C6">
              <w:rPr>
                <w:b/>
                <w:bCs/>
                <w:i/>
                <w:iCs/>
              </w:rPr>
              <w:t>itálico</w:t>
            </w:r>
            <w:r w:rsidRPr="00F126C6">
              <w:t xml:space="preserve"> e a </w:t>
            </w:r>
            <w:r w:rsidRPr="00F126C6">
              <w:rPr>
                <w:b/>
                <w:bCs/>
                <w:i/>
                <w:iCs/>
              </w:rPr>
              <w:t>negrito</w:t>
            </w:r>
            <w:r w:rsidRPr="00F126C6">
              <w:t>. Os trechos suprimidos são assinalados pelo símbolo ▌ou rasurados. As subst</w:t>
            </w:r>
            <w:r w:rsidRPr="00F126C6">
              <w:t xml:space="preserve">ituições são assinaladas formatando o texto novo em </w:t>
            </w:r>
            <w:r w:rsidRPr="00F126C6">
              <w:rPr>
                <w:b/>
                <w:bCs/>
                <w:i/>
                <w:iCs/>
              </w:rPr>
              <w:t>itálico</w:t>
            </w:r>
            <w:r w:rsidRPr="00F126C6">
              <w:t xml:space="preserve"> e a </w:t>
            </w:r>
            <w:r w:rsidRPr="00F126C6">
              <w:rPr>
                <w:b/>
                <w:bCs/>
                <w:i/>
                <w:iCs/>
              </w:rPr>
              <w:t>negrito</w:t>
            </w:r>
            <w:r w:rsidRPr="00F126C6">
              <w:t xml:space="preserve"> e suprimindo, ou rasurando, o texto substituído. </w:t>
            </w:r>
          </w:p>
          <w:p w:rsidR="00913869" w:rsidRPr="00F126C6" w:rsidRDefault="002A7752" w:rsidP="003506ED">
            <w:pPr>
              <w:pStyle w:val="Lgendestandard"/>
            </w:pPr>
            <w:r w:rsidRPr="00F126C6">
              <w:t>Exceção: as modificações de natureza estritamente técnica introduzidas pelos serviços com vista à elaboração do texto final não são as</w:t>
            </w:r>
            <w:r w:rsidRPr="00F126C6">
              <w:t>sinaladas.</w:t>
            </w:r>
          </w:p>
          <w:p w:rsidR="00913869" w:rsidRPr="00F126C6" w:rsidRDefault="00913869" w:rsidP="0069092A">
            <w:pPr>
              <w:pStyle w:val="Lgendestandard"/>
            </w:pPr>
          </w:p>
        </w:tc>
      </w:tr>
    </w:tbl>
    <w:p w:rsidR="00913869" w:rsidRPr="00F126C6" w:rsidRDefault="00913869" w:rsidP="00894923"/>
    <w:p w:rsidR="00793EA9" w:rsidRPr="00F126C6" w:rsidRDefault="00793EA9" w:rsidP="00012351">
      <w:pPr>
        <w:widowControl/>
        <w:tabs>
          <w:tab w:val="center" w:pos="4677"/>
        </w:tabs>
      </w:pPr>
    </w:p>
    <w:p w:rsidR="00793EA9" w:rsidRPr="00F126C6" w:rsidRDefault="002A7752">
      <w:pPr>
        <w:pStyle w:val="TOCHeading"/>
      </w:pPr>
      <w:r w:rsidRPr="00F126C6">
        <w:br w:type="page"/>
      </w:r>
      <w:r w:rsidRPr="00F126C6">
        <w:lastRenderedPageBreak/>
        <w:t>ÍNDICE</w:t>
      </w:r>
    </w:p>
    <w:p w:rsidR="00793EA9" w:rsidRPr="00F126C6" w:rsidRDefault="002A7752">
      <w:pPr>
        <w:pStyle w:val="TOCPage"/>
      </w:pPr>
      <w:r w:rsidRPr="00F126C6">
        <w:t>Página</w:t>
      </w:r>
    </w:p>
    <w:p w:rsidR="002A7752" w:rsidRDefault="002A775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t-PT"/>
        </w:rPr>
      </w:pPr>
      <w:r w:rsidRPr="00F126C6">
        <w:rPr>
          <w:b/>
        </w:rPr>
        <w:fldChar w:fldCharType="begin"/>
      </w:r>
      <w:r w:rsidRPr="00F126C6">
        <w:rPr>
          <w:b/>
        </w:rPr>
        <w:instrText xml:space="preserve"> TOC \t "PageHeading</w:instrText>
      </w:r>
      <w:r w:rsidR="006429E4" w:rsidRPr="00F126C6">
        <w:rPr>
          <w:b/>
        </w:rPr>
        <w:instrText>;</w:instrText>
      </w:r>
      <w:r w:rsidRPr="00F126C6">
        <w:rPr>
          <w:b/>
        </w:rPr>
        <w:instrText xml:space="preserve">1" </w:instrText>
      </w:r>
      <w:r w:rsidRPr="00F126C6">
        <w:rPr>
          <w:b/>
        </w:rPr>
        <w:fldChar w:fldCharType="separate"/>
      </w:r>
      <w:r>
        <w:rPr>
          <w:noProof/>
        </w:rPr>
        <w:t>PROJETO DE RESOLUÇÃO LEGISLATIVA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_Toc148109680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F126C6" w:rsidRDefault="002A7752" w:rsidP="00C23324">
      <w:r w:rsidRPr="00F126C6">
        <w:rPr>
          <w:b/>
        </w:rPr>
        <w:fldChar w:fldCharType="end"/>
      </w:r>
    </w:p>
    <w:p w:rsidR="00793EA9" w:rsidRPr="00F126C6" w:rsidRDefault="002A7752">
      <w:pPr>
        <w:pStyle w:val="PageHeading"/>
      </w:pPr>
      <w:r w:rsidRPr="00F126C6">
        <w:br w:type="page"/>
      </w:r>
      <w:r w:rsidRPr="00F126C6">
        <w:br w:type="page"/>
      </w:r>
      <w:bookmarkStart w:id="1" w:name="_Toc148109680"/>
      <w:r w:rsidRPr="00F126C6">
        <w:t>PROJETO DE RESOLUÇÃO LEGISLATIVA DO PARLAMENTO EUROPEU</w:t>
      </w:r>
      <w:bookmarkEnd w:id="1"/>
    </w:p>
    <w:p w:rsidR="00793EA9" w:rsidRPr="00F126C6" w:rsidRDefault="002A7752">
      <w:pPr>
        <w:pStyle w:val="NormalBold"/>
      </w:pPr>
      <w:r w:rsidRPr="00F126C6">
        <w:t xml:space="preserve">sobre a proposta de regulamento do Parlamento Europeu e do Conselho que altera a Decisão 2009/917/JAI do Conselho a fim de a </w:t>
      </w:r>
      <w:r w:rsidRPr="00F126C6">
        <w:t>harmonizar com as normas da União em matéria de proteção de dados pessoais</w:t>
      </w:r>
    </w:p>
    <w:p w:rsidR="00793EA9" w:rsidRPr="00F126C6" w:rsidRDefault="002A7752">
      <w:pPr>
        <w:pStyle w:val="NormalBold12a"/>
      </w:pPr>
      <w:r w:rsidRPr="00F126C6">
        <w:t>(COM(2023)0244 – C9</w:t>
      </w:r>
      <w:r w:rsidRPr="00F126C6">
        <w:noBreakHyphen/>
        <w:t>0170/2023 – 2023/0143(COD))</w:t>
      </w:r>
    </w:p>
    <w:p w:rsidR="00793EA9" w:rsidRPr="00F126C6" w:rsidRDefault="002A7752" w:rsidP="00A910C9">
      <w:pPr>
        <w:pStyle w:val="NormalBold"/>
      </w:pPr>
      <w:r w:rsidRPr="00F126C6">
        <w:t>(Processo legislativo ordinário:  primeira leitura)</w:t>
      </w:r>
    </w:p>
    <w:p w:rsidR="00793EA9" w:rsidRPr="00F126C6" w:rsidRDefault="002A7752" w:rsidP="00A910C9">
      <w:pPr>
        <w:pStyle w:val="EPComma"/>
      </w:pPr>
      <w:r w:rsidRPr="00F126C6">
        <w:rPr>
          <w:i/>
          <w:iCs/>
        </w:rPr>
        <w:t>O Parlamento Europeu</w:t>
      </w:r>
      <w:r w:rsidRPr="00F126C6">
        <w:t>,</w:t>
      </w:r>
    </w:p>
    <w:p w:rsidR="00793EA9" w:rsidRPr="00F126C6" w:rsidRDefault="002A7752">
      <w:pPr>
        <w:pStyle w:val="NormalHanging12a"/>
      </w:pPr>
      <w:r w:rsidRPr="00F126C6">
        <w:t>–</w:t>
      </w:r>
      <w:r w:rsidRPr="00F126C6">
        <w:tab/>
        <w:t>Tendo em conta a proposta da Comissão ao Parlamento Europ</w:t>
      </w:r>
      <w:r w:rsidRPr="00F126C6">
        <w:t>eu e ao Conselho (COM(2023)0244),</w:t>
      </w:r>
    </w:p>
    <w:p w:rsidR="00793EA9" w:rsidRPr="00F126C6" w:rsidRDefault="002A7752">
      <w:pPr>
        <w:pStyle w:val="NormalHanging12a"/>
      </w:pPr>
      <w:r w:rsidRPr="00F126C6">
        <w:t>–</w:t>
      </w:r>
      <w:r w:rsidRPr="00F126C6">
        <w:tab/>
        <w:t>Tendo em conta o artigo 294.º, n.º 2, e o artigo 16.º, n.º 2, do Tratado sobre o Funcionamento da União Europeia, nos termos dos quais a proposta lhe foi apresentada pela Comissão (C9</w:t>
      </w:r>
      <w:r w:rsidRPr="00F126C6">
        <w:noBreakHyphen/>
        <w:t>0170/2023),</w:t>
      </w:r>
    </w:p>
    <w:p w:rsidR="00A26F46" w:rsidRPr="00F126C6" w:rsidRDefault="002A7752" w:rsidP="00A26F46">
      <w:pPr>
        <w:pStyle w:val="NormalHanging12a"/>
      </w:pPr>
      <w:r w:rsidRPr="00F126C6">
        <w:t>–</w:t>
      </w:r>
      <w:r w:rsidRPr="00F126C6">
        <w:tab/>
        <w:t>Tendo em conta o artig</w:t>
      </w:r>
      <w:r w:rsidRPr="00F126C6">
        <w:t>o 294.º, n.º 3, do Tratado sobre o Funcionamento da União Europeia,</w:t>
      </w:r>
    </w:p>
    <w:p w:rsidR="00793EA9" w:rsidRPr="00F126C6" w:rsidRDefault="002A7752">
      <w:pPr>
        <w:pStyle w:val="NormalHanging12a"/>
      </w:pPr>
      <w:r w:rsidRPr="00F126C6">
        <w:t>–</w:t>
      </w:r>
      <w:r w:rsidRPr="00F126C6">
        <w:tab/>
        <w:t>Tendo em conta o artigo 59.º do seu Regimento,</w:t>
      </w:r>
    </w:p>
    <w:p w:rsidR="006A2F5D" w:rsidRPr="00F126C6" w:rsidRDefault="002A7752" w:rsidP="006A2F5D">
      <w:pPr>
        <w:pStyle w:val="NormalHanging12a"/>
      </w:pPr>
      <w:r w:rsidRPr="00F126C6">
        <w:t>–</w:t>
      </w:r>
      <w:r w:rsidRPr="00F126C6">
        <w:tab/>
        <w:t>Tendo em conta o relatório da Comissão das Liberdades Cívicas, da Justiça e dos Assuntos Internos (A9</w:t>
      </w:r>
      <w:r w:rsidRPr="00F126C6">
        <w:noBreakHyphen/>
        <w:t>0000/2023),</w:t>
      </w:r>
    </w:p>
    <w:p w:rsidR="009F6C2F" w:rsidRPr="00F126C6" w:rsidRDefault="002A7752" w:rsidP="009F6C2F">
      <w:pPr>
        <w:pStyle w:val="NormalHanging12a"/>
      </w:pPr>
      <w:r w:rsidRPr="00F126C6">
        <w:t>1.</w:t>
      </w:r>
      <w:r w:rsidRPr="00F126C6">
        <w:tab/>
        <w:t xml:space="preserve">Aprova a posição em </w:t>
      </w:r>
      <w:r w:rsidRPr="00F126C6">
        <w:t>primeira leitura que se segue;</w:t>
      </w:r>
    </w:p>
    <w:p w:rsidR="003416CE" w:rsidRPr="00F126C6" w:rsidRDefault="002A7752" w:rsidP="009F6C2F">
      <w:pPr>
        <w:pStyle w:val="NormalHanging12a"/>
      </w:pPr>
      <w:r w:rsidRPr="00F126C6">
        <w:t>2.</w:t>
      </w:r>
      <w:r w:rsidRPr="00F126C6">
        <w:tab/>
        <w:t>Requer à Comissão que lhe submeta de novo a sua proposta, se a substituir, se a alterar substancialmente ou se pretender alterá-la substancialmente;</w:t>
      </w:r>
    </w:p>
    <w:p w:rsidR="009F6C2F" w:rsidRPr="00F126C6" w:rsidRDefault="002A7752" w:rsidP="009F6C2F">
      <w:pPr>
        <w:pStyle w:val="NormalHanging12a"/>
      </w:pPr>
      <w:r w:rsidRPr="00F126C6">
        <w:t>3.</w:t>
      </w:r>
      <w:r w:rsidRPr="00F126C6">
        <w:tab/>
        <w:t>Encarrega a sua Presidente de transmitir a posição do Parlamento ao Co</w:t>
      </w:r>
      <w:r w:rsidRPr="00F126C6">
        <w:t>nselho, à Comissão e aos parlamentos nacionais.</w:t>
      </w:r>
    </w:p>
    <w:p w:rsidR="00D30DE2" w:rsidRPr="00F126C6" w:rsidRDefault="00D30DE2" w:rsidP="00D30DE2"/>
    <w:p w:rsidR="002669B6" w:rsidRPr="00F126C6" w:rsidRDefault="002669B6" w:rsidP="002669B6"/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&lt;RepeatBlock-Amend&gt;&lt;Amend&gt;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1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Considerando 2</w:t>
      </w:r>
      <w:r w:rsidRPr="00F126C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(2)</w:t>
            </w:r>
            <w:r w:rsidRPr="00F126C6">
              <w:tab/>
              <w:t>A Decisão 2009/917/JAI do Conselho</w:t>
            </w:r>
            <w:r w:rsidRPr="00F126C6">
              <w:rPr>
                <w:vertAlign w:val="superscript"/>
              </w:rPr>
              <w:t>10</w:t>
            </w:r>
            <w:r w:rsidRPr="00F126C6">
              <w:t xml:space="preserve"> relativa à utilização da informática no domínio aduaneiro, estabelece o Sistema de Informação Aduaneiro (SIA) para ajudar a prevenir, investigar e reprimir infrações graves à legislação nacional, tornando os dados mais rapidamente disponíveis e reforçando</w:t>
            </w:r>
            <w:r w:rsidRPr="00F126C6">
              <w:t xml:space="preserve"> a eficácia das administrações aduaneiras. A fim de assegurar uma abordagem coerente da proteção dos dados pessoais na União, esta decisão deverá ser alterada para que seja alinhada com Diretiva (UE) 2016/680. Em especial, as regras de proteção de dados pe</w:t>
            </w:r>
            <w:r w:rsidRPr="00F126C6">
              <w:t xml:space="preserve">ssoais devem respeitar o princípio da </w:t>
            </w:r>
            <w:r w:rsidRPr="00F126C6">
              <w:rPr>
                <w:b/>
                <w:i/>
              </w:rPr>
              <w:t>especificação</w:t>
            </w:r>
            <w:r w:rsidRPr="00F126C6">
              <w:t xml:space="preserve"> da finalidade, limitar-se a categorias específicas de titulares de dados e categorias de dados pessoais, respeitar os requisitos de segurança dos dados, incluir uma proteção adicional para categorias espe</w:t>
            </w:r>
            <w:r w:rsidRPr="00F126C6">
              <w:t>ciais de dados pessoais e respeitar as condições para o tratamento subsequente. Além disso, deve ser prevista a aplicação do modelo de supervisão coordenada estabelecido no artigo 62.º do Regulamento (UE) 2018/1725</w:t>
            </w:r>
            <w:r w:rsidRPr="00F126C6">
              <w:rPr>
                <w:vertAlign w:val="superscript"/>
              </w:rPr>
              <w:t>11</w:t>
            </w:r>
            <w:r w:rsidRPr="00F126C6">
              <w:t>.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(2)</w:t>
            </w:r>
            <w:r w:rsidRPr="00F126C6">
              <w:tab/>
              <w:t>A Decisão 2009/917/JAI do Conselho</w:t>
            </w:r>
            <w:r w:rsidRPr="00F126C6">
              <w:rPr>
                <w:vertAlign w:val="superscript"/>
              </w:rPr>
              <w:t>10</w:t>
            </w:r>
            <w:r w:rsidRPr="00F126C6">
              <w:t xml:space="preserve"> relativa à utilização da informática no domínio aduaneiro, estabelece o Sistema de Informação Aduaneiro (SIA) para ajudar a prevenir, investigar e reprimir infrações graves à legislação nacional, tornando os dados mais rapidamente disponíveis e reforçan</w:t>
            </w:r>
            <w:r w:rsidRPr="00F126C6">
              <w:t xml:space="preserve">do a eficácia das administrações aduaneiras. A fim de assegurar uma abordagem coerente da proteção dos dados pessoais na União, esta decisão deverá ser alterada para que seja alinhada com Diretiva (UE) 2016/680. Em especial, as regras de proteção de dados </w:t>
            </w:r>
            <w:r w:rsidRPr="00F126C6">
              <w:t xml:space="preserve">pessoais devem respeitar o princípio da </w:t>
            </w:r>
            <w:r w:rsidRPr="00F126C6">
              <w:rPr>
                <w:b/>
                <w:i/>
              </w:rPr>
              <w:t>limitação</w:t>
            </w:r>
            <w:r w:rsidRPr="00F126C6">
              <w:t xml:space="preserve"> da finalidade, limitar-se a categorias específicas de titulares de dados e categorias de dados pessoais, respeitar os requisitos de segurança dos dados, incluir uma proteção adicional para categorias especi</w:t>
            </w:r>
            <w:r w:rsidRPr="00F126C6">
              <w:t>ais de dados pessoais e respeitar as condições para o tratamento subsequente. Além disso, deve ser prevista a aplicação do modelo de supervisão coordenada estabelecido no artigo 62.º do Regulamento (UE) 2018/1725</w:t>
            </w:r>
            <w:r w:rsidRPr="00F126C6">
              <w:rPr>
                <w:vertAlign w:val="superscript"/>
              </w:rPr>
              <w:t>11</w:t>
            </w:r>
            <w:r w:rsidRPr="00F126C6">
              <w:t>.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__________________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__________________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rPr>
                <w:vertAlign w:val="superscript"/>
              </w:rPr>
              <w:t>10</w:t>
            </w:r>
            <w:r w:rsidRPr="00F126C6">
              <w:t xml:space="preserve"> Decisão 2009/917/JAI do Conselho relativa à utilização da informática no domínio aduaneiro (JO L 323 de 10.12.2009, p. 20).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rPr>
                <w:vertAlign w:val="superscript"/>
              </w:rPr>
              <w:t>10</w:t>
            </w:r>
            <w:r w:rsidRPr="00F126C6">
              <w:t xml:space="preserve"> Decisão 2009/917/JAI do Conselho relativa à utilização da informática no domínio aduaneiro (JO L 323 de 10.12.2009, p. 20).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rPr>
                <w:vertAlign w:val="superscript"/>
              </w:rPr>
              <w:t>1</w:t>
            </w:r>
            <w:r w:rsidRPr="00F126C6">
              <w:rPr>
                <w:vertAlign w:val="superscript"/>
              </w:rPr>
              <w:t>1</w:t>
            </w:r>
            <w:r w:rsidRPr="00F126C6">
              <w:t xml:space="preserve"> Regulamento (UE) 2018/1725 do Parlamento Europeu e do Conselho, de 23 de outubro de 2018, relativo à proteção das pessoas singulares no que diz respeito ao tratamento de dados pessoais pelas instituições e pelos órgãos e organismos da União e à livre cir</w:t>
            </w:r>
            <w:r w:rsidRPr="00F126C6">
              <w:t>culação desses dados, e que revoga o Regulamento (CE) n.º 45/2001 e a Decisão n.º 1247/2002/CE (JO L 295 de 21.11.2018, p. 39).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rPr>
                <w:vertAlign w:val="superscript"/>
              </w:rPr>
              <w:t>11</w:t>
            </w:r>
            <w:r w:rsidRPr="00F126C6">
              <w:t xml:space="preserve"> Regulamento (UE) 2018/1725 do Parlamento Europeu e do Conselho, de 23 de outubro de 2018, relativo à proteção das pessoas sin</w:t>
            </w:r>
            <w:r w:rsidRPr="00F126C6">
              <w:t>gulares no que diz respeito ao tratamento de dados pessoais pelas instituições e pelos órgãos e organismos da União e à livre circulação desses dados, e que revoga o Regulamento (CE) n.º 45/2001 e a Decisão n.º 1247/2002/CE (JO L 295 de 21.11.2018, p. 39).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2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Considerando 5</w:t>
      </w:r>
      <w:r w:rsidRPr="00F126C6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(5)</w:t>
            </w:r>
            <w:r w:rsidRPr="00F126C6">
              <w:tab/>
            </w:r>
            <w:r w:rsidRPr="00F126C6">
              <w:t>A fim de assegurar a preservação ótima dos dados, reduzindo simultaneamente os encargos administrativos para as autoridades competentes, o procedimento que rege a conservação de dados pessoais no SIA deve ser simplificado, suprimindo a obrigação de rever o</w:t>
            </w:r>
            <w:r w:rsidRPr="00F126C6">
              <w:t xml:space="preserve">s dados anualmente e fixando um período máximo de conservação de </w:t>
            </w:r>
            <w:r w:rsidRPr="00F126C6">
              <w:rPr>
                <w:b/>
                <w:i/>
              </w:rPr>
              <w:t>cinco</w:t>
            </w:r>
            <w:r w:rsidRPr="00F126C6">
              <w:t xml:space="preserve"> anos, que pode ser prorrogado, mediante justificação, por um período adicional de dois anos. Este período de conservação é necessário e proporcionado tendo em conta a duração típica dos</w:t>
            </w:r>
            <w:r w:rsidRPr="00F126C6">
              <w:t xml:space="preserve"> processos penais e a necessidade dos dados para a condução das operações aduaneiras conjuntas e dos inquéritos.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(5)</w:t>
            </w:r>
            <w:r w:rsidRPr="00F126C6">
              <w:tab/>
              <w:t xml:space="preserve">A fim de assegurar a preservação ótima dos dados, reduzindo simultaneamente os encargos administrativos para as autoridades competentes, o </w:t>
            </w:r>
            <w:r w:rsidRPr="00F126C6">
              <w:t xml:space="preserve">procedimento que rege a conservação de dados pessoais no SIA deve ser simplificado, suprimindo a obrigação de rever os dados anualmente e fixando um período máximo de conservação de </w:t>
            </w:r>
            <w:r w:rsidRPr="00F126C6">
              <w:rPr>
                <w:b/>
                <w:i/>
              </w:rPr>
              <w:t>três</w:t>
            </w:r>
            <w:r w:rsidRPr="00F126C6">
              <w:t xml:space="preserve"> anos, que pode ser prorrogado, mediante justificação, por um período </w:t>
            </w:r>
            <w:r w:rsidRPr="00F126C6">
              <w:t>adicional de dois anos. Este período de conservação é necessário e proporcionado tendo em conta a duração típica dos processos penais e a necessidade dos dados para a condução das operações aduaneiras conjuntas e dos inquéritos.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3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B82CF4" w:rsidRPr="00F126C6" w:rsidRDefault="002A7752" w:rsidP="005316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2</w:t>
      </w:r>
      <w:r w:rsidRPr="00F126C6">
        <w:rPr>
          <w:rStyle w:val="HideTWBExt"/>
          <w:b w:val="0"/>
        </w:rPr>
        <w:t>&lt;/Article&gt;</w:t>
      </w:r>
    </w:p>
    <w:p w:rsidR="00E36F9D" w:rsidRPr="00F126C6" w:rsidRDefault="002A7752" w:rsidP="00B82CF4">
      <w:pPr>
        <w:pStyle w:val="NormalBold"/>
        <w:rPr>
          <w:b w:val="0"/>
        </w:rPr>
      </w:pPr>
      <w:r w:rsidRPr="00F126C6">
        <w:rPr>
          <w:rStyle w:val="HideTWBExt"/>
          <w:b w:val="0"/>
        </w:rPr>
        <w:t>&lt;DocAmend2&gt;</w:t>
      </w:r>
      <w:r w:rsidRPr="00F126C6">
        <w:rPr>
          <w:b w:val="0"/>
        </w:rPr>
        <w:t>Decisão 2009/917/JAI do Conselho</w:t>
      </w:r>
      <w:r w:rsidRPr="00F126C6">
        <w:rPr>
          <w:rStyle w:val="HideTWBExt"/>
          <w:b w:val="0"/>
        </w:rPr>
        <w:t>&lt;/DocAmend2&gt;</w:t>
      </w:r>
    </w:p>
    <w:p w:rsidR="00E36F9D" w:rsidRPr="00F126C6" w:rsidRDefault="002A7752" w:rsidP="00BB5969">
      <w:r w:rsidRPr="00F126C6">
        <w:rPr>
          <w:rStyle w:val="HideTWBExt"/>
        </w:rPr>
        <w:t>&lt;Article2&gt;</w:t>
      </w:r>
      <w:r w:rsidRPr="00F126C6">
        <w:t>Artigo 2 – parágrafo 1 – n.º 2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(2)</w:t>
            </w:r>
            <w:r w:rsidRPr="00F126C6">
              <w:tab/>
              <w:t xml:space="preserve">No artigo 2.º, </w:t>
            </w:r>
            <w:r w:rsidRPr="00F126C6">
              <w:rPr>
                <w:b/>
                <w:i/>
              </w:rPr>
              <w:t xml:space="preserve">é suprimido </w:t>
            </w:r>
            <w:r w:rsidRPr="00F126C6">
              <w:t>o n.º 2</w:t>
            </w:r>
            <w:r w:rsidRPr="00F126C6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913869" w:rsidRPr="00F126C6" w:rsidRDefault="002A7752" w:rsidP="00745BC2">
            <w:pPr>
              <w:pStyle w:val="Normal6"/>
              <w:rPr>
                <w:szCs w:val="24"/>
              </w:rPr>
            </w:pPr>
            <w:r w:rsidRPr="00F126C6">
              <w:t>(2)</w:t>
            </w:r>
            <w:r w:rsidRPr="00F126C6">
              <w:tab/>
              <w:t>No artigo 2.º, o n.º 2</w:t>
            </w:r>
            <w:r w:rsidRPr="00F126C6">
              <w:rPr>
                <w:b/>
                <w:i/>
              </w:rPr>
              <w:t xml:space="preserve"> passa a ter a seguinte redação: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F126C6" w:rsidRDefault="002A7752" w:rsidP="00FE6435">
            <w:pPr>
              <w:pStyle w:val="Normal6"/>
              <w:rPr>
                <w:szCs w:val="24"/>
              </w:rPr>
            </w:pPr>
            <w:r w:rsidRPr="00F126C6">
              <w:rPr>
                <w:b/>
                <w:i/>
              </w:rPr>
              <w:t>2.</w:t>
            </w:r>
            <w:r w:rsidRPr="00F126C6">
              <w:tab/>
            </w:r>
            <w:r w:rsidRPr="00F126C6">
              <w:rPr>
                <w:b/>
                <w:i/>
              </w:rPr>
              <w:t>«Dados pessoais», os dados pessoais na aceção do artigo 3.º, ponto 1, da Diretiva (UE) 2016/680.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4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3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 xml:space="preserve">Artigo 3 – n.º 2 </w:t>
      </w:r>
      <w:r w:rsidRPr="00F126C6">
        <w:rPr>
          <w:rStyle w:val="HideTWBExt"/>
        </w:rPr>
        <w:t>&lt;/Ar</w:t>
      </w:r>
      <w:r w:rsidRPr="00F126C6">
        <w:rPr>
          <w:rStyle w:val="HideTWBExt"/>
        </w:rPr>
        <w:t>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 xml:space="preserve">«Relativamente ao tratamento de dados pessoais no Sistema de Informação Aduaneiro, a Comissão é considerada subcontratante, na aceção do artigo 3.º, n.º 12, do Regulamento (UE) 2018/1725, agindo em nome das </w:t>
            </w:r>
            <w:r w:rsidRPr="00F126C6">
              <w:t>autoridades nacionais designadas por cada Estado-Membro, que são consideradas responsáveis pelo tratamento dos dados pessoais.»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«Relativamente ao tratamento de dados pessoais no Sistema de Informação Aduaneiro, a Comissão é considerada subcontratante, na a</w:t>
            </w:r>
            <w:r w:rsidRPr="00F126C6">
              <w:t>ceção do artigo 3.º, n.º 12, do Regulamento (UE) 2018/1725, agindo</w:t>
            </w:r>
            <w:r w:rsidRPr="00F126C6">
              <w:rPr>
                <w:b/>
                <w:i/>
              </w:rPr>
              <w:t>, nos termos do artigo 29.º do mesmo regulamento,</w:t>
            </w:r>
            <w:r w:rsidRPr="00F126C6">
              <w:t xml:space="preserve"> em nome das autoridades nacionais designadas por cada Estado-Membro, que são consideradas responsáveis pelo tratamento dos dados pessoais.»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5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5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>Artigo 5 – n.º 2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«2.</w:t>
            </w:r>
            <w:r w:rsidRPr="00F126C6">
              <w:tab/>
              <w:t>Para efeitos das ações a que se refere o n.º 1, os dados pessoais abrangidos por qualquer uma das categorias enumeradas no n.º 1 do artigo 3.º só podem ser introduzidos no Sistema de Informação Aduaneiro se ex</w:t>
            </w:r>
            <w:r w:rsidRPr="00F126C6">
              <w:t>istirem motivos razoáveis, especialmente com base em antecedentes de atividades ilegais, que levem a crer que a pessoa em causa cometeu, está a cometer ou virá a cometer infrações penais previstas no direito nacional.»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«2.</w:t>
            </w:r>
            <w:r w:rsidRPr="00F126C6">
              <w:tab/>
              <w:t>Para efeitos das ações a que se r</w:t>
            </w:r>
            <w:r w:rsidRPr="00F126C6">
              <w:t>efere o n.º 1, os dados pessoais abrangidos por qualquer uma das categorias enumeradas no n.º 1 do artigo 3.º só podem ser introduzidos no Sistema de Informação Aduaneiro se existirem motivos razoáveis</w:t>
            </w:r>
            <w:r w:rsidRPr="00F126C6">
              <w:rPr>
                <w:b/>
                <w:i/>
              </w:rPr>
              <w:t xml:space="preserve"> e objetivos</w:t>
            </w:r>
            <w:r w:rsidRPr="00F126C6">
              <w:t>, especialmente com base em antecedentes de</w:t>
            </w:r>
            <w:r w:rsidRPr="00F126C6">
              <w:t xml:space="preserve"> atividades ilegais, que levem a crer que a pessoa em causa cometeu, está a cometer ou virá a cometer infrações penais previstas no direito nacional.»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6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 xml:space="preserve">Proposta de </w:t>
      </w:r>
      <w:r w:rsidRPr="00F126C6">
        <w:t>regulamento</w:t>
      </w:r>
      <w:r w:rsidRPr="00F126C6">
        <w:rPr>
          <w:rStyle w:val="HideTWBExt"/>
          <w:b w:val="0"/>
        </w:rPr>
        <w:t>&lt;/DocAmend&gt;</w:t>
      </w:r>
    </w:p>
    <w:p w:rsidR="00B82CF4" w:rsidRPr="00F126C6" w:rsidRDefault="002A7752" w:rsidP="00B82CF4">
      <w:pPr>
        <w:pStyle w:val="NormalBold12b"/>
        <w:keepNext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6 – parte introdutória</w:t>
      </w:r>
      <w:r w:rsidRPr="00F126C6">
        <w:rPr>
          <w:rStyle w:val="HideTWBExt"/>
          <w:b w:val="0"/>
        </w:rPr>
        <w:t>&lt;/Article&gt;</w:t>
      </w:r>
    </w:p>
    <w:p w:rsidR="00E36F9D" w:rsidRPr="00F126C6" w:rsidRDefault="002A7752" w:rsidP="00E36F9D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E36F9D" w:rsidRPr="00F126C6" w:rsidRDefault="002A7752" w:rsidP="00BB5969">
      <w:r w:rsidRPr="00F126C6">
        <w:rPr>
          <w:rStyle w:val="HideTWBExt"/>
        </w:rPr>
        <w:t>&lt;Article2&gt;</w:t>
      </w:r>
      <w:r w:rsidRPr="00F126C6">
        <w:t>Artigo 7 – n.º 3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(6)</w:t>
            </w:r>
            <w:r w:rsidRPr="00F126C6">
              <w:tab/>
              <w:t>No artigo 7.º, o n.º 3</w:t>
            </w:r>
            <w:r w:rsidRPr="00F126C6">
              <w:rPr>
                <w:b/>
                <w:i/>
              </w:rPr>
              <w:t xml:space="preserve"> passa a ter a seguinte redação: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(6)</w:t>
            </w:r>
            <w:r w:rsidRPr="00F126C6">
              <w:tab/>
              <w:t xml:space="preserve">No artigo 7.º, </w:t>
            </w:r>
            <w:r w:rsidRPr="00F126C6">
              <w:rPr>
                <w:b/>
                <w:i/>
              </w:rPr>
              <w:t xml:space="preserve">é suprimido </w:t>
            </w:r>
            <w:r w:rsidRPr="00F126C6">
              <w:t>o n.º 3</w:t>
            </w:r>
            <w:r w:rsidRPr="00F126C6">
              <w:rPr>
                <w:b/>
                <w:i/>
              </w:rPr>
              <w:t>.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E36F9D" w:rsidRPr="00F126C6" w:rsidRDefault="002A7752" w:rsidP="00DE2933">
            <w:pPr>
              <w:pStyle w:val="Normal6"/>
              <w:rPr>
                <w:b/>
                <w:i/>
              </w:rPr>
            </w:pPr>
            <w:r w:rsidRPr="00F126C6">
              <w:rPr>
                <w:b/>
                <w:i/>
              </w:rPr>
              <w:t>«3.</w:t>
            </w:r>
            <w:r w:rsidRPr="00F126C6">
              <w:rPr>
                <w:b/>
                <w:i/>
              </w:rPr>
              <w:tab/>
              <w:t>Não obstante os n.</w:t>
            </w:r>
            <w:r w:rsidRPr="00F126C6">
              <w:rPr>
                <w:b/>
                <w:i/>
                <w:vertAlign w:val="superscript"/>
              </w:rPr>
              <w:t>os</w:t>
            </w:r>
            <w:r w:rsidRPr="00F126C6">
              <w:rPr>
                <w:b/>
                <w:i/>
              </w:rPr>
              <w:t xml:space="preserve"> 1 e 2, o Conselho pode, excecionalmente, deliberando por unanimidade e após consulta do Comité Europeu para a Proteção de Dados, permitir o acesso de organiz</w:t>
            </w:r>
            <w:r w:rsidRPr="00F126C6">
              <w:rPr>
                <w:b/>
                <w:i/>
              </w:rPr>
              <w:t>ações internacionais ou regionais ao Sistema de Informação Aduaneiro, desde que estejam preenchidas cumulativamente as duas condições seguintes:</w:t>
            </w:r>
          </w:p>
        </w:tc>
        <w:tc>
          <w:tcPr>
            <w:tcW w:w="4876" w:type="dxa"/>
          </w:tcPr>
          <w:p w:rsidR="00E36F9D" w:rsidRPr="00F126C6" w:rsidRDefault="00E36F9D" w:rsidP="00DE2933">
            <w:pPr>
              <w:pStyle w:val="Normal6"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E36F9D" w:rsidRPr="00F126C6" w:rsidRDefault="002A7752" w:rsidP="00DE2933">
            <w:pPr>
              <w:pStyle w:val="Normal6"/>
              <w:rPr>
                <w:b/>
                <w:i/>
              </w:rPr>
            </w:pPr>
            <w:r w:rsidRPr="00F126C6">
              <w:rPr>
                <w:b/>
                <w:i/>
              </w:rPr>
              <w:t>(a)</w:t>
            </w:r>
            <w:r w:rsidRPr="00F126C6">
              <w:rPr>
                <w:b/>
                <w:i/>
              </w:rPr>
              <w:tab/>
              <w:t xml:space="preserve">O acesso respeita os princípios gerais aplicáveis às transferências de dados pessoais estabelecidos no </w:t>
            </w:r>
            <w:r w:rsidRPr="00F126C6">
              <w:rPr>
                <w:b/>
                <w:i/>
              </w:rPr>
              <w:t>artigo 35.º ou, quando aplicável, no artigo 39.º da Diretiva (UE) 2016/680;</w:t>
            </w:r>
          </w:p>
        </w:tc>
        <w:tc>
          <w:tcPr>
            <w:tcW w:w="4876" w:type="dxa"/>
          </w:tcPr>
          <w:p w:rsidR="00E36F9D" w:rsidRPr="00F126C6" w:rsidRDefault="00E36F9D" w:rsidP="00DE2933">
            <w:pPr>
              <w:pStyle w:val="Normal6"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E36F9D" w:rsidRPr="00F126C6" w:rsidRDefault="002A7752" w:rsidP="00DE2933">
            <w:pPr>
              <w:pStyle w:val="Normal6"/>
              <w:rPr>
                <w:b/>
                <w:i/>
              </w:rPr>
            </w:pPr>
            <w:r w:rsidRPr="00F126C6">
              <w:rPr>
                <w:b/>
                <w:i/>
              </w:rPr>
              <w:t>(b)</w:t>
            </w:r>
            <w:r w:rsidRPr="00F126C6">
              <w:rPr>
                <w:b/>
                <w:i/>
              </w:rPr>
              <w:tab/>
              <w:t>O acesso tem por base uma decisão de adequação adotada nos termos do artigo 36.º da referida diretiva ou está sujeito a garantias adequadas nos termos do artigo 37.º da mesma</w:t>
            </w:r>
            <w:r w:rsidRPr="00F126C6">
              <w:rPr>
                <w:b/>
                <w:i/>
              </w:rPr>
              <w:t>.»</w:t>
            </w:r>
          </w:p>
        </w:tc>
        <w:tc>
          <w:tcPr>
            <w:tcW w:w="4876" w:type="dxa"/>
          </w:tcPr>
          <w:p w:rsidR="00E36F9D" w:rsidRPr="00F126C6" w:rsidRDefault="00E36F9D" w:rsidP="00DE2933">
            <w:pPr>
              <w:pStyle w:val="Normal6"/>
            </w:pP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7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7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 xml:space="preserve">Artigo 8 – </w:t>
      </w:r>
      <w:r w:rsidRPr="00F126C6">
        <w:t>n.º 1 – parágrafo 1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Os Estados-Membros, a Europol e a Eurojust só podem utilizar os dados pessoais obtidos a partir do Sistema de Informação Aduaneiro para realizarem o objetivo referido no artigo 1.º, n.º 2, em conformidade com as regras aplicáveis do direito da União em mat</w:t>
            </w:r>
            <w:r w:rsidRPr="00F126C6">
              <w:t xml:space="preserve">éria de </w:t>
            </w:r>
            <w:r w:rsidRPr="00F126C6">
              <w:rPr>
                <w:b/>
                <w:i/>
              </w:rPr>
              <w:t>tratamento</w:t>
            </w:r>
            <w:r w:rsidRPr="00F126C6">
              <w:t xml:space="preserve"> de dados pessoais.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Os Estados-Membros, a Europol e a Eurojust só podem utilizar os dados pessoais obtidos a partir do Sistema de Informação Aduaneiro para realizarem o objetivo referido no artigo 1.º, n.º 2, em conformidade com as regras</w:t>
            </w:r>
            <w:r w:rsidRPr="00F126C6">
              <w:t xml:space="preserve"> aplicáveis do direito da União em matéria de </w:t>
            </w:r>
            <w:r w:rsidRPr="00F126C6">
              <w:rPr>
                <w:b/>
                <w:i/>
              </w:rPr>
              <w:t>proteção</w:t>
            </w:r>
            <w:r w:rsidRPr="00F126C6">
              <w:t xml:space="preserve"> de dados pessoais.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8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7-A (novo)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>Artigo 8 – n.º 2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3B48F1">
            <w:pPr>
              <w:pStyle w:val="ColumnHeading"/>
              <w:keepNext/>
            </w:pPr>
            <w:r w:rsidRPr="00F126C6">
              <w:t>Texto em vigor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rPr>
                <w:b/>
                <w:i/>
              </w:rPr>
              <w:t>(7-A)</w:t>
            </w:r>
            <w:r w:rsidRPr="00F126C6">
              <w:rPr>
                <w:b/>
                <w:i/>
              </w:rPr>
              <w:tab/>
              <w:t xml:space="preserve">No artigo 8.º, o n.º 2 passa a ter a seguinte redação: 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E36F9D">
            <w:pPr>
              <w:pStyle w:val="Normal6"/>
            </w:pPr>
            <w:r w:rsidRPr="00F126C6">
              <w:t xml:space="preserve">2. </w:t>
            </w:r>
            <w:r w:rsidRPr="00F126C6">
              <w:rPr>
                <w:b/>
                <w:i/>
              </w:rPr>
              <w:tab/>
            </w:r>
            <w:r w:rsidRPr="00F126C6">
              <w:t>Sem prejuízo do disposto nos n.</w:t>
            </w:r>
            <w:r w:rsidRPr="00F126C6">
              <w:rPr>
                <w:vertAlign w:val="superscript"/>
              </w:rPr>
              <w:t>os</w:t>
            </w:r>
            <w:r w:rsidRPr="00F126C6">
              <w:t xml:space="preserve"> 1 e 4 do presente artigo</w:t>
            </w:r>
            <w:r w:rsidRPr="00F126C6">
              <w:rPr>
                <w:b/>
                <w:i/>
              </w:rPr>
              <w:t xml:space="preserve">, no </w:t>
            </w:r>
            <w:r w:rsidRPr="00F126C6">
              <w:rPr>
                <w:b/>
                <w:i/>
              </w:rPr>
              <w:t>n.º 3 do artigo 7.º</w:t>
            </w:r>
            <w:r w:rsidRPr="00F126C6">
              <w:t xml:space="preserve"> e nos artigos 11.º e 12.º, os dados obtidos a partir do Sistema de Informação Aduaneiro só podem ser utilizados pelas autoridades nacionais de cada Estado-Membro designadas pelo Estado-Membro em causa que, nos termos das disposições leg</w:t>
            </w:r>
            <w:r w:rsidRPr="00F126C6">
              <w:t>islativas, regulamentares e processuais desse mesmo Estado, sejam competentes para prosseguir o objetivo previsto no n.º 2 do artigo 1.</w:t>
            </w:r>
            <w:r w:rsidRPr="00F126C6">
              <w:rPr>
                <w:b/>
                <w:i/>
              </w:rPr>
              <w:t>º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rPr>
                <w:b/>
                <w:i/>
              </w:rPr>
              <w:t>«2.</w:t>
            </w:r>
            <w:r w:rsidRPr="00F126C6">
              <w:t xml:space="preserve"> </w:t>
            </w:r>
            <w:r w:rsidRPr="00F126C6">
              <w:tab/>
              <w:t>Sem prejuízo do disposto nos n.</w:t>
            </w:r>
            <w:r w:rsidRPr="00F126C6">
              <w:rPr>
                <w:vertAlign w:val="superscript"/>
              </w:rPr>
              <w:t>os</w:t>
            </w:r>
            <w:r w:rsidRPr="00F126C6">
              <w:t xml:space="preserve"> 1 e 4 do presente artigo e nos artigos 11.º e 12.º, os dados obtidos a partir do</w:t>
            </w:r>
            <w:r w:rsidRPr="00F126C6">
              <w:t xml:space="preserve"> Sistema de Informação Aduaneiro só podem ser utilizados pelas autoridades nacionais de cada Estado-Membro designadas pelo Estado-Membro em causa que, nos termos das disposições legislativas, regulamentares e processuais desse mesmo Estado, sejam competent</w:t>
            </w:r>
            <w:r w:rsidRPr="00F126C6">
              <w:t>es para prosseguir o objetivo previsto no n.º 2 do artigo 1.</w:t>
            </w:r>
            <w:r w:rsidRPr="00F126C6">
              <w:rPr>
                <w:b/>
                <w:i/>
              </w:rPr>
              <w:t>º»</w:t>
            </w:r>
            <w:r w:rsidRPr="00F126C6">
              <w:t xml:space="preserve"> 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pPr>
        <w:pStyle w:val="JustificationTitle"/>
        <w:rPr>
          <w:noProof w:val="0"/>
        </w:rPr>
      </w:pPr>
      <w:r w:rsidRPr="00F126C6">
        <w:rPr>
          <w:rStyle w:val="HideTWBExt"/>
          <w:i w:val="0"/>
        </w:rPr>
        <w:t>&lt;TitreJust&gt;</w:t>
      </w:r>
      <w:r w:rsidRPr="00F126C6">
        <w:t>Justificação</w:t>
      </w:r>
      <w:r w:rsidRPr="00F126C6">
        <w:rPr>
          <w:rStyle w:val="HideTWBExt"/>
          <w:i w:val="0"/>
        </w:rPr>
        <w:t>&lt;/TitreJust&gt;</w:t>
      </w:r>
    </w:p>
    <w:p w:rsidR="00913869" w:rsidRPr="00F126C6" w:rsidRDefault="002A7752" w:rsidP="00913869">
      <w:pPr>
        <w:pStyle w:val="Normal12Italic"/>
        <w:rPr>
          <w:noProof w:val="0"/>
        </w:rPr>
      </w:pPr>
      <w:r w:rsidRPr="00F126C6">
        <w:t>Eliminação da referência ao artigo 7.º, n.º 3, como consequência da nossa supressão desse número.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9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8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>Artigo 8 – n.º 4 – parágrafo 1 – alínea a)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(a)</w:t>
            </w:r>
            <w:r w:rsidRPr="00F126C6">
              <w:tab/>
              <w:t xml:space="preserve">Transmitidos e tratados posteriormente por autoridades nacionais diferentes das designadas nos termos do n.º 2, em conformidade com as regras aplicáveis do direito da União em matéria de </w:t>
            </w:r>
            <w:r w:rsidRPr="00F126C6">
              <w:rPr>
                <w:b/>
                <w:i/>
              </w:rPr>
              <w:t>tratamento</w:t>
            </w:r>
            <w:r w:rsidRPr="00F126C6">
              <w:t xml:space="preserve"> de dados pessoais; ou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(a)</w:t>
            </w:r>
            <w:r w:rsidRPr="00F126C6">
              <w:tab/>
              <w:t>Transmitidos e tr</w:t>
            </w:r>
            <w:r w:rsidRPr="00F126C6">
              <w:t xml:space="preserve">atados posteriormente por autoridades nacionais diferentes das designadas nos termos do n.º 2, em conformidade com as regras aplicáveis do direito da União em matéria de </w:t>
            </w:r>
            <w:r w:rsidRPr="00F126C6">
              <w:rPr>
                <w:b/>
                <w:i/>
              </w:rPr>
              <w:t>proteção</w:t>
            </w:r>
            <w:r w:rsidRPr="00F126C6">
              <w:t xml:space="preserve"> de dados pessoais; ou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</w:t>
      </w:r>
      <w:r w:rsidRPr="00F126C6">
        <w:t>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10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8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>Artigo 8 – n.º 4 – parágrafo 1 – alínea b)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 xml:space="preserve">Texto da </w:t>
            </w:r>
            <w:r w:rsidRPr="00F126C6">
              <w:t>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(b)</w:t>
            </w:r>
            <w:r w:rsidRPr="00F126C6">
              <w:tab/>
              <w:t xml:space="preserve">Transferidos e tratados posteriormente pelas autoridades competentes de países terceiros e organizações internacionais ou regionais, em conformidade com o capítulo V da Diretiva (UE) 2016/680 e, se for caso disso, com </w:t>
            </w:r>
            <w:r w:rsidRPr="00F126C6">
              <w:rPr>
                <w:b/>
                <w:i/>
              </w:rPr>
              <w:t>o capítulo V</w:t>
            </w:r>
            <w:r w:rsidRPr="00F126C6">
              <w:t> d</w:t>
            </w:r>
            <w:r w:rsidRPr="00F126C6">
              <w:t>o Regulamento (UE) 2018/1725.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(b)</w:t>
            </w:r>
            <w:r w:rsidRPr="00F126C6">
              <w:tab/>
              <w:t xml:space="preserve">Transferidos e tratados posteriormente pelas autoridades competentes de países terceiros e organizações internacionais ou regionais, em conformidade com o capítulo V da Diretiva (UE) 2016/680 e, se for caso disso, com </w:t>
            </w:r>
            <w:r w:rsidRPr="00F126C6">
              <w:rPr>
                <w:b/>
                <w:i/>
              </w:rPr>
              <w:t>os c</w:t>
            </w:r>
            <w:r w:rsidRPr="00F126C6">
              <w:rPr>
                <w:b/>
                <w:i/>
              </w:rPr>
              <w:t>apítulos V e IX</w:t>
            </w:r>
            <w:r w:rsidRPr="00F126C6">
              <w:t> do Regulamento (UE) 2018/1725.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pPr>
        <w:pStyle w:val="JustificationTitle"/>
        <w:rPr>
          <w:noProof w:val="0"/>
        </w:rPr>
      </w:pPr>
      <w:r w:rsidRPr="00F126C6">
        <w:rPr>
          <w:rStyle w:val="HideTWBExt"/>
          <w:i w:val="0"/>
        </w:rPr>
        <w:t>&lt;TitreJust&gt;</w:t>
      </w:r>
      <w:r w:rsidRPr="00F126C6">
        <w:t>Justificação</w:t>
      </w:r>
      <w:r w:rsidRPr="00F126C6">
        <w:rPr>
          <w:rStyle w:val="HideTWBExt"/>
          <w:i w:val="0"/>
        </w:rPr>
        <w:t>&lt;/TitreJust&gt;</w:t>
      </w:r>
    </w:p>
    <w:p w:rsidR="00913869" w:rsidRPr="00F126C6" w:rsidRDefault="002A7752" w:rsidP="00913869">
      <w:pPr>
        <w:pStyle w:val="Normal12Italic"/>
        <w:rPr>
          <w:noProof w:val="0"/>
        </w:rPr>
      </w:pPr>
      <w:r w:rsidRPr="00F126C6">
        <w:t xml:space="preserve">O artigo 94.º do capítulo IX estabelece regras específicas para a transferência de dados pessoais operacionais para países terceiros e deve </w:t>
      </w:r>
      <w:r w:rsidRPr="00F126C6">
        <w:t>ser aditado como referência para efeitos de exaustividade.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11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9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>Artigo 14</w:t>
      </w:r>
      <w:r w:rsidRPr="00F126C6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BB5969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BB5969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BB5969">
        <w:trPr>
          <w:jc w:val="center"/>
        </w:trPr>
        <w:tc>
          <w:tcPr>
            <w:tcW w:w="4876" w:type="dxa"/>
          </w:tcPr>
          <w:p w:rsidR="003E101F" w:rsidRPr="00F126C6" w:rsidRDefault="003E101F" w:rsidP="00BB5969">
            <w:pPr>
              <w:pStyle w:val="Normal6"/>
              <w:jc w:val="center"/>
            </w:pPr>
          </w:p>
        </w:tc>
        <w:tc>
          <w:tcPr>
            <w:tcW w:w="4876" w:type="dxa"/>
          </w:tcPr>
          <w:p w:rsidR="003E101F" w:rsidRPr="00F126C6" w:rsidRDefault="002A7752" w:rsidP="00BB5969">
            <w:pPr>
              <w:pStyle w:val="Normal6"/>
              <w:jc w:val="center"/>
              <w:rPr>
                <w:b/>
                <w:i/>
              </w:rPr>
            </w:pPr>
            <w:r w:rsidRPr="00F126C6">
              <w:rPr>
                <w:b/>
                <w:i/>
              </w:rPr>
              <w:t>Artigo 14.º</w:t>
            </w:r>
          </w:p>
        </w:tc>
      </w:tr>
      <w:tr w:rsidR="006C6EF8" w:rsidRPr="00F126C6" w:rsidTr="00BB5969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>«Os dados pessoais introduzidos no Sistema de Informação Aduaneiro são conservados apenas durante o tempo necessário para realizarem o objetivo referido no artigo 1.º, n.º 2</w:t>
            </w:r>
            <w:r w:rsidRPr="00F126C6">
              <w:rPr>
                <w:b/>
                <w:i/>
              </w:rPr>
              <w:t>, e nã</w:t>
            </w:r>
            <w:r w:rsidRPr="00F126C6">
              <w:rPr>
                <w:b/>
                <w:i/>
              </w:rPr>
              <w:t>o podem ser conservados para além de um prazo</w:t>
            </w:r>
            <w:r w:rsidRPr="00F126C6">
              <w:t xml:space="preserve"> de </w:t>
            </w:r>
            <w:r w:rsidRPr="00F126C6">
              <w:rPr>
                <w:b/>
                <w:i/>
              </w:rPr>
              <w:t>cinco</w:t>
            </w:r>
            <w:r w:rsidRPr="00F126C6">
              <w:t xml:space="preserve"> anos. No entanto, excecionalmente, esses dados podem ser conservados por um período adicional máximo de dois anos, se e na medida </w:t>
            </w:r>
            <w:r w:rsidRPr="00F126C6">
              <w:rPr>
                <w:b/>
                <w:i/>
              </w:rPr>
              <w:t>em que tal seja</w:t>
            </w:r>
            <w:r w:rsidRPr="00F126C6">
              <w:t xml:space="preserve"> estritamente necessário para alcançar esse objetivo num</w:t>
            </w:r>
            <w:r w:rsidRPr="00F126C6">
              <w:t xml:space="preserve"> caso concreto.»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>«Os dados pessoais introduzidos no Sistema de Informação Aduaneiro são conservados apenas durante o tempo necessário para realizarem o objetivo referido no artigo 1.º, n.º 2</w:t>
            </w:r>
            <w:r w:rsidRPr="00F126C6">
              <w:rPr>
                <w:b/>
                <w:i/>
              </w:rPr>
              <w:t>. A necessidade da sua conservação deve ser revista, pelo menos,</w:t>
            </w:r>
            <w:r w:rsidRPr="00F126C6">
              <w:t xml:space="preserve"> de </w:t>
            </w:r>
            <w:r w:rsidRPr="00F126C6">
              <w:rPr>
                <w:b/>
                <w:i/>
              </w:rPr>
              <w:t>três em três</w:t>
            </w:r>
            <w:r w:rsidRPr="00F126C6">
              <w:t xml:space="preserve"> anos. No entanto, excecionalmente, esses dados podem ser conservados por um período adicional máximo de dois anos, se e na medida </w:t>
            </w:r>
            <w:r w:rsidRPr="00F126C6">
              <w:rPr>
                <w:b/>
                <w:i/>
              </w:rPr>
              <w:t>do</w:t>
            </w:r>
            <w:r w:rsidRPr="00F126C6">
              <w:t xml:space="preserve"> estritamente necessário para alcançar esse objetivo num caso concreto.»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r w:rsidRPr="00F126C6">
        <w:rPr>
          <w:rStyle w:val="HideTWBExt"/>
        </w:rPr>
        <w:t>&lt;</w:t>
      </w:r>
      <w:r w:rsidRPr="00F126C6">
        <w:rPr>
          <w:rStyle w:val="HideTWBExt"/>
        </w:rPr>
        <w:t>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&lt;NumAm&gt;</w:t>
      </w:r>
      <w:r w:rsidRPr="00F126C6">
        <w:t>12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11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>Artigo 20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t xml:space="preserve">«A Diretiva (UE) 2016/680 </w:t>
            </w:r>
            <w:r w:rsidRPr="00F126C6">
              <w:rPr>
                <w:b/>
                <w:i/>
              </w:rPr>
              <w:t>aplica-se</w:t>
            </w:r>
            <w:r w:rsidRPr="00F126C6">
              <w:t xml:space="preserve"> ao tratamento de dados pessoais ao abrigo da presente decisão.»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t xml:space="preserve">«A Diretiva (UE) 2016/680 </w:t>
            </w:r>
            <w:r w:rsidRPr="00F126C6">
              <w:rPr>
                <w:b/>
                <w:i/>
              </w:rPr>
              <w:t>e o Regulamento (UE) 2018/1725 aplicam-se</w:t>
            </w:r>
            <w:r w:rsidRPr="00F126C6">
              <w:t xml:space="preserve"> ao tratamento de dados pessoais ao abrigo da presente decisão.»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</w:t>
      </w:r>
      <w:r w:rsidRPr="00F126C6">
        <w:rPr>
          <w:rStyle w:val="HideTWBExt"/>
        </w:rPr>
        <w:t>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913869" w:rsidRPr="00F126C6" w:rsidRDefault="002A7752" w:rsidP="00913869">
      <w:pPr>
        <w:pStyle w:val="JustificationTitle"/>
        <w:rPr>
          <w:noProof w:val="0"/>
        </w:rPr>
      </w:pPr>
      <w:r w:rsidRPr="00F126C6">
        <w:rPr>
          <w:rStyle w:val="HideTWBExt"/>
          <w:i w:val="0"/>
        </w:rPr>
        <w:t>&lt;TitreJust&gt;</w:t>
      </w:r>
      <w:r w:rsidRPr="00F126C6">
        <w:t>Justificação</w:t>
      </w:r>
      <w:r w:rsidRPr="00F126C6">
        <w:rPr>
          <w:rStyle w:val="HideTWBExt"/>
          <w:i w:val="0"/>
        </w:rPr>
        <w:t>&lt;/TitreJust&gt;</w:t>
      </w:r>
    </w:p>
    <w:p w:rsidR="00913869" w:rsidRPr="00F126C6" w:rsidRDefault="002A7752" w:rsidP="00913869">
      <w:pPr>
        <w:pStyle w:val="Normal12Italic"/>
        <w:rPr>
          <w:noProof w:val="0"/>
        </w:rPr>
      </w:pPr>
      <w:r w:rsidRPr="00F126C6">
        <w:t>Aditamento de uma referência ao RPDUE para efeitos de exaustividade, uma vez que algumas operações de tratamento são realizadas pelo Instituto Universitário Europeu (IUE).</w:t>
      </w:r>
    </w:p>
    <w:p w:rsidR="00913869" w:rsidRPr="00F126C6" w:rsidRDefault="002A7752" w:rsidP="00913869">
      <w:r w:rsidRPr="00F126C6">
        <w:rPr>
          <w:rStyle w:val="HideTWBExt"/>
        </w:rPr>
        <w:t>&lt;/Amend&gt;</w:t>
      </w:r>
    </w:p>
    <w:p w:rsidR="00913869" w:rsidRPr="00F126C6" w:rsidRDefault="002A7752" w:rsidP="00913869">
      <w:pPr>
        <w:pStyle w:val="AMNumberTabs0"/>
        <w:keepNext/>
      </w:pPr>
      <w:r w:rsidRPr="00F126C6">
        <w:rPr>
          <w:rStyle w:val="HideTWBExt"/>
          <w:b w:val="0"/>
        </w:rPr>
        <w:t>&lt;Amend&gt;</w:t>
      </w:r>
      <w:r w:rsidRPr="00F126C6">
        <w:t>Alteração</w:t>
      </w:r>
      <w:r w:rsidRPr="00F126C6">
        <w:tab/>
      </w:r>
      <w:r w:rsidRPr="00F126C6">
        <w:tab/>
      </w:r>
      <w:r w:rsidRPr="00F126C6">
        <w:rPr>
          <w:rStyle w:val="HideTWBExt"/>
          <w:b w:val="0"/>
        </w:rPr>
        <w:t>&lt;</w:t>
      </w:r>
      <w:r w:rsidRPr="00F126C6">
        <w:rPr>
          <w:rStyle w:val="HideTWBExt"/>
          <w:b w:val="0"/>
        </w:rPr>
        <w:t>NumAm&gt;</w:t>
      </w:r>
      <w:r w:rsidRPr="00F126C6">
        <w:t>13</w:t>
      </w:r>
      <w:r w:rsidRPr="00F126C6">
        <w:rPr>
          <w:rStyle w:val="HideTWBExt"/>
          <w:b w:val="0"/>
        </w:rPr>
        <w:t>&lt;/NumAm&gt;</w:t>
      </w:r>
    </w:p>
    <w:p w:rsidR="00913869" w:rsidRPr="00F126C6" w:rsidRDefault="002A7752" w:rsidP="00913869">
      <w:pPr>
        <w:pStyle w:val="NormalBold12b"/>
        <w:keepNext/>
      </w:pPr>
      <w:r w:rsidRPr="00F126C6">
        <w:rPr>
          <w:rStyle w:val="HideTWBExt"/>
          <w:b w:val="0"/>
        </w:rPr>
        <w:t>&lt;DocAmend&gt;</w:t>
      </w:r>
      <w:r w:rsidRPr="00F126C6">
        <w:t>Proposta de regulamento</w:t>
      </w:r>
      <w:r w:rsidRPr="00F126C6">
        <w:rPr>
          <w:rStyle w:val="HideTWBExt"/>
          <w:b w:val="0"/>
        </w:rPr>
        <w:t>&lt;/DocAmend&gt;</w:t>
      </w:r>
    </w:p>
    <w:p w:rsidR="00913869" w:rsidRPr="00F126C6" w:rsidRDefault="002A7752" w:rsidP="00913869">
      <w:pPr>
        <w:pStyle w:val="NormalBold"/>
      </w:pPr>
      <w:r w:rsidRPr="00F126C6">
        <w:rPr>
          <w:rStyle w:val="HideTWBExt"/>
          <w:b w:val="0"/>
        </w:rPr>
        <w:t>&lt;Article&gt;</w:t>
      </w:r>
      <w:r w:rsidRPr="00F126C6">
        <w:t>Artigo 1 – parágrafo 1 – ponto 13</w:t>
      </w:r>
      <w:r w:rsidRPr="00F126C6">
        <w:rPr>
          <w:rStyle w:val="HideTWBExt"/>
          <w:b w:val="0"/>
        </w:rPr>
        <w:t>&lt;/Article&gt;</w:t>
      </w:r>
    </w:p>
    <w:p w:rsidR="00913869" w:rsidRPr="00F126C6" w:rsidRDefault="002A7752" w:rsidP="00913869">
      <w:pPr>
        <w:keepNext/>
      </w:pPr>
      <w:r w:rsidRPr="00F126C6">
        <w:rPr>
          <w:rStyle w:val="HideTWBExt"/>
        </w:rPr>
        <w:t>&lt;DocAmend2&gt;</w:t>
      </w:r>
      <w:r w:rsidRPr="00F126C6">
        <w:t>Decisão 2009/917/JAI do Conselho</w:t>
      </w:r>
      <w:r w:rsidRPr="00F126C6">
        <w:rPr>
          <w:rStyle w:val="HideTWBExt"/>
        </w:rPr>
        <w:t>&lt;/DocAmend2&gt;</w:t>
      </w:r>
    </w:p>
    <w:p w:rsidR="00913869" w:rsidRPr="00F126C6" w:rsidRDefault="002A7752" w:rsidP="00913869">
      <w:r w:rsidRPr="00F126C6">
        <w:rPr>
          <w:rStyle w:val="HideTWBExt"/>
        </w:rPr>
        <w:t>&lt;Article2&gt;</w:t>
      </w:r>
      <w:r w:rsidRPr="00F126C6">
        <w:t>Artigo 26</w:t>
      </w:r>
      <w:r w:rsidRPr="00F126C6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C6EF8" w:rsidRPr="00F126C6" w:rsidTr="00DE2933">
        <w:trPr>
          <w:jc w:val="center"/>
        </w:trPr>
        <w:tc>
          <w:tcPr>
            <w:tcW w:w="9752" w:type="dxa"/>
            <w:gridSpan w:val="2"/>
          </w:tcPr>
          <w:p w:rsidR="00913869" w:rsidRPr="00F126C6" w:rsidRDefault="00913869" w:rsidP="00DE2933">
            <w:pPr>
              <w:keepNext/>
            </w:pP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Texto da Comissão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ColumnHeading"/>
              <w:keepNext/>
            </w:pPr>
            <w:r w:rsidRPr="00F126C6">
              <w:t>Alteração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3B48F1" w:rsidRPr="00F126C6" w:rsidRDefault="003B48F1" w:rsidP="00BB5969">
            <w:pPr>
              <w:pStyle w:val="Normal6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3B48F1" w:rsidRPr="00F126C6" w:rsidRDefault="002A7752" w:rsidP="00BB5969">
            <w:pPr>
              <w:pStyle w:val="Normal6"/>
              <w:jc w:val="center"/>
              <w:rPr>
                <w:b/>
                <w:bCs/>
                <w:i/>
                <w:iCs/>
              </w:rPr>
            </w:pPr>
            <w:r w:rsidRPr="00F126C6">
              <w:rPr>
                <w:b/>
                <w:i/>
              </w:rPr>
              <w:t>Artigo 26.º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2A7752" w:rsidP="00DE2933">
            <w:pPr>
              <w:pStyle w:val="Normal6"/>
            </w:pPr>
            <w:r w:rsidRPr="00F126C6">
              <w:rPr>
                <w:b/>
                <w:bCs/>
                <w:i/>
                <w:iCs/>
              </w:rPr>
              <w:t xml:space="preserve">«A </w:t>
            </w:r>
            <w:r w:rsidRPr="00F126C6">
              <w:rPr>
                <w:b/>
                <w:bCs/>
                <w:i/>
                <w:iCs/>
              </w:rPr>
              <w:t>supervisão coordenada entre as autoridades nacionais de controlo e a</w:t>
            </w:r>
            <w:r w:rsidRPr="00F126C6">
              <w:t xml:space="preserve"> Autoridade Europeia para a Proteção de Dados é </w:t>
            </w:r>
            <w:r w:rsidRPr="00F126C6">
              <w:rPr>
                <w:b/>
                <w:bCs/>
                <w:i/>
                <w:iCs/>
              </w:rPr>
              <w:t>realizada</w:t>
            </w:r>
            <w:r w:rsidRPr="00F126C6">
              <w:t xml:space="preserve"> em conformidade com o artigo 62.º do Regulamento (UE) 2018/1725.»</w:t>
            </w: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rPr>
                <w:b/>
                <w:i/>
              </w:rPr>
              <w:t>«1.</w:t>
            </w:r>
            <w:r w:rsidRPr="00F126C6">
              <w:t xml:space="preserve"> </w:t>
            </w:r>
            <w:r w:rsidRPr="00F126C6">
              <w:tab/>
            </w:r>
            <w:r w:rsidRPr="00F126C6">
              <w:rPr>
                <w:b/>
                <w:bCs/>
                <w:i/>
                <w:iCs/>
              </w:rPr>
              <w:t>A</w:t>
            </w:r>
            <w:r w:rsidRPr="00F126C6">
              <w:t xml:space="preserve"> Autoridade Europeia para a Proteção de Dados é </w:t>
            </w:r>
            <w:r w:rsidRPr="00F126C6">
              <w:rPr>
                <w:b/>
                <w:bCs/>
                <w:i/>
                <w:iCs/>
              </w:rPr>
              <w:t>responsáve</w:t>
            </w:r>
            <w:r w:rsidRPr="00F126C6">
              <w:rPr>
                <w:b/>
                <w:bCs/>
                <w:i/>
                <w:iCs/>
              </w:rPr>
              <w:t>l pelo controlo do tratamento de dados pessoais por parte da Comissão ao abrigo do presente regulamento e por assegurar que esse tratamento é realizado em conformidade com o presente regulamento.</w:t>
            </w:r>
            <w:r w:rsidRPr="00F126C6">
              <w:rPr>
                <w:b/>
                <w:i/>
              </w:rPr>
              <w:t xml:space="preserve"> São aplicáveis, em conformidade, as atribuições e os poderes</w:t>
            </w:r>
            <w:r w:rsidRPr="00F126C6">
              <w:rPr>
                <w:b/>
                <w:i/>
              </w:rPr>
              <w:t xml:space="preserve"> a que se referem os artigos 57.º e 58.º do Regulamento (UE) 2018/1725.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rPr>
                <w:b/>
                <w:i/>
              </w:rPr>
              <w:t xml:space="preserve">2. </w:t>
            </w:r>
            <w:r w:rsidRPr="00F126C6">
              <w:tab/>
            </w:r>
            <w:r w:rsidRPr="00F126C6">
              <w:rPr>
                <w:b/>
                <w:i/>
              </w:rPr>
              <w:t>A Autoridade Europeia para a Proteção de Dados efetua, no mínimo de três em três anos, uma auditoria do tratamento de dados pessoais por parte da Comissão ao abrigo do presente r</w:t>
            </w:r>
            <w:r w:rsidRPr="00F126C6">
              <w:rPr>
                <w:b/>
                <w:i/>
              </w:rPr>
              <w:t>egulamento, em conformidade com as normas internacionais de auditoria. O relatório relativo a essa auditoria é enviado ao Parlamento Europeu, ao Conselho, à Comissão e às autoridades nacionais de controlo.</w:t>
            </w:r>
          </w:p>
        </w:tc>
      </w:tr>
      <w:tr w:rsidR="006C6EF8" w:rsidRPr="00F126C6" w:rsidTr="00DE2933">
        <w:trPr>
          <w:jc w:val="center"/>
        </w:trPr>
        <w:tc>
          <w:tcPr>
            <w:tcW w:w="4876" w:type="dxa"/>
          </w:tcPr>
          <w:p w:rsidR="00913869" w:rsidRPr="00F126C6" w:rsidRDefault="00913869" w:rsidP="00DE2933">
            <w:pPr>
              <w:pStyle w:val="Normal6"/>
            </w:pPr>
          </w:p>
        </w:tc>
        <w:tc>
          <w:tcPr>
            <w:tcW w:w="4876" w:type="dxa"/>
          </w:tcPr>
          <w:p w:rsidR="00913869" w:rsidRPr="00F126C6" w:rsidRDefault="002A7752" w:rsidP="00DE2933">
            <w:pPr>
              <w:pStyle w:val="Normal6"/>
              <w:rPr>
                <w:szCs w:val="24"/>
              </w:rPr>
            </w:pPr>
            <w:r w:rsidRPr="00F126C6">
              <w:rPr>
                <w:b/>
                <w:i/>
              </w:rPr>
              <w:t xml:space="preserve">3. </w:t>
            </w:r>
            <w:r w:rsidRPr="00F126C6">
              <w:tab/>
            </w:r>
            <w:r w:rsidRPr="00F126C6">
              <w:rPr>
                <w:b/>
                <w:i/>
              </w:rPr>
              <w:t>As autoridades nacionais de controlo dos Est</w:t>
            </w:r>
            <w:r w:rsidRPr="00F126C6">
              <w:rPr>
                <w:b/>
                <w:i/>
              </w:rPr>
              <w:t>ados-Membros e a Autoridade Europeia para a Proteção de Dados, agindo no âmbito das respetivas competências, cooperam ativamente no quadro das suas responsabilidades e asseguram uma supervisão coordenada,</w:t>
            </w:r>
            <w:r w:rsidRPr="00F126C6">
              <w:t xml:space="preserve"> em conformidade com o artigo 62.º do Regulamento (U</w:t>
            </w:r>
            <w:r w:rsidRPr="00F126C6">
              <w:t>E) 2018/1725.»</w:t>
            </w:r>
          </w:p>
        </w:tc>
      </w:tr>
    </w:tbl>
    <w:p w:rsidR="00913869" w:rsidRPr="00F126C6" w:rsidRDefault="002A7752" w:rsidP="00913869">
      <w:pPr>
        <w:pStyle w:val="Olang"/>
        <w:rPr>
          <w:sz w:val="24"/>
          <w:szCs w:val="24"/>
        </w:rPr>
      </w:pPr>
      <w:r w:rsidRPr="00F126C6">
        <w:rPr>
          <w:sz w:val="24"/>
          <w:szCs w:val="24"/>
        </w:rPr>
        <w:t xml:space="preserve">Or. </w:t>
      </w:r>
      <w:r w:rsidRPr="00F126C6">
        <w:rPr>
          <w:rStyle w:val="HideTWBExt"/>
        </w:rPr>
        <w:t>&lt;Original&gt;</w:t>
      </w:r>
      <w:r w:rsidRPr="00F126C6">
        <w:rPr>
          <w:rStyle w:val="HideTWBInt"/>
          <w:sz w:val="24"/>
          <w:szCs w:val="24"/>
        </w:rPr>
        <w:t>{EN}</w:t>
      </w:r>
      <w:r w:rsidRPr="00F126C6">
        <w:rPr>
          <w:sz w:val="24"/>
          <w:szCs w:val="24"/>
        </w:rPr>
        <w:t>en</w:t>
      </w:r>
      <w:r w:rsidRPr="00F126C6">
        <w:rPr>
          <w:rStyle w:val="HideTWBExt"/>
        </w:rPr>
        <w:t>&lt;/Original&gt;</w:t>
      </w:r>
    </w:p>
    <w:p w:rsidR="002669B6" w:rsidRPr="00F126C6" w:rsidRDefault="002A7752" w:rsidP="00913869">
      <w:pPr>
        <w:rPr>
          <w:rStyle w:val="HideTWBExt"/>
        </w:rPr>
      </w:pPr>
      <w:r w:rsidRPr="00F126C6">
        <w:rPr>
          <w:rStyle w:val="HideTWBExt"/>
        </w:rPr>
        <w:t>&lt;/Amend&gt;&lt;/RepeatBlock-Amend&gt;</w:t>
      </w:r>
    </w:p>
    <w:sectPr w:rsidR="002669B6" w:rsidRPr="00F126C6" w:rsidSect="00F126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F126C6" w:rsidRDefault="002A7752">
      <w:r w:rsidRPr="00F126C6">
        <w:separator/>
      </w:r>
    </w:p>
  </w:endnote>
  <w:endnote w:type="continuationSeparator" w:id="0">
    <w:p w:rsidR="00000000" w:rsidRPr="00F126C6" w:rsidRDefault="002A7752">
      <w:r w:rsidRPr="00F126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6C6" w:rsidRPr="00F126C6" w:rsidRDefault="00F126C6" w:rsidP="00F126C6">
    <w:pPr>
      <w:pStyle w:val="EPFooter"/>
    </w:pPr>
    <w:r w:rsidRPr="00F126C6">
      <w:t>PE</w:t>
    </w:r>
    <w:r w:rsidRPr="00F126C6">
      <w:rPr>
        <w:rStyle w:val="HideTWBExt"/>
      </w:rPr>
      <w:t>&lt;NoPE&gt;</w:t>
    </w:r>
    <w:r w:rsidRPr="00F126C6">
      <w:t>753.732</w:t>
    </w:r>
    <w:r w:rsidRPr="00F126C6">
      <w:rPr>
        <w:rStyle w:val="HideTWBExt"/>
      </w:rPr>
      <w:t>&lt;/NoPE&gt;&lt;Version&gt;</w:t>
    </w:r>
    <w:r w:rsidRPr="00F126C6">
      <w:t>v01-00</w:t>
    </w:r>
    <w:r w:rsidRPr="00F126C6">
      <w:rPr>
        <w:rStyle w:val="HideTWBExt"/>
      </w:rPr>
      <w:t>&lt;/Version&gt;</w:t>
    </w:r>
    <w:r w:rsidRPr="00F126C6">
      <w:tab/>
    </w:r>
    <w:r w:rsidRPr="00F126C6">
      <w:fldChar w:fldCharType="begin"/>
    </w:r>
    <w:r w:rsidRPr="00F126C6">
      <w:instrText xml:space="preserve"> PAGE  \* MERGEFORMAT </w:instrText>
    </w:r>
    <w:r w:rsidRPr="00F126C6">
      <w:fldChar w:fldCharType="separate"/>
    </w:r>
    <w:r w:rsidR="002A7752">
      <w:rPr>
        <w:noProof/>
      </w:rPr>
      <w:t>2</w:t>
    </w:r>
    <w:r w:rsidRPr="00F126C6">
      <w:fldChar w:fldCharType="end"/>
    </w:r>
    <w:r w:rsidRPr="00F126C6">
      <w:t>/</w:t>
    </w:r>
    <w:fldSimple w:instr=" NUMPAGES  \* MERGEFORMAT ">
      <w:r w:rsidR="002A7752">
        <w:rPr>
          <w:noProof/>
        </w:rPr>
        <w:t>13</w:t>
      </w:r>
    </w:fldSimple>
    <w:r w:rsidRPr="00F126C6">
      <w:tab/>
    </w:r>
    <w:r w:rsidRPr="00F126C6">
      <w:rPr>
        <w:rStyle w:val="HideTWBExt"/>
      </w:rPr>
      <w:t>&lt;PathFdR&gt;</w:t>
    </w:r>
    <w:r w:rsidRPr="00F126C6">
      <w:t>PR\1287064PT.docx</w:t>
    </w:r>
    <w:r w:rsidRPr="00F126C6">
      <w:rPr>
        <w:rStyle w:val="HideTWBExt"/>
      </w:rPr>
      <w:t>&lt;/PathFdR&gt;</w:t>
    </w:r>
  </w:p>
  <w:p w:rsidR="00FB52FE" w:rsidRPr="00F126C6" w:rsidRDefault="00F126C6" w:rsidP="00F126C6">
    <w:pPr>
      <w:pStyle w:val="EPFooter2"/>
    </w:pPr>
    <w:r w:rsidRPr="00F126C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6C6" w:rsidRPr="00F126C6" w:rsidRDefault="00F126C6" w:rsidP="00F126C6">
    <w:pPr>
      <w:pStyle w:val="EPFooter"/>
    </w:pPr>
    <w:r w:rsidRPr="00F126C6">
      <w:rPr>
        <w:rStyle w:val="HideTWBExt"/>
      </w:rPr>
      <w:t>&lt;PathFdR&gt;</w:t>
    </w:r>
    <w:r w:rsidRPr="00F126C6">
      <w:t>PR\1287064PT.docx</w:t>
    </w:r>
    <w:r w:rsidRPr="00F126C6">
      <w:rPr>
        <w:rStyle w:val="HideTWBExt"/>
      </w:rPr>
      <w:t>&lt;/PathFdR&gt;</w:t>
    </w:r>
    <w:r w:rsidRPr="00F126C6">
      <w:tab/>
    </w:r>
    <w:r w:rsidRPr="00F126C6">
      <w:fldChar w:fldCharType="begin"/>
    </w:r>
    <w:r w:rsidRPr="00F126C6">
      <w:instrText xml:space="preserve"> PAGE  \* MERGEFORMAT </w:instrText>
    </w:r>
    <w:r w:rsidRPr="00F126C6">
      <w:fldChar w:fldCharType="separate"/>
    </w:r>
    <w:r w:rsidR="002A7752">
      <w:rPr>
        <w:noProof/>
      </w:rPr>
      <w:t>13</w:t>
    </w:r>
    <w:r w:rsidRPr="00F126C6">
      <w:fldChar w:fldCharType="end"/>
    </w:r>
    <w:r w:rsidRPr="00F126C6">
      <w:t>/</w:t>
    </w:r>
    <w:fldSimple w:instr=" NUMPAGES  \* MERGEFORMAT ">
      <w:r w:rsidR="002A7752">
        <w:rPr>
          <w:noProof/>
        </w:rPr>
        <w:t>13</w:t>
      </w:r>
    </w:fldSimple>
    <w:r w:rsidRPr="00F126C6">
      <w:tab/>
      <w:t>PE</w:t>
    </w:r>
    <w:r w:rsidRPr="00F126C6">
      <w:rPr>
        <w:rStyle w:val="HideTWBExt"/>
      </w:rPr>
      <w:t>&lt;NoPE&gt;</w:t>
    </w:r>
    <w:r w:rsidRPr="00F126C6">
      <w:t>753.732</w:t>
    </w:r>
    <w:r w:rsidRPr="00F126C6">
      <w:rPr>
        <w:rStyle w:val="HideTWBExt"/>
      </w:rPr>
      <w:t>&lt;/NoPE&gt;&lt;Version&gt;</w:t>
    </w:r>
    <w:r w:rsidRPr="00F126C6">
      <w:t>v01-00</w:t>
    </w:r>
    <w:r w:rsidRPr="00F126C6">
      <w:rPr>
        <w:rStyle w:val="HideTWBExt"/>
      </w:rPr>
      <w:t>&lt;/Version&gt;</w:t>
    </w:r>
  </w:p>
  <w:p w:rsidR="00FB52FE" w:rsidRPr="00F126C6" w:rsidRDefault="00F126C6" w:rsidP="00F126C6">
    <w:pPr>
      <w:pStyle w:val="EPFooter2"/>
    </w:pPr>
    <w:r w:rsidRPr="00F126C6">
      <w:tab/>
    </w:r>
    <w:r w:rsidRPr="00F126C6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6C6" w:rsidRPr="00F126C6" w:rsidRDefault="00F126C6" w:rsidP="00F126C6">
    <w:pPr>
      <w:pStyle w:val="EPFooter"/>
    </w:pPr>
    <w:r w:rsidRPr="00F126C6">
      <w:rPr>
        <w:rStyle w:val="HideTWBExt"/>
      </w:rPr>
      <w:t>&lt;PathFdR&gt;</w:t>
    </w:r>
    <w:r w:rsidRPr="00F126C6">
      <w:t>PR\1287064PT.docx</w:t>
    </w:r>
    <w:r w:rsidRPr="00F126C6">
      <w:rPr>
        <w:rStyle w:val="HideTWBExt"/>
      </w:rPr>
      <w:t>&lt;/PathFdR&gt;</w:t>
    </w:r>
    <w:r w:rsidRPr="00F126C6">
      <w:tab/>
    </w:r>
    <w:r w:rsidRPr="00F126C6">
      <w:tab/>
      <w:t>PE</w:t>
    </w:r>
    <w:r w:rsidRPr="00F126C6">
      <w:rPr>
        <w:rStyle w:val="HideTWBExt"/>
      </w:rPr>
      <w:t>&lt;NoPE&gt;</w:t>
    </w:r>
    <w:r w:rsidRPr="00F126C6">
      <w:t>753.732</w:t>
    </w:r>
    <w:r w:rsidRPr="00F126C6">
      <w:rPr>
        <w:rStyle w:val="HideTWBExt"/>
      </w:rPr>
      <w:t>&lt;/NoPE&gt;&lt;Version&gt;</w:t>
    </w:r>
    <w:r w:rsidRPr="00F126C6">
      <w:t>v01-00</w:t>
    </w:r>
    <w:r w:rsidRPr="00F126C6">
      <w:rPr>
        <w:rStyle w:val="HideTWBExt"/>
      </w:rPr>
      <w:t>&lt;/Version&gt;</w:t>
    </w:r>
  </w:p>
  <w:p w:rsidR="00FB52FE" w:rsidRPr="00F126C6" w:rsidRDefault="00F126C6" w:rsidP="00F126C6">
    <w:pPr>
      <w:pStyle w:val="EPFooter2"/>
    </w:pPr>
    <w:r w:rsidRPr="00F126C6">
      <w:t>PT</w:t>
    </w:r>
    <w:r w:rsidRPr="00F126C6">
      <w:tab/>
    </w:r>
    <w:r w:rsidRPr="00F126C6">
      <w:rPr>
        <w:b w:val="0"/>
        <w:i/>
        <w:color w:val="C0C0C0"/>
        <w:sz w:val="22"/>
      </w:rPr>
      <w:t>Unida na diversidade</w:t>
    </w:r>
    <w:r w:rsidRPr="00F126C6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F126C6" w:rsidRDefault="002A7752">
      <w:r w:rsidRPr="00F126C6">
        <w:separator/>
      </w:r>
    </w:p>
  </w:footnote>
  <w:footnote w:type="continuationSeparator" w:id="0">
    <w:p w:rsidR="00000000" w:rsidRPr="00F126C6" w:rsidRDefault="002A7752">
      <w:r w:rsidRPr="00F126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7" w:rsidRDefault="00A834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7" w:rsidRDefault="00A834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7" w:rsidRDefault="00A834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CopyToNetwork" w:val="-1"/>
    <w:docVar w:name="DOCMNU" w:val=" 1"/>
    <w:docVar w:name="EPSTATMNU" w:val=" 5"/>
    <w:docVar w:name="INSTITUTIONSMNU" w:val=" 2"/>
    <w:docVar w:name="JURI1MNU" w:val=" 1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7\fbidi \froman\fcharset238\fprq2 Times New Roman CE;}{\f328\fbidi \froman\fcharset204\fprq2 Times New Roman Cyr;}_x000d__x000a_{\f330\fbidi \froman\fcharset161\fprq2 Times New Roman Greek;}{\f331\fbidi \froman\fcharset162\fprq2 Times New Roman Tur;}{\f332\fbidi \froman\fcharset177\fprq2 Times New Roman (Hebrew);}{\f333\fbidi \froman\fcharset178\fprq2 Times New Roman (Arabic);}_x000d__x000a_{\f334\fbidi \froman\fcharset186\fprq2 Times New Roman Baltic;}{\f335\fbidi \froman\fcharset163\fprq2 Times New Roman (Vietnamese);}{\f337\fbidi \fswiss\fcharset238\fprq2 Arial CE;}{\f338\fbidi \fswiss\fcharset204\fprq2 Arial Cyr;}_x000d__x000a_{\f340\fbidi \fswiss\fcharset161\fprq2 Arial Greek;}{\f341\fbidi \fswiss\fcharset162\fprq2 Arial Tur;}{\f342\fbidi \fswiss\fcharset177\fprq2 Arial (Hebrew);}{\f343\fbidi \fswiss\fcharset178\fprq2 Arial (Arabic);}_x000d__x000a_{\f344\fbidi \fswiss\fcharset186\fprq2 Arial Baltic;}{\f345\fbidi \fswiss\fcharset163\fprq2 Arial (Vietnamese);}{\f667\fbidi \froman\fcharset238\fprq2 Cambria Math CE;}{\f668\fbidi \froman\fcharset204\fprq2 Cambria Math Cyr;}_x000d__x000a_{\f670\fbidi \froman\fcharset161\fprq2 Cambria Math Greek;}{\f671\fbidi \froman\fcharset162\fprq2 Cambria Math Tur;}{\f674\fbidi \froman\fcharset186\fprq2 Cambria Math Baltic;}{\f675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689061 HideTWBExt;}{\*\cs18 \additive \v\f1\fs20\cf15 _x000d__x000a_\spriority0 \styrsid7689061 HideTWBInt;}{\s19\ql \li0\ri0\sa120\nowidctlpar\wrapdefault\aspalpha\aspnum\faauto\adjustright\rin0\lin0\itap0 \rtlch\fcs1 \af0\afs20\alang1025 \ltrch\fcs0 \fs24\lang2057\langfe2057\cgrid\langnp2057\langfenp2057 _x000d__x000a_\sbasedon0 \snext19 \spriority0 \styrsid7689061 Normal6a;}{\s20\ql \li0\ri0\nowidctlpar\wrapdefault\aspalpha\aspnum\faauto\adjustright\rin0\lin0\itap0 \rtlch\fcs1 \af0\afs20\alang1025 \ltrch\fcs0 \b\fs24\lang2057\langfe2057\cgrid\langnp2057\langfenp2057 _x000d__x000a_\sbasedon0 \snext20 \spriority0 \styrsid7689061 NormalBold;}{\s21\ql \li0\ri0\sa240\nowidctlpar\wrapdefault\aspalpha\aspnum\faauto\adjustright\rin0\lin0\itap0 \rtlch\fcs1 \af0\afs20\alang1025 \ltrch\fcs0 _x000d__x000a_\i\fs24\lang2057\langfe2057\cgrid\langnp2057\langfenp2057 \sbasedon0 \snext21 \spriority0 \styrsid7689061 AmJustText;}{\s22\qc \li0\ri0\sb240\sa240\nowidctlpar\wrapdefault\aspalpha\aspnum\faauto\adjustright\rin0\lin0\itap0 \rtlch\fcs1 _x000d__x000a_\af0\afs20\alang1025 \ltrch\fcs0 \i\fs24\lang2057\langfe2057\cgrid\langnp2057\langfenp2057 \sbasedon0 \snext22 \spriority0 \styrsid768906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689061 AmJustTitle;}{\s24\qr \li0\ri0\sb240\sa240\nowidctlpar\wrapdefault\aspalpha\aspnum\faauto\adjustright\rin0\lin0\itap0 \rtlch\fcs1 \af0\afs20\alang1025 \ltrch\fcs0 _x000d__x000a_\fs24\lang2057\langfe2057\cgrid\langnp2057\langfenp2057 \sbasedon0 \snext24 \spriority0 \styrsid7689061 AmOrLang;}{\s25\qc \li0\ri0\sa240\nowidctlpar\wrapdefault\aspalpha\aspnum\faauto\adjustright\rin0\lin0\itap0 \rtlch\fcs1 \af0\afs20\alang1025 _x000d__x000a_\ltrch\fcs0 \i\fs24\lang2057\langfe2057\cgrid\langnp2057\langfenp2057 \sbasedon0 \snext25 \spriority0 \styrsid768906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689061 AmNumberTabs;}{\s27\ql \li0\ri0\sb240\nowidctlpar\wrapdefault\aspalpha\aspnum\faauto\adjustright\rin0\lin0\itap0 \rtlch\fcs1 _x000d__x000a_\af0\afs20\alang1025 \ltrch\fcs0 \b\fs24\lang2057\langfe2057\cgrid\langnp2057\langfenp2057 \sbasedon0 \snext27 \spriority0 \styrsid7689061 NormalBold12b;}}{\*\rsidtbl \rsid24658\rsid223860\rsid735077\rsid1718133\rsid2892074\rsid3565327\rsid4666813_x000d__x000a_\rsid6641733\rsid7689061\rsid7823322\rsid9636012\rsid10377208\rsid11215221\rsid11549030\rsid12154954\rsid14382809\rsid14424199\rsid15204470\rsid15285974\rsid15950462\rsid16324206\rsid16583342\rsid16662270}{\mmathPr\mmathFont34\mbrkBin0\mbrkBinSub0_x000d__x000a_\msmallFrac0\mdispDef1\mlMargin0\mrMargin0\mdefJc1\mwrapIndent1440\mintLim0\mnaryLim1}{\info{\author LECUYER Katarzyna}{\operator LECUYER Katarzyna}{\creatim\yr2023\mo10\dy2\hr9\min58}{\revtim\yr2023\mo10\dy2\hr9\min58}{\version1}{\edmins0}{\nofpages1}_x000d__x000a_{\nofwords104}{\nofchars596}{\nofcharsws69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68906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5833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833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833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833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689061 \rtlch\fcs1 _x000d__x000a_\af0\afs20\alang1025 \ltrch\fcs0 \b\fs24\lang2057\langfe2057\cgrid\langnp2057\langfenp2057 {\rtlch\fcs1 \af0 \ltrch\fcs0 \cs17\b0\v\fs20\cf9\lang1024\langfe1024\loch\af1\hich\af1\dbch\af31501\noproof\insrsid7689061\charrsid14307151 {\*\bkmkstart restart}_x000d__x000a_\hich\af1\dbch\af31501\loch\f1 &lt;Amend&gt;}{\rtlch\fcs1 \af0 \ltrch\fcs0 \insrsid7689061\charrsid14307151 Amendment\tab \tab }{\rtlch\fcs1 \af0 \ltrch\fcs0 _x000d__x000a_\cs17\b0\v\fs20\cf9\lang1024\langfe1024\loch\af1\hich\af1\dbch\af31501\noproof\insrsid7689061\charrsid14307151 \hich\af1\dbch\af31501\loch\f1 &lt;NumAm&gt;}{\rtlch\fcs1 \af0 \ltrch\fcs0 \insrsid7689061\charrsid14307151 #}{\rtlch\fcs1 \af1 \ltrch\fcs0 _x000d__x000a_\cs18\v\f1\fs20\cf15\insrsid7689061\charrsid14307151 ENMIENDA@NRAM@}{\rtlch\fcs1 \af0 \ltrch\fcs0 \insrsid7689061\charrsid14307151 #}{\rtlch\fcs1 \af0 \ltrch\fcs0 _x000d__x000a_\cs17\b0\v\fs20\cf9\lang1024\langfe1024\loch\af1\hich\af1\dbch\af31501\noproof\insrsid7689061\charrsid14307151 \hich\af1\dbch\af31501\loch\f1 &lt;/NumAm&gt;}{\rtlch\fcs1 \af0 \ltrch\fcs0 \insrsid7689061\charrsid14307151 _x000d__x000a_\par }\pard\plain \ltrpar\s27\ql \li0\ri0\sb240\keepn\nowidctlpar\wrapdefault\aspalpha\aspnum\faauto\adjustright\rin0\lin0\itap0\pararsid7689061 \rtlch\fcs1 \af0\afs20\alang1025 \ltrch\fcs0 \b\fs24\lang2057\langfe2057\cgrid\langnp2057\langfenp2057 {_x000d__x000a_\rtlch\fcs1 \af0 \ltrch\fcs0 \cs17\b0\v\fs20\cf9\lang1024\langfe1024\loch\af1\hich\af1\dbch\af31501\noproof\insrsid7689061\charrsid14307151 \hich\af1\dbch\af31501\loch\f1 &lt;DocAmend&gt;}{\rtlch\fcs1 \af0 \ltrch\fcs0 \insrsid7689061\charrsid14307151 _x000d__x000a_Proposal for a #}{\rtlch\fcs1 \af1 \ltrch\fcs0 \cs18\v\f1\fs20\cf15\insrsid7689061\charrsid14307151 MNU[DOC1][DOC2][DOC3]@DOCMSG@DOCMNU}{\rtlch\fcs1 \af0 \ltrch\fcs0 \insrsid7689061\charrsid14307151 ##}{\rtlch\fcs1 \af1 \ltrch\fcs0 _x000d__x000a_\cs18\v\f1\fs20\cf15\insrsid7689061\charrsid14307151 MNU[AMACTYES][NOTAPP]@CHOICE@AMACTMNU}{\rtlch\fcs1 \af0 \ltrch\fcs0 \insrsid7689061\charrsid14307151 #}{\rtlch\fcs1 \af0 \ltrch\fcs0 _x000d__x000a_\cs17\b0\v\fs20\cf9\lang1024\langfe1024\loch\af1\hich\af1\dbch\af31501\noproof\insrsid7689061\charrsid14307151 \hich\af1\dbch\af31501\loch\f1 &lt;/DocAmend&gt;}{\rtlch\fcs1 \af0 \ltrch\fcs0 \insrsid7689061\charrsid14307151 _x000d__x000a_\par }\pard\plain \ltrpar\s20\ql \li0\ri0\keepn\nowidctlpar\wrapdefault\aspalpha\aspnum\faauto\adjustright\rin0\lin0\itap0\pararsid7689061 \rtlch\fcs1 \af0\afs20\alang1025 \ltrch\fcs0 \b\fs24\lang2057\langfe2057\cgrid\langnp2057\langfenp2057 {\rtlch\fcs1 \af0 _x000d__x000a_\ltrch\fcs0 \cs17\b0\v\fs20\cf9\lang1024\langfe1024\loch\af1\hich\af1\dbch\af31501\noproof\insrsid7689061\charrsid14307151 \hich\af1\dbch\af31501\loch\f1 &lt;Article&gt;}{\rtlch\fcs1 \af0 \ltrch\fcs0 \insrsid7689061\charrsid14307151 #}{\rtlch\fcs1 \af1 _x000d__x000a_\ltrch\fcs0 \cs18\v\f1\fs20\cf15\insrsid7689061\charrsid14307151 MNU[AMACTPARTYES][AMACTPARTNO]@CHOICE@AMACTMNU}{\rtlch\fcs1 \af0 \ltrch\fcs0 \insrsid7689061\charrsid14307151 #}{\rtlch\fcs1 \af0 \ltrch\fcs0 _x000d__x000a_\cs17\b0\v\fs20\cf9\lang1024\langfe1024\loch\af1\hich\af1\dbch\af31501\noproof\insrsid7689061\charrsid14307151 \hich\af1\dbch\af31501\loch\f1 &lt;/Article&gt;}{\rtlch\fcs1 \af0 \ltrch\fcs0 \insrsid7689061\charrsid14307151 _x000d__x000a_\par }\pard\plain \ltrpar\ql \li0\ri0\keepn\widctlpar\wrapdefault\aspalpha\aspnum\faauto\adjustright\rin0\lin0\itap0\pararsid7689061 \rtlch\fcs1 \af0\afs20\alang1025 \ltrch\fcs0 \fs24\lang2057\langfe2057\cgrid\langnp2057\langfenp2057 {\rtlch\fcs1 \af0 _x000d__x000a_\ltrch\fcs0 \cs17\v\fs20\cf9\lang1024\langfe1024\loch\af1\hich\af1\dbch\af31501\noproof\insrsid7689061\charrsid14307151 \hich\af1\dbch\af31501\loch\f1 &lt;DocAmend2&gt;&lt;OptDel&gt;}{\rtlch\fcs1 \af0 \ltrch\fcs0 \insrsid7689061\charrsid14307151 #}{\rtlch\fcs1 \af1 _x000d__x000a_\ltrch\fcs0 \cs18\v\f1\fs20\cf15\insrsid7689061\charrsid14307151 MNU[OPTNRACTYES][NOTAPP]@CHOICE@AMACTMNU}{\rtlch\fcs1 \af0 \ltrch\fcs0 \insrsid7689061\charrsid14307151 #}{\rtlch\fcs1 \af0 \ltrch\fcs0 _x000d__x000a_\cs17\v\fs20\cf9\lang1024\langfe1024\loch\af1\hich\af1\dbch\af31501\noproof\insrsid7689061\charrsid14307151 \hich\af1\dbch\af31501\loch\f1 &lt;/OptDel&gt;&lt;/DocAmend2&gt;}{\rtlch\fcs1 \af0 \ltrch\fcs0 \insrsid7689061\charrsid14307151 _x000d__x000a_\par }\pard \ltrpar\ql \li0\ri0\widctlpar\wrapdefault\aspalpha\aspnum\faauto\adjustright\rin0\lin0\itap0\pararsid7689061 {\rtlch\fcs1 \af0 \ltrch\fcs0 \cs17\v\fs20\cf9\lang1024\langfe1024\loch\af1\hich\af1\dbch\af31501\noproof\insrsid7689061\charrsid14307151 _x000d__x000a_\hich\af1\dbch\af31501\loch\f1 &lt;Article2&gt;&lt;OptDel&gt;}{\rtlch\fcs1 \af0 \ltrch\fcs0 \insrsid7689061\charrsid14307151 #}{\rtlch\fcs1 \af1 \ltrch\fcs0 \cs18\v\f1\fs20\cf15\insrsid7689061\charrsid14307151 MNU[OPTACTPARTYES][NOTAPP]@CHOICE@AMACTMNU}{\rtlch\fcs1 _x000d__x000a_\af0 \ltrch\fcs0 \insrsid7689061\charrsid14307151 #}{\rtlch\fcs1 \af0 \ltrch\fcs0 \cs17\v\fs20\cf9\lang1024\langfe1024\loch\af1\hich\af1\dbch\af31501\noproof\insrsid7689061\charrsid14307151 \hich\af1\dbch\af31501\loch\f1 &lt;/OptDel&gt;&lt;/Article2&gt;}{\rtlch\fcs1 _x000d__x000a_\af0 \ltrch\fcs0 \insrsid7689061\charrsid1430715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689061\charrsid14307151 \cell }\pard\plain \ltrpar\ql \li0\ri0\widctlpar\intbl\wrapdefault\aspalpha\aspnum\faauto\adjustright\rin0\lin0 \rtlch\fcs1 _x000d__x000a_\af0\afs20\alang1025 \ltrch\fcs0 \fs24\lang2057\langfe2057\cgrid\langnp2057\langfenp2057 {\rtlch\fcs1 \af0 \ltrch\fcs0 \insrsid7689061\charrsid1430715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689061\charrsid14307151 #}{\rtlch\fcs1 \af1 \ltrch\fcs0 \cs18\v\f1\fs20\cf15\insrsid7689061\charrsid14307151 MNU[OPTLEFTAMACT][LEFTPROP]@CHOICE@AMACTMNU}{\rtlch\fcs1 \af0 \ltrch\fcs0 \insrsid7689061\charrsid1430715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689061\charrsid14307151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7689061\charrsid14307151 ##\cell ##}{\rtlch\fcs1 \af0\afs24 \ltrch\fcs0 \insrsid7689061\charrsid14307151 \cell }\pard\plain \ltrpar\ql \li0\ri0\widctlpar\intbl\wrapdefault\aspalpha\aspnum\faauto\adjustright\rin0\lin0 \rtlch\fcs1 _x000d__x000a_\af0\afs20\alang1025 \ltrch\fcs0 \fs24\lang2057\langfe2057\cgrid\langnp2057\langfenp2057 {\rtlch\fcs1 \af0 \ltrch\fcs0 \insrsid7689061\charrsid1430715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7689061 \rtlch\fcs1 \af0\afs20\alang1025 \ltrch\fcs0 \fs24\lang2057\langfe2057\cgrid\langnp2057\langfenp2057 {\rtlch\fcs1 \af0 \ltrch\fcs0 _x000d__x000a_\insrsid7689061\charrsid14307151 Or. }{\rtlch\fcs1 \af0 \ltrch\fcs0 \cs17\v\fs20\cf9\lang1024\langfe1024\loch\af1\hich\af1\dbch\af31501\noproof\insrsid7689061\charrsid14307151 \hich\af1\dbch\af31501\loch\f1 &lt;Original&gt;}{\rtlch\fcs1 \af0 \ltrch\fcs0 _x000d__x000a_\insrsid7689061\charrsid14307151 #}{\rtlch\fcs1 \af1 \ltrch\fcs0 \cs18\v\f1\fs20\cf15\insrsid7689061\charrsid14307151 MNU[ORLANGONE][ORLANGMORE]@CHOICE@ORLANGMNU}{\rtlch\fcs1 \af0 \ltrch\fcs0 \insrsid7689061\charrsid14307151 #}{\rtlch\fcs1 \af0 _x000d__x000a_\ltrch\fcs0 \cs17\v\fs20\cf9\lang1024\langfe1024\loch\af1\hich\af1\dbch\af31501\noproof\insrsid7689061\charrsid14307151 \hich\af1\dbch\af31501\loch\f1 &lt;/Original&gt;}{\rtlch\fcs1 \af0 \ltrch\fcs0 \insrsid7689061\charrsid14307151 _x000d__x000a_\par }\pard\plain \ltrpar\s22\qc \li0\ri0\sb240\sa240\nowidctlpar\wrapdefault\aspalpha\aspnum\faauto\adjustright\rin0\lin0\itap0\pararsid7689061 \rtlch\fcs1 \af0\afs20\alang1025 \ltrch\fcs0 \i\fs24\lang2057\langfe2057\cgrid\langnp2057\langfenp2057 {_x000d__x000a_\rtlch\fcs1 \af0 \ltrch\fcs0 \cs17\i0\v\fs20\cf9\lang1024\langfe1024\loch\af1\hich\af1\dbch\af31501\noproof\insrsid7689061\charrsid14307151 \hich\af1\dbch\af31501\loch\f1 &lt;OptDel&gt;}{\rtlch\fcs1 \af0 \ltrch\fcs0 \insrsid7689061\charrsid14307151 #}{_x000d__x000a_\rtlch\fcs1 \af1 \ltrch\fcs0 \cs18\v\f1\fs20\cf15\insrsid7689061\charrsid14307151 MNU[CROSSREFNO][CROSSREFYES]@CHOICE@}{\rtlch\fcs1 \af0 \ltrch\fcs0 \insrsid7689061\charrsid14307151 #}{\rtlch\fcs1 \af0 \ltrch\fcs0 _x000d__x000a_\cs17\i0\v\fs20\cf9\lang1024\langfe1024\loch\af1\hich\af1\dbch\af31501\noproof\insrsid7689061\charrsid14307151 \hich\af1\dbch\af31501\loch\f1 &lt;/OptDel&gt;}{\rtlch\fcs1 \af0 \ltrch\fcs0 \insrsid7689061\charrsid14307151 _x000d__x000a_\par }\pard\plain \ltrpar\s23\qc \li0\ri0\sb240\sa240\keepn\nowidctlpar\wrapdefault\aspalpha\aspnum\faauto\adjustright\rin0\lin0\itap0\pararsid7689061 \rtlch\fcs1 \af0\afs20\alang1025 \ltrch\fcs0 \i\fs24\lang2057\langfe2057\cgrid\langnp2057\langfenp2057 {_x000d__x000a_\rtlch\fcs1 \af0 \ltrch\fcs0 \cs17\i0\v\fs20\cf9\lang1024\langfe1024\loch\af1\hich\af1\dbch\af31501\noproof\insrsid7689061\charrsid14307151 \hich\af1\dbch\af31501\loch\f1 &lt;TitreJust&gt;}{\rtlch\fcs1 \af0 \ltrch\fcs0 \insrsid7689061\charrsid14307151 _x000d__x000a_Justification}{\rtlch\fcs1 \af0 \ltrch\fcs0 \cs17\i0\v\fs20\cf9\lang1024\langfe1024\loch\af1\hich\af1\dbch\af31501\noproof\insrsid7689061\charrsid14307151 \hich\af1\dbch\af31501\loch\f1 &lt;/TitreJust&gt;}{\rtlch\fcs1 \af0 \ltrch\fcs0 _x000d__x000a_\insrsid7689061\charrsid14307151 _x000d__x000a_\par }\pard\plain \ltrpar\s21\ql \li0\ri0\sa240\nowidctlpar\wrapdefault\aspalpha\aspnum\faauto\adjustright\rin0\lin0\itap0\pararsid7689061 \rtlch\fcs1 \af0\afs20\alang1025 \ltrch\fcs0 \i\fs24\lang2057\langfe2057\cgrid\langnp2057\langfenp2057 {\rtlch\fcs1 \af0 _x000d__x000a_\ltrch\fcs0 \cs17\i0\v\fs20\cf9\lang1024\langfe1024\loch\af1\hich\af1\dbch\af31501\noproof\insrsid7689061\charrsid14307151 \hich\af1\dbch\af31501\loch\f1 &lt;OptDelPrev&gt;}{\rtlch\fcs1 \af0 \ltrch\fcs0 \insrsid7689061\charrsid14307151 #}{\rtlch\fcs1 \af1 _x000d__x000a_\ltrch\fcs0 \cs18\v\f1\fs20\cf15\insrsid7689061\charrsid14307151 MNU[TEXTJUSTYES][TEXTJUSTNO]@CHOICE@}{\rtlch\fcs1 \af0 \ltrch\fcs0 \insrsid7689061\charrsid14307151 #}{\rtlch\fcs1 \af0 \ltrch\fcs0 _x000d__x000a_\cs17\i0\v\fs20\cf9\lang1024\langfe1024\loch\af1\hich\af1\dbch\af31501\noproof\insrsid7689061\charrsid14307151 \hich\af1\dbch\af31501\loch\f1 &lt;/OptDelPrev&gt;}{\rtlch\fcs1 \af0 \ltrch\fcs0 \insrsid7689061\charrsid14307151 _x000d__x000a_\par }\pard\plain \ltrpar\ql \li0\ri0\widctlpar\wrapdefault\aspalpha\aspnum\faauto\adjustright\rin0\lin0\itap0\pararsid7689061 \rtlch\fcs1 \af0\afs20\alang1025 \ltrch\fcs0 \fs24\lang2057\langfe2057\cgrid\langnp2057\langfenp2057 {\rtlch\fcs1 \af0 \ltrch\fcs0 _x000d__x000a_\cs17\v\fs20\cf9\lang1024\langfe1024\loch\af1\hich\af1\dbch\af31501\noproof\insrsid7689061\charrsid1430715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f_x000d__x000a_f64006f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7"/>
    <w:docVar w:name="TXTAUTHOR" w:val="Cornelia Ernst"/>
    <w:docVar w:name="TXTLANGUE" w:val="EN"/>
    <w:docVar w:name="TXTLANGUEMIN" w:val="en"/>
    <w:docVar w:name="TXTNRC" w:val="0170/2023"/>
    <w:docVar w:name="TXTNRCOD" w:val="2023/0143"/>
    <w:docVar w:name="TXTNRCOM" w:val="(2023)0244"/>
    <w:docVar w:name="TXTNRFIRSTAM" w:val="1"/>
    <w:docVar w:name="TXTNRLASTAM" w:val="13"/>
    <w:docVar w:name="TXTNRPE" w:val="753.732"/>
    <w:docVar w:name="TXTPEorAP" w:val="PE"/>
    <w:docVar w:name="TXTROUTE" w:val="PR\1287064EN.docx"/>
    <w:docVar w:name="TXTTITLE" w:val="amending Council Decision 2009/917/JHA, as regards its alignment with Union rules on the protection of personal data"/>
    <w:docVar w:name="TXTVERSION" w:val="01-00"/>
  </w:docVars>
  <w:rsids>
    <w:rsidRoot w:val="00DA4F4F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A7752"/>
    <w:rsid w:val="002D13EE"/>
    <w:rsid w:val="002E33EE"/>
    <w:rsid w:val="002F40BB"/>
    <w:rsid w:val="002F4B02"/>
    <w:rsid w:val="00317D05"/>
    <w:rsid w:val="00323EF8"/>
    <w:rsid w:val="003316DD"/>
    <w:rsid w:val="0033553D"/>
    <w:rsid w:val="003416CE"/>
    <w:rsid w:val="003506ED"/>
    <w:rsid w:val="00366A46"/>
    <w:rsid w:val="00370AC3"/>
    <w:rsid w:val="003824EE"/>
    <w:rsid w:val="003B4689"/>
    <w:rsid w:val="003B48F1"/>
    <w:rsid w:val="003C2068"/>
    <w:rsid w:val="003C37CF"/>
    <w:rsid w:val="003E101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31669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5F2FC9"/>
    <w:rsid w:val="0060531B"/>
    <w:rsid w:val="00616EEA"/>
    <w:rsid w:val="00642325"/>
    <w:rsid w:val="006429E4"/>
    <w:rsid w:val="00673636"/>
    <w:rsid w:val="0069092A"/>
    <w:rsid w:val="006A2F5D"/>
    <w:rsid w:val="006C6EF8"/>
    <w:rsid w:val="006D0B75"/>
    <w:rsid w:val="006F7907"/>
    <w:rsid w:val="00743189"/>
    <w:rsid w:val="00743D33"/>
    <w:rsid w:val="00745BC2"/>
    <w:rsid w:val="007932B3"/>
    <w:rsid w:val="00793EA9"/>
    <w:rsid w:val="007D6F68"/>
    <w:rsid w:val="007E1D29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3869"/>
    <w:rsid w:val="00914537"/>
    <w:rsid w:val="00917CC4"/>
    <w:rsid w:val="009763DA"/>
    <w:rsid w:val="009975B3"/>
    <w:rsid w:val="009A216D"/>
    <w:rsid w:val="009B4B93"/>
    <w:rsid w:val="009B650F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660B3"/>
    <w:rsid w:val="00A77BA8"/>
    <w:rsid w:val="00A834C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77518"/>
    <w:rsid w:val="00B82CF4"/>
    <w:rsid w:val="00B85407"/>
    <w:rsid w:val="00B95702"/>
    <w:rsid w:val="00BB5969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4F4F"/>
    <w:rsid w:val="00DA6ED0"/>
    <w:rsid w:val="00DC5011"/>
    <w:rsid w:val="00DE2933"/>
    <w:rsid w:val="00E171B6"/>
    <w:rsid w:val="00E32121"/>
    <w:rsid w:val="00E36F9D"/>
    <w:rsid w:val="00E72695"/>
    <w:rsid w:val="00E95B14"/>
    <w:rsid w:val="00EB1753"/>
    <w:rsid w:val="00EB6CFF"/>
    <w:rsid w:val="00EE3996"/>
    <w:rsid w:val="00F07062"/>
    <w:rsid w:val="00F126C6"/>
    <w:rsid w:val="00F23CFC"/>
    <w:rsid w:val="00F4149D"/>
    <w:rsid w:val="00F433E2"/>
    <w:rsid w:val="00F741C3"/>
    <w:rsid w:val="00F904AE"/>
    <w:rsid w:val="00F92D75"/>
    <w:rsid w:val="00F934F8"/>
    <w:rsid w:val="00FB52FE"/>
    <w:rsid w:val="00FC0391"/>
    <w:rsid w:val="00FC0A34"/>
    <w:rsid w:val="00FD1DEF"/>
    <w:rsid w:val="00FE3B3F"/>
    <w:rsid w:val="00FE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59249-5F59-40A1-9B90-2EE525EB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91386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1386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13869"/>
    <w:rPr>
      <w:sz w:val="18"/>
    </w:rPr>
  </w:style>
  <w:style w:type="paragraph" w:customStyle="1" w:styleId="Normal6">
    <w:name w:val="Normal6"/>
    <w:basedOn w:val="Normal"/>
    <w:link w:val="Normal6Char"/>
    <w:rsid w:val="00913869"/>
    <w:pPr>
      <w:spacing w:after="120"/>
    </w:pPr>
  </w:style>
  <w:style w:type="paragraph" w:customStyle="1" w:styleId="Normal12Italic">
    <w:name w:val="Normal12Italic"/>
    <w:basedOn w:val="Normal"/>
    <w:rsid w:val="00913869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913869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913869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913869"/>
    <w:rPr>
      <w:sz w:val="24"/>
      <w:lang w:val="pt-PT"/>
    </w:rPr>
  </w:style>
  <w:style w:type="paragraph" w:customStyle="1" w:styleId="ColumnHeading">
    <w:name w:val="ColumnHeading"/>
    <w:basedOn w:val="Normal"/>
    <w:rsid w:val="0091386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138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13869"/>
    <w:pPr>
      <w:jc w:val="right"/>
    </w:pPr>
  </w:style>
  <w:style w:type="paragraph" w:styleId="Footer">
    <w:name w:val="footer"/>
    <w:basedOn w:val="Normal"/>
    <w:link w:val="FooterChar"/>
    <w:semiHidden/>
    <w:rsid w:val="003355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3553D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E36F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36F9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E36F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6F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6F9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6F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6F9D"/>
    <w:rPr>
      <w:b/>
      <w:bCs/>
    </w:rPr>
  </w:style>
  <w:style w:type="paragraph" w:styleId="Revision">
    <w:name w:val="Revision"/>
    <w:hidden/>
    <w:uiPriority w:val="99"/>
    <w:semiHidden/>
    <w:rsid w:val="0060531B"/>
    <w:rPr>
      <w:sz w:val="24"/>
    </w:rPr>
  </w:style>
  <w:style w:type="character" w:styleId="Hyperlink">
    <w:name w:val="Hyperlink"/>
    <w:basedOn w:val="DefaultParagraphFont"/>
    <w:rsid w:val="00A77B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E0C25-C730-4489-95F2-804CDAC6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3113</Words>
  <Characters>16904</Characters>
  <Application>Microsoft Office Word</Application>
  <DocSecurity>0</DocSecurity>
  <Lines>650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LECUYER Katarzyna</dc:creator>
  <cp:lastModifiedBy>SILVA Carla Marina</cp:lastModifiedBy>
  <cp:revision>2</cp:revision>
  <cp:lastPrinted>2004-11-04T09:41:00Z</cp:lastPrinted>
  <dcterms:created xsi:type="dcterms:W3CDTF">2023-10-13T15:14:00Z</dcterms:created>
  <dcterms:modified xsi:type="dcterms:W3CDTF">2023-10-13T15:14:00Z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1287064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PR\1287064PT.docx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753.732</vt:lpwstr>
  </property>
  <property fmtid="{D5CDD505-2E9C-101B-9397-08002B2CF9AE}" pid="12" name="SDLStudio">
    <vt:lpwstr/>
  </property>
  <property fmtid="{D5CDD505-2E9C-101B-9397-08002B2CF9AE}" pid="13" name="SendToEpades">
    <vt:lpwstr>NOK(Major:COM)(Minor:TC/AMNUM) - 2023/10/04 12:25</vt:lpwstr>
  </property>
  <property fmtid="{D5CDD505-2E9C-101B-9397-08002B2CF9AE}" pid="14" name="Bookout">
    <vt:lpwstr>OK - 2023/10/13 17:13</vt:lpwstr>
  </property>
</Properties>
</file>