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804"/>
        <w:gridCol w:w="2488"/>
      </w:tblGrid>
      <w:tr w:rsidR="00BA3FD5">
        <w:trPr>
          <w:trHeight w:hRule="exact" w:val="1420"/>
        </w:trPr>
        <w:tc>
          <w:tcPr>
            <w:tcW w:w="6804" w:type="dxa"/>
            <w:vAlign w:val="center"/>
          </w:tcPr>
          <w:p w:rsidR="00967A95" w:rsidRDefault="00DF765E">
            <w:pPr>
              <w:pStyle w:val="EPName"/>
            </w:pPr>
            <w:r>
              <w:t>Euroopan parlamentti</w:t>
            </w:r>
          </w:p>
          <w:p w:rsidR="00967A95" w:rsidRDefault="00DF765E">
            <w:pPr>
              <w:pStyle w:val="EPTerm"/>
            </w:pPr>
            <w:r>
              <w:t>2019-2024</w:t>
            </w:r>
          </w:p>
        </w:tc>
        <w:tc>
          <w:tcPr>
            <w:tcW w:w="2488" w:type="dxa"/>
          </w:tcPr>
          <w:p w:rsidR="00967A95" w:rsidRDefault="00DF765E">
            <w:pPr>
              <w:pStyle w:val="EPLogo"/>
            </w:pPr>
            <w:r>
              <w:rPr>
                <w:noProof/>
                <w:lang w:val="en-GB" w:bidi="ne-NP"/>
              </w:rPr>
              <w:drawing>
                <wp:inline distT="0" distB="0" distL="0" distR="0">
                  <wp:extent cx="1162812" cy="647954"/>
                  <wp:effectExtent l="0" t="0" r="0" b="0"/>
                  <wp:docPr id="100001" name="Picture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812" cy="647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7A95" w:rsidRDefault="00967A95">
      <w:pPr>
        <w:pStyle w:val="LineTop"/>
      </w:pPr>
    </w:p>
    <w:p w:rsidR="00967A95" w:rsidRDefault="00DF765E"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Kansalaisvapauksien sekä oikeus- ja sisäasioiden valiokunta</w:t>
      </w:r>
      <w:r>
        <w:rPr>
          <w:rStyle w:val="HideTWBExt"/>
        </w:rPr>
        <w:t>&lt;/Commission&gt;</w:t>
      </w:r>
    </w:p>
    <w:p w:rsidR="00967A95" w:rsidRDefault="00967A95">
      <w:pPr>
        <w:pStyle w:val="LineBottom"/>
      </w:pPr>
    </w:p>
    <w:p w:rsidR="00967A95" w:rsidRDefault="00DF765E">
      <w:pPr>
        <w:pStyle w:val="CoverReference"/>
      </w:pPr>
      <w:r>
        <w:rPr>
          <w:rStyle w:val="HideTWBExt"/>
        </w:rPr>
        <w:t>&lt;RefProc&gt;</w:t>
      </w:r>
      <w:r>
        <w:t>2023/2113</w:t>
      </w:r>
      <w:r>
        <w:rPr>
          <w:rStyle w:val="HideTWBExt"/>
        </w:rPr>
        <w:t>&lt;/RefProc&gt;&lt;RefTypeProc&gt;</w:t>
      </w:r>
      <w:r>
        <w:t>(INI)</w:t>
      </w:r>
      <w:r>
        <w:rPr>
          <w:rStyle w:val="HideTWBExt"/>
        </w:rPr>
        <w:t>&lt;/RefTypeProc&gt;</w:t>
      </w:r>
    </w:p>
    <w:p w:rsidR="00967A95" w:rsidRPr="00E458B8" w:rsidRDefault="00DF765E">
      <w:pPr>
        <w:pStyle w:val="CoverDate"/>
      </w:pPr>
      <w:r w:rsidRPr="00DF765E">
        <w:rPr>
          <w:rStyle w:val="HideTWBExt"/>
        </w:rPr>
        <w:t>&lt;Date&gt;</w:t>
      </w:r>
      <w:r w:rsidRPr="00DF765E">
        <w:rPr>
          <w:rStyle w:val="HideTWBInt"/>
          <w:color w:val="auto"/>
        </w:rPr>
        <w:t>{26/10/2023}</w:t>
      </w:r>
      <w:r>
        <w:t>26.10.2023</w:t>
      </w:r>
      <w:r w:rsidRPr="00DF765E">
        <w:rPr>
          <w:rStyle w:val="HideTWBExt"/>
        </w:rPr>
        <w:t>&lt;/Date&gt;</w:t>
      </w:r>
    </w:p>
    <w:p w:rsidR="00967A95" w:rsidRPr="00E458B8" w:rsidRDefault="00DF765E">
      <w:pPr>
        <w:pStyle w:val="CoverDocType24a"/>
      </w:pPr>
      <w:r w:rsidRPr="00DF765E">
        <w:rPr>
          <w:rStyle w:val="HideTWBExt"/>
        </w:rPr>
        <w:t>&lt;TitreType&gt;</w:t>
      </w:r>
      <w:r>
        <w:t>MIETINTÖLUONNOS</w:t>
      </w:r>
      <w:r w:rsidRPr="00DF765E">
        <w:rPr>
          <w:rStyle w:val="HideTWBExt"/>
        </w:rPr>
        <w:t>&lt;/TitreType&gt;</w:t>
      </w:r>
    </w:p>
    <w:p w:rsidR="00967A95" w:rsidRDefault="00DF765E">
      <w:pPr>
        <w:pStyle w:val="CoverNormal"/>
      </w:pPr>
      <w:r>
        <w:rPr>
          <w:rStyle w:val="HideTWBExt"/>
        </w:rPr>
        <w:t>&lt;Titre&gt;</w:t>
      </w:r>
      <w:r>
        <w:t>komission vuoden 2023 oikeusvaltiota koskevasta vuosikertomuksesta</w:t>
      </w:r>
      <w:r>
        <w:rPr>
          <w:rStyle w:val="HideTWBExt"/>
        </w:rPr>
        <w:t>&lt;/Titre&gt;</w:t>
      </w:r>
    </w:p>
    <w:p w:rsidR="00967A95" w:rsidRDefault="00DF765E">
      <w:pPr>
        <w:pStyle w:val="CoverNormal24a"/>
      </w:pPr>
      <w:r>
        <w:rPr>
          <w:rStyle w:val="HideTWBExt"/>
        </w:rPr>
        <w:t>&lt;DocRef&gt;</w:t>
      </w:r>
      <w:r>
        <w:t>(2023/2113(INI))</w:t>
      </w:r>
      <w:r>
        <w:rPr>
          <w:rStyle w:val="HideTWBExt"/>
        </w:rPr>
        <w:t>&lt;/DocRef&gt;</w:t>
      </w:r>
    </w:p>
    <w:p w:rsidR="00967A95" w:rsidRDefault="00DF765E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Kansalaisvapauksien sekä oikeus- ja sisäasioiden valiokunta</w:t>
      </w:r>
      <w:r>
        <w:rPr>
          <w:rStyle w:val="HideTWBExt"/>
        </w:rPr>
        <w:t>&lt;/Commission&gt;</w:t>
      </w:r>
    </w:p>
    <w:p w:rsidR="00967A95" w:rsidRDefault="00DF765E">
      <w:pPr>
        <w:pStyle w:val="CoverNormal24a"/>
      </w:pPr>
      <w:r>
        <w:t xml:space="preserve">Esittelijä: </w:t>
      </w:r>
      <w:r>
        <w:rPr>
          <w:rStyle w:val="HideTWBExt"/>
        </w:rPr>
        <w:t>&lt;Depute&gt;</w:t>
      </w:r>
      <w:r>
        <w:t>Sophia in 't Vel</w:t>
      </w:r>
      <w:r>
        <w:t>d</w:t>
      </w:r>
      <w:r>
        <w:rPr>
          <w:rStyle w:val="HideTWBExt"/>
        </w:rPr>
        <w:t>&lt;/Depute&gt;</w:t>
      </w:r>
    </w:p>
    <w:p w:rsidR="00967A95" w:rsidRDefault="00DF765E">
      <w:pPr>
        <w:pStyle w:val="CoverNormal24a"/>
      </w:pPr>
      <w:r>
        <w:t>Työjärjestyksen 57 artiklan mukaisesti yhteistyöhön osallistuvan valiokunnan valmistelija:</w:t>
      </w:r>
      <w:r>
        <w:br/>
        <w:t>Adrián Vázquez Lázara, oikeudellisten asioiden valiokunta</w:t>
      </w:r>
    </w:p>
    <w:p w:rsidR="00967A95" w:rsidRDefault="00DF765E">
      <w:r>
        <w:br w:type="page"/>
      </w:r>
      <w:r>
        <w:lastRenderedPageBreak/>
        <w:t>PR_INI</w:t>
      </w:r>
    </w:p>
    <w:p w:rsidR="00967A95" w:rsidRDefault="00DF765E">
      <w:pPr>
        <w:pStyle w:val="TOCHeading"/>
      </w:pPr>
      <w:r>
        <w:t>SISÄLTÖ</w:t>
      </w:r>
    </w:p>
    <w:p w:rsidR="00967A95" w:rsidRDefault="00DF765E">
      <w:pPr>
        <w:pStyle w:val="TOCPage"/>
      </w:pPr>
      <w:r>
        <w:t>Sivu</w:t>
      </w:r>
    </w:p>
    <w:p w:rsidR="00DF765E" w:rsidRDefault="00DF765E">
      <w:pPr>
        <w:pStyle w:val="TOC1"/>
        <w:tabs>
          <w:tab w:val="right" w:leader="dot" w:pos="9062"/>
        </w:tabs>
        <w:rPr>
          <w:rFonts w:asciiTheme="minorHAnsi" w:eastAsiaTheme="minorEastAsia" w:hAnsiTheme="minorHAnsi" w:cs="Mangal"/>
          <w:noProof/>
          <w:snapToGrid/>
          <w:sz w:val="22"/>
          <w:lang w:val="en-GB" w:eastAsia="en-GB" w:bidi="ne-NP"/>
        </w:rPr>
      </w:pPr>
      <w:r>
        <w:fldChar w:fldCharType="begin"/>
      </w:r>
      <w:r>
        <w:instrText>TOC \t "PageHeading"</w:instrText>
      </w:r>
      <w:r>
        <w:fldChar w:fldCharType="separate"/>
      </w:r>
      <w:r>
        <w:rPr>
          <w:noProof/>
        </w:rPr>
        <w:t>EUROOPAN PARLAMENTIN PÄÄTÖSLAUSELMAESITYS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_Toc150761299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67A95" w:rsidRDefault="00DF765E">
      <w:pPr>
        <w:pStyle w:val="Normal12b"/>
      </w:pPr>
      <w:r>
        <w:fldChar w:fldCharType="end"/>
      </w:r>
    </w:p>
    <w:p w:rsidR="00967A95" w:rsidRDefault="00967A95">
      <w:pPr>
        <w:pStyle w:val="CoverNormalLeft"/>
      </w:pPr>
    </w:p>
    <w:p w:rsidR="00967A95" w:rsidRDefault="00DF765E">
      <w:pPr>
        <w:pStyle w:val="CoverNormalLeft"/>
        <w:sectPr w:rsidR="00967A95" w:rsidSect="00DF76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pgSz w:w="11906" w:h="16838"/>
          <w:pgMar w:top="1134" w:right="1417" w:bottom="1417" w:left="1417" w:header="1134" w:footer="567" w:gutter="0"/>
          <w:cols w:space="708"/>
          <w:titlePg/>
          <w:docGrid w:linePitch="360"/>
        </w:sectPr>
      </w:pPr>
      <w:r>
        <w:br w:type="page"/>
      </w:r>
    </w:p>
    <w:p w:rsidR="00967A95" w:rsidRDefault="00DF765E">
      <w:pPr>
        <w:pStyle w:val="PageHeading"/>
      </w:pPr>
      <w:bookmarkStart w:id="0" w:name="_Toc150761299"/>
      <w:r>
        <w:lastRenderedPageBreak/>
        <w:t>EUROOPAN PARLAMENTIN PÄÄTÖSLAUSELMAESITYS</w:t>
      </w:r>
      <w:bookmarkEnd w:id="0"/>
    </w:p>
    <w:p w:rsidR="00967A95" w:rsidRDefault="00DF765E">
      <w:pPr>
        <w:pStyle w:val="NormalBold"/>
      </w:pPr>
      <w:r>
        <w:t>komission vuoden 2023 oikeusvaltiota koskevasta vuosikertomuksesta</w:t>
      </w:r>
    </w:p>
    <w:p w:rsidR="00967A95" w:rsidRDefault="00DF765E">
      <w:pPr>
        <w:pStyle w:val="NormalBold"/>
      </w:pPr>
      <w:r>
        <w:t>(2023/2113(INI))</w:t>
      </w:r>
    </w:p>
    <w:p w:rsidR="00967A95" w:rsidRDefault="00DF765E">
      <w:pPr>
        <w:pStyle w:val="EPComma"/>
      </w:pPr>
      <w:r>
        <w:rPr>
          <w:i/>
          <w:iCs/>
        </w:rPr>
        <w:t>Euroopan parlamentti</w:t>
      </w:r>
      <w:r>
        <w:t>, joka</w:t>
      </w:r>
    </w:p>
    <w:p w:rsidR="00967A95" w:rsidRDefault="00DF765E">
      <w:pPr>
        <w:pStyle w:val="NormalHanging12a"/>
      </w:pPr>
      <w:r>
        <w:t>–</w:t>
      </w:r>
      <w:r>
        <w:tab/>
        <w:t>ottaa huomioon Euroopan unionista tehdyn sopimuksen (SEU) ja erityisesti s</w:t>
      </w:r>
      <w:r>
        <w:t>en 2 artiklan, 3 artiklan 1 kohdan, 3 artiklan 3 kohdan toisen alakohdan, 4 artiklan 3 kohdan sekä 5, 6, 7, 11, 19 ja 49 artiklan,</w:t>
      </w:r>
    </w:p>
    <w:p w:rsidR="00967A95" w:rsidRDefault="00DF765E">
      <w:pPr>
        <w:pStyle w:val="NormalHanging12a"/>
      </w:pPr>
      <w:r>
        <w:t>–</w:t>
      </w:r>
      <w:r>
        <w:tab/>
        <w:t>ottaa huomioon Euroopan unionin toiminnasta tehdyn sopimuksen ja erityisesti sen artiklat, jotka liittyvät demokratian, oik</w:t>
      </w:r>
      <w:r>
        <w:t>eusvaltion ja perusoikeuksien kunnioittamiseen, suojelemiseen ja edistämiseen unionissa, mukaan lukien sen 70, 258, 259, 260, 263, 265 ja 267 artiklan,</w:t>
      </w:r>
    </w:p>
    <w:p w:rsidR="00967A95" w:rsidRDefault="00DF765E">
      <w:pPr>
        <w:pStyle w:val="NormalHanging12a"/>
      </w:pPr>
      <w:r>
        <w:t>–</w:t>
      </w:r>
      <w:r>
        <w:tab/>
        <w:t>ottaa huomioon Euroopan unionin perusoikeuskirjan,</w:t>
      </w:r>
    </w:p>
    <w:p w:rsidR="00967A95" w:rsidRDefault="00DF765E">
      <w:pPr>
        <w:pStyle w:val="NormalHanging12a"/>
      </w:pPr>
      <w:r>
        <w:t>–</w:t>
      </w:r>
      <w:r>
        <w:tab/>
        <w:t>ottaa huomioon Euroopan unionin tuomioistuimen oi</w:t>
      </w:r>
      <w:r>
        <w:t>keuskäytännön,</w:t>
      </w:r>
    </w:p>
    <w:p w:rsidR="00967A95" w:rsidRDefault="00DF765E">
      <w:pPr>
        <w:pStyle w:val="NormalHanging12a"/>
      </w:pPr>
      <w:r>
        <w:t>–</w:t>
      </w:r>
      <w:r>
        <w:tab/>
        <w:t>ottaa huomioon 5. heinäkuuta 2023 annetun komission tiedonannon ”Oikeusvaltiokertomus 2023 – Oikeusvaltiotilanne Euroopan unionissa” (COM(2023)0800),</w:t>
      </w:r>
    </w:p>
    <w:p w:rsidR="00967A95" w:rsidRDefault="00DF765E">
      <w:pPr>
        <w:pStyle w:val="NormalHanging12a"/>
      </w:pPr>
      <w:r>
        <w:t>–</w:t>
      </w:r>
      <w:r>
        <w:tab/>
        <w:t xml:space="preserve">ottaa huomioon yleisestä ehdollisuusjärjestelmästä unionin talousarvion suojaamiseksi </w:t>
      </w:r>
      <w:r>
        <w:t>16. joulukuuta 2020 annetun Euroopan parlamentin ja neuvoston asetuksen (EU, Euratom) 2020/2092</w:t>
      </w:r>
      <w:r>
        <w:rPr>
          <w:rStyle w:val="FootnoteReference"/>
        </w:rPr>
        <w:footnoteReference w:id="1"/>
      </w:r>
      <w:r>
        <w:t xml:space="preserve"> (ehdollisuusasetus),</w:t>
      </w:r>
    </w:p>
    <w:p w:rsidR="00967A95" w:rsidRDefault="00DF765E">
      <w:pPr>
        <w:pStyle w:val="NormalHanging12a"/>
      </w:pPr>
      <w:r>
        <w:t>–</w:t>
      </w:r>
      <w:r>
        <w:tab/>
        <w:t>ottaa huomioon kansalaisten, tasa-arvon, perusoikeuksien ja arvojen ohjelman perustamisesta sekä Euroopan parlamentin ja neuvoston asetu</w:t>
      </w:r>
      <w:r>
        <w:t>ksen (EU) N:o 1381/2013 ja neuvoston asetuksen (EU) N:o 390/2014 kumoamisesta 28. huhtikuuta 2021 annetun Euroopan parlamentin ja neuvoston asetuksen (EU) 2021/692</w:t>
      </w:r>
      <w:r>
        <w:rPr>
          <w:rStyle w:val="FootnoteReference"/>
        </w:rPr>
        <w:footnoteReference w:id="2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ihmisoikeuksien yleismaailmallisen julistuksen,</w:t>
      </w:r>
    </w:p>
    <w:p w:rsidR="00967A95" w:rsidRDefault="00DF765E">
      <w:pPr>
        <w:pStyle w:val="NormalHanging12a"/>
      </w:pPr>
      <w:r>
        <w:t>–</w:t>
      </w:r>
      <w:r>
        <w:tab/>
        <w:t>ottaa huomioon YK:n väl</w:t>
      </w:r>
      <w:r>
        <w:t>ineet ihmisoikeuksien ja perusvapauksien suojaamiseksi, YK:n yleisen määräaikaisarvioinnin yhteydessä annetut suositukset ja raportit sekä YK:n sopimuselinten oikeuskäytännön ja YK:n ihmisoikeusneuvoston erityismenettelyt,</w:t>
      </w:r>
    </w:p>
    <w:p w:rsidR="00967A95" w:rsidRDefault="00DF765E">
      <w:pPr>
        <w:pStyle w:val="NormalHanging12a"/>
      </w:pPr>
      <w:r>
        <w:t>–</w:t>
      </w:r>
      <w:r>
        <w:tab/>
        <w:t>ottaa huomioon Euroopan turvall</w:t>
      </w:r>
      <w:r>
        <w:t>isuus- ja yhteistyöjärjestön (Etyj) demokraattisten instituutioiden ja ihmisoikeuksien toimiston, vähemmistövaltuutetun, mediavaltuutetun ja muiden elinten suositukset ja raportit,</w:t>
      </w:r>
    </w:p>
    <w:p w:rsidR="00967A95" w:rsidRDefault="00DF765E">
      <w:pPr>
        <w:pStyle w:val="NormalHanging12a"/>
      </w:pPr>
      <w:r>
        <w:t>–</w:t>
      </w:r>
      <w:r>
        <w:tab/>
        <w:t>ottaa huomioon ihmisoikeuksien ja perusvapauksien suojaamiseksi tehdyn eu</w:t>
      </w:r>
      <w:r>
        <w:t xml:space="preserve">rooppalaisen yleissopimuksen, Euroopan sosiaalisen peruskirjan, Euroopan ihmisoikeustuomioistuimen oikeuskäytännön ja Euroopan sosiaalisten oikeuksien komitean päätökset sekä Euroopan neuvoston parlamentaarisen yleiskokouksen, </w:t>
      </w:r>
      <w:r>
        <w:lastRenderedPageBreak/>
        <w:t>ministerikomitean, ihmisoikeu</w:t>
      </w:r>
      <w:r>
        <w:t>svaltuutetun, Euroopan rasismin ja suvaitsemattomuuden vastaisen komission, syrjimättömyyttä, monimuotoisuutta ja osallisuutta käsittelevän ohjauskomitean, Venetsian komission ja muiden elinten yleissopimukset, suositukset, päätöslauselmat, lausunnot ja ra</w:t>
      </w:r>
      <w:r>
        <w:t>portit,</w:t>
      </w:r>
    </w:p>
    <w:p w:rsidR="00967A95" w:rsidRDefault="00DF765E">
      <w:pPr>
        <w:pStyle w:val="NormalHanging12a"/>
      </w:pPr>
      <w:r>
        <w:t>–</w:t>
      </w:r>
      <w:r>
        <w:tab/>
        <w:t xml:space="preserve">ottaa huomioon 23. toukokuuta 2007 tehdyn Euroopan neuvoston ja Euroopan unionin välisen yhteisymmärryspöytäkirjan ja 8. heinäkuuta 2020 annetut neuvoston päätelmät EU:n painopisteistä Euroopan neuvoston kanssa vuosina 2020–2022 tehtävälle </w:t>
      </w:r>
      <w:r>
        <w:t>yhteistyölle,</w:t>
      </w:r>
    </w:p>
    <w:p w:rsidR="00967A95" w:rsidRDefault="00DF765E">
      <w:pPr>
        <w:pStyle w:val="NormalHanging12a"/>
      </w:pPr>
      <w:r>
        <w:t>–</w:t>
      </w:r>
      <w:r>
        <w:tab/>
        <w:t>ottaa huomioon 20. joulukuuta 2017 annetun SEU-sopimuksen 7 artiklan 1 kohdan mukaisen komission perustellun ehdotuksen neuvoston päätökseksi sen toteamisesta, että on olemassa selvä vaara, että Puolan tasavalta loukkaa vakavasti oikeusvalt</w:t>
      </w:r>
      <w:r>
        <w:t>ioperiaatetta (COM(2017)0835),</w:t>
      </w:r>
    </w:p>
    <w:p w:rsidR="00967A95" w:rsidRDefault="00DF765E">
      <w:pPr>
        <w:pStyle w:val="NormalHanging12a"/>
      </w:pPr>
      <w:r>
        <w:t>–</w:t>
      </w:r>
      <w:r>
        <w:tab/>
        <w:t>ottaa huomioon Euroopan unionin perusoikeusviraston raportit 19. heinäkuuta 2022 Euroopan kansalaisyhteiskuntaan kohdistuvista paineista (”Europe’s civil society: still under pressure”), 8. kesäkuuta 2022 perusoikeuksista v</w:t>
      </w:r>
      <w:r>
        <w:t>uonna 2022 (”Fundamental Rights Report 2022”), 19. elokuuta 2022 kansalaisyhteiskunnan toimintamahdollisuuksien suojelusta EU:ssa (”Protecting civic space in the EU”) ja 3. marraskuuta 2022 antisemitismistä – Yleiskatsaus Euroopan unionissa 2011–2021 rekis</w:t>
      </w:r>
      <w:r>
        <w:t>teröityihin antisemitistisiin tapauksiin (”Antisemitism – Overview of antisemitic incidents recorded in the European Union 2011–2021”) sekä sen muut raportit, tiedot ja välineet, erityisesti perusoikeuksia koskevan Euroopan unionin tietojärjestelmän (EFRIS</w:t>
      </w:r>
      <w:r>
        <w:t>),</w:t>
      </w:r>
    </w:p>
    <w:p w:rsidR="00967A95" w:rsidRDefault="00DF765E">
      <w:pPr>
        <w:pStyle w:val="NormalHanging12a"/>
      </w:pPr>
      <w:r>
        <w:t>–</w:t>
      </w:r>
      <w:r>
        <w:tab/>
        <w:t>ottaa huomioon 25. lokakuuta 2016 antamansa päätöslauselman suosituksista komissiolle demokratiaa, oikeusvaltiota ja perusoikeuksia koskevan EU:n järjestelmän perustamisesta</w:t>
      </w:r>
      <w:r>
        <w:rPr>
          <w:rStyle w:val="FootnoteReference"/>
        </w:rPr>
        <w:footnoteReference w:id="3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1. maaliskuuta 2018 antamansa päätöslauselman komission pä</w:t>
      </w:r>
      <w:r>
        <w:t>ätöksestä käynnistää SEU-sopimuksen 7 artiklan 1 kohdan mukainen menettely Puolan tilanteen johdosta</w:t>
      </w:r>
      <w:r>
        <w:rPr>
          <w:rStyle w:val="FootnoteReference"/>
        </w:rPr>
        <w:footnoteReference w:id="4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19. huhtikuuta 2018 antamansa päätöslauselman tarpeesta luoda eurooppalaisten arvojen väline perusarvoja Euroopan unionissa paikallisell</w:t>
      </w:r>
      <w:r>
        <w:t>a ja kansallisella tasolla edistävien kansalaisyhteiskunnan järjestöjen tukemiseksi</w:t>
      </w:r>
      <w:r>
        <w:rPr>
          <w:rStyle w:val="FootnoteReference"/>
        </w:rPr>
        <w:footnoteReference w:id="5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12. syyskuuta 2018 antamansa päätöslauselman ehdotuksesta, jolla neuvostoa pyydetään toteamaan SEU- sopimuksen 7 artiklan 1 kohdan nojalla, onko olemassa</w:t>
      </w:r>
      <w:r>
        <w:t xml:space="preserve"> selvä vaara, että Unkari loukkaa vakavasti unionin perustana olevia arvoja</w:t>
      </w:r>
      <w:r>
        <w:rPr>
          <w:rStyle w:val="FootnoteReference"/>
        </w:rPr>
        <w:footnoteReference w:id="6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14. marraskuuta 2018 antamansa päätöslauselman kattavan EU</w:t>
      </w:r>
      <w:r>
        <w:noBreakHyphen/>
      </w:r>
      <w:r>
        <w:t>mekanismin tarpeesta demokratian, oikeusvaltion ja perusoikeuksien suojelemiseksi</w:t>
      </w:r>
      <w:r>
        <w:rPr>
          <w:rStyle w:val="FootnoteReference"/>
        </w:rPr>
        <w:footnoteReference w:id="7"/>
      </w:r>
      <w:r>
        <w:t>,</w:t>
      </w:r>
    </w:p>
    <w:p w:rsidR="00967A95" w:rsidRDefault="00DF765E">
      <w:pPr>
        <w:pStyle w:val="NormalHanging12a"/>
      </w:pPr>
      <w:r>
        <w:lastRenderedPageBreak/>
        <w:t>–</w:t>
      </w:r>
      <w:r>
        <w:tab/>
        <w:t>ottaa huomioon 7</w:t>
      </w:r>
      <w:r>
        <w:t>. lokakuuta 2020 antamansa päätöslauselman demokratiaa, oikeusvaltiota ja perusoikeuksia koskevan EU:n järjestelmän perustamisesta</w:t>
      </w:r>
      <w:r>
        <w:rPr>
          <w:rStyle w:val="FootnoteReference"/>
        </w:rPr>
        <w:footnoteReference w:id="8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13. marraskuuta 2020 antamansa päätöslauselman covid-19-toimenpiteiden vaikutuksesta demokratiaan, oikeusv</w:t>
      </w:r>
      <w:r>
        <w:t>altioon ja perusoikeuksiin</w:t>
      </w:r>
      <w:r>
        <w:rPr>
          <w:rStyle w:val="FootnoteReference"/>
        </w:rPr>
        <w:footnoteReference w:id="9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10. kesäkuuta 2021 antamansa päätöslauselman oikeusvaltiotilanteesta Euroopan unionissa ja ehdollisuusjärjestelmästä annetun asetuksen (EU, Euratom) 2020/2092 soveltamisesta</w:t>
      </w:r>
      <w:r>
        <w:rPr>
          <w:rStyle w:val="FootnoteReference"/>
        </w:rPr>
        <w:footnoteReference w:id="10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24. kesäkuuta 202</w:t>
      </w:r>
      <w:r>
        <w:t>1 antamansa päätöslauselman komission oikeusvaltiokertomuksesta 2020</w:t>
      </w:r>
      <w:r>
        <w:rPr>
          <w:rStyle w:val="FootnoteReference"/>
        </w:rPr>
        <w:footnoteReference w:id="11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8. heinäkuuta 2021 antamansa päätöslauselman suuntaviivojen laatimisesta unionin talousarvion suojaamista koskevan yleisen ehdollisuusjärjestelmän soveltamiseksi</w:t>
      </w:r>
      <w:r>
        <w:rPr>
          <w:rStyle w:val="FootnoteReference"/>
        </w:rPr>
        <w:footnoteReference w:id="12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</w:t>
      </w:r>
      <w:r>
        <w:t>taa huomioon 11. marraskuuta 2021 antamansa päätöslauselman demokratian, tiedotusvälineiden vapauden ja moniarvoisuuden vahvistamisesta EU:ssa: yksityis- ja rikosoikeudellisten keinojen aiheeton käyttö toimittajien, kansalaisjärjestöjen ja kansalaisyhteisk</w:t>
      </w:r>
      <w:r>
        <w:t>unnan vaientamiseksi</w:t>
      </w:r>
      <w:r>
        <w:rPr>
          <w:rStyle w:val="FootnoteReference"/>
        </w:rPr>
        <w:footnoteReference w:id="13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15. joulukuuta 2021 antamansa päätöslauselman korruption, sääntöjenvastaisten menojen ja EU:n ja jäsenvaltioiden varojen väärinkäytön välttämiseen hätäapurahastojen ja kriiseihin liittyvien menoalojen tapauksessa täh</w:t>
      </w:r>
      <w:r>
        <w:t>täävien ennaltaehkäisevien toimenpiteiden arvioinnista</w:t>
      </w:r>
      <w:r>
        <w:rPr>
          <w:rStyle w:val="FootnoteReference"/>
        </w:rPr>
        <w:footnoteReference w:id="14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8. maaliskuuta 2022 antamansa päätöslauselman kansalaisyhteiskunnan toimintamahdollisuuksien kaventumisesta Euroopassa</w:t>
      </w:r>
      <w:r>
        <w:rPr>
          <w:rStyle w:val="FootnoteReference"/>
        </w:rPr>
        <w:footnoteReference w:id="15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10. maaliskuuta 2022 antamansa päätöslauselm</w:t>
      </w:r>
      <w:r>
        <w:t>an oikeusvaltioperiaatteesta ja unionin tuomioistuimen päätöksen seurauksista</w:t>
      </w:r>
      <w:r>
        <w:rPr>
          <w:rStyle w:val="FootnoteReference"/>
        </w:rPr>
        <w:footnoteReference w:id="16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19. toukokuuta 2022 antamansa päätöslauselman komission oikeusvaltiokertomuksesta 2021</w:t>
      </w:r>
      <w:r>
        <w:rPr>
          <w:rStyle w:val="FootnoteReference"/>
        </w:rPr>
        <w:footnoteReference w:id="17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9. kesäkuuta 2022 antamansa päätöslauselman oikeusval</w:t>
      </w:r>
      <w:r>
        <w:t>tioperiaatteesta ja mahdollisesta Puolan kansallisen elpymissuunnitelman hyväksymisestä</w:t>
      </w:r>
      <w:r>
        <w:rPr>
          <w:rStyle w:val="FootnoteReference"/>
        </w:rPr>
        <w:footnoteReference w:id="18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 xml:space="preserve">ottaa huomioon 15. syyskuuta 2022 antamansa päätöslauselman ehdotuksesta neuvoston päätökseksi sen toteamiseksi Euroopan unionista tehdyn sopimuksen 7 artiklan </w:t>
      </w:r>
      <w:r>
        <w:lastRenderedPageBreak/>
        <w:t>1 ko</w:t>
      </w:r>
      <w:r>
        <w:t>hdan nojalla, onko olemassa selvä vaara, että Unkari loukkaa vakavasti unionin perustana olevia arvoja</w:t>
      </w:r>
      <w:r>
        <w:rPr>
          <w:rStyle w:val="FootnoteReference"/>
        </w:rPr>
        <w:footnoteReference w:id="19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15. syyskuuta 2022 antamansa päätöslauselman perusoikeuksien tilanteesta Euroopan unionissa vuosina 2020 ja 2021</w:t>
      </w:r>
      <w:r>
        <w:rPr>
          <w:rStyle w:val="FootnoteReference"/>
        </w:rPr>
        <w:footnoteReference w:id="20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20</w:t>
      </w:r>
      <w:r>
        <w:t>. lokakuuta 2022 antamansa päätöslauselman oikeusvaltioperiaatteesta Maltassa viisi vuotta Daphne Caruana Galizian murhan jälkeen</w:t>
      </w:r>
      <w:r>
        <w:rPr>
          <w:rStyle w:val="FootnoteReference"/>
        </w:rPr>
        <w:footnoteReference w:id="21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 xml:space="preserve">ottaa huomioon 20. lokakuuta 2022 antamansa päätöslauselman hlbtiq-henkilöihin kohdistuvien viharikosten lisääntymisestä </w:t>
      </w:r>
      <w:r>
        <w:t>kaikkialla Euroopassa hiljattain Slovakiassa tapahtuneen homofobisen murhan valossa</w:t>
      </w:r>
      <w:r>
        <w:rPr>
          <w:rStyle w:val="FootnoteReference"/>
        </w:rPr>
        <w:footnoteReference w:id="22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10. marraskuuta 2022 antamansa päätöslauselman rodullisesta oikeudenmukaisuudesta, syrjimättömyydestä ja rasismintorjunnasta EU:ssa</w:t>
      </w:r>
      <w:r>
        <w:rPr>
          <w:rStyle w:val="FootnoteReference"/>
        </w:rPr>
        <w:footnoteReference w:id="23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24</w:t>
      </w:r>
      <w:r>
        <w:t>. marraskuuta 2022 antamansa päätöslauselman arviosta siitä, noudattaako Unkari ehdollisuusasetuksen oikeusvaltioperiaatetta koskevia ehtoja, ja Unkarin elpymis- ja palautumissuunnitelman tilanteesta</w:t>
      </w:r>
      <w:r>
        <w:rPr>
          <w:rStyle w:val="FootnoteReference"/>
        </w:rPr>
        <w:footnoteReference w:id="24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30. maaliskuuta 2023 antamansa päätös</w:t>
      </w:r>
      <w:r>
        <w:t>lauselman oikeusvaltiokertomuksesta 2022 – Oikeusvaltiotilanne Euroopan unionissa</w:t>
      </w:r>
      <w:r>
        <w:rPr>
          <w:rStyle w:val="FootnoteReference"/>
        </w:rPr>
        <w:footnoteReference w:id="25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PEGA-tutkintavaliokunnan raportin ja PEGAn päätöslauselman ja suositukset</w:t>
      </w:r>
      <w:r>
        <w:rPr>
          <w:rStyle w:val="FootnoteReference"/>
        </w:rPr>
        <w:footnoteReference w:id="26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 xml:space="preserve">ottaa huomioon demokratiaa, oikeusvaltioperiaatetta ja perusoikeuksia </w:t>
      </w:r>
      <w:r>
        <w:t>käsittelevän seurantaryhmänsä (DRFMG) palauteraportit, matkaraportit, kirjalliset kysymykset ja vastaukset</w:t>
      </w:r>
      <w:r>
        <w:rPr>
          <w:rStyle w:val="FootnoteReference"/>
        </w:rPr>
        <w:footnoteReference w:id="27"/>
      </w:r>
      <w:r>
        <w:t>,</w:t>
      </w:r>
    </w:p>
    <w:p w:rsidR="00967A95" w:rsidRDefault="00DF765E">
      <w:pPr>
        <w:pStyle w:val="NormalHanging12a"/>
      </w:pPr>
      <w:r>
        <w:t>–</w:t>
      </w:r>
      <w:r>
        <w:tab/>
        <w:t>ottaa huomioon työjärjestyksen 54 artiklan,</w:t>
      </w:r>
    </w:p>
    <w:p w:rsidR="00967A95" w:rsidRDefault="00DF765E">
      <w:pPr>
        <w:pStyle w:val="NormalHanging12a"/>
      </w:pPr>
      <w:r>
        <w:t>–</w:t>
      </w:r>
      <w:r>
        <w:tab/>
        <w:t>ottaa huomioon oikeudellisten asioiden valiokunnan lausunnon,</w:t>
      </w:r>
    </w:p>
    <w:p w:rsidR="00967A95" w:rsidRDefault="00DF765E">
      <w:pPr>
        <w:pStyle w:val="NormalHanging12a"/>
      </w:pPr>
      <w:r>
        <w:t>–</w:t>
      </w:r>
      <w:r>
        <w:tab/>
        <w:t xml:space="preserve">ottaa huomioon kansalaisvapauksien </w:t>
      </w:r>
      <w:r>
        <w:t>sekä oikeus- ja sisäasioiden valiokunnan mietinnön (A9-0000/2023),</w:t>
      </w:r>
    </w:p>
    <w:p w:rsidR="00967A95" w:rsidRDefault="00DF765E">
      <w:pPr>
        <w:pStyle w:val="Normal12a24b"/>
      </w:pPr>
      <w:r>
        <w:rPr>
          <w:rStyle w:val="BoldItalic"/>
        </w:rPr>
        <w:t>Oikeuslaitokset</w:t>
      </w:r>
    </w:p>
    <w:p w:rsidR="00967A95" w:rsidRDefault="00DF765E">
      <w:pPr>
        <w:pStyle w:val="NormalHanging12a"/>
      </w:pPr>
      <w:r>
        <w:t>1.</w:t>
      </w:r>
      <w:r>
        <w:tab/>
        <w:t>toistaa, että oikeuslaitoksen riippumattomuus on oikeusvaltioperiaatteen selkäranka, sillä se toimii edellytyksenä tehokkaille oikeussuojakeinoille oikeuksien ja vapauksi</w:t>
      </w:r>
      <w:r>
        <w:t xml:space="preserve">en </w:t>
      </w:r>
      <w:r>
        <w:lastRenderedPageBreak/>
        <w:t>tullessa evätyiksi tai loukatuiksi; korostaa, että riippumaton ja tehokas oikeuslaitos on välttämätön unionin oikeuden täytäntöönpanon kannalta, koska komissio luottaa unionin oikeuden täytäntöönpanossa kansallisiin oikeusviranomaisiin; ilmaisee huolens</w:t>
      </w:r>
      <w:r>
        <w:t>a siitä, että olettamus vaatimusten noudattamisesta muuttuu vaatimusten noudattamisen teeskentelyksi, jos komissio ohittaa kansallisten oikeusviranomaisten puutteet; panee huolestuneena merkille, että vaikka osa tuomioistuinjärjestelmistä olisikin teoriass</w:t>
      </w:r>
      <w:r>
        <w:t xml:space="preserve">a vankkoja, ne eivät kaikissa tapauksissa ole immuuneja sääntelyvallankaappauksille, poliittiselle puuttumiselle tai nepotismille; on tietoinen siitä, että tätä on vaikea havaita vain muodollisia rakenteita arvioimalla; kehottaa siksi komissiota lisäämään </w:t>
      </w:r>
      <w:r>
        <w:t>laadullista analyysia, johon sisällytetään asiayhteyteen liittyviä tekijöitä;</w:t>
      </w:r>
    </w:p>
    <w:p w:rsidR="00967A95" w:rsidRDefault="00DF765E">
      <w:pPr>
        <w:pStyle w:val="NormalHanging12a"/>
      </w:pPr>
      <w:r>
        <w:t>2.</w:t>
      </w:r>
      <w:r>
        <w:tab/>
        <w:t>panee merkille, että komissio on havainnut jäsenvaltioiden oikeuslaitosten riippumattomuudessa ja oikeudellisissa takeissa suuria eroja; panee merkille, että vuosikertomuksess</w:t>
      </w:r>
      <w:r>
        <w:t>a mainitaan useita tuomarineuvostoihin liittyviä myönteisiä aloitteita ja kehityskulkuja erityisesti Luxemburgissa, Alankomaissa, Portugalissa, Italiassa, Ruotsissa, Suomessa ja Unkarissa; korostaa kuitenkin, että riippumattoman arvion mukaan Unkarissa vai</w:t>
      </w:r>
      <w:r>
        <w:t>n yksi neljästä keskeisimmistä oikeuslaitoksen riippumattomuutta koskevasta välitavoitteesta voidaan katsoa kaikilta osin saavutetuiksi</w:t>
      </w:r>
      <w:r>
        <w:rPr>
          <w:rStyle w:val="FootnoteReference"/>
        </w:rPr>
        <w:footnoteReference w:id="28"/>
      </w:r>
      <w:r>
        <w:t>;</w:t>
      </w:r>
      <w:r>
        <w:rPr>
          <w:rStyle w:val="Sup"/>
        </w:rPr>
        <w:t xml:space="preserve"> </w:t>
      </w:r>
      <w:r>
        <w:t>toteaa, että komissio on havainnut Puolassa, Slovakiassa, Bulgariassa, Espanjassa ja Kyproksessa tuomarineuvostoihin l</w:t>
      </w:r>
      <w:r>
        <w:t xml:space="preserve">iittyviä huolenaiheita, joihin on vielä puututtava; panee huolestuneena merkille, että kurinpitomenettelyjä voidaan käyttää oikeuslaitoksen riippumattomuuden heikentämiseen, kuten Puolan ja Bulgarian tapauksessa; toteaa, että komissio on vihdoin saattanut </w:t>
      </w:r>
      <w:r>
        <w:t>Puolaa koskevan asian unionin tuomioistuimen käsiteltäväksi, koska maan perustuslakituomioistuin on rikkonut unionin oikeutta;</w:t>
      </w:r>
    </w:p>
    <w:p w:rsidR="00967A95" w:rsidRDefault="00DF765E">
      <w:pPr>
        <w:pStyle w:val="NormalHanging12a"/>
      </w:pPr>
      <w:r>
        <w:t>3.</w:t>
      </w:r>
      <w:r>
        <w:tab/>
        <w:t>toteaa, että komission mukaan joissakin jäsenvaltioissa, kuten Suomessa, Itävallassa, Sloveniassa, Kyproksessa, Ruotsissa ja U</w:t>
      </w:r>
      <w:r>
        <w:t>nkarissa, on toteutettu aloitteita tai ilmoitettu aloitteista tuomarien nimitysprosessien ja korkeimman oikeuden toiminnan parantamiseksi, mutta Maltassa, Kreikassa, Liettuassa, Latviassa ja Irlannissa on edelleen korkean tason tuomareiden nimittämiseen li</w:t>
      </w:r>
      <w:r>
        <w:t>ittyviä haasteita; korostaa, että Puolassa on edelleen vakavia huolenaiheita, jotka liittyvät aiemmin nimitettyihin korkeimman oikeuden tuomareihin, ensimmäinen presidentti mukaan lukien, ja siihen, että unionin tuomioistuimen ennakkoratkaisua tuomarien ni</w:t>
      </w:r>
      <w:r>
        <w:t>mittämisestä ylimääräistä valvontaa käsittelevään jaostoon ei ole edelleenkään pantu täytäntöön; toteaa, että komission mukaan Slovakiassa herättää edelleen huolta käyttöön otettu lainsäädännön väärinkäyttöä koskeva laki, jota sovelletaan tuomareiden oikeu</w:t>
      </w:r>
      <w:r>
        <w:t>dellisiin päätöksiin, sillä lailla on kielteinen psykologinen vaikutus tuomareihin, minkä lisäksi se aiheuttaa rasitetta tutkintaviranomaisille;</w:t>
      </w:r>
    </w:p>
    <w:p w:rsidR="00967A95" w:rsidRDefault="00DF765E">
      <w:pPr>
        <w:pStyle w:val="Normal12a24b"/>
      </w:pPr>
      <w:r>
        <w:rPr>
          <w:rStyle w:val="BoldItalic"/>
        </w:rPr>
        <w:t>Korruptio</w:t>
      </w:r>
    </w:p>
    <w:p w:rsidR="00967A95" w:rsidRDefault="00DF765E">
      <w:pPr>
        <w:pStyle w:val="NormalHanging12a"/>
      </w:pPr>
      <w:r>
        <w:t>4.</w:t>
      </w:r>
      <w:r>
        <w:tab/>
        <w:t xml:space="preserve">toistaa, että korruptio on vakava uhka oikeusvaltioperiaatteelle ja heikentää pahasti luottamusta </w:t>
      </w:r>
      <w:r>
        <w:t>demokratiaan ja yhdenvertaisuuteen lain edessä; kehottaa jäsenvaltioita tekemään paljon enemmän korruption kitkemiseksi;</w:t>
      </w:r>
    </w:p>
    <w:p w:rsidR="00967A95" w:rsidRDefault="00DF765E">
      <w:pPr>
        <w:pStyle w:val="NormalHanging12a"/>
      </w:pPr>
      <w:r>
        <w:lastRenderedPageBreak/>
        <w:t>5.</w:t>
      </w:r>
      <w:r>
        <w:tab/>
        <w:t>pitää valitettavana, että vaikka jäsenvaltioilla on käytössä korruptiontorjuntastrategioita, käsitykset korruption esiintymisestä va</w:t>
      </w:r>
      <w:r>
        <w:t>ihtelevat EU:ssa suuresti: Tanska, Suomi, Ruotsi ja Alankomaat lukeutuvat vähiten korruptoituneisiin, kun taas Bulgariassa, Maltassa, Unkarissa, Kreikassa ja Sloveniassa korruption laajuus mielletään huolestuttavaksi</w:t>
      </w:r>
      <w:r>
        <w:rPr>
          <w:rStyle w:val="FootnoteReference"/>
        </w:rPr>
        <w:footnoteReference w:id="29"/>
      </w:r>
      <w:r>
        <w:t>; panee huolestuneena merkille myös sen</w:t>
      </w:r>
      <w:r>
        <w:t>, että komission mukaan joissakin jäsenvaltioissa, kuten Bulgariassa, Maltassa, Unkarissa, Kreikassa ja Sloveniassa, ei ole vielä saatu aikaan selkeää näyttöä korkean tason korruptiotapausten tutkinnassa ja syytteeseenpanossa, joista annetuilla lopullisill</w:t>
      </w:r>
      <w:r>
        <w:t>a tuomioilla olisi pelotevaikutus;</w:t>
      </w:r>
    </w:p>
    <w:p w:rsidR="00967A95" w:rsidRDefault="00DF765E">
      <w:pPr>
        <w:pStyle w:val="NormalHanging12a"/>
      </w:pPr>
      <w:r>
        <w:t>6.</w:t>
      </w:r>
      <w:r>
        <w:tab/>
        <w:t>korostaa, että jäsenvaltioiden hallitusten ja EU:n virkamiesten olisi näytettävä esimerkkiä pidättäytymällä kaikenlaisista korruptoituneista käytännöistä ja että korruptiotutkimuksiin ei pitäisi puuttua valtioiden taho</w:t>
      </w:r>
      <w:r>
        <w:t>lta ja poliittisesti; huomauttaa, että korruptiossa voi olla osallisina myös EU:n virkamiehiä, kuten Qatargate-tapaus osoitti, ja toistaa sen vuoksi vaatimuksensa vuosikertomuksen ulottamisesta kattamaan myös EU:n toimielimet;</w:t>
      </w:r>
    </w:p>
    <w:p w:rsidR="00967A95" w:rsidRDefault="00DF765E">
      <w:pPr>
        <w:pStyle w:val="NormalHanging12a"/>
      </w:pPr>
      <w:r>
        <w:t>7.</w:t>
      </w:r>
      <w:r>
        <w:tab/>
        <w:t xml:space="preserve">tuomitsee sen, että Malta </w:t>
      </w:r>
      <w:r>
        <w:t>jatkaa sijoittajien kansalaisuusjärjestelyjä, joista aiheutuu suuria korruption ja muiden rikosten riskejä etenkin siksi, että moni muu jäsenvaltio on toteuttanut toimia varmistaakseen sijoittajien kansalaisuusjärjestelyjen lakkauttamisen; vahvistaa kantan</w:t>
      </w:r>
      <w:r>
        <w:t>sa, jonka mukaan komission olisi käytettävä oikeuttaan ehdottaa lainsäädäntöä ja aloitettava kaikenlaisten sijoittajien kansallisuusjärjestelyiden kieltäminen EU:n lainsäädännössä;</w:t>
      </w:r>
    </w:p>
    <w:p w:rsidR="00967A95" w:rsidRDefault="00DF765E">
      <w:pPr>
        <w:pStyle w:val="NormalHanging12a"/>
      </w:pPr>
      <w:r>
        <w:t>8.</w:t>
      </w:r>
      <w:r>
        <w:tab/>
        <w:t>katsoo, että EU:n rahoituksen saamisen ennakkoedellytyksenä olisi oltava</w:t>
      </w:r>
      <w:r>
        <w:t xml:space="preserve"> Euroopan syyttäjänviraston (EPPO) jäsenyys; toistaa kehotuksensa EPPOn toimeksiannon laajentamisesta;</w:t>
      </w:r>
    </w:p>
    <w:p w:rsidR="00967A95" w:rsidRDefault="00DF765E">
      <w:pPr>
        <w:pStyle w:val="NormalHanging12a"/>
      </w:pPr>
      <w:r>
        <w:t>9.</w:t>
      </w:r>
      <w:r>
        <w:tab/>
        <w:t>toteaa, että korruptiossa voi olla osallisina kansallisia viranomaisia kuten oikeus- ja poliisiviranomaisia, eli nimenomaan niitä viranomaisia, joiden</w:t>
      </w:r>
      <w:r>
        <w:t xml:space="preserve"> pitäisi torjua sitä; katsoo, että EU:n elimillä kuten Europolilla voisi olla merkittävä rooli korruption tutkimisessa ja todisteiden hankkimisessa, mutta että tätä haittaa vaatimus kansallisesta hyväksynnästä Europolin osallistumiselle; kehottaa vahvistam</w:t>
      </w:r>
      <w:r>
        <w:t>aan Europolin toimeksiantoa, jotta se voisi tutkia edellä kuvatun kaltaisia korruptiotapauksia;</w:t>
      </w:r>
    </w:p>
    <w:p w:rsidR="00967A95" w:rsidRDefault="00DF765E">
      <w:pPr>
        <w:pStyle w:val="Normal12a24b"/>
      </w:pPr>
      <w:r>
        <w:rPr>
          <w:rStyle w:val="BoldItalic"/>
        </w:rPr>
        <w:t>Riippumattomat viranomaiset</w:t>
      </w:r>
    </w:p>
    <w:p w:rsidR="00967A95" w:rsidRDefault="00DF765E">
      <w:pPr>
        <w:pStyle w:val="NormalHanging12a"/>
      </w:pPr>
      <w:r>
        <w:t>10.</w:t>
      </w:r>
      <w:r>
        <w:tab/>
        <w:t>korostaa, että keskinäinen valvonta voi toimia vain kun oikeusasiamiehet, kansalliset ihmisoikeusinstituutiot, tarkastusvirastot</w:t>
      </w:r>
      <w:r>
        <w:t>, tasa-arvoelimet ja kaikki muut riippumattomat viranomaiset ovat toimintakykyisiä ja kun niiden toimivalta on riittävän laaja, ne ovat riippumattomia ja niillä on asianmukainen rahoitus;</w:t>
      </w:r>
    </w:p>
    <w:p w:rsidR="00967A95" w:rsidRDefault="00DF765E">
      <w:pPr>
        <w:pStyle w:val="NormalHanging12a"/>
      </w:pPr>
      <w:r>
        <w:t>11.</w:t>
      </w:r>
      <w:r>
        <w:tab/>
        <w:t>panee merkille, että komission mukaan tilanne vaihtelee suuresti</w:t>
      </w:r>
      <w:r>
        <w:t xml:space="preserve"> jäsenvaltioiden välillä: Kyproksessa, Slovakiassa, Luxemburgissa, Portugalissa, Sloveniassa ja Puolassa tapahtuu jonkin verran kehitystä oikeaan suuntaan, Liettualla, Unkarilla ja Kroatialla on edelleen haasteita, Italiaan, Tšekkiin, Maltalle ja Romaniaan</w:t>
      </w:r>
      <w:r>
        <w:t xml:space="preserve"> ei ole edelleenkään perustettu kansallista ihmisoikeusinstituutiota, Bulgariassa, Espanjassa ja Itävallassa on erilaisten riippumattomien viranomaisten nimityksiin liittyviä viiveitä, ja Puola vaarantaa ylimmän tarkastuselimen tehokkaan toiminnan; panee e</w:t>
      </w:r>
      <w:r>
        <w:t xml:space="preserve">rittäin huolestuneena </w:t>
      </w:r>
      <w:r>
        <w:lastRenderedPageBreak/>
        <w:t>merkille Kreikan viimeaikaisen kehityksen, jossa riippumattomien viranomaisten, kuten Kreikan viestintäturvallisuudesta ja yksityisyydestä vastaavan viranomaisen (ADAE) ja Kreikan tietosuojaviranomaisen, toimet vakoiluohjelmien laitto</w:t>
      </w:r>
      <w:r>
        <w:t>man käytön torjumiseksi kasvattavat niihin kohdistuvaa painetta, minkä osoituksena Kreikan parlamentti vaihtoi äskettäin kiireellisesti ADAEn hallituksen jäsenet ilmeisesti siksi, että ADAEn odotettiin tekevän päätös sakkojen määräämisestä Kreikan tieduste</w:t>
      </w:r>
      <w:r>
        <w:t>lupalvelulle;</w:t>
      </w:r>
    </w:p>
    <w:p w:rsidR="00967A95" w:rsidRDefault="00DF765E">
      <w:pPr>
        <w:pStyle w:val="Normal12a24b"/>
      </w:pPr>
      <w:r>
        <w:rPr>
          <w:rStyle w:val="BoldItalic"/>
        </w:rPr>
        <w:t>Tiedotusvälineiden moniarvoisuus ja vapaus</w:t>
      </w:r>
    </w:p>
    <w:p w:rsidR="00967A95" w:rsidRDefault="00DF765E">
      <w:pPr>
        <w:pStyle w:val="NormalHanging12a"/>
      </w:pPr>
      <w:r>
        <w:t>12.</w:t>
      </w:r>
      <w:r>
        <w:tab/>
        <w:t>korostaa, että demokraattinen toiminta ja oikeusvaltioperiaate ovat riippuvaisia tiedotusvälineiden moniarvoisuudesta ja vapaudesta;</w:t>
      </w:r>
    </w:p>
    <w:p w:rsidR="00967A95" w:rsidRDefault="00DF765E">
      <w:pPr>
        <w:pStyle w:val="NormalHanging12a"/>
      </w:pPr>
      <w:r>
        <w:t>13.</w:t>
      </w:r>
      <w:r>
        <w:tab/>
        <w:t>painottaa tiedotusvälineiden omistussuhteiden läpinäkyvyyd</w:t>
      </w:r>
      <w:r>
        <w:t>en tärkeyttä; panee merkille, että komission mukaan Kreikassa, Luxemburgissa ja Ruotsissa on annettu vuoden 2022 oikeusvaltiokertomuksen jälkeen uutta lainsäädäntöä, jolla lisätään tiedotusvälineiden omistussuhteiden läpinäkyvyyttä tai parannetaan omistust</w:t>
      </w:r>
      <w:r>
        <w:t xml:space="preserve">ietojen saatavuutta, ja Kyproksessa parannettu tällaista lainsäädäntöä, kun taas Bulgariassa, Tšekissä ja Ranskassa muutos on edelleen kesken; panee myös merkille, että komission mukaan erityisesti Unkarissa, Sloveniassa, Puolassa, Kreikassa ja Romaniassa </w:t>
      </w:r>
      <w:r>
        <w:t>ei ole käytössä riittäviä suojakeinoja, joilla voitaisiin estää epäasianmukainen poliittinen vaikuttaminen tiedotusvälineiden sääntelyviranomaisiin, ja että viranomaisilla ei ole riittävästi resursseja;</w:t>
      </w:r>
    </w:p>
    <w:p w:rsidR="00967A95" w:rsidRDefault="00DF765E">
      <w:pPr>
        <w:pStyle w:val="NormalHanging12a"/>
      </w:pPr>
      <w:r>
        <w:t>14.</w:t>
      </w:r>
      <w:r>
        <w:tab/>
        <w:t>korostaa julkisen palvelun median toimituksellise</w:t>
      </w:r>
      <w:r>
        <w:t>n riippumattomuuden tärkeyttä ja jäsenvaltioiden velvollisuutta kunnioittaa sitä;</w:t>
      </w:r>
    </w:p>
    <w:p w:rsidR="00967A95" w:rsidRDefault="00DF765E">
      <w:pPr>
        <w:pStyle w:val="NormalHanging12a"/>
      </w:pPr>
      <w:r>
        <w:t>15.</w:t>
      </w:r>
      <w:r>
        <w:tab/>
        <w:t>kehottaa neuvostoa ja komissiota osoittamaan riittävästi rahoitusta riippumattomalle ja Euroopan laajuiselle laatujournalismille kansallisella, alueellisella ja paikallis</w:t>
      </w:r>
      <w:r>
        <w:t>ella tasolla;</w:t>
      </w:r>
    </w:p>
    <w:p w:rsidR="00967A95" w:rsidRDefault="00DF765E">
      <w:pPr>
        <w:pStyle w:val="Normal12a24b"/>
      </w:pPr>
      <w:r>
        <w:rPr>
          <w:rStyle w:val="BoldItalic"/>
        </w:rPr>
        <w:t>Toimittajien suojelu</w:t>
      </w:r>
    </w:p>
    <w:p w:rsidR="00967A95" w:rsidRDefault="00DF765E">
      <w:pPr>
        <w:pStyle w:val="NormalHanging12a"/>
      </w:pPr>
      <w:r>
        <w:t>16.</w:t>
      </w:r>
      <w:r>
        <w:tab/>
        <w:t xml:space="preserve">muistuttaa, että riippumaton journalismi on demokraattisen oikeusvaltioperiaatteen olennainen tekijä osana välttämätöntä keskinäistä valvontaa ja julkisyhteisön valvontaa; ilmaisee huolensa siitä, että monet </w:t>
      </w:r>
      <w:r>
        <w:t>hallitukset pyrkivät tarkoituksellisesti vaientamaan rikkomuksia paljastavat toimittajat;</w:t>
      </w:r>
    </w:p>
    <w:p w:rsidR="00967A95" w:rsidRDefault="00DF765E">
      <w:pPr>
        <w:pStyle w:val="NormalHanging12a"/>
      </w:pPr>
      <w:r>
        <w:t>17.</w:t>
      </w:r>
      <w:r>
        <w:tab/>
        <w:t>pitää valitettavana niitä huolestuttavia suuntauksia toimittajien turvallisuuden suojaamisessa, joita monissa jäsenvaltioissa on nähtävissä; toteaa, että Euroopan</w:t>
      </w:r>
      <w:r>
        <w:t xml:space="preserve"> neuvoston journalismin toimintamahdollisuuksia ja toimittajien turvallisuutta edistävä foorumi on vuodesta 2015 lähtien kirjannut yli 1 600 uhkailmoitusta; pitää valitettavana toimittajien pelottelua vaalikampanjojen aikana, kuten tapahtui äskettäin Slova</w:t>
      </w:r>
      <w:r>
        <w:t>kian vaalien yhteydessä;</w:t>
      </w:r>
    </w:p>
    <w:p w:rsidR="00967A95" w:rsidRDefault="00DF765E">
      <w:pPr>
        <w:pStyle w:val="NormalHanging12a"/>
      </w:pPr>
      <w:r>
        <w:t>18.</w:t>
      </w:r>
      <w:r>
        <w:tab/>
        <w:t>pitää valitettavana, että huolimatta useiden kansainvälisten organisaatioiden esille nostamista huolenaiheista Malta on ehdottanut SLAPP-kanteiden vastaisia toimenpiteitä, jotka eivät ole riittäviä toimittajien työn suojaamisek</w:t>
      </w:r>
      <w:r>
        <w:t>si</w:t>
      </w:r>
      <w:r>
        <w:rPr>
          <w:rStyle w:val="FootnoteReference"/>
        </w:rPr>
        <w:footnoteReference w:id="30"/>
      </w:r>
      <w:r>
        <w:t>;</w:t>
      </w:r>
      <w:r>
        <w:rPr>
          <w:rStyle w:val="Sup"/>
        </w:rPr>
        <w:t xml:space="preserve"> </w:t>
      </w:r>
      <w:r>
        <w:t xml:space="preserve">kehottaa </w:t>
      </w:r>
      <w:r>
        <w:lastRenderedPageBreak/>
        <w:t>Kreikan hallitusta puuttumaan niihin vakaviin haasteisiin, jotka havaitsi lehdistön ja tiedotusvälineiden vapautta seuraava, valvova ja niitä koskeviin rikkomuksiin reagoiva liittoutuma Media Freedom Rapid Response (MFRR), ja toteaa, että näi</w:t>
      </w:r>
      <w:r>
        <w:t>tä haasteita olivat erityisesti mielivaltainen valvonta, toimittajiin kohdistuvat rikokset tai niiden rankaisemattomuus, perusteettomat häirintätarkoituksessa nostetut kanteet (SLAPP-kanteet), tiedotusvälineiden riippumattomuus ja moniarvoisuus</w:t>
      </w:r>
      <w:r>
        <w:rPr>
          <w:rStyle w:val="FootnoteReference"/>
        </w:rPr>
        <w:footnoteReference w:id="31"/>
      </w:r>
      <w:r>
        <w:t>; panee eri</w:t>
      </w:r>
      <w:r>
        <w:t>ttäin huolestuneena merkille, että Ranskan viranomaiset pidättivät äskettäin toimittajan ilmeisesti tämän lähteiden paljastamiseksi ja että De Correspondent -lehdelle työskentelevää alankomaalaista toimittajaa salakuunneltiin laittomasti;</w:t>
      </w:r>
    </w:p>
    <w:p w:rsidR="00967A95" w:rsidRDefault="00DF765E">
      <w:pPr>
        <w:pStyle w:val="NormalHanging12a"/>
      </w:pPr>
      <w:r>
        <w:t>19.</w:t>
      </w:r>
      <w:r>
        <w:tab/>
        <w:t>kehottaa EU:n</w:t>
      </w:r>
      <w:r>
        <w:t xml:space="preserve"> toimielimiä pyrkimään nopeasti sopimukseen kunnianhimoisesta SLAPP-kanteiden vastaisesta direktiivistä; kehottaa komissiota tutkimaan mahdollisuutta antaa lisää lainsäädäntöä kaikkien SLAPP-tapausten kattamiseksi;</w:t>
      </w:r>
    </w:p>
    <w:p w:rsidR="00967A95" w:rsidRDefault="00DF765E">
      <w:pPr>
        <w:pStyle w:val="NormalHanging12a"/>
      </w:pPr>
      <w:r>
        <w:t>20.</w:t>
      </w:r>
      <w:r>
        <w:tab/>
        <w:t>tuomitsee jyrkästi sen, ettei Giorgos</w:t>
      </w:r>
      <w:r>
        <w:t xml:space="preserve"> Karaivazin murhaa ole tutkittu perusteellisesti; toteaa, että kaksi tappajaksi väitettyä henkilöä pidätettiin yli kaksi vuotta murhan jälkeen sellaisten todisteiden perusteella, jotka vaikuttavat olleen koko ajan poliisin käytettävissä; katsoo, että murha</w:t>
      </w:r>
      <w:r>
        <w:t>n varsinaista toimeksiantajaa ei vielä ole saatu selville; toteaa, että Karaivaz – Daphne Caruana Galizian ja Ján Kuciakin tavoin – tutki korruptiota ja rikollisuutta ja että hänellä saattoi olla vihollisia korkeissa asemissa, poliittiset piirit mukaan luk</w:t>
      </w:r>
      <w:r>
        <w:t>ien; huomauttaa, että Daphne Caruana Galizian murhan toimeksiantajaksi epäiltyä henkilöä ei edelleenkään ole tuomittu ja etteivät viranomaiset ole asianmukaisesti puuttuneet niihin korruptio- ja rikostapauksiin, joita hän oli tutkimassa;</w:t>
      </w:r>
    </w:p>
    <w:p w:rsidR="00967A95" w:rsidRDefault="00DF765E">
      <w:pPr>
        <w:pStyle w:val="NormalHanging12a"/>
      </w:pPr>
      <w:r>
        <w:t>21.</w:t>
      </w:r>
      <w:r>
        <w:tab/>
        <w:t>tuomitsee toim</w:t>
      </w:r>
      <w:r>
        <w:t>ittajien laittoman valvonnan erityisesti vakoiluohjelmien avulla; on tyrmistynyt siitä, että komissio on kieltäytynyt ottamasta käyttöön kaikkia Pegasus-ohjelmaa käsittelevän erityistutkintavaliokunnan suosituksia, ja pitää sitä laiminlyöntinä; huomauttaa,</w:t>
      </w:r>
      <w:r>
        <w:t xml:space="preserve"> ettei oikeus ole toteutunut yhdessäkään niistä sadoista tapauksista, joissa vakoiluohjelmia on väärinkäytetty toimittajia, aktivisteja, lakimiehiä ja muita poliittisia kohteita vastaan; toteaakin komission oletuksen vastaisesti, että monet kansalliset vir</w:t>
      </w:r>
      <w:r>
        <w:t>anomaiset eivät ole halukkaita eivätkä kyvykkäitä puuttumaan asiaan, jolloin uhrit jäävät ilman tehokasta oikeussuojakeinoa ja demokratian suojelu ei toteudu; on erittäin huolissaan siitä, että vakoiluohjelmien väärinkäytön rankaisemattomuus vaikuttaa tuka</w:t>
      </w:r>
      <w:r>
        <w:t>hduttavasti toimittajiin ja heidän lähteisiinsä;</w:t>
      </w:r>
    </w:p>
    <w:p w:rsidR="00967A95" w:rsidRDefault="00DF765E">
      <w:pPr>
        <w:pStyle w:val="NormalHanging12a"/>
      </w:pPr>
      <w:r>
        <w:t>22.</w:t>
      </w:r>
      <w:r>
        <w:tab/>
        <w:t>korostaa, että vakoiluohjelmien laittoman käytön vaikutus on paljon selvempi jäsenvaltioissa, joissa viranomaiset, joiden tehtävänä olisi yleensä huolehtia tutkinnasta, tarjota kohteena oleville henkilöi</w:t>
      </w:r>
      <w:r>
        <w:t>lle oikeussuojakeinoja ja varmistaa vastuuvelvollisuus, ovat valtion valvonnassa ja joissa oikeusvaltio on kriisissä ja oikeuslaitoksen riippumattomuus on vaarassa niin, ettei kansallisiin viranomaisiin voi luottaa; kehottaa siksi komissiota ottamaan oikeu</w:t>
      </w:r>
      <w:r>
        <w:t>svaltiokertomuksessa käyttöön erityisen maakohtaisen valvonnan ja jäsenvaltioiden laitonta vakoiluohjelmien käyttöä koskevat suositukset, joilla arvioidaan valtiollisten instituutioiden valmiuksia tarjota kohteena oleville henkilöille oikeussuojakeinoja;</w:t>
      </w:r>
    </w:p>
    <w:p w:rsidR="00967A95" w:rsidRDefault="00DF765E">
      <w:pPr>
        <w:pStyle w:val="Normal12a24b"/>
      </w:pPr>
      <w:r>
        <w:rPr>
          <w:rStyle w:val="BoldItalic"/>
        </w:rPr>
        <w:lastRenderedPageBreak/>
        <w:t>A</w:t>
      </w:r>
      <w:r>
        <w:rPr>
          <w:rStyle w:val="BoldItalic"/>
        </w:rPr>
        <w:t>voimuus ja tiedon saatavuus</w:t>
      </w:r>
    </w:p>
    <w:p w:rsidR="00967A95" w:rsidRDefault="00DF765E">
      <w:pPr>
        <w:pStyle w:val="NormalHanging12a"/>
      </w:pPr>
      <w:r>
        <w:t>23.</w:t>
      </w:r>
      <w:r>
        <w:tab/>
        <w:t>pitää valitettavana, että monien jäsenvaltioiden kansalaisilla, toimittajilla ja parlamentaarikoilla on toistuvia vaikeuksia hankkia tietoa ja saada pääsy asiakirjoihin; korostaa, että viranomaiset jarruttavat liian usein ta</w:t>
      </w:r>
      <w:r>
        <w:t>rkoituksellisesti pääsyä tietoon ja asiakirjoihin esimerkiksi viivästyttämällä päätöksiä suhteettomasti tai myöntämällä vain nimellisen pääsyn antamalla tiedot vain osittain saataville;</w:t>
      </w:r>
    </w:p>
    <w:p w:rsidR="00967A95" w:rsidRDefault="00DF765E">
      <w:pPr>
        <w:pStyle w:val="Normal12a24b"/>
      </w:pPr>
      <w:r>
        <w:rPr>
          <w:rStyle w:val="BoldItalic"/>
        </w:rPr>
        <w:t>Kansalaisyhteiskunnan toimintamahdollisuudet</w:t>
      </w:r>
    </w:p>
    <w:p w:rsidR="00967A95" w:rsidRDefault="00DF765E">
      <w:pPr>
        <w:pStyle w:val="NormalHanging12a"/>
      </w:pPr>
      <w:r>
        <w:t>24.</w:t>
      </w:r>
      <w:r>
        <w:tab/>
        <w:t>toteaa, että kansalai</w:t>
      </w:r>
      <w:r>
        <w:t>syhteiskunnalla ja terveillä kansalaisyhteiskunnan toimintamahdollisuuksilla on ratkaiseva merkitys oikeusvaltioperiaatteen ylläpitämisessä ja suojelemisessa, ja toistaa esittämänsä kehotuksen varata kertomuksessa oma luku kansalaisyhteiskunnan tilalle jäs</w:t>
      </w:r>
      <w:r>
        <w:t>envaltioissa; toteaa, että komission mukaan Malta, Irlanti, Bulgaria, Liettua ja Saksa ovat ilmoittaneet pyrkimyksistä tai käynnistäneet toimia kansalaisyhteiskunnan toimintaympäristön kehittämiseksi, ja katsoo, että kansalaisyhteiskuntaan kohdistuu erityi</w:t>
      </w:r>
      <w:r>
        <w:t>siä haasteita Kyproksessa, Kreikassa, Espanjassa, Italiassa ja Ranskassa sekä edelleen vakavia järjestelmällisiä rajoituksia Unkarissa ja Puolassa; kehottaa kaikkia jäsenvaltioita hyväksymään kansalaisyhteiskunnan järjestöt merkittävinä demokraattisen toim</w:t>
      </w:r>
      <w:r>
        <w:t>innan sidosryhminä ja luomaan kansalaisyhteiskunnan mahdollistavan ympäristön;</w:t>
      </w:r>
    </w:p>
    <w:p w:rsidR="00967A95" w:rsidRDefault="00DF765E">
      <w:pPr>
        <w:pStyle w:val="NormalHanging12a"/>
      </w:pPr>
      <w:r>
        <w:t>25.</w:t>
      </w:r>
      <w:r>
        <w:tab/>
        <w:t>kehottaa komissiota investoimaan edelleen tätä tarkoitusta varten varatun rahoituksen avulla kansalaisyhteiskunnan järjestöjen valmiuksien kehittämiseen, jotta ne voivat seu</w:t>
      </w:r>
      <w:r>
        <w:t>rata jäsenvaltioiden oikeusvaltiotilannetta ja raportoida siitä, ja varmistamaan tähän prosessiin osallistuvan kansalaisyhteiskunnan järjestöjen riittävä suojelu;</w:t>
      </w:r>
    </w:p>
    <w:p w:rsidR="00967A95" w:rsidRDefault="00DF765E">
      <w:pPr>
        <w:pStyle w:val="Normal12a24b"/>
      </w:pPr>
      <w:r>
        <w:rPr>
          <w:rStyle w:val="BoldItalic"/>
        </w:rPr>
        <w:t>Vähemmistöjen suojelu</w:t>
      </w:r>
    </w:p>
    <w:p w:rsidR="00967A95" w:rsidRDefault="00DF765E">
      <w:pPr>
        <w:pStyle w:val="NormalHanging12a"/>
      </w:pPr>
      <w:r>
        <w:t>26.</w:t>
      </w:r>
      <w:r>
        <w:tab/>
        <w:t xml:space="preserve">toteaa, että demokratian ja oikeusvaltioperiaatteen taantuminen ja </w:t>
      </w:r>
      <w:r>
        <w:t>vähemmistöoikeuksien heikentäminen kulkevat usein käsi kädessä, ja korostaa jälleen tarvetta ottaa kokonaisvaltainen lähestymistapa demokratian, oikeusvaltion ja perusoikeuksien seurantaan tulevissa kertomuksissa; pitää valitettavana, että EU:ssa ei ole sa</w:t>
      </w:r>
      <w:r>
        <w:t>avutettu edistystä vähemmistöjen suojelussa; tuomitsee vähemmistöihin kohdistuvan vihapuheen, myös hallinnon tai poliittisten virkamiesten taholta;</w:t>
      </w:r>
    </w:p>
    <w:p w:rsidR="00967A95" w:rsidRDefault="00DF765E">
      <w:pPr>
        <w:pStyle w:val="NormalHanging12a"/>
      </w:pPr>
      <w:r>
        <w:t>27.</w:t>
      </w:r>
      <w:r>
        <w:tab/>
        <w:t>kehottaa EU:n jäsenvaltioita tekemään hlbtiq-henkilöiden oikeuksien suojelusta todellisen ja monialaisen</w:t>
      </w:r>
      <w:r>
        <w:t xml:space="preserve"> painopisteen kaikilla politiikanaloilla; kehottaa komissiota varmistamaan kaikin käytettävissä olevin keinoin, että hlbtiq-henkilöiden oikeuksia kunnioitetaan kaikkialla EU:ssa, mukaan lukien jäsenvaltioiden vastaisten rikkomusmenettelyjen käyttö; kehotta</w:t>
      </w:r>
      <w:r>
        <w:t>a jäsenvaltioita ottamaan huomioon Euroopan neuvoston syrjimättömyyttä, monimuotoisuutta ja osallisuutta käsittelevän ohjauskomitean 12 suositusta hlbtiq-henkilöihin kohdistuvien viharikosten ehkäisemiseksi sekä Euroopan rasismin ja suvaitsemattomuuden vas</w:t>
      </w:r>
      <w:r>
        <w:t>taisen komission suositukset</w:t>
      </w:r>
      <w:r>
        <w:rPr>
          <w:rStyle w:val="FootnoteReference"/>
        </w:rPr>
        <w:footnoteReference w:id="32"/>
      </w:r>
      <w:r>
        <w:t>;</w:t>
      </w:r>
      <w:r>
        <w:rPr>
          <w:rStyle w:val="Sup"/>
        </w:rPr>
        <w:t xml:space="preserve"> </w:t>
      </w:r>
      <w:r>
        <w:t xml:space="preserve">panee merkille Romanian äskettäisen lakiluonnoksen, jonka tavoitteena on </w:t>
      </w:r>
      <w:r>
        <w:lastRenderedPageBreak/>
        <w:t>noudattaa unionin tuomioistuimen vuonna 2018 asiassa Coman antamaa ratkaisua</w:t>
      </w:r>
      <w:r>
        <w:rPr>
          <w:rStyle w:val="FootnoteReference"/>
        </w:rPr>
        <w:footnoteReference w:id="33"/>
      </w:r>
      <w:r>
        <w:t xml:space="preserve">, sekä kritiikin siitä, että ratkaisu pannaan lakiluonnoksessa täytäntöön </w:t>
      </w:r>
      <w:r>
        <w:t>vain hyvin kapealla tavalla ja että se ei takaa samaa sukupuolta olevien parien yhtäläisiä oikeuksia</w:t>
      </w:r>
      <w:r>
        <w:rPr>
          <w:rStyle w:val="FootnoteReference"/>
        </w:rPr>
        <w:footnoteReference w:id="34"/>
      </w:r>
      <w:r>
        <w:t>;</w:t>
      </w:r>
      <w:r>
        <w:rPr>
          <w:rStyle w:val="Sup"/>
        </w:rPr>
        <w:t xml:space="preserve"> </w:t>
      </w:r>
    </w:p>
    <w:p w:rsidR="00967A95" w:rsidRDefault="00DF765E">
      <w:pPr>
        <w:pStyle w:val="NormalHanging12a"/>
      </w:pPr>
      <w:r>
        <w:t>28.</w:t>
      </w:r>
      <w:r>
        <w:tab/>
        <w:t>toteaa jälleen kerran, että naisten oikeudet ovat ihmisoikeuksia ja että mikään ei oikeuta polkemaan naisten oikeuksia ja itsemääräämisoikeuksia; tu</w:t>
      </w:r>
      <w:r>
        <w:t>omitsee erityisesti naisten ja tyttöjen seksuaali- ja lisääntymisterveyteen ja -oikeuksiin kohdistuvan hyökkäyksen, joka on meneillään useissa jäsenvaltioissa; katsoo, että oikeus turvalliseen ja lailliseen aborttiin olisi kirjattava Euroopan unionin perus</w:t>
      </w:r>
      <w:r>
        <w:t>oikeuskirjaan;</w:t>
      </w:r>
    </w:p>
    <w:p w:rsidR="00967A95" w:rsidRDefault="00DF765E">
      <w:pPr>
        <w:pStyle w:val="NormalHanging12a"/>
      </w:pPr>
      <w:r>
        <w:t>29.</w:t>
      </w:r>
      <w:r>
        <w:tab/>
        <w:t>kehottaa komissiota sisällyttämään seuraavaan kertomukseen erityisen vähemmistöjen suojelua koskevan pilarin, jossa kartoitetaan kaikenlaista muukalaisvihaa, rasismia, antisemitismiä, islamofobiaa, romanivastaisuutta ja hlbtiq-fobiaa kai</w:t>
      </w:r>
      <w:r>
        <w:t>kissa jäsenvaltioissa;</w:t>
      </w:r>
    </w:p>
    <w:p w:rsidR="00967A95" w:rsidRDefault="00DF765E">
      <w:pPr>
        <w:pStyle w:val="NormalHanging12a"/>
      </w:pPr>
      <w:r>
        <w:t>30.</w:t>
      </w:r>
      <w:r>
        <w:tab/>
        <w:t>ilmaisee pettymyksensä siihen, että komissio on hidas puuttumaan perusoikeuslakien ja oikeuskäytännön noudattamatta jättämiseen jäsenvaltioissa; ei hyväksy komission tulkintaa, jonka mukaan kansallisten viranomaisten kieltäytymin</w:t>
      </w:r>
      <w:r>
        <w:t>en unionin tuomioistuimen ja Euroopan ihmisoikeustuomioistuimen perusoikeuksia koskevissa asioissa antamien ratkaisujen noudattamisesta on katsottava ”yksittäistapauksiksi”, joita ei pidä hoitaa rikkomusmenettelyillä; kehottaa komissiota perussopimusten va</w:t>
      </w:r>
      <w:r>
        <w:t>lvojana täyttämään tehtävänsä EU:n ihmisoikeuslainsäädännön täytäntöönpanossa ja olemaan luottamatta ”yksityisoikeudelliseen täytäntöönpanoon”;</w:t>
      </w:r>
    </w:p>
    <w:p w:rsidR="00967A95" w:rsidRDefault="00DF765E">
      <w:pPr>
        <w:pStyle w:val="Normal12a24b"/>
      </w:pPr>
      <w:r>
        <w:rPr>
          <w:rStyle w:val="BoldItalic"/>
        </w:rPr>
        <w:t>Laaja-alaisia päätelmiä demokratian, oikeusvaltion ja perusoikeuksien tilasta EU:ssa</w:t>
      </w:r>
    </w:p>
    <w:p w:rsidR="00967A95" w:rsidRDefault="00DF765E">
      <w:pPr>
        <w:pStyle w:val="NormalHanging12a"/>
      </w:pPr>
      <w:r>
        <w:t>31.</w:t>
      </w:r>
      <w:r>
        <w:tab/>
        <w:t>ilmaisee edellä sanotun</w:t>
      </w:r>
      <w:r>
        <w:t xml:space="preserve"> valossa syvän huolensa siitä, että demokratia, oikeusvaltio ja perusoikeudet EU:ssa ovat murenemassa; korostaa, että vaikka komission oikeusvaltiokertomuksessa kuvattu tilanne paljastaa monia huolestuttavia kehityskulkuja, tilanne näyttää vielä huolestutt</w:t>
      </w:r>
      <w:r>
        <w:t>avammalta, kun otetaan huomioon muut riippumattomat raportit ja lähteet; painottaa, että vaikka demokratiaa, oikeusvaltiota ja perusoikeuksia suojellaan ja edistetään esimerkillisellä tavalla joissakin jäsenvaltioissa, kyseisten arvojen murentaminen muissa</w:t>
      </w:r>
      <w:r>
        <w:t xml:space="preserve"> jäsenvaltioissa heikentää EU:n toimielimiä ja unionin tilannetta kokonaisuudessaan ja vaarantaa niiden uskottavuuden, sillä Euroopan unioni on avoin ja perustuu keskinäiseen riippuvuuteen;</w:t>
      </w:r>
    </w:p>
    <w:p w:rsidR="00967A95" w:rsidRDefault="00DF765E">
      <w:pPr>
        <w:pStyle w:val="Normal12a24b"/>
      </w:pPr>
      <w:r>
        <w:rPr>
          <w:rStyle w:val="BoldItalic"/>
        </w:rPr>
        <w:t>Unionin oikeuden täytäntöönpano</w:t>
      </w:r>
    </w:p>
    <w:p w:rsidR="00967A95" w:rsidRDefault="00DF765E">
      <w:pPr>
        <w:pStyle w:val="NormalHanging12a"/>
      </w:pPr>
      <w:r>
        <w:t>32.</w:t>
      </w:r>
      <w:r>
        <w:tab/>
        <w:t>toteaa, että kaiken EU:n lains</w:t>
      </w:r>
      <w:r>
        <w:t>äädännön asianmukainen täytäntöönpano on oikeusvaltioperiaatteeseen pohjaavan unionin perustavanlaatuinen edellytys; tuomitsee useiden jäsenvaltioiden toisinaan avoimen ja häpeilemättömän unionin oikeuden noudattamatta jättämisen eri aloilla, kuten turvapa</w:t>
      </w:r>
      <w:r>
        <w:t xml:space="preserve">ikka-asioissa, pakotteiden täytäntöönpanossa ja ihmisoikeuslainsäädännössä; painottaa, että tämän seurauksena EU:sta on vaarassa tulla laeista piittaamaton vyöhyke, jossa osa jäsenvaltioista vaikuttaa </w:t>
      </w:r>
      <w:r>
        <w:lastRenderedPageBreak/>
        <w:t>muita tasa-arvoisemmilta ja jossa kansalaisten EU-oikeu</w:t>
      </w:r>
      <w:r>
        <w:t>det ja -vapaudet eivät ole yhtäläisesti suojattuja;</w:t>
      </w:r>
    </w:p>
    <w:p w:rsidR="00967A95" w:rsidRDefault="00DF765E">
      <w:pPr>
        <w:pStyle w:val="NormalHanging12a"/>
      </w:pPr>
      <w:r>
        <w:t>33.</w:t>
      </w:r>
      <w:r>
        <w:tab/>
        <w:t>muistuttaa komissiota siitä, että tämä on ennen kaikkea perussopimusten valvoja; painottaa, että kertomuksen julkaiseminen ei riitä vahvistamaan oikeusvaltioperiaatteeseen pohjaavaa unioniamme, vaan e</w:t>
      </w:r>
      <w:r>
        <w:t>ttä kertomuksen olisi johdettava konkreettisiin täytäntöönpanotoimiin varsinkin silloin, kun suosituksia ei noudateta kokonaan;</w:t>
      </w:r>
    </w:p>
    <w:p w:rsidR="00967A95" w:rsidRDefault="00DF765E">
      <w:pPr>
        <w:pStyle w:val="NormalHanging12a"/>
      </w:pPr>
      <w:r>
        <w:t>34.</w:t>
      </w:r>
      <w:r>
        <w:tab/>
        <w:t>pitää erittäin valitettavana, ettei komissio toteuta tehokkaampia toimia unionin oikeuden täytäntöön panemiseksi; kehottaaki</w:t>
      </w:r>
      <w:r>
        <w:t>n komissiota lisäämään uusien rikkomusmenettelyjen määrää ja viemään nykyisiä rikkomusmenettelyjä eteenpäin rohkeammin ja kiireellisemmin; kehottaa komissiota olemaan käyttämättä jäsenvaltioiden kanssa käytävää ”vuoropuhelua” tai EU Pilot-menettelyä ennalt</w:t>
      </w:r>
      <w:r>
        <w:t>a määrittelemättömänä keinona, jolla voidaan välttää aloittamasta varsinaisia rikkomusmenettelyjä; kehottaa komissiota tarkistamaan toimintatapaansa – jolle ei ole pohjaa perussopimuksissa – olla käyttämättä rikkomusmenettelyjä ”yksittäistapauksissa”, kosk</w:t>
      </w:r>
      <w:r>
        <w:t>a tämän toimintatavan johdosta kansalaisilta eri puolilla EU:ta viedään tärkeitä oikeuksia, erityisesti kun heidän omat hallituksensa kieltäytyvät noudattamasta unionin tuomioistuimen tuomioita, sillä useimmat tapaukset eivät ole yksittäisiä, vaan niissä o</w:t>
      </w:r>
      <w:r>
        <w:t>n kyse strategisista ja perustavanlaatuisista kysymyksistä;</w:t>
      </w:r>
    </w:p>
    <w:p w:rsidR="00967A95" w:rsidRDefault="00DF765E">
      <w:pPr>
        <w:pStyle w:val="NormalHanging12a"/>
      </w:pPr>
      <w:r>
        <w:t>35.</w:t>
      </w:r>
      <w:r>
        <w:tab/>
        <w:t>toteaa, että Euroopan ihmisoikeustuomioistuimen tuomioiden puutteellinen täytäntöönpano on jatkuva ongelma, ja panee merkille Euroopan neuvoston ministerikomitean</w:t>
      </w:r>
      <w:r>
        <w:rPr>
          <w:rStyle w:val="Sup"/>
        </w:rPr>
        <w:t>[1]</w:t>
      </w:r>
      <w:r>
        <w:t xml:space="preserve"> äskettäiset päätökset; pan</w:t>
      </w:r>
      <w:r>
        <w:t>ee tyytyväisenä merkille, että oikeusvaltiokertomukseen on vuoden 2022 kertomuksesta lähtien sisällytetty järjestelmällisiä indikaattoreita, jotka kertovat Euroopan ihmisoikeustuomioistuimen johtavissa tapauksissa antamien tuomioiden täytäntöönpanosta; keh</w:t>
      </w:r>
      <w:r>
        <w:t>ottaa kuitenkin komissiota ottamaan käyttöön tulostaulun, joka on tarkoitettu unionin tuomioistuimen ja Euroopan ihmisoikeustuomioistuimen jokaisen demokratiaan, oikeusvaltioon ja perusoikeuksiin liittyvän tuomion täytäntöönpanon valvontaan, ja sisällyttäm</w:t>
      </w:r>
      <w:r>
        <w:t>ään sen kokonaisuudessaan oikeusvaltiota koskevaan vuosikertomukseen; kehottaa jäsenvaltioita panemaan täytäntöönpanoa odottavat tuomiot viipymättä täytäntöön ja kehottaa komissiota arvioimaan seuraukset unionin oikeuden noudattamiselle ja käynnistämään ta</w:t>
      </w:r>
      <w:r>
        <w:t>rvittaessa rikkomusmenettelyn;</w:t>
      </w:r>
    </w:p>
    <w:p w:rsidR="00967A95" w:rsidRDefault="00DF765E">
      <w:pPr>
        <w:pStyle w:val="Normal12a24b"/>
      </w:pPr>
      <w:r>
        <w:rPr>
          <w:rStyle w:val="BoldItalic"/>
        </w:rPr>
        <w:t>Oikeusvaltiokertomus välineenä</w:t>
      </w:r>
    </w:p>
    <w:p w:rsidR="00967A95" w:rsidRDefault="00DF765E">
      <w:pPr>
        <w:pStyle w:val="NormalHanging12a"/>
      </w:pPr>
      <w:r>
        <w:t>36.</w:t>
      </w:r>
      <w:r>
        <w:tab/>
        <w:t>toteaa, että oikeusvaltiokertomuksesta on tullut vertailukohde, jota unionin toimielimet käyttävät työssään oikeusvaltiokysymysten parissa EU:ssa ja tietyissä jäsenvaltioissa;</w:t>
      </w:r>
    </w:p>
    <w:p w:rsidR="00967A95" w:rsidRDefault="00DF765E">
      <w:pPr>
        <w:pStyle w:val="NormalHanging12a"/>
      </w:pPr>
      <w:r>
        <w:t>37.</w:t>
      </w:r>
      <w:r>
        <w:tab/>
        <w:t>antaa tunn</w:t>
      </w:r>
      <w:r>
        <w:t xml:space="preserve">ustusta siitä, että komission oikeusvaltiokertomuksesta on tullut kattavampi sen jälkeen, kun se perustettiin vuonna 2020; pitää kuitenkin valitettavana, että vuoden 2023 kertomusta ei laajennettu merkittävästi uuden kattavan pilarin lisäämisellä; toistaa </w:t>
      </w:r>
      <w:r>
        <w:t>kantansa siitä, että kertomuksen olisi katettava kaikki SEU-sopimuksen 2 artiklassa varmistetut arvot, sillä niitä ei pidä tarkastella erillisinä; kehottaa komissiota laajentamaan kertomusta ensi vuonna;</w:t>
      </w:r>
    </w:p>
    <w:p w:rsidR="00967A95" w:rsidRDefault="00DF765E">
      <w:pPr>
        <w:pStyle w:val="NormalHanging12a"/>
      </w:pPr>
      <w:r>
        <w:t>38.</w:t>
      </w:r>
      <w:r>
        <w:tab/>
        <w:t>on huolissaan siitä, että pyrkiessään tosiallisu</w:t>
      </w:r>
      <w:r>
        <w:t xml:space="preserve">uteen ja tasapuolisuuteen komissio on toisinaan liian diplomaattinen ja ympäripyöreä kuvaillessaan jäsenvaltioissa </w:t>
      </w:r>
      <w:r>
        <w:lastRenderedPageBreak/>
        <w:t>oikeusvaltioperiaatteeseen liittyviä ongelmia; pitää valitettavana, että kaunisteleva kielenkäyttö ja keinotekoisesti yhtä suurina pidetyt pä</w:t>
      </w:r>
      <w:r>
        <w:t>ätelmien ja suositusten lukumäärät eri jäsenvaltioissa peittävät jäsenvaltioiden välillä olevat hyvinkin todelliset erot; uskoo, että suositusten noudattamisen arvioinnin olisi oltava tarkempaa ja enemmän laadullisuutta painottavaa ja että siinä ei pitäisi</w:t>
      </w:r>
      <w:r>
        <w:t xml:space="preserve"> tukeutua pelkkiin lainsäädäntömuutoksiin, vaan myös todellisiin ja riippumattomiin todisteisiin suositusten viemisestä käytäntöön; toteaa, että maakohtaisten lukujen tiivistelmien ja itse lukujen seikkaperäisen sisällön välillä on joskus huomattavia eroja</w:t>
      </w:r>
      <w:r>
        <w:t>, ja ehdottaa asiaan puuttumista toimituksellisin keinoin;</w:t>
      </w:r>
    </w:p>
    <w:p w:rsidR="00967A95" w:rsidRDefault="00DF765E">
      <w:pPr>
        <w:pStyle w:val="NormalHanging12a"/>
      </w:pPr>
      <w:r>
        <w:t>39.</w:t>
      </w:r>
      <w:r>
        <w:tab/>
        <w:t xml:space="preserve">tähdentää, että monet näistä haasteista voitaisiin ratkaista ottamalla kertomuksen laadintaan mukaan riippumattomista asiantuntijoista koostuva paneeli, sillä he olisivat vähemmän sidottuja </w:t>
      </w:r>
      <w:r>
        <w:t>diplomaattisiin seikkoihin; kehottaa komissiota harkitsemaan uudelleen kantaansa asiaan ja tarkastelemaan kaikkia mahdollisuuksia riippumattomien asiantuntijoiden ottamiseksi mukaan tulevien oikeusvaltiokertomusten laadintaan;</w:t>
      </w:r>
    </w:p>
    <w:p w:rsidR="00967A95" w:rsidRDefault="00DF765E">
      <w:pPr>
        <w:pStyle w:val="NormalHanging12a"/>
      </w:pPr>
      <w:r>
        <w:t>40.</w:t>
      </w:r>
      <w:r>
        <w:tab/>
        <w:t>painottaa, että oikeusval</w:t>
      </w:r>
      <w:r>
        <w:t>tiota koskeva vuosikertomus ei ole itsetarkoitus, sillä tilanteen tarkkailu ei riitä, vaan siitä pitäisi seurata täsmällisiä täytäntöönpanotoimia todettujen puutteiden korjaamiseksi;</w:t>
      </w:r>
    </w:p>
    <w:p w:rsidR="00967A95" w:rsidRDefault="00DF765E">
      <w:pPr>
        <w:pStyle w:val="Normal12a24b"/>
      </w:pPr>
      <w:r>
        <w:rPr>
          <w:rStyle w:val="BoldItalic"/>
        </w:rPr>
        <w:t>Toimielinten välinen yhteistyö ja toimielinten väliset menettelyt oikeusv</w:t>
      </w:r>
      <w:r>
        <w:rPr>
          <w:rStyle w:val="BoldItalic"/>
        </w:rPr>
        <w:t xml:space="preserve">altioperiaatteen alalla </w:t>
      </w:r>
    </w:p>
    <w:p w:rsidR="00967A95" w:rsidRDefault="00DF765E">
      <w:pPr>
        <w:pStyle w:val="NormalHanging12a"/>
      </w:pPr>
      <w:r>
        <w:t>41.</w:t>
      </w:r>
      <w:r>
        <w:tab/>
        <w:t>panee merkille neuvoston meneillään olevan oikeusvaltiovuoropuhelun arvioinnin ja neuvoston kannan, jonka mukaan se harkitsee tässä yhteydessä mahdollista lähempää toimielinten välistä yhteistyötä; kehottaa neuvostoa tekemään o</w:t>
      </w:r>
      <w:r>
        <w:t>ikeusvaltiovuoropuhelustaan osallistavampaa kutsumalla istuntoihinsa muita toimielimiä ja sidosryhmiä, erityisesti Euroopan neuvoston elimiä, kuten Venetsian komission, sekä Euroopan parlamentin edustajia;</w:t>
      </w:r>
    </w:p>
    <w:p w:rsidR="00967A95" w:rsidRDefault="00DF765E">
      <w:pPr>
        <w:pStyle w:val="NormalHanging12a"/>
      </w:pPr>
      <w:r>
        <w:t>42.</w:t>
      </w:r>
      <w:r>
        <w:tab/>
        <w:t>pitää valitettavana, että komissio ja neuvosto</w:t>
      </w:r>
      <w:r>
        <w:t xml:space="preserve"> ovat toistaiseksi torjuneet parlamentin tarjouksen tehdä toimielinten välinen sopimus oikeusvaltioperiaatteesta; painottaa halukkuuttaan jatkaa keskusteluja kyseisestä sopimuksesta;</w:t>
      </w:r>
    </w:p>
    <w:p w:rsidR="00967A95" w:rsidRDefault="00DF765E">
      <w:pPr>
        <w:pStyle w:val="NormalHanging12a"/>
      </w:pPr>
      <w:r>
        <w:t>43.</w:t>
      </w:r>
      <w:r>
        <w:tab/>
        <w:t>kehottaa muita toimielimiä sillä välin ainakin tarkastelemaan lähempä</w:t>
      </w:r>
      <w:r>
        <w:t>ä yhteistyötä ehdotetun toimielinten välisen demokratia-, oikeusvaltio- ja perusoikeuspilotin yhteydessä, joka auttaisi rakentamaan luottamusta toimielinten välillä käytännön keinoin, erityisesti jakamalla valvonta-, vuoropuhelu- ja kokouskäytäntöjä;</w:t>
      </w:r>
    </w:p>
    <w:p w:rsidR="00967A95" w:rsidRDefault="00DF765E">
      <w:pPr>
        <w:pStyle w:val="NormalHanging12a"/>
      </w:pPr>
      <w:r>
        <w:t>44.</w:t>
      </w:r>
      <w:r>
        <w:tab/>
        <w:t>t</w:t>
      </w:r>
      <w:r>
        <w:t>uomitsee sen, ettei käynnissä olevissa SEU-sopimuksen 7 artiklan 1 kohdan mukaisissa menettelyissä ole edistytty lainkaan; kehottaa neuvostoa käsittelemään kaikkia uusia tapahtumia, jotka vaikuttavat oikeusvaltioon, demokratiaan ja perusoikeuksiin; toistaa</w:t>
      </w:r>
      <w:r>
        <w:t xml:space="preserve"> neuvostolle esittämänsä kehotuksen antaa suosituksia tämän menettelyn yhteydessä ja korostaa, että tällaisten toimien viivästyminen edelleen merkitsisi sitä, että neuvosto itse rikkoisi oikeusvaltioperiaatetta; vaatii kunnioittamaan parlamentin roolia ja </w:t>
      </w:r>
      <w:r>
        <w:t>toimivaltaa;</w:t>
      </w:r>
    </w:p>
    <w:p w:rsidR="00967A95" w:rsidRDefault="00DF765E">
      <w:pPr>
        <w:pStyle w:val="NormalHanging12a"/>
      </w:pPr>
      <w:r>
        <w:t>45.</w:t>
      </w:r>
      <w:r>
        <w:tab/>
        <w:t>kehottaa komissiota sisällyttämään demokratiaa, oikeusvaltiota ja perusoikeuksia koskevat ehdot kaikkiin talousarviovälineisiin ja prosesseihin, valvomaan ehtoja tarkasti ja suojaamaan niitä; kehottaa komissiota tässä yhteydessä olemaan va</w:t>
      </w:r>
      <w:r>
        <w:t xml:space="preserve">pauttamatta koheesiorahaston varoja Unkarin käyttöön, elleivät kaikki mahdollistavat edellytykset </w:t>
      </w:r>
      <w:r>
        <w:lastRenderedPageBreak/>
        <w:t>täyty kokonaisuudessaan ja kunnes jäsenvaltion oikeuslaitos voidaan katsoa sekä teoriassa että käytännössä täysin riippumattomaksi; kehottaa komissiota ja neu</w:t>
      </w:r>
      <w:r>
        <w:t>vostoa soveltamaan tarvittaessa ehdollisuusasetusta laajemmin ja viivytyksettä ja olemaan purkamatta Unkarin tapauksessa hyväksyttyjä toimenpiteitä, kunnes kaikki välitavoitteet on todella saavutettu; kehottaa komissiota todentamaan tarkasti sen, että ehto</w:t>
      </w:r>
      <w:r>
        <w:t>na varojen maksamiselle olevat oikeusvaltioperiaatetta koskevat välitavoitteet eri jäsenvaltioiden elpymis- ja palautumissuunnitelmissa on saavutettu, kun jäsenvaltiot esittävät maksupyyntöjä; kehottaa komissiota antamaan ensisijaisen vastuun näiden ehtoje</w:t>
      </w:r>
      <w:r>
        <w:t>n soveltamisesta oikeusvaltioperiaatetta koskevista kysymyksistä vastaaville komission jäsenille;</w:t>
      </w:r>
    </w:p>
    <w:p w:rsidR="00967A95" w:rsidRDefault="00DF765E">
      <w:pPr>
        <w:pStyle w:val="NormalCenter12a"/>
      </w:pPr>
      <w:r>
        <w:t>°</w:t>
      </w:r>
    </w:p>
    <w:p w:rsidR="00967A95" w:rsidRDefault="00DF765E">
      <w:pPr>
        <w:pStyle w:val="NormalCenter12a"/>
      </w:pPr>
      <w:r>
        <w:t>°</w:t>
      </w:r>
      <w:r>
        <w:tab/>
        <w:t>°</w:t>
      </w:r>
    </w:p>
    <w:p w:rsidR="00967A95" w:rsidRDefault="00DF765E">
      <w:pPr>
        <w:pStyle w:val="NormalHanging12a"/>
      </w:pPr>
      <w:r>
        <w:t>46.</w:t>
      </w:r>
      <w:r>
        <w:tab/>
        <w:t>kehottaa puhemiestä välittämään tämän päätöslauselman neuvostolle ja komissiolle.</w:t>
      </w:r>
    </w:p>
    <w:p w:rsidR="00967A95" w:rsidRDefault="00967A95">
      <w:pPr>
        <w:pStyle w:val="Normal12a"/>
      </w:pPr>
      <w:bookmarkStart w:id="1" w:name="_GoBack"/>
      <w:bookmarkEnd w:id="1"/>
    </w:p>
    <w:sectPr w:rsidR="00967A95" w:rsidSect="00DF765E">
      <w:footnotePr>
        <w:numRestart w:val="eachSect"/>
      </w:footnotePr>
      <w:type w:val="continuous"/>
      <w:pgSz w:w="11906" w:h="16838"/>
      <w:pgMar w:top="1134" w:right="1417" w:bottom="1417" w:left="1417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F765E">
      <w:r>
        <w:separator/>
      </w:r>
    </w:p>
  </w:endnote>
  <w:endnote w:type="continuationSeparator" w:id="0">
    <w:p w:rsidR="00000000" w:rsidRDefault="00DF7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5E" w:rsidRPr="00DF765E" w:rsidRDefault="00DF765E" w:rsidP="00DF765E">
    <w:pPr>
      <w:pStyle w:val="EPFooter"/>
      <w:rPr>
        <w:lang w:val="fr-FR"/>
      </w:rPr>
    </w:pPr>
    <w:r w:rsidRPr="00DF765E">
      <w:rPr>
        <w:lang w:val="fr-FR"/>
      </w:rPr>
      <w:t>PE</w:t>
    </w:r>
    <w:r w:rsidRPr="00DF765E">
      <w:rPr>
        <w:rStyle w:val="HideTWBExt"/>
        <w:lang w:val="fr-FR"/>
      </w:rPr>
      <w:t>&lt;NoPE&gt;</w:t>
    </w:r>
    <w:r w:rsidRPr="00DF765E">
      <w:rPr>
        <w:lang w:val="fr-FR"/>
      </w:rPr>
      <w:t>754.695</w:t>
    </w:r>
    <w:r w:rsidRPr="00DF765E">
      <w:rPr>
        <w:rStyle w:val="HideTWBExt"/>
        <w:lang w:val="fr-FR"/>
      </w:rPr>
      <w:t>&lt;/NoPE&gt;&lt;Version&gt;</w:t>
    </w:r>
    <w:r w:rsidRPr="00DF765E">
      <w:rPr>
        <w:lang w:val="fr-FR"/>
      </w:rPr>
      <w:t>v01-00</w:t>
    </w:r>
    <w:r w:rsidRPr="00DF765E">
      <w:rPr>
        <w:rStyle w:val="HideTWBExt"/>
        <w:lang w:val="fr-FR"/>
      </w:rPr>
      <w:t>&lt;/Version&gt;</w:t>
    </w:r>
    <w:r w:rsidRPr="00DF765E">
      <w:rPr>
        <w:lang w:val="fr-FR"/>
      </w:rPr>
      <w:tab/>
    </w:r>
    <w:r>
      <w:fldChar w:fldCharType="begin"/>
    </w:r>
    <w:r w:rsidRPr="00DF765E">
      <w:rPr>
        <w:lang w:val="fr-FR"/>
      </w:rPr>
      <w:instrText xml:space="preserve"> PAGE  \* MERGEFORMAT </w:instrText>
    </w:r>
    <w:r>
      <w:fldChar w:fldCharType="separate"/>
    </w:r>
    <w:r>
      <w:rPr>
        <w:noProof/>
        <w:lang w:val="fr-FR"/>
      </w:rPr>
      <w:t>8</w:t>
    </w:r>
    <w:r>
      <w:fldChar w:fldCharType="end"/>
    </w:r>
    <w:r w:rsidRPr="00DF765E">
      <w:rPr>
        <w:lang w:val="fr-FR"/>
      </w:rPr>
      <w:t>/</w:t>
    </w:r>
    <w:r>
      <w:fldChar w:fldCharType="begin"/>
    </w:r>
    <w:r w:rsidRPr="00DF765E">
      <w:rPr>
        <w:lang w:val="fr-FR"/>
      </w:rPr>
      <w:instrText xml:space="preserve"> NUMPAGES  \* MERGEFORMAT </w:instrText>
    </w:r>
    <w:r>
      <w:fldChar w:fldCharType="separate"/>
    </w:r>
    <w:r>
      <w:rPr>
        <w:noProof/>
        <w:lang w:val="fr-FR"/>
      </w:rPr>
      <w:t>15</w:t>
    </w:r>
    <w:r>
      <w:fldChar w:fldCharType="end"/>
    </w:r>
    <w:r w:rsidRPr="00DF765E">
      <w:rPr>
        <w:lang w:val="fr-FR"/>
      </w:rPr>
      <w:tab/>
    </w:r>
    <w:r w:rsidRPr="00DF765E">
      <w:rPr>
        <w:rStyle w:val="HideTWBExt"/>
        <w:lang w:val="fr-FR"/>
      </w:rPr>
      <w:t>&lt;PathFdR&gt;</w:t>
    </w:r>
    <w:r w:rsidRPr="00DF765E">
      <w:rPr>
        <w:lang w:val="fr-FR"/>
      </w:rPr>
      <w:t>PR\1287814FI.docx</w:t>
    </w:r>
    <w:r w:rsidRPr="00DF765E">
      <w:rPr>
        <w:rStyle w:val="HideTWBExt"/>
        <w:lang w:val="fr-FR"/>
      </w:rPr>
      <w:t>&lt;/PathFdR&gt;</w:t>
    </w:r>
  </w:p>
  <w:p w:rsidR="00967A95" w:rsidRDefault="00DF765E" w:rsidP="00DF765E">
    <w:pPr>
      <w:pStyle w:val="EPFooter2"/>
    </w:pPr>
    <w:r>
      <w:t>FI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5E" w:rsidRDefault="00DF765E" w:rsidP="00DF765E">
    <w:pPr>
      <w:pStyle w:val="EPFooter"/>
    </w:pPr>
    <w:r w:rsidRPr="00DF765E">
      <w:rPr>
        <w:rStyle w:val="HideTWBExt"/>
      </w:rPr>
      <w:t>&lt;PathFdR&gt;</w:t>
    </w:r>
    <w:r>
      <w:t>PR\1287814FI.docx</w:t>
    </w:r>
    <w:r w:rsidRPr="00DF765E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9</w:t>
    </w:r>
    <w:r>
      <w:fldChar w:fldCharType="end"/>
    </w:r>
    <w:r>
      <w:t>/</w:t>
    </w:r>
    <w:fldSimple w:instr=" NUMPAGES  \* MERGEFORMAT ">
      <w:r>
        <w:rPr>
          <w:noProof/>
        </w:rPr>
        <w:t>15</w:t>
      </w:r>
    </w:fldSimple>
    <w:r>
      <w:tab/>
      <w:t>PE</w:t>
    </w:r>
    <w:r w:rsidRPr="00DF765E">
      <w:rPr>
        <w:rStyle w:val="HideTWBExt"/>
      </w:rPr>
      <w:t>&lt;NoPE&gt;</w:t>
    </w:r>
    <w:r>
      <w:t>754.695</w:t>
    </w:r>
    <w:r w:rsidRPr="00DF765E">
      <w:rPr>
        <w:rStyle w:val="HideTWBExt"/>
      </w:rPr>
      <w:t>&lt;/NoPE&gt;&lt;Version&gt;</w:t>
    </w:r>
    <w:r>
      <w:t>v01-00</w:t>
    </w:r>
    <w:r w:rsidRPr="00DF765E">
      <w:rPr>
        <w:rStyle w:val="HideTWBExt"/>
      </w:rPr>
      <w:t>&lt;/Version&gt;</w:t>
    </w:r>
  </w:p>
  <w:p w:rsidR="00967A95" w:rsidRDefault="00DF765E" w:rsidP="00DF765E">
    <w:pPr>
      <w:pStyle w:val="EPFooter2"/>
    </w:pPr>
    <w:r>
      <w:tab/>
    </w:r>
    <w:r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5E" w:rsidRDefault="00DF765E" w:rsidP="00DF765E">
    <w:pPr>
      <w:pStyle w:val="EPFooter"/>
    </w:pPr>
    <w:r w:rsidRPr="00DF765E">
      <w:rPr>
        <w:rStyle w:val="HideTWBExt"/>
      </w:rPr>
      <w:t>&lt;PathFdR&gt;</w:t>
    </w:r>
    <w:r>
      <w:t>PR\1287814FI.docx</w:t>
    </w:r>
    <w:r w:rsidRPr="00DF765E">
      <w:rPr>
        <w:rStyle w:val="HideTWBExt"/>
      </w:rPr>
      <w:t>&lt;/PathFdR&gt;</w:t>
    </w:r>
    <w:r>
      <w:tab/>
    </w:r>
    <w:r>
      <w:tab/>
      <w:t>PE</w:t>
    </w:r>
    <w:r w:rsidRPr="00DF765E">
      <w:rPr>
        <w:rStyle w:val="HideTWBExt"/>
      </w:rPr>
      <w:t>&lt;NoPE&gt;</w:t>
    </w:r>
    <w:r>
      <w:t>754.695</w:t>
    </w:r>
    <w:r w:rsidRPr="00DF765E">
      <w:rPr>
        <w:rStyle w:val="HideTWBExt"/>
      </w:rPr>
      <w:t>&lt;/NoPE&gt;&lt;Version&gt;</w:t>
    </w:r>
    <w:r>
      <w:t>v01-00</w:t>
    </w:r>
    <w:r w:rsidRPr="00DF765E">
      <w:rPr>
        <w:rStyle w:val="HideTWBExt"/>
      </w:rPr>
      <w:t>&lt;/Version&gt;</w:t>
    </w:r>
  </w:p>
  <w:p w:rsidR="00967A95" w:rsidRDefault="00DF765E" w:rsidP="00DF765E">
    <w:pPr>
      <w:pStyle w:val="EPFooter2"/>
    </w:pPr>
    <w:r>
      <w:t>FI</w:t>
    </w:r>
    <w:r>
      <w:tab/>
    </w:r>
    <w:r w:rsidRPr="00DF765E">
      <w:rPr>
        <w:b w:val="0"/>
        <w:i/>
        <w:color w:val="C0C0C0"/>
        <w:sz w:val="22"/>
      </w:rPr>
      <w:t>Moninaisuudessaan yhtenäinen</w:t>
    </w:r>
    <w:r>
      <w:tab/>
      <w:t>FI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6755" w:rsidRDefault="00DF765E">
      <w:r>
        <w:separator/>
      </w:r>
    </w:p>
  </w:footnote>
  <w:footnote w:type="continuationSeparator" w:id="0">
    <w:p w:rsidR="00936755" w:rsidRDefault="00DF765E">
      <w:r>
        <w:continuationSeparator/>
      </w:r>
    </w:p>
  </w:footnote>
  <w:footnote w:id="1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L 433 I, 22.12.2020, p. 1.</w:t>
      </w:r>
    </w:p>
  </w:footnote>
  <w:footnote w:id="2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L 156, 5.5.2021, p. 1.</w:t>
      </w:r>
    </w:p>
  </w:footnote>
  <w:footnote w:id="3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215, 19.6.2018, p. 162.</w:t>
      </w:r>
    </w:p>
  </w:footnote>
  <w:footnote w:id="4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129, 5.4.2019, p. 13.</w:t>
      </w:r>
    </w:p>
  </w:footnote>
  <w:footnote w:id="5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390, 18.11.2019, p. 117.</w:t>
      </w:r>
    </w:p>
  </w:footnote>
  <w:footnote w:id="6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433, 23.12.2019, p. 66.</w:t>
      </w:r>
    </w:p>
  </w:footnote>
  <w:footnote w:id="7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363, 28.10.2020, p. 45.</w:t>
      </w:r>
    </w:p>
  </w:footnote>
  <w:footnote w:id="8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395, 29.9.2021, p. 2.</w:t>
      </w:r>
    </w:p>
  </w:footnote>
  <w:footnote w:id="9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415, 13.10.2021, p. 36.</w:t>
      </w:r>
    </w:p>
  </w:footnote>
  <w:footnote w:id="10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67, 8.2.2022, p. 86.</w:t>
      </w:r>
    </w:p>
  </w:footnote>
  <w:footnote w:id="11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81, 18.2.2022, p. 27.</w:t>
      </w:r>
    </w:p>
  </w:footnote>
  <w:footnote w:id="12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99, 1.3.2022, p. 146.</w:t>
      </w:r>
    </w:p>
  </w:footnote>
  <w:footnote w:id="13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205, 20.5.2022, p. 2.</w:t>
      </w:r>
    </w:p>
  </w:footnote>
  <w:footnote w:id="14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251, 30.6.2022, p. 48.</w:t>
      </w:r>
    </w:p>
  </w:footnote>
  <w:footnote w:id="15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347, 9.9.2022, p. 2.</w:t>
      </w:r>
    </w:p>
  </w:footnote>
  <w:footnote w:id="16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347, 9.9.2022, p. 168.</w:t>
      </w:r>
    </w:p>
  </w:footnote>
  <w:footnote w:id="17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479, 16.12.2022, p. 18.</w:t>
      </w:r>
    </w:p>
  </w:footnote>
  <w:footnote w:id="18">
    <w:p w:rsidR="00967A95" w:rsidRPr="00DF765E" w:rsidRDefault="00DF765E">
      <w:pPr>
        <w:pStyle w:val="FootnoteText"/>
        <w:rPr>
          <w:lang w:val="pl-PL"/>
        </w:rPr>
      </w:pPr>
      <w:r>
        <w:rPr>
          <w:rStyle w:val="FootnoteReference"/>
        </w:rPr>
        <w:footnoteRef/>
      </w:r>
      <w:r w:rsidRPr="00DF765E">
        <w:rPr>
          <w:lang w:val="pl-PL"/>
        </w:rPr>
        <w:t xml:space="preserve"> OJ C 493, 27.12.2022, p. 108.</w:t>
      </w:r>
    </w:p>
  </w:footnote>
  <w:footnote w:id="19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P9_TA(2022)0324.</w:t>
      </w:r>
    </w:p>
  </w:footnote>
  <w:footnote w:id="20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P9_TA(2022)0325.</w:t>
      </w:r>
    </w:p>
  </w:footnote>
  <w:footnote w:id="21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P9_TA(2022)0371.</w:t>
      </w:r>
    </w:p>
  </w:footnote>
  <w:footnote w:id="22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P9_TA(2022)0372.</w:t>
      </w:r>
    </w:p>
  </w:footnote>
  <w:footnote w:id="23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P9_TA(2022)0389.</w:t>
      </w:r>
    </w:p>
  </w:footnote>
  <w:footnote w:id="24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P9_TA(2022)0422.</w:t>
      </w:r>
    </w:p>
  </w:footnote>
  <w:footnote w:id="25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</w:t>
      </w:r>
      <w:r>
        <w:t>9_TA(2023)0094.</w:t>
      </w:r>
    </w:p>
  </w:footnote>
  <w:footnote w:id="26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Hyväksytyt tekstit, P9_TA(2023)0244.</w:t>
      </w:r>
    </w:p>
  </w:footnote>
  <w:footnote w:id="27">
    <w:p w:rsidR="00967A95" w:rsidRDefault="00DF765E">
      <w:pPr>
        <w:pStyle w:val="FootnoteText"/>
        <w:rPr>
          <w:color w:val="0000FF"/>
          <w:u w:val="single" w:color="0000FF"/>
        </w:rPr>
      </w:pPr>
      <w:r>
        <w:rPr>
          <w:rStyle w:val="FootnoteReference"/>
        </w:rPr>
        <w:footnoteRef/>
      </w:r>
      <w:r>
        <w:t xml:space="preserve"> Tietoa DRFMG:n kaikista seurantatoimista: </w:t>
      </w:r>
      <w:hyperlink r:id="rId1" w:history="1">
        <w:r>
          <w:rPr>
            <w:color w:val="0000FF"/>
            <w:u w:val="single" w:color="0000FF"/>
          </w:rPr>
          <w:t>https://www.europarl.e</w:t>
        </w:r>
        <w:r>
          <w:rPr>
            <w:color w:val="0000FF"/>
            <w:u w:val="single" w:color="0000FF"/>
          </w:rPr>
          <w:t>uropa.eu/committees/en/libe-democracy-rule-of-law-and-fundament/product-details/20190103CDT02662</w:t>
        </w:r>
      </w:hyperlink>
      <w:r>
        <w:t>.</w:t>
      </w:r>
    </w:p>
  </w:footnote>
  <w:footnote w:id="28">
    <w:p w:rsidR="00967A95" w:rsidRPr="00DF765E" w:rsidRDefault="00DF765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DF765E">
        <w:rPr>
          <w:lang w:val="en-GB"/>
        </w:rPr>
        <w:t xml:space="preserve"> Unkarin Helsinki-komitea,</w:t>
      </w:r>
      <w:r w:rsidRPr="00DF765E">
        <w:rPr>
          <w:rStyle w:val="Italic"/>
          <w:lang w:val="en-GB"/>
        </w:rPr>
        <w:t xml:space="preserve"> Updated summary assessment on Hungary’s compliance with the four super milestones aimed at restoring the independence of the judic</w:t>
      </w:r>
      <w:r w:rsidRPr="00DF765E">
        <w:rPr>
          <w:rStyle w:val="Italic"/>
          <w:lang w:val="en-GB"/>
        </w:rPr>
        <w:t>iary</w:t>
      </w:r>
      <w:r w:rsidRPr="00DF765E">
        <w:rPr>
          <w:lang w:val="en-GB"/>
        </w:rPr>
        <w:t>, 9. lokakuuta 2023.</w:t>
      </w:r>
    </w:p>
  </w:footnote>
  <w:footnote w:id="29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Transparency Internationalin </w:t>
      </w:r>
      <w:r>
        <w:rPr>
          <w:rStyle w:val="Italic"/>
        </w:rPr>
        <w:t>korruptioindeksi</w:t>
      </w:r>
      <w:r>
        <w:t>, 31. tammikuuta 2023.</w:t>
      </w:r>
    </w:p>
  </w:footnote>
  <w:footnote w:id="30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Euroopan neuvoston ihmisoikeusvaltuutettu, kirje Maltan edustajainhuoneen puheenjohtajalle, 26. syyskuuta 2023.</w:t>
      </w:r>
    </w:p>
  </w:footnote>
  <w:footnote w:id="31">
    <w:p w:rsidR="00967A95" w:rsidRPr="00DF765E" w:rsidRDefault="00DF765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DF765E">
        <w:rPr>
          <w:lang w:val="en-GB"/>
        </w:rPr>
        <w:t xml:space="preserve"> Kansainvälinen lehdistöinstituutti, </w:t>
      </w:r>
      <w:r w:rsidRPr="00DF765E">
        <w:rPr>
          <w:rStyle w:val="Italic"/>
          <w:lang w:val="en-GB"/>
        </w:rPr>
        <w:t>Murdered,</w:t>
      </w:r>
      <w:r w:rsidRPr="00DF765E">
        <w:rPr>
          <w:rStyle w:val="Italic"/>
          <w:lang w:val="en-GB"/>
        </w:rPr>
        <w:t xml:space="preserve"> surveilled and sued: decisive action needed to protect journalists and salvage press freedom in Greece</w:t>
      </w:r>
      <w:r w:rsidRPr="00DF765E">
        <w:rPr>
          <w:lang w:val="en-GB"/>
        </w:rPr>
        <w:t>, 27. syyskuuta 2023.</w:t>
      </w:r>
    </w:p>
  </w:footnote>
  <w:footnote w:id="32">
    <w:p w:rsidR="00967A95" w:rsidRPr="00DF765E" w:rsidRDefault="00DF765E">
      <w:pPr>
        <w:pStyle w:val="FootnoteText"/>
        <w:rPr>
          <w:color w:val="0000FF"/>
          <w:u w:val="single" w:color="0000FF"/>
          <w:lang w:val="en-GB"/>
        </w:rPr>
      </w:pPr>
      <w:r>
        <w:rPr>
          <w:rStyle w:val="FootnoteReference"/>
        </w:rPr>
        <w:footnoteRef/>
      </w:r>
      <w:r>
        <w:rPr>
          <w:lang w:val="en-GB"/>
        </w:rPr>
        <w:t xml:space="preserve"> </w:t>
      </w:r>
      <w:hyperlink r:id="rId2" w:history="1">
        <w:r w:rsidRPr="00DF765E">
          <w:rPr>
            <w:color w:val="0000FF"/>
            <w:u w:val="single" w:color="0000FF"/>
            <w:lang w:val="en-GB"/>
          </w:rPr>
          <w:t>Euroopan neuvosto, syrjimättömyyttä,</w:t>
        </w:r>
        <w:r w:rsidRPr="00DF765E">
          <w:rPr>
            <w:color w:val="0000FF"/>
            <w:u w:val="single" w:color="0000FF"/>
            <w:lang w:val="en-GB"/>
          </w:rPr>
          <w:t xml:space="preserve"> monimuotoisuutta ja osallisuutta käsittelevä ohjauskomitea, Thematic review of the implementation of Recommendation CM/Rec(2010)5, 14. syyskuuta 2023;</w:t>
        </w:r>
      </w:hyperlink>
      <w:hyperlink r:id="rId3" w:history="1">
        <w:r w:rsidRPr="00DF765E">
          <w:rPr>
            <w:color w:val="0000FF"/>
            <w:u w:val="single" w:color="0000FF"/>
            <w:lang w:val="en-GB"/>
          </w:rPr>
          <w:t xml:space="preserve">Euroopan </w:t>
        </w:r>
        <w:r w:rsidRPr="00DF765E">
          <w:rPr>
            <w:color w:val="0000FF"/>
            <w:u w:val="single" w:color="0000FF"/>
            <w:lang w:val="en-GB"/>
          </w:rPr>
          <w:t>neuvosto, Euroopan rasismin ja suvaitsemattomuuden vastainen komissio, ECRI General Policy Recommendation No. 17 on preventing and combating intolerance and discrimination against LGBTI persons, 28. syyskuuta 2023.</w:t>
        </w:r>
      </w:hyperlink>
    </w:p>
  </w:footnote>
  <w:footnote w:id="33">
    <w:p w:rsidR="00967A95" w:rsidRDefault="00DF765E">
      <w:pPr>
        <w:pStyle w:val="FootnoteText"/>
      </w:pPr>
      <w:r>
        <w:rPr>
          <w:rStyle w:val="FootnoteReference"/>
        </w:rPr>
        <w:footnoteRef/>
      </w:r>
      <w:r>
        <w:t xml:space="preserve"> Unionin tuomioistuimen tuomio 5.6.2018 </w:t>
      </w:r>
      <w:r>
        <w:t>SEUT 267 artiklaan perustuvasta ennakkoratkaisupyynnöstä, jonka Curtea Constituţională (perustuslakituomioistuin, Romania) on esittänyt, ECLI:EU:C:2018:385.</w:t>
      </w:r>
    </w:p>
  </w:footnote>
  <w:footnote w:id="34">
    <w:p w:rsidR="00967A95" w:rsidRPr="00DF765E" w:rsidRDefault="00DF765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DF765E">
        <w:rPr>
          <w:lang w:val="en-GB"/>
        </w:rPr>
        <w:t xml:space="preserve"> Euractiv, </w:t>
      </w:r>
      <w:r w:rsidRPr="00DF765E">
        <w:rPr>
          <w:rStyle w:val="Italic"/>
          <w:lang w:val="en-GB"/>
        </w:rPr>
        <w:t>Romanian LGBTQ+ community wants equal rights, not special conditions</w:t>
      </w:r>
      <w:r w:rsidRPr="00DF765E">
        <w:rPr>
          <w:lang w:val="en-GB"/>
        </w:rPr>
        <w:t>, 22. syyskuuta 202</w:t>
      </w:r>
      <w:r w:rsidRPr="00DF765E">
        <w:rPr>
          <w:lang w:val="en-GB"/>
        </w:rPr>
        <w:t>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5E" w:rsidRDefault="00DF76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5E" w:rsidRDefault="00DF76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65E" w:rsidRDefault="00DF76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54581"/>
    <w:multiLevelType w:val="hybridMultilevel"/>
    <w:tmpl w:val="F16C6036"/>
    <w:lvl w:ilvl="0" w:tplc="009EE764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70AC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2E0E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A7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8A5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5879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460D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AA12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B6C53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C09CF"/>
    <w:multiLevelType w:val="hybridMultilevel"/>
    <w:tmpl w:val="0DAA9F68"/>
    <w:lvl w:ilvl="0" w:tplc="2C700A16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5102148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E5EE27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340C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B49A5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3C0951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E6CDC9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96B9A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38C17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XTNRPE" w:val="754.695"/>
    <w:docVar w:name="TXTPEorAP" w:val="PE"/>
    <w:docVar w:name="TXTVERSION" w:val="01-00"/>
  </w:docVars>
  <w:rsids>
    <w:rsidRoot w:val="00A77B3E"/>
    <w:rsid w:val="00324046"/>
    <w:rsid w:val="006C3DD2"/>
    <w:rsid w:val="00936755"/>
    <w:rsid w:val="00967A95"/>
    <w:rsid w:val="00A77B3E"/>
    <w:rsid w:val="00BA3FD5"/>
    <w:rsid w:val="00CA2A55"/>
    <w:rsid w:val="00DF765E"/>
    <w:rsid w:val="00E4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47D35"/>
  <w15:docId w15:val="{2C90FCC8-68EC-40E6-85D9-569C4F540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Comma">
    <w:name w:val="EPComma"/>
    <w:basedOn w:val="Normal"/>
    <w:rsid w:val="006A5366"/>
    <w:pPr>
      <w:spacing w:before="480" w:after="240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TOCRight">
    <w:name w:val="TOC Right"/>
    <w:basedOn w:val="Normal"/>
    <w:rsid w:val="00E839D9"/>
    <w:pPr>
      <w:spacing w:after="240"/>
      <w:jc w:val="right"/>
    </w:pPr>
  </w:style>
  <w:style w:type="paragraph" w:customStyle="1" w:styleId="CoverDateRefPart">
    <w:name w:val="CoverDateRefPart"/>
    <w:basedOn w:val="Normal"/>
    <w:rsid w:val="00C5424C"/>
    <w:pPr>
      <w:spacing w:after="1200"/>
    </w:pPr>
  </w:style>
  <w:style w:type="paragraph" w:customStyle="1" w:styleId="EPName">
    <w:name w:val="EPName"/>
    <w:basedOn w:val="Normal"/>
    <w:rsid w:val="00D16E15"/>
    <w:pPr>
      <w:spacing w:before="80" w:after="80"/>
    </w:pPr>
    <w:rPr>
      <w:rFonts w:ascii="Arial Narrow" w:hAnsi="Arial Narrow" w:cs="Arial"/>
      <w:b/>
      <w:snapToGrid/>
      <w:sz w:val="32"/>
      <w:szCs w:val="22"/>
      <w:lang w:eastAsia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NormalBold">
    <w:name w:val="NormalBold"/>
    <w:basedOn w:val="Normal"/>
    <w:rsid w:val="006A5366"/>
    <w:rPr>
      <w:b/>
    </w:rPr>
  </w:style>
  <w:style w:type="paragraph" w:customStyle="1" w:styleId="CoverReference">
    <w:name w:val="CoverReference"/>
    <w:basedOn w:val="Normal"/>
    <w:rsid w:val="00791131"/>
    <w:pPr>
      <w:spacing w:before="1080"/>
      <w:jc w:val="right"/>
    </w:pPr>
    <w:rPr>
      <w:rFonts w:ascii="Arial" w:hAnsi="Arial" w:cs="Arial"/>
      <w:b/>
    </w:rPr>
  </w:style>
  <w:style w:type="paragraph" w:customStyle="1" w:styleId="CoverNormal24a">
    <w:name w:val="CoverNormal24a"/>
    <w:basedOn w:val="Normal"/>
    <w:rsid w:val="00D20BEB"/>
    <w:pPr>
      <w:spacing w:after="480"/>
      <w:ind w:left="1417"/>
    </w:pPr>
  </w:style>
  <w:style w:type="paragraph" w:styleId="TOC1">
    <w:name w:val="toc 1"/>
    <w:basedOn w:val="Normal"/>
    <w:next w:val="Normal"/>
    <w:autoRedefine/>
    <w:uiPriority w:val="39"/>
    <w:rsid w:val="00E57F92"/>
    <w:pPr>
      <w:spacing w:after="240"/>
    </w:pPr>
  </w:style>
  <w:style w:type="paragraph" w:customStyle="1" w:styleId="TOCPage">
    <w:name w:val="TOC Page"/>
    <w:basedOn w:val="Normal"/>
    <w:next w:val="TOC1"/>
    <w:rsid w:val="004302F8"/>
    <w:pPr>
      <w:keepNext/>
      <w:spacing w:after="24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F03FCA"/>
    <w:pPr>
      <w:spacing w:after="480"/>
      <w:ind w:left="1418"/>
    </w:pPr>
    <w:rPr>
      <w:rFonts w:ascii="Arial" w:hAnsi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customStyle="1" w:styleId="NormalHanging12a">
    <w:name w:val="NormalHanging12a"/>
    <w:basedOn w:val="Normal"/>
    <w:rsid w:val="00572801"/>
    <w:pPr>
      <w:widowControl/>
      <w:spacing w:after="240"/>
      <w:ind w:left="567" w:hanging="567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customStyle="1" w:styleId="PageHeading">
    <w:name w:val="PageHeading"/>
    <w:basedOn w:val="Normal"/>
    <w:rsid w:val="00F03FCA"/>
    <w:pPr>
      <w:keepNext/>
      <w:spacing w:after="480"/>
      <w:jc w:val="center"/>
    </w:pPr>
    <w:rPr>
      <w:rFonts w:ascii="Arial" w:hAnsi="Arial" w:cs="Arial"/>
      <w:b/>
    </w:r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TOCSubHeading">
    <w:name w:val="TOC SubHeading"/>
    <w:basedOn w:val="Normal"/>
    <w:rsid w:val="00F03FCA"/>
    <w:pPr>
      <w:spacing w:before="480" w:after="240"/>
    </w:pPr>
    <w:rPr>
      <w:b/>
    </w:rPr>
  </w:style>
  <w:style w:type="paragraph" w:customStyle="1" w:styleId="TOCTabLeader">
    <w:name w:val="TOC TabLeader"/>
    <w:basedOn w:val="Normal"/>
    <w:rsid w:val="00E839D9"/>
    <w:pPr>
      <w:tabs>
        <w:tab w:val="left" w:leader="dot" w:pos="5954"/>
      </w:tabs>
      <w:spacing w:after="240"/>
    </w:pPr>
  </w:style>
  <w:style w:type="paragraph" w:customStyle="1" w:styleId="CoverNormalHanging">
    <w:name w:val="CoverNormalHanging"/>
    <w:basedOn w:val="Normal"/>
    <w:rsid w:val="00BF1100"/>
    <w:pPr>
      <w:ind w:left="3686" w:hanging="2268"/>
    </w:pPr>
  </w:style>
  <w:style w:type="paragraph" w:styleId="TOCHeading">
    <w:name w:val="TOC Heading"/>
    <w:basedOn w:val="Normal"/>
    <w:next w:val="TOCPage"/>
    <w:rsid w:val="007F2104"/>
    <w:pPr>
      <w:keepNext/>
      <w:spacing w:before="240" w:after="240"/>
      <w:jc w:val="center"/>
    </w:pPr>
    <w:rPr>
      <w:rFonts w:ascii="Arial" w:hAnsi="Arial"/>
      <w:b/>
      <w:snapToGrid/>
      <w:lang w:eastAsia="en-GB"/>
    </w:rPr>
  </w:style>
  <w:style w:type="table" w:styleId="TableGrid">
    <w:name w:val="Table Grid"/>
    <w:basedOn w:val="TableNormal"/>
    <w:rsid w:val="00F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F03FCA"/>
    <w:pPr>
      <w:jc w:val="center"/>
    </w:pPr>
    <w:rPr>
      <w:rFonts w:ascii="Arial" w:hAnsi="Arial" w:cs="Arial"/>
      <w:i/>
      <w:snapToGrid/>
      <w:sz w:val="22"/>
      <w:szCs w:val="22"/>
      <w:lang w:eastAsia="en-GB"/>
    </w:rPr>
  </w:style>
  <w:style w:type="paragraph" w:customStyle="1" w:styleId="LineTop">
    <w:name w:val="LineTop"/>
    <w:basedOn w:val="Normal"/>
    <w:next w:val="Normal"/>
    <w:rsid w:val="00F732B6"/>
    <w:pPr>
      <w:pBdr>
        <w:top w:val="single" w:sz="4" w:space="1" w:color="auto"/>
      </w:pBdr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LineBottom">
    <w:name w:val="LineBottom"/>
    <w:basedOn w:val="Normal"/>
    <w:next w:val="Normal"/>
    <w:rsid w:val="00791131"/>
    <w:pPr>
      <w:pBdr>
        <w:bottom w:val="single" w:sz="4" w:space="1" w:color="auto"/>
      </w:pBdr>
      <w:spacing w:after="240"/>
      <w:jc w:val="center"/>
    </w:pPr>
    <w:rPr>
      <w:rFonts w:ascii="Arial" w:hAnsi="Arial" w:cs="Arial"/>
      <w:snapToGrid/>
      <w:sz w:val="16"/>
      <w:szCs w:val="16"/>
      <w:lang w:eastAsia="en-GB"/>
    </w:rPr>
  </w:style>
  <w:style w:type="paragraph" w:customStyle="1" w:styleId="EPTerm">
    <w:name w:val="EPTerm"/>
    <w:basedOn w:val="Normal"/>
    <w:next w:val="Normal"/>
    <w:rsid w:val="00D16E15"/>
    <w:pPr>
      <w:spacing w:after="80"/>
    </w:pPr>
    <w:rPr>
      <w:rFonts w:ascii="Arial" w:hAnsi="Arial" w:cs="Arial"/>
      <w:snapToGrid/>
      <w:sz w:val="20"/>
      <w:szCs w:val="22"/>
      <w:lang w:eastAsia="en-GB"/>
    </w:rPr>
  </w:style>
  <w:style w:type="paragraph" w:customStyle="1" w:styleId="EPLogo">
    <w:name w:val="EPLogo"/>
    <w:basedOn w:val="Normal"/>
    <w:qFormat/>
    <w:rsid w:val="00D16E15"/>
    <w:pPr>
      <w:jc w:val="right"/>
    </w:pPr>
    <w:rPr>
      <w:snapToGrid/>
      <w:lang w:eastAsia="en-GB"/>
    </w:rPr>
  </w:style>
  <w:style w:type="paragraph" w:customStyle="1" w:styleId="CoverRefPart">
    <w:name w:val="CoverRefPart"/>
    <w:basedOn w:val="Normal"/>
    <w:rsid w:val="00577455"/>
    <w:pPr>
      <w:jc w:val="right"/>
    </w:pPr>
    <w:rPr>
      <w:rFonts w:ascii="Arial" w:hAnsi="Arial"/>
    </w:rPr>
  </w:style>
  <w:style w:type="paragraph" w:customStyle="1" w:styleId="Subheading">
    <w:name w:val="Subheading"/>
    <w:basedOn w:val="Normal"/>
    <w:rsid w:val="0065571D"/>
    <w:pPr>
      <w:spacing w:before="480" w:after="240"/>
    </w:pPr>
    <w:rPr>
      <w:b/>
      <w:bCs/>
      <w:i/>
      <w:iCs/>
    </w:rPr>
  </w:style>
  <w:style w:type="paragraph" w:customStyle="1" w:styleId="EPFooter">
    <w:name w:val="EPFooter"/>
    <w:basedOn w:val="Normal"/>
    <w:rsid w:val="007C66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7C66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791131"/>
    <w:rPr>
      <w:snapToGrid w:val="0"/>
      <w:sz w:val="24"/>
      <w:lang w:eastAsia="en-US"/>
    </w:rPr>
  </w:style>
  <w:style w:type="character" w:styleId="PageNumber">
    <w:name w:val="page number"/>
    <w:basedOn w:val="DefaultParagraphFont"/>
    <w:semiHidden/>
    <w:rsid w:val="00131752"/>
  </w:style>
  <w:style w:type="paragraph" w:customStyle="1" w:styleId="AmColumnHeading">
    <w:name w:val="AmColumnHeading"/>
    <w:basedOn w:val="Normal"/>
    <w:rsid w:val="00B47478"/>
    <w:pPr>
      <w:spacing w:after="240"/>
      <w:jc w:val="center"/>
    </w:pPr>
    <w:rPr>
      <w:i/>
      <w:snapToGrid/>
      <w:lang w:eastAsia="en-GB"/>
    </w:rPr>
  </w:style>
  <w:style w:type="paragraph" w:customStyle="1" w:styleId="AmCrossRef">
    <w:name w:val="AmCrossRef"/>
    <w:basedOn w:val="Normal"/>
    <w:rsid w:val="00B47478"/>
    <w:pPr>
      <w:spacing w:before="240" w:after="240"/>
      <w:jc w:val="center"/>
    </w:pPr>
    <w:rPr>
      <w:i/>
      <w:snapToGrid/>
      <w:lang w:eastAsia="en-GB"/>
    </w:rPr>
  </w:style>
  <w:style w:type="paragraph" w:customStyle="1" w:styleId="AmJustText">
    <w:name w:val="AmJustText"/>
    <w:basedOn w:val="Normal"/>
    <w:rsid w:val="00B47478"/>
    <w:pPr>
      <w:spacing w:after="240"/>
    </w:pPr>
    <w:rPr>
      <w:i/>
      <w:snapToGrid/>
      <w:lang w:eastAsia="en-GB"/>
    </w:rPr>
  </w:style>
  <w:style w:type="paragraph" w:customStyle="1" w:styleId="AmJustTitle">
    <w:name w:val="AmJustTitle"/>
    <w:basedOn w:val="Normal"/>
    <w:next w:val="AmJustText"/>
    <w:rsid w:val="00B47478"/>
    <w:pPr>
      <w:keepNext/>
      <w:spacing w:before="240" w:after="240"/>
      <w:jc w:val="center"/>
    </w:pPr>
    <w:rPr>
      <w:i/>
      <w:snapToGrid/>
      <w:lang w:eastAsia="en-GB"/>
    </w:rPr>
  </w:style>
  <w:style w:type="paragraph" w:customStyle="1" w:styleId="AmNumberTabs">
    <w:name w:val="AmNumberTabs"/>
    <w:basedOn w:val="Normal"/>
    <w:rsid w:val="00B4747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napToGrid/>
      <w:lang w:eastAsia="en-GB"/>
    </w:rPr>
  </w:style>
  <w:style w:type="paragraph" w:customStyle="1" w:styleId="AmOrLang">
    <w:name w:val="AmOrLang"/>
    <w:basedOn w:val="Normal"/>
    <w:rsid w:val="00B47478"/>
    <w:pPr>
      <w:spacing w:before="240" w:after="240"/>
      <w:jc w:val="right"/>
    </w:pPr>
    <w:rPr>
      <w:snapToGrid/>
      <w:lang w:eastAsia="en-GB"/>
    </w:rPr>
  </w:style>
  <w:style w:type="paragraph" w:customStyle="1" w:styleId="AnnexWPDate">
    <w:name w:val="AnnexWPDate"/>
    <w:basedOn w:val="Normal"/>
    <w:rsid w:val="00B47478"/>
    <w:pPr>
      <w:spacing w:before="240" w:after="480"/>
      <w:jc w:val="right"/>
    </w:pPr>
    <w:rPr>
      <w:snapToGrid/>
      <w:lang w:eastAsia="en-GB"/>
    </w:rPr>
  </w:style>
  <w:style w:type="paragraph" w:customStyle="1" w:styleId="AnnexWPDocType">
    <w:name w:val="AnnexWPDocType"/>
    <w:basedOn w:val="Normal"/>
    <w:rsid w:val="00B47478"/>
    <w:pPr>
      <w:spacing w:after="240"/>
      <w:jc w:val="center"/>
    </w:pPr>
    <w:rPr>
      <w:b/>
      <w:snapToGrid/>
      <w:lang w:eastAsia="en-GB"/>
    </w:rPr>
  </w:style>
  <w:style w:type="paragraph" w:customStyle="1" w:styleId="AnnexWPLogo">
    <w:name w:val="AnnexWPLogo"/>
    <w:basedOn w:val="Normal"/>
    <w:rsid w:val="00B47478"/>
    <w:pPr>
      <w:spacing w:before="120" w:after="120"/>
    </w:pPr>
    <w:rPr>
      <w:snapToGrid/>
      <w:lang w:eastAsia="en-GB"/>
    </w:rPr>
  </w:style>
  <w:style w:type="paragraph" w:customStyle="1" w:styleId="AnnexWPSmall">
    <w:name w:val="AnnexWPSmall"/>
    <w:basedOn w:val="Normal"/>
    <w:rsid w:val="00B47478"/>
    <w:rPr>
      <w:smallCaps/>
      <w:snapToGrid/>
      <w:sz w:val="20"/>
      <w:lang w:eastAsia="en-GB"/>
    </w:rPr>
  </w:style>
  <w:style w:type="paragraph" w:customStyle="1" w:styleId="AnnexWPTabs">
    <w:name w:val="AnnexWPTabs"/>
    <w:basedOn w:val="Normal"/>
    <w:rsid w:val="00B47478"/>
    <w:pPr>
      <w:tabs>
        <w:tab w:val="right" w:pos="3686"/>
        <w:tab w:val="left" w:pos="3827"/>
      </w:tabs>
    </w:pPr>
    <w:rPr>
      <w:b/>
      <w:snapToGrid/>
      <w:lang w:eastAsia="en-GB"/>
    </w:rPr>
  </w:style>
  <w:style w:type="paragraph" w:customStyle="1" w:styleId="AnnexWPTitle">
    <w:name w:val="AnnexWPTitle"/>
    <w:basedOn w:val="Normal"/>
    <w:rsid w:val="00B47478"/>
    <w:pPr>
      <w:spacing w:before="480"/>
    </w:pPr>
    <w:rPr>
      <w:b/>
      <w:snapToGrid/>
      <w:lang w:eastAsia="en-GB"/>
    </w:rPr>
  </w:style>
  <w:style w:type="paragraph" w:customStyle="1" w:styleId="AmHeadingConsam">
    <w:name w:val="AmHeadingConsam"/>
    <w:basedOn w:val="Normal"/>
    <w:next w:val="Normal"/>
    <w:rsid w:val="00B47478"/>
    <w:pPr>
      <w:spacing w:before="720" w:after="240"/>
      <w:jc w:val="center"/>
    </w:pPr>
    <w:rPr>
      <w:snapToGrid/>
      <w:lang w:eastAsia="en-GB"/>
    </w:rPr>
  </w:style>
  <w:style w:type="paragraph" w:customStyle="1" w:styleId="CoverNormal12a">
    <w:name w:val="CoverNormal12a"/>
    <w:basedOn w:val="Normal"/>
    <w:rsid w:val="00B47478"/>
    <w:pPr>
      <w:spacing w:after="240"/>
      <w:ind w:left="1418"/>
    </w:pPr>
    <w:rPr>
      <w:snapToGrid/>
      <w:lang w:eastAsia="en-GB"/>
    </w:rPr>
  </w:style>
  <w:style w:type="paragraph" w:customStyle="1" w:styleId="Confidential">
    <w:name w:val="Confidential"/>
    <w:basedOn w:val="Normal"/>
    <w:rsid w:val="00B47478"/>
    <w:pPr>
      <w:spacing w:before="120" w:after="120"/>
      <w:jc w:val="center"/>
    </w:pPr>
    <w:rPr>
      <w:rFonts w:ascii="Arial" w:hAnsi="Arial"/>
      <w:caps/>
      <w:snapToGrid/>
      <w:lang w:eastAsia="en-GB"/>
    </w:rPr>
  </w:style>
  <w:style w:type="paragraph" w:customStyle="1" w:styleId="CoverReferenceIMM">
    <w:name w:val="CoverReferenceIMM"/>
    <w:basedOn w:val="Normal"/>
    <w:rsid w:val="00B47478"/>
    <w:pPr>
      <w:spacing w:before="360"/>
      <w:jc w:val="right"/>
    </w:pPr>
    <w:rPr>
      <w:rFonts w:ascii="Arial" w:hAnsi="Arial"/>
      <w:b/>
      <w:snapToGrid/>
      <w:lang w:eastAsia="en-GB"/>
    </w:rPr>
  </w:style>
  <w:style w:type="paragraph" w:customStyle="1" w:styleId="CoverDate">
    <w:name w:val="CoverDate"/>
    <w:basedOn w:val="Normal"/>
    <w:rsid w:val="00B47478"/>
    <w:pPr>
      <w:spacing w:before="240" w:after="1200"/>
    </w:pPr>
    <w:rPr>
      <w:snapToGrid/>
      <w:lang w:eastAsia="en-GB"/>
    </w:rPr>
  </w:style>
  <w:style w:type="paragraph" w:customStyle="1" w:styleId="CoverDocType">
    <w:name w:val="CoverDocType"/>
    <w:basedOn w:val="Normal"/>
    <w:rsid w:val="00B47478"/>
    <w:pPr>
      <w:ind w:left="1418"/>
    </w:pPr>
    <w:rPr>
      <w:rFonts w:ascii="Arial" w:hAnsi="Arial"/>
      <w:b/>
      <w:snapToGrid/>
      <w:sz w:val="48"/>
      <w:lang w:eastAsia="en-GB"/>
    </w:rPr>
  </w:style>
  <w:style w:type="character" w:styleId="FootnoteReference">
    <w:name w:val="footnote reference"/>
    <w:rsid w:val="00B47478"/>
    <w:rPr>
      <w:vertAlign w:val="superscript"/>
    </w:rPr>
  </w:style>
  <w:style w:type="paragraph" w:customStyle="1" w:styleId="NormalBold12a">
    <w:name w:val="NormalBold12a"/>
    <w:basedOn w:val="Normal"/>
    <w:rsid w:val="00B47478"/>
    <w:pPr>
      <w:spacing w:after="240"/>
    </w:pPr>
    <w:rPr>
      <w:b/>
      <w:snapToGrid/>
      <w:lang w:eastAsia="en-GB"/>
    </w:rPr>
  </w:style>
  <w:style w:type="paragraph" w:customStyle="1" w:styleId="NormalCenter12a">
    <w:name w:val="NormalCenter12a"/>
    <w:basedOn w:val="Normal"/>
    <w:rsid w:val="00B47478"/>
    <w:pPr>
      <w:spacing w:after="240"/>
      <w:jc w:val="center"/>
    </w:pPr>
    <w:rPr>
      <w:snapToGrid/>
      <w:lang w:eastAsia="en-GB"/>
    </w:rPr>
  </w:style>
  <w:style w:type="paragraph" w:customStyle="1" w:styleId="Normal6a">
    <w:name w:val="Normal6a"/>
    <w:basedOn w:val="Normal"/>
    <w:rsid w:val="00B47478"/>
    <w:pPr>
      <w:spacing w:after="120"/>
    </w:pPr>
    <w:rPr>
      <w:snapToGrid/>
      <w:lang w:eastAsia="en-GB"/>
    </w:rPr>
  </w:style>
  <w:style w:type="paragraph" w:customStyle="1" w:styleId="NormalBold12b">
    <w:name w:val="NormalBold12b"/>
    <w:basedOn w:val="Normal"/>
    <w:rsid w:val="00B47478"/>
    <w:pPr>
      <w:spacing w:before="240"/>
    </w:pPr>
    <w:rPr>
      <w:b/>
      <w:snapToGrid/>
      <w:lang w:eastAsia="en-GB"/>
    </w:rPr>
  </w:style>
  <w:style w:type="paragraph" w:customStyle="1" w:styleId="Arial14CentreBold">
    <w:name w:val="Arial14CentreBold"/>
    <w:basedOn w:val="Normal"/>
    <w:qFormat/>
    <w:rsid w:val="00A75A20"/>
    <w:pPr>
      <w:jc w:val="center"/>
    </w:pPr>
    <w:rPr>
      <w:rFonts w:ascii="Arial" w:hAnsi="Arial" w:cs="Arial"/>
      <w:b/>
      <w:snapToGrid/>
      <w:sz w:val="28"/>
      <w:szCs w:val="28"/>
      <w:lang w:eastAsia="en-GB"/>
    </w:rPr>
  </w:style>
  <w:style w:type="character" w:customStyle="1" w:styleId="Bold">
    <w:name w:val="Bold"/>
    <w:uiPriority w:val="1"/>
    <w:rsid w:val="0065571D"/>
    <w:rPr>
      <w:b/>
    </w:rPr>
  </w:style>
  <w:style w:type="character" w:customStyle="1" w:styleId="BoldItalic">
    <w:name w:val="BoldItalic"/>
    <w:uiPriority w:val="1"/>
    <w:rsid w:val="0065571D"/>
    <w:rPr>
      <w:b/>
      <w:i/>
      <w:u w:val="none"/>
    </w:rPr>
  </w:style>
  <w:style w:type="character" w:customStyle="1" w:styleId="BoldItalicUnderline">
    <w:name w:val="BoldItalicUnderline"/>
    <w:uiPriority w:val="1"/>
    <w:rsid w:val="0065571D"/>
    <w:rPr>
      <w:b/>
      <w:i/>
      <w:u w:val="single"/>
    </w:rPr>
  </w:style>
  <w:style w:type="character" w:customStyle="1" w:styleId="BoldUnderline">
    <w:name w:val="BoldUnderline"/>
    <w:uiPriority w:val="1"/>
    <w:rsid w:val="0065571D"/>
    <w:rPr>
      <w:b/>
      <w:u w:val="single"/>
    </w:rPr>
  </w:style>
  <w:style w:type="paragraph" w:customStyle="1" w:styleId="CoverNormalLeft">
    <w:name w:val="CoverNormalLeft"/>
    <w:basedOn w:val="CoverNormal"/>
    <w:qFormat/>
    <w:rsid w:val="00A75A20"/>
    <w:pPr>
      <w:ind w:left="0"/>
    </w:pPr>
    <w:rPr>
      <w:snapToGrid/>
      <w:lang w:eastAsia="en-GB"/>
    </w:rPr>
  </w:style>
  <w:style w:type="paragraph" w:customStyle="1" w:styleId="EPFooter2Landscape">
    <w:name w:val="EPFooter2Landscape"/>
    <w:qFormat/>
    <w:rsid w:val="00A75A20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</w:rPr>
  </w:style>
  <w:style w:type="character" w:customStyle="1" w:styleId="EPFooter2Motto">
    <w:name w:val="EPFooter2Motto"/>
    <w:uiPriority w:val="1"/>
    <w:qFormat/>
    <w:rsid w:val="002707F5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A75A20"/>
    <w:pPr>
      <w:tabs>
        <w:tab w:val="center" w:pos="6804"/>
        <w:tab w:val="right" w:pos="15026"/>
      </w:tabs>
    </w:pPr>
    <w:rPr>
      <w:sz w:val="22"/>
    </w:rPr>
  </w:style>
  <w:style w:type="character" w:customStyle="1" w:styleId="Italic">
    <w:name w:val="Italic"/>
    <w:uiPriority w:val="1"/>
    <w:rsid w:val="0065571D"/>
    <w:rPr>
      <w:i/>
    </w:rPr>
  </w:style>
  <w:style w:type="character" w:customStyle="1" w:styleId="ItalicUnderline">
    <w:name w:val="ItalicUnderline"/>
    <w:uiPriority w:val="1"/>
    <w:rsid w:val="0065571D"/>
    <w:rPr>
      <w:i/>
      <w:u w:val="single"/>
    </w:rPr>
  </w:style>
  <w:style w:type="paragraph" w:customStyle="1" w:styleId="LegendSign">
    <w:name w:val="LegendSign"/>
    <w:basedOn w:val="Normal"/>
    <w:qFormat/>
    <w:rsid w:val="00A75A20"/>
    <w:pPr>
      <w:tabs>
        <w:tab w:val="right" w:pos="454"/>
        <w:tab w:val="left" w:pos="737"/>
      </w:tabs>
      <w:ind w:left="737" w:hanging="737"/>
    </w:pPr>
    <w:rPr>
      <w:snapToGrid/>
      <w:sz w:val="18"/>
      <w:lang w:eastAsia="en-GB"/>
    </w:rPr>
  </w:style>
  <w:style w:type="paragraph" w:customStyle="1" w:styleId="LegendStandard">
    <w:name w:val="LegendStandard"/>
    <w:basedOn w:val="LegendSign"/>
    <w:qFormat/>
    <w:rsid w:val="00A75A20"/>
    <w:pPr>
      <w:ind w:left="0" w:firstLine="0"/>
    </w:pPr>
  </w:style>
  <w:style w:type="paragraph" w:customStyle="1" w:styleId="LegendTitle">
    <w:name w:val="LegendTitle"/>
    <w:basedOn w:val="Normal"/>
    <w:qFormat/>
    <w:rsid w:val="00A75A20"/>
    <w:pPr>
      <w:spacing w:before="240" w:after="240"/>
    </w:pPr>
    <w:rPr>
      <w:b/>
      <w:i/>
      <w:snapToGrid/>
      <w:lang w:eastAsia="en-GB"/>
    </w:rPr>
  </w:style>
  <w:style w:type="character" w:customStyle="1" w:styleId="HideTermComment">
    <w:name w:val="HideTermComment"/>
    <w:uiPriority w:val="1"/>
    <w:qFormat/>
    <w:rsid w:val="00A75A20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A75A20"/>
    <w:rPr>
      <w:rFonts w:ascii="Arial" w:hAnsi="Arial"/>
      <w:vanish/>
      <w:color w:val="538135" w:themeColor="accent6" w:themeShade="BF"/>
      <w:sz w:val="18"/>
    </w:rPr>
  </w:style>
  <w:style w:type="paragraph" w:customStyle="1" w:styleId="Normal12a">
    <w:name w:val="Normal12a"/>
    <w:basedOn w:val="Normal"/>
    <w:rsid w:val="00031EA2"/>
    <w:pPr>
      <w:spacing w:after="240"/>
    </w:pPr>
    <w:rPr>
      <w:snapToGrid/>
      <w:lang w:eastAsia="en-GB"/>
    </w:rPr>
  </w:style>
  <w:style w:type="paragraph" w:customStyle="1" w:styleId="Normal12b">
    <w:name w:val="Normal12b"/>
    <w:basedOn w:val="Normal"/>
    <w:qFormat/>
    <w:rsid w:val="00A75A20"/>
    <w:pPr>
      <w:spacing w:before="240"/>
    </w:pPr>
    <w:rPr>
      <w:snapToGrid/>
      <w:lang w:eastAsia="en-GB"/>
    </w:rPr>
  </w:style>
  <w:style w:type="paragraph" w:customStyle="1" w:styleId="NormalBoldUnderline24b">
    <w:name w:val="NormalBoldUnderline24b"/>
    <w:basedOn w:val="Normal"/>
    <w:qFormat/>
    <w:rsid w:val="001038F2"/>
    <w:pPr>
      <w:spacing w:before="480"/>
    </w:pPr>
    <w:rPr>
      <w:b/>
      <w:snapToGrid/>
      <w:u w:val="single"/>
      <w:lang w:eastAsia="en-GB"/>
    </w:rPr>
  </w:style>
  <w:style w:type="paragraph" w:customStyle="1" w:styleId="NormalBoldUnderline24b12a">
    <w:name w:val="NormalBoldUnderline24b12a"/>
    <w:basedOn w:val="NormalBoldUnderline24b"/>
    <w:qFormat/>
    <w:rsid w:val="00A75A20"/>
    <w:pPr>
      <w:spacing w:after="240"/>
    </w:pPr>
  </w:style>
  <w:style w:type="paragraph" w:customStyle="1" w:styleId="Normal12aBullet1">
    <w:name w:val="Normal12aBullet1"/>
    <w:basedOn w:val="Normal"/>
    <w:qFormat/>
    <w:rsid w:val="00A75A20"/>
    <w:pPr>
      <w:widowControl/>
      <w:numPr>
        <w:numId w:val="1"/>
      </w:numPr>
    </w:pPr>
    <w:rPr>
      <w:snapToGrid/>
      <w:lang w:eastAsia="en-GB"/>
    </w:rPr>
  </w:style>
  <w:style w:type="paragraph" w:customStyle="1" w:styleId="Normal12aBullet2">
    <w:name w:val="Normal12aBullet2"/>
    <w:basedOn w:val="Normal"/>
    <w:qFormat/>
    <w:rsid w:val="00A75A20"/>
    <w:pPr>
      <w:numPr>
        <w:numId w:val="2"/>
      </w:numPr>
    </w:pPr>
    <w:rPr>
      <w:snapToGrid/>
      <w:lang w:eastAsia="en-GB"/>
    </w:rPr>
  </w:style>
  <w:style w:type="paragraph" w:customStyle="1" w:styleId="NormalHanging12a1">
    <w:name w:val="NormalHanging12a1"/>
    <w:basedOn w:val="Normal"/>
    <w:qFormat/>
    <w:rsid w:val="00C668A5"/>
    <w:pPr>
      <w:spacing w:after="240"/>
      <w:ind w:left="992" w:hanging="425"/>
    </w:pPr>
    <w:rPr>
      <w:snapToGrid/>
      <w:lang w:eastAsia="en-GB"/>
    </w:rPr>
  </w:style>
  <w:style w:type="paragraph" w:customStyle="1" w:styleId="NormalHanging12a2">
    <w:name w:val="NormalHanging12a2"/>
    <w:basedOn w:val="NormalHanging12a1"/>
    <w:qFormat/>
    <w:rsid w:val="00A75A20"/>
    <w:pPr>
      <w:ind w:left="1417"/>
    </w:pPr>
  </w:style>
  <w:style w:type="paragraph" w:customStyle="1" w:styleId="NormalHanging12a3">
    <w:name w:val="NormalHanging12a3"/>
    <w:basedOn w:val="NormalHanging12a2"/>
    <w:qFormat/>
    <w:rsid w:val="00A75A20"/>
    <w:pPr>
      <w:ind w:left="1843"/>
    </w:pPr>
  </w:style>
  <w:style w:type="paragraph" w:customStyle="1" w:styleId="NormalHanging12a4">
    <w:name w:val="NormalHanging12a4"/>
    <w:basedOn w:val="NormalHanging12a3"/>
    <w:qFormat/>
    <w:rsid w:val="00A75A20"/>
    <w:pPr>
      <w:ind w:left="2268"/>
    </w:pPr>
  </w:style>
  <w:style w:type="paragraph" w:customStyle="1" w:styleId="NormalHanging12a5">
    <w:name w:val="NormalHanging12a5"/>
    <w:basedOn w:val="NormalHanging12a4"/>
    <w:qFormat/>
    <w:rsid w:val="00A75A20"/>
    <w:pPr>
      <w:ind w:left="2693"/>
    </w:pPr>
  </w:style>
  <w:style w:type="paragraph" w:customStyle="1" w:styleId="NormalHanging12a6">
    <w:name w:val="NormalHanging12a6"/>
    <w:basedOn w:val="NormalHanging12a5"/>
    <w:qFormat/>
    <w:rsid w:val="00A75A20"/>
    <w:pPr>
      <w:ind w:left="3118"/>
    </w:pPr>
  </w:style>
  <w:style w:type="paragraph" w:customStyle="1" w:styleId="NormalHanging12a7">
    <w:name w:val="NormalHanging12a7"/>
    <w:basedOn w:val="NormalHanging12a6"/>
    <w:qFormat/>
    <w:rsid w:val="00A75A20"/>
    <w:pPr>
      <w:ind w:left="3544"/>
    </w:pPr>
  </w:style>
  <w:style w:type="paragraph" w:customStyle="1" w:styleId="NormalHangingCenter">
    <w:name w:val="NormalHangingCenter"/>
    <w:basedOn w:val="Normal"/>
    <w:qFormat/>
    <w:rsid w:val="00BC0B6B"/>
    <w:pPr>
      <w:spacing w:after="240"/>
      <w:ind w:left="567" w:hanging="567"/>
      <w:jc w:val="center"/>
    </w:pPr>
    <w:rPr>
      <w:snapToGrid/>
      <w:lang w:eastAsia="en-GB"/>
    </w:rPr>
  </w:style>
  <w:style w:type="paragraph" w:customStyle="1" w:styleId="NormalHangingJustified">
    <w:name w:val="NormalHangingJustified"/>
    <w:basedOn w:val="Normal"/>
    <w:qFormat/>
    <w:rsid w:val="00BC0B6B"/>
    <w:pPr>
      <w:spacing w:after="240"/>
      <w:ind w:left="714" w:hanging="357"/>
      <w:jc w:val="both"/>
    </w:pPr>
    <w:rPr>
      <w:snapToGrid/>
      <w:lang w:eastAsia="en-GB"/>
    </w:rPr>
  </w:style>
  <w:style w:type="paragraph" w:customStyle="1" w:styleId="NormalUnderline24b12a">
    <w:name w:val="NormalUnderline24b12a"/>
    <w:basedOn w:val="EPComma"/>
    <w:qFormat/>
    <w:rsid w:val="00A75A20"/>
    <w:rPr>
      <w:snapToGrid/>
      <w:u w:val="single"/>
      <w:lang w:eastAsia="en-GB"/>
    </w:rPr>
  </w:style>
  <w:style w:type="paragraph" w:customStyle="1" w:styleId="Normal2">
    <w:name w:val="Normal2"/>
    <w:next w:val="Normal"/>
    <w:qFormat/>
    <w:rsid w:val="00A75A20"/>
    <w:pPr>
      <w:spacing w:line="120" w:lineRule="auto"/>
    </w:pPr>
    <w:rPr>
      <w:color w:val="000000"/>
      <w:sz w:val="4"/>
      <w:szCs w:val="24"/>
    </w:rPr>
  </w:style>
  <w:style w:type="character" w:customStyle="1" w:styleId="NormalBI">
    <w:name w:val="NormalBI"/>
    <w:basedOn w:val="DefaultParagraphFont"/>
    <w:uiPriority w:val="1"/>
    <w:qFormat/>
    <w:rsid w:val="00A75A20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A75A20"/>
    <w:rPr>
      <w:b/>
      <w:i/>
    </w:rPr>
  </w:style>
  <w:style w:type="paragraph" w:customStyle="1" w:styleId="NormalBoldItalicCenter6a">
    <w:name w:val="NormalBoldItalicCenter6a"/>
    <w:basedOn w:val="Normal6a"/>
    <w:qFormat/>
    <w:rsid w:val="00A75A20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A75A20"/>
    <w:rPr>
      <w:i/>
    </w:rPr>
  </w:style>
  <w:style w:type="paragraph" w:customStyle="1" w:styleId="PageHeadingNotTOC">
    <w:name w:val="PageHeadingNotTOC"/>
    <w:basedOn w:val="PageHeading"/>
    <w:rsid w:val="00A75A20"/>
    <w:rPr>
      <w:rFonts w:cs="Times New Roman"/>
      <w:snapToGrid/>
      <w:lang w:eastAsia="en-GB"/>
    </w:rPr>
  </w:style>
  <w:style w:type="character" w:customStyle="1" w:styleId="Sub">
    <w:name w:val="Sub"/>
    <w:uiPriority w:val="1"/>
    <w:qFormat/>
    <w:rsid w:val="0065571D"/>
    <w:rPr>
      <w:vertAlign w:val="subscript"/>
    </w:rPr>
  </w:style>
  <w:style w:type="character" w:customStyle="1" w:styleId="SubBold">
    <w:name w:val="SubBold"/>
    <w:uiPriority w:val="1"/>
    <w:qFormat/>
    <w:rsid w:val="0065571D"/>
    <w:rPr>
      <w:b/>
      <w:vertAlign w:val="subscript"/>
    </w:rPr>
  </w:style>
  <w:style w:type="character" w:customStyle="1" w:styleId="SubBoldItalic">
    <w:name w:val="SubBoldItalic"/>
    <w:uiPriority w:val="1"/>
    <w:rsid w:val="0065571D"/>
    <w:rPr>
      <w:b/>
      <w:i/>
      <w:vertAlign w:val="subscript"/>
    </w:rPr>
  </w:style>
  <w:style w:type="character" w:customStyle="1" w:styleId="SubItalic">
    <w:name w:val="SubItalic"/>
    <w:uiPriority w:val="1"/>
    <w:qFormat/>
    <w:rsid w:val="0065571D"/>
    <w:rPr>
      <w:b/>
      <w:i/>
      <w:vertAlign w:val="subscript"/>
    </w:rPr>
  </w:style>
  <w:style w:type="character" w:customStyle="1" w:styleId="Sup">
    <w:name w:val="Sup"/>
    <w:uiPriority w:val="1"/>
    <w:rsid w:val="0065571D"/>
    <w:rPr>
      <w:vertAlign w:val="superscript"/>
    </w:rPr>
  </w:style>
  <w:style w:type="character" w:customStyle="1" w:styleId="SupBoldItalic">
    <w:name w:val="SupBoldItalic"/>
    <w:uiPriority w:val="1"/>
    <w:qFormat/>
    <w:rsid w:val="0065571D"/>
    <w:rPr>
      <w:b/>
      <w:i/>
      <w:vertAlign w:val="superscript"/>
    </w:rPr>
  </w:style>
  <w:style w:type="character" w:customStyle="1" w:styleId="Underline">
    <w:name w:val="Underline"/>
    <w:uiPriority w:val="1"/>
    <w:rsid w:val="0065571D"/>
    <w:rPr>
      <w:u w:val="single"/>
    </w:rPr>
  </w:style>
  <w:style w:type="paragraph" w:customStyle="1" w:styleId="NormalBoldCenter">
    <w:name w:val="NormalBoldCenter"/>
    <w:basedOn w:val="Normal"/>
    <w:rsid w:val="00880359"/>
    <w:pPr>
      <w:jc w:val="center"/>
    </w:pPr>
    <w:rPr>
      <w:b/>
      <w:snapToGrid/>
      <w:lang w:eastAsia="en-GB"/>
    </w:rPr>
  </w:style>
  <w:style w:type="paragraph" w:customStyle="1" w:styleId="ProcedureTable">
    <w:name w:val="ProcedureTable"/>
    <w:basedOn w:val="Normal"/>
    <w:rsid w:val="008572D4"/>
    <w:rPr>
      <w:snapToGrid/>
      <w:sz w:val="20"/>
      <w:lang w:eastAsia="en-GB"/>
    </w:rPr>
  </w:style>
  <w:style w:type="paragraph" w:customStyle="1" w:styleId="ProcedureTableBold">
    <w:name w:val="ProcedureTableBold"/>
    <w:basedOn w:val="Normal"/>
    <w:rsid w:val="008572D4"/>
    <w:rPr>
      <w:b/>
      <w:snapToGrid/>
      <w:sz w:val="20"/>
      <w:lang w:eastAsia="en-GB"/>
    </w:rPr>
  </w:style>
  <w:style w:type="paragraph" w:customStyle="1" w:styleId="NormalCenter">
    <w:name w:val="NormalCenter"/>
    <w:basedOn w:val="Normal"/>
    <w:rsid w:val="00314D1A"/>
    <w:pPr>
      <w:jc w:val="center"/>
    </w:pPr>
    <w:rPr>
      <w:snapToGrid/>
      <w:lang w:eastAsia="en-GB"/>
    </w:rPr>
  </w:style>
  <w:style w:type="character" w:customStyle="1" w:styleId="SubBoldItalicUnderline">
    <w:name w:val="SubBoldItalicUnderline"/>
    <w:uiPriority w:val="1"/>
    <w:rsid w:val="0065571D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65571D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65571D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65571D"/>
    <w:rPr>
      <w:u w:val="single"/>
      <w:vertAlign w:val="subscript"/>
    </w:rPr>
  </w:style>
  <w:style w:type="character" w:customStyle="1" w:styleId="SupBold">
    <w:name w:val="SupBold"/>
    <w:uiPriority w:val="1"/>
    <w:rsid w:val="0065571D"/>
    <w:rPr>
      <w:b/>
      <w:vertAlign w:val="superscript"/>
    </w:rPr>
  </w:style>
  <w:style w:type="character" w:customStyle="1" w:styleId="SupBoldItalicUnderline">
    <w:name w:val="SupBoldItalicUnderline"/>
    <w:uiPriority w:val="1"/>
    <w:rsid w:val="0065571D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65571D"/>
    <w:rPr>
      <w:b/>
      <w:u w:val="single"/>
      <w:vertAlign w:val="superscript"/>
    </w:rPr>
  </w:style>
  <w:style w:type="character" w:customStyle="1" w:styleId="SupItalic">
    <w:name w:val="SupItalic"/>
    <w:uiPriority w:val="1"/>
    <w:rsid w:val="0065571D"/>
    <w:rPr>
      <w:i/>
      <w:vertAlign w:val="superscript"/>
    </w:rPr>
  </w:style>
  <w:style w:type="character" w:customStyle="1" w:styleId="SupItalicUnderline">
    <w:name w:val="SupItalicUnderline"/>
    <w:uiPriority w:val="1"/>
    <w:rsid w:val="0065571D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65571D"/>
    <w:rPr>
      <w:u w:val="single"/>
      <w:vertAlign w:val="superscript"/>
    </w:rPr>
  </w:style>
  <w:style w:type="paragraph" w:customStyle="1" w:styleId="Normal24a">
    <w:name w:val="Normal24a"/>
    <w:basedOn w:val="Normal"/>
    <w:rsid w:val="00B140D0"/>
    <w:pPr>
      <w:spacing w:after="480"/>
    </w:pPr>
    <w:rPr>
      <w:snapToGrid/>
      <w:lang w:eastAsia="en-GB"/>
    </w:rPr>
  </w:style>
  <w:style w:type="paragraph" w:customStyle="1" w:styleId="Normal12a24b">
    <w:name w:val="Normal12a24b"/>
    <w:basedOn w:val="Normal"/>
    <w:rsid w:val="00D46F6C"/>
    <w:pPr>
      <w:spacing w:before="360" w:after="240"/>
    </w:pPr>
  </w:style>
  <w:style w:type="paragraph" w:styleId="Footer">
    <w:name w:val="footer"/>
    <w:basedOn w:val="Normal"/>
    <w:link w:val="FooterChar"/>
    <w:semiHidden/>
    <w:unhideWhenUsed/>
    <w:rsid w:val="00DF76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F765E"/>
    <w:rPr>
      <w:snapToGrid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arch.coe.int/cm/Pages/result_details.aspx?Reference=CM/Rec(2010)5" TargetMode="External"/><Relationship Id="rId2" Type="http://schemas.openxmlformats.org/officeDocument/2006/relationships/hyperlink" Target="https://search.coe.int/cm/Pages/result_details.aspx?Reference=CM/Rec(2010)5" TargetMode="External"/><Relationship Id="rId1" Type="http://schemas.openxmlformats.org/officeDocument/2006/relationships/hyperlink" Target="https://www.europarl.europa.eu/committees/en/libe-democracy-rule-of-law-and-fundament/product-details/20190103CDT026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3616</Words>
  <Characters>31612</Characters>
  <Application>Microsoft Office Word</Application>
  <DocSecurity>0</DocSecurity>
  <Lines>501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35093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PIRTTIJARVI Tiina</cp:lastModifiedBy>
  <cp:revision>2</cp:revision>
  <dcterms:created xsi:type="dcterms:W3CDTF">2023-11-13T08:48:00Z</dcterms:created>
  <dcterms:modified xsi:type="dcterms:W3CDTF">2023-11-13T08:48:00Z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1287814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UID">
    <vt:lpwstr>20231031-173016-012605-124709</vt:lpwstr>
  </property>
  <property fmtid="{D5CDD505-2E9C-101B-9397-08002B2CF9AE}" pid="7" name="FooterPath">
    <vt:lpwstr>PR\1287814FI.docx</vt:lpwstr>
  </property>
  <property fmtid="{D5CDD505-2E9C-101B-9397-08002B2CF9AE}" pid="8" name="PE Number">
    <vt:lpwstr>754.695</vt:lpwstr>
  </property>
  <property fmtid="{D5CDD505-2E9C-101B-9397-08002B2CF9AE}" pid="9" name="SDLStudio">
    <vt:lpwstr/>
  </property>
  <property fmtid="{D5CDD505-2E9C-101B-9397-08002B2CF9AE}" pid="10" name="UID">
    <vt:lpwstr>eu.europa.europarl-DIN1-2023-0000131083_01.06-en-01.00_text-xml</vt:lpwstr>
  </property>
  <property fmtid="{D5CDD505-2E9C-101B-9397-08002B2CF9AE}" pid="11" name="Bookout">
    <vt:lpwstr>OK - 2023/11/13 09:48</vt:lpwstr>
  </property>
</Properties>
</file>