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804"/>
        <w:gridCol w:w="2488"/>
      </w:tblGrid>
      <w:tr w:rsidR="00967A95" w:rsidRPr="009E316A">
        <w:trPr>
          <w:trHeight w:hRule="exact" w:val="1420"/>
        </w:trPr>
        <w:tc>
          <w:tcPr>
            <w:tcW w:w="6804" w:type="dxa"/>
            <w:vAlign w:val="center"/>
          </w:tcPr>
          <w:p w:rsidR="00967A95" w:rsidRPr="009E316A" w:rsidRDefault="00A77B3E">
            <w:pPr>
              <w:pStyle w:val="EPName"/>
            </w:pPr>
            <w:r w:rsidRPr="009E316A">
              <w:t>Parlament Europejski</w:t>
            </w:r>
          </w:p>
          <w:p w:rsidR="00967A95" w:rsidRPr="009E316A" w:rsidRDefault="006C3DD2">
            <w:pPr>
              <w:pStyle w:val="EPTerm"/>
            </w:pPr>
            <w:r w:rsidRPr="009E316A">
              <w:t>2019-2024</w:t>
            </w:r>
          </w:p>
        </w:tc>
        <w:tc>
          <w:tcPr>
            <w:tcW w:w="2488" w:type="dxa"/>
          </w:tcPr>
          <w:p w:rsidR="00967A95" w:rsidRPr="009E316A" w:rsidRDefault="006C3DD2">
            <w:pPr>
              <w:pStyle w:val="EPLogo"/>
            </w:pPr>
            <w:r w:rsidRPr="009E316A">
              <w:rPr>
                <w:noProof/>
                <w:lang w:eastAsia="pl-PL"/>
              </w:rPr>
              <w:drawing>
                <wp:inline distT="0" distB="0" distL="0" distR="0">
                  <wp:extent cx="1162812" cy="647954"/>
                  <wp:effectExtent l="0" t="0" r="0" b="0"/>
                  <wp:docPr id="100001" name="Picture 10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62382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812" cy="647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7A95" w:rsidRPr="009E316A" w:rsidRDefault="00967A95">
      <w:pPr>
        <w:pStyle w:val="LineTop"/>
      </w:pPr>
    </w:p>
    <w:p w:rsidR="00967A95" w:rsidRPr="009E316A" w:rsidRDefault="006C3DD2">
      <w:pPr>
        <w:pStyle w:val="EPBody"/>
      </w:pPr>
      <w:r w:rsidRPr="009E316A">
        <w:rPr>
          <w:rStyle w:val="HideTWBExt"/>
        </w:rPr>
        <w:t>&lt;Commission&gt;</w:t>
      </w:r>
      <w:r w:rsidRPr="009E316A">
        <w:rPr>
          <w:rStyle w:val="HideTWBInt"/>
        </w:rPr>
        <w:t>{LIBE}</w:t>
      </w:r>
      <w:r w:rsidRPr="009E316A">
        <w:t>Komisja Wolności Obywatelskich, Sprawiedliwości i Spraw Wewnętrznych</w:t>
      </w:r>
      <w:r w:rsidRPr="009E316A">
        <w:rPr>
          <w:rStyle w:val="HideTWBExt"/>
        </w:rPr>
        <w:t>&lt;/Commission&gt;</w:t>
      </w:r>
    </w:p>
    <w:p w:rsidR="00967A95" w:rsidRPr="009E316A" w:rsidRDefault="00967A95">
      <w:pPr>
        <w:pStyle w:val="LineBottom"/>
      </w:pPr>
    </w:p>
    <w:p w:rsidR="00967A95" w:rsidRPr="009E316A" w:rsidRDefault="006C3DD2">
      <w:pPr>
        <w:pStyle w:val="CoverReference"/>
      </w:pPr>
      <w:r w:rsidRPr="009E316A">
        <w:rPr>
          <w:rStyle w:val="HideTWBExt"/>
        </w:rPr>
        <w:t>&lt;RefProc&gt;</w:t>
      </w:r>
      <w:r w:rsidRPr="009E316A">
        <w:t>2023/2113</w:t>
      </w:r>
      <w:r w:rsidRPr="009E316A">
        <w:rPr>
          <w:rStyle w:val="HideTWBExt"/>
        </w:rPr>
        <w:t>&lt;/RefProc&gt;&lt;RefTypeProc&gt;</w:t>
      </w:r>
      <w:r w:rsidRPr="009E316A">
        <w:t>(INI)</w:t>
      </w:r>
      <w:r w:rsidRPr="009E316A">
        <w:rPr>
          <w:rStyle w:val="HideTWBExt"/>
        </w:rPr>
        <w:t>&lt;/RefTypeProc&gt;</w:t>
      </w:r>
    </w:p>
    <w:p w:rsidR="00967A95" w:rsidRPr="009E316A" w:rsidRDefault="006C3DD2">
      <w:pPr>
        <w:pStyle w:val="CoverDate"/>
      </w:pPr>
      <w:r w:rsidRPr="009E316A">
        <w:rPr>
          <w:rStyle w:val="HideTWBExt"/>
        </w:rPr>
        <w:t>&lt;Date&gt;</w:t>
      </w:r>
      <w:r w:rsidRPr="009E316A">
        <w:rPr>
          <w:rStyle w:val="HideTWBInt"/>
        </w:rPr>
        <w:t>{26/10/2023}</w:t>
      </w:r>
      <w:r w:rsidRPr="009E316A">
        <w:t>26.10.2023</w:t>
      </w:r>
      <w:r w:rsidRPr="009E316A">
        <w:rPr>
          <w:rStyle w:val="HideTWBExt"/>
        </w:rPr>
        <w:t>&lt;/Date&gt;</w:t>
      </w:r>
    </w:p>
    <w:p w:rsidR="00967A95" w:rsidRPr="009E316A" w:rsidRDefault="006C3DD2">
      <w:pPr>
        <w:pStyle w:val="CoverDocType24a"/>
      </w:pPr>
      <w:r w:rsidRPr="009E316A">
        <w:rPr>
          <w:rStyle w:val="HideTWBExt"/>
        </w:rPr>
        <w:t>&lt;TitreType&gt;</w:t>
      </w:r>
      <w:r w:rsidRPr="009E316A">
        <w:t>PROJEKT SPRAWOZDANIA</w:t>
      </w:r>
      <w:r w:rsidRPr="009E316A">
        <w:rPr>
          <w:rStyle w:val="HideTWBExt"/>
        </w:rPr>
        <w:t>&lt;/TitreType&gt;</w:t>
      </w:r>
    </w:p>
    <w:p w:rsidR="00967A95" w:rsidRPr="009E316A" w:rsidRDefault="006C3DD2">
      <w:pPr>
        <w:pStyle w:val="CoverNormal"/>
      </w:pPr>
      <w:r w:rsidRPr="009E316A">
        <w:rPr>
          <w:rStyle w:val="HideTWBExt"/>
        </w:rPr>
        <w:t>&lt;Titre&gt;</w:t>
      </w:r>
      <w:r w:rsidRPr="009E316A">
        <w:t>Sprawozdanie w sprawie sprawozdania Komisji na temat praworządności z 2023 r.</w:t>
      </w:r>
      <w:r w:rsidRPr="009E316A">
        <w:rPr>
          <w:rStyle w:val="HideTWBExt"/>
        </w:rPr>
        <w:t>&lt;/Titre&gt;</w:t>
      </w:r>
    </w:p>
    <w:p w:rsidR="00967A95" w:rsidRPr="009E316A" w:rsidRDefault="006C3DD2">
      <w:pPr>
        <w:pStyle w:val="CoverNormal24a"/>
      </w:pPr>
      <w:r w:rsidRPr="009E316A">
        <w:rPr>
          <w:rStyle w:val="HideTWBExt"/>
        </w:rPr>
        <w:t>&lt;DocRef&gt;</w:t>
      </w:r>
      <w:r w:rsidRPr="009E316A">
        <w:t>(2023/2113(INI))</w:t>
      </w:r>
      <w:r w:rsidRPr="009E316A">
        <w:rPr>
          <w:rStyle w:val="HideTWBExt"/>
        </w:rPr>
        <w:t>&lt;/DocRef&gt;</w:t>
      </w:r>
    </w:p>
    <w:p w:rsidR="00967A95" w:rsidRPr="009E316A" w:rsidRDefault="006C3DD2">
      <w:pPr>
        <w:pStyle w:val="CoverNormal24a"/>
      </w:pPr>
      <w:r w:rsidRPr="009E316A">
        <w:rPr>
          <w:rStyle w:val="HideTWBExt"/>
        </w:rPr>
        <w:t>&lt;Commission&gt;</w:t>
      </w:r>
      <w:r w:rsidRPr="009E316A">
        <w:rPr>
          <w:rStyle w:val="HideTWBInt"/>
        </w:rPr>
        <w:t>{LIBE}</w:t>
      </w:r>
      <w:r w:rsidRPr="009E316A">
        <w:t>Komisja Wolności Obywatelskich, Sprawiedliwości i Spraw Wewnętrznych</w:t>
      </w:r>
      <w:r w:rsidRPr="009E316A">
        <w:rPr>
          <w:rStyle w:val="HideTWBExt"/>
        </w:rPr>
        <w:t>&lt;/Commission&gt;</w:t>
      </w:r>
    </w:p>
    <w:p w:rsidR="00967A95" w:rsidRPr="009E316A" w:rsidRDefault="006C3DD2">
      <w:pPr>
        <w:pStyle w:val="CoverNormal24a"/>
      </w:pPr>
      <w:r w:rsidRPr="009E316A">
        <w:t xml:space="preserve">Sprawozdawczyni: </w:t>
      </w:r>
      <w:r w:rsidRPr="009E316A">
        <w:rPr>
          <w:rStyle w:val="HideTWBExt"/>
        </w:rPr>
        <w:t>&lt;Depute&gt;</w:t>
      </w:r>
      <w:r w:rsidRPr="009E316A">
        <w:t>Sophia in 't Veld</w:t>
      </w:r>
      <w:r w:rsidRPr="009E316A">
        <w:rPr>
          <w:rStyle w:val="HideTWBExt"/>
        </w:rPr>
        <w:t>&lt;/Depute&gt;</w:t>
      </w:r>
    </w:p>
    <w:p w:rsidR="00967A95" w:rsidRPr="009E316A" w:rsidRDefault="006C3DD2">
      <w:pPr>
        <w:pStyle w:val="CoverNormal24a"/>
      </w:pPr>
      <w:r w:rsidRPr="009E316A">
        <w:t>Sprawozdawca komisji opiniodawczej będącej komisją zaangażowaną zgodnie z art. 57 Regulaminu:</w:t>
      </w:r>
      <w:r w:rsidRPr="009E316A">
        <w:br/>
        <w:t>Adrián Vázquez Lázara, Komisja Prawna</w:t>
      </w:r>
    </w:p>
    <w:p w:rsidR="00967A95" w:rsidRPr="009E316A" w:rsidRDefault="006C3DD2">
      <w:r w:rsidRPr="009E316A">
        <w:br w:type="page"/>
      </w:r>
      <w:r w:rsidRPr="009E316A">
        <w:lastRenderedPageBreak/>
        <w:t>PR_INI</w:t>
      </w:r>
    </w:p>
    <w:p w:rsidR="00967A95" w:rsidRPr="009E316A" w:rsidRDefault="006C3DD2">
      <w:pPr>
        <w:pStyle w:val="TOCHeading"/>
      </w:pPr>
      <w:r w:rsidRPr="009E316A">
        <w:t>SPIS TREŚCI</w:t>
      </w:r>
    </w:p>
    <w:p w:rsidR="00967A95" w:rsidRPr="009E316A" w:rsidRDefault="006C3DD2">
      <w:pPr>
        <w:pStyle w:val="TOCPage"/>
      </w:pPr>
      <w:r w:rsidRPr="009E316A">
        <w:t>Strona</w:t>
      </w:r>
    </w:p>
    <w:p w:rsidR="00BD260D" w:rsidRDefault="006C3DD2">
      <w:pPr>
        <w:pStyle w:val="TOC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napToGrid/>
          <w:sz w:val="22"/>
          <w:szCs w:val="22"/>
          <w:lang w:eastAsia="pl-PL"/>
        </w:rPr>
      </w:pPr>
      <w:r w:rsidRPr="009E316A">
        <w:fldChar w:fldCharType="begin"/>
      </w:r>
      <w:r w:rsidRPr="009E316A">
        <w:instrText>TOC \t "PageHeading"</w:instrText>
      </w:r>
      <w:r w:rsidRPr="009E316A">
        <w:fldChar w:fldCharType="separate"/>
      </w:r>
      <w:r w:rsidR="00BD260D">
        <w:rPr>
          <w:noProof/>
        </w:rPr>
        <w:t>PROJEKT REZOLUCJI PARLAMENTU EUROPEJSKIEGO</w:t>
      </w:r>
      <w:r w:rsidR="00BD260D">
        <w:rPr>
          <w:noProof/>
        </w:rPr>
        <w:tab/>
      </w:r>
      <w:r w:rsidR="00BD260D">
        <w:rPr>
          <w:noProof/>
        </w:rPr>
        <w:fldChar w:fldCharType="begin"/>
      </w:r>
      <w:r w:rsidR="00BD260D">
        <w:rPr>
          <w:noProof/>
        </w:rPr>
        <w:instrText xml:space="preserve"> PAGEREF _Toc150760862 \h </w:instrText>
      </w:r>
      <w:r w:rsidR="00BD260D">
        <w:rPr>
          <w:noProof/>
        </w:rPr>
      </w:r>
      <w:r w:rsidR="00BD260D">
        <w:rPr>
          <w:noProof/>
        </w:rPr>
        <w:fldChar w:fldCharType="separate"/>
      </w:r>
      <w:r w:rsidR="00BD260D">
        <w:rPr>
          <w:noProof/>
        </w:rPr>
        <w:t>3</w:t>
      </w:r>
      <w:r w:rsidR="00BD260D">
        <w:rPr>
          <w:noProof/>
        </w:rPr>
        <w:fldChar w:fldCharType="end"/>
      </w:r>
    </w:p>
    <w:p w:rsidR="00967A95" w:rsidRPr="009E316A" w:rsidRDefault="006C3DD2">
      <w:pPr>
        <w:pStyle w:val="Normal12b"/>
      </w:pPr>
      <w:r w:rsidRPr="009E316A">
        <w:fldChar w:fldCharType="end"/>
      </w:r>
    </w:p>
    <w:p w:rsidR="00967A95" w:rsidRPr="009E316A" w:rsidRDefault="00967A95">
      <w:pPr>
        <w:pStyle w:val="CoverNormalLeft"/>
      </w:pPr>
    </w:p>
    <w:p w:rsidR="00967A95" w:rsidRPr="009E316A" w:rsidRDefault="006C3DD2">
      <w:pPr>
        <w:pStyle w:val="CoverNormalLeft"/>
        <w:sectPr w:rsidR="00967A95" w:rsidRPr="009E316A" w:rsidSect="009E316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pgSz w:w="11906" w:h="16838"/>
          <w:pgMar w:top="1134" w:right="1417" w:bottom="1417" w:left="1417" w:header="1134" w:footer="567" w:gutter="0"/>
          <w:cols w:space="708"/>
          <w:titlePg/>
          <w:docGrid w:linePitch="360"/>
        </w:sectPr>
      </w:pPr>
      <w:r w:rsidRPr="009E316A">
        <w:br w:type="page"/>
      </w:r>
    </w:p>
    <w:p w:rsidR="00967A95" w:rsidRPr="009E316A" w:rsidRDefault="006C3DD2">
      <w:pPr>
        <w:pStyle w:val="PageHeading"/>
      </w:pPr>
      <w:bookmarkStart w:id="0" w:name="_Toc150760862"/>
      <w:r w:rsidRPr="009E316A">
        <w:lastRenderedPageBreak/>
        <w:t>PROJEKT REZOLUCJI PARLAMENTU EUROPEJSKIEGO</w:t>
      </w:r>
      <w:bookmarkEnd w:id="0"/>
    </w:p>
    <w:p w:rsidR="00967A95" w:rsidRPr="009E316A" w:rsidRDefault="006C3DD2">
      <w:pPr>
        <w:pStyle w:val="NormalBold"/>
      </w:pPr>
      <w:r w:rsidRPr="009E316A">
        <w:t>Sprawozdanie w sprawie sprawozdania Komisji na temat praworządności z 2023 r.</w:t>
      </w:r>
    </w:p>
    <w:p w:rsidR="00967A95" w:rsidRPr="009E316A" w:rsidRDefault="006C3DD2">
      <w:pPr>
        <w:pStyle w:val="NormalBold"/>
      </w:pPr>
      <w:r w:rsidRPr="009E316A">
        <w:t>(2023/2113(INI))</w:t>
      </w:r>
    </w:p>
    <w:p w:rsidR="00967A95" w:rsidRPr="009E316A" w:rsidRDefault="006C3DD2">
      <w:pPr>
        <w:pStyle w:val="EPComma"/>
      </w:pPr>
      <w:r w:rsidRPr="009E316A">
        <w:rPr>
          <w:rStyle w:val="Italic"/>
        </w:rPr>
        <w:t>Parlament Europejski</w:t>
      </w:r>
      <w:r w:rsidRPr="009E316A">
        <w:t>,</w:t>
      </w:r>
    </w:p>
    <w:p w:rsidR="00967A95" w:rsidRPr="009E316A" w:rsidRDefault="006C3DD2">
      <w:pPr>
        <w:pStyle w:val="NormalHanging12a"/>
      </w:pPr>
      <w:r w:rsidRPr="009E316A">
        <w:t>–</w:t>
      </w:r>
      <w:r w:rsidRPr="009E316A">
        <w:tab/>
        <w:t>uwzględniając Traktat o Unii Europejskiej (TUE), w szczególności jego art. 2, art. 3 ust. 1, art. 3 ust. 3 akapit drugi, art. 4 ust. 3 oraz art. 5, 6, 7, 11, 19 i 49,</w:t>
      </w:r>
    </w:p>
    <w:p w:rsidR="00967A95" w:rsidRPr="009E316A" w:rsidRDefault="006C3DD2">
      <w:pPr>
        <w:pStyle w:val="NormalHanging12a"/>
      </w:pPr>
      <w:r w:rsidRPr="009E316A">
        <w:t>–</w:t>
      </w:r>
      <w:r w:rsidRPr="009E316A">
        <w:tab/>
        <w:t>uwzględniając Traktat o funkcjonowaniu Unii Europejskiej (TFUE), w szczególności artykuły dotyczące poszanowania, ochrony i wspierania demokracji, praworządności i praw podstawowych w Unii, w tym art. 70, 258, 259, 260, 263, 265 i 267,</w:t>
      </w:r>
    </w:p>
    <w:p w:rsidR="00967A95" w:rsidRPr="009E316A" w:rsidRDefault="006C3DD2">
      <w:pPr>
        <w:pStyle w:val="NormalHanging12a"/>
      </w:pPr>
      <w:r w:rsidRPr="009E316A">
        <w:t>–</w:t>
      </w:r>
      <w:r w:rsidRPr="009E316A">
        <w:tab/>
        <w:t>uwzględniając Kartę praw podstawowych Unii Europejskiej,</w:t>
      </w:r>
    </w:p>
    <w:p w:rsidR="00967A95" w:rsidRPr="009E316A" w:rsidRDefault="006C3DD2">
      <w:pPr>
        <w:pStyle w:val="NormalHanging12a"/>
      </w:pPr>
      <w:r w:rsidRPr="009E316A">
        <w:t>–</w:t>
      </w:r>
      <w:r w:rsidRPr="009E316A">
        <w:tab/>
        <w:t>uwzględniając orzecznictwo Trybunału Sprawiedliwości Unii Europejskiej,</w:t>
      </w:r>
    </w:p>
    <w:p w:rsidR="00967A95" w:rsidRPr="009E316A" w:rsidRDefault="006C3DD2">
      <w:pPr>
        <w:pStyle w:val="NormalHanging12a"/>
      </w:pPr>
      <w:r w:rsidRPr="009E316A">
        <w:t>–</w:t>
      </w:r>
      <w:r w:rsidRPr="009E316A">
        <w:tab/>
        <w:t>uwzględniając komunikat Komisji z dnia 5 lipca 2023 r. pt. „Sprawozdanie na temat praworządności z 2023 r. – Sytuacja w zakresie praworządności w Unii Europejskiej” (COM(2023)0800),</w:t>
      </w:r>
    </w:p>
    <w:p w:rsidR="00967A95" w:rsidRPr="009E316A" w:rsidRDefault="006C3DD2">
      <w:pPr>
        <w:pStyle w:val="NormalHanging12a"/>
      </w:pPr>
      <w:r w:rsidRPr="009E316A">
        <w:t>–</w:t>
      </w:r>
      <w:r w:rsidRPr="009E316A">
        <w:tab/>
        <w:t>uwzględniając rozporządzenie Parlamentu Europejskiego i Rady (UE, Euratom) 2020/2092 z dnia 16 grudnia 2020 r. w sprawie ogólnego systemu warunkowości służącego ochronie budżetu Unii</w:t>
      </w:r>
      <w:r w:rsidRPr="009E316A">
        <w:rPr>
          <w:rStyle w:val="FootnoteReference"/>
        </w:rPr>
        <w:footnoteReference w:id="1"/>
      </w:r>
      <w:r w:rsidRPr="009E316A">
        <w:t xml:space="preserve"> (rozporządzenie dotyczące warunkowości w zakresie praworządności),</w:t>
      </w:r>
    </w:p>
    <w:p w:rsidR="00967A95" w:rsidRPr="009E316A" w:rsidRDefault="006C3DD2">
      <w:pPr>
        <w:pStyle w:val="NormalHanging12a"/>
      </w:pPr>
      <w:r w:rsidRPr="009E316A">
        <w:t>–</w:t>
      </w:r>
      <w:r w:rsidRPr="009E316A">
        <w:tab/>
        <w:t>uwzględniając rozporządzenie Parlamentu Europejskiego i Rady (UE) 2021/692 z dnia 28 kwietnia 2021 r. ustanawiające program „Obywatele, równość, prawa i wartości” oraz uchylające rozporządzenie Parlamentu Europejskiego i Rady (UE) nr 1381/2013 i rozporządzenie Rady (UE) nr 390/2014</w:t>
      </w:r>
      <w:r w:rsidRPr="009E316A">
        <w:rPr>
          <w:rStyle w:val="FootnoteReference"/>
        </w:rPr>
        <w:footnoteReference w:id="2"/>
      </w:r>
      <w:r w:rsidRPr="009E316A">
        <w:t>,</w:t>
      </w:r>
    </w:p>
    <w:p w:rsidR="00967A95" w:rsidRPr="009E316A" w:rsidRDefault="006C3DD2">
      <w:pPr>
        <w:pStyle w:val="NormalHanging12a"/>
      </w:pPr>
      <w:r w:rsidRPr="009E316A">
        <w:t>–</w:t>
      </w:r>
      <w:r w:rsidRPr="009E316A">
        <w:tab/>
        <w:t>uwzględniając Powszechną deklarację praw człowieka,</w:t>
      </w:r>
    </w:p>
    <w:p w:rsidR="00967A95" w:rsidRPr="009E316A" w:rsidRDefault="006C3DD2">
      <w:pPr>
        <w:pStyle w:val="NormalHanging12a"/>
      </w:pPr>
      <w:r w:rsidRPr="009E316A">
        <w:t>–</w:t>
      </w:r>
      <w:r w:rsidRPr="009E316A">
        <w:tab/>
        <w:t>uwzględniając instrumenty ONZ dotyczące ochrony praw człowieka i podstawowych wolności oraz zalecenia i sprawozdania z powszechnego okresowego przeglądu praw człowieka ONZ, a także orzecznictwo organów traktatowych ONZ i specjalne procedury Rady Praw Człowieka,</w:t>
      </w:r>
    </w:p>
    <w:p w:rsidR="00967A95" w:rsidRPr="009E316A" w:rsidRDefault="006C3DD2">
      <w:pPr>
        <w:pStyle w:val="NormalHanging12a"/>
      </w:pPr>
      <w:r w:rsidRPr="009E316A">
        <w:t>–</w:t>
      </w:r>
      <w:r w:rsidRPr="009E316A">
        <w:tab/>
        <w:t>uwzględniając zalecenia i sprawozdania Biura Instytucji Demokratycznych i Praw Człowieka, Wysokiego Komisarza ds. Mniejszości Narodowych, Przedstawicielki OBWE ds. Wolności Mediów oraz innych organów Organizacji Bezpieczeństwa i Współpracy w Europie (OBWE),</w:t>
      </w:r>
    </w:p>
    <w:p w:rsidR="00967A95" w:rsidRPr="009E316A" w:rsidRDefault="006C3DD2">
      <w:pPr>
        <w:pStyle w:val="NormalHanging12a"/>
      </w:pPr>
      <w:r w:rsidRPr="009E316A">
        <w:t>–</w:t>
      </w:r>
      <w:r w:rsidRPr="009E316A">
        <w:tab/>
        <w:t xml:space="preserve">uwzględniając Konwencję o ochronie praw człowieka i podstawowych wolności oraz Europejską kartę społeczną, orzecznictwo Europejskiego Trybunału Praw Człowieka oraz Europejskiego Komitetu Praw Społecznych, konwencje, zalecenia, rezolucje, </w:t>
      </w:r>
      <w:r w:rsidRPr="009E316A">
        <w:lastRenderedPageBreak/>
        <w:t>opinie i sprawozdania Zgromadzenia Parlamentarnego, Komitetu Ministrów, Komisarza Praw Człowieka, Europejskiej Komisji przeciwko Rasizmowi i Nietolerancji, Komitetu Sterującego ds. Przeciwdziałania Dyskryminacji, Różnorodności i Włączenia Społecznego, Komisji Weneckiej oraz innych organów Rady Europy,</w:t>
      </w:r>
    </w:p>
    <w:p w:rsidR="00967A95" w:rsidRPr="009E316A" w:rsidRDefault="006C3DD2">
      <w:pPr>
        <w:pStyle w:val="NormalHanging12a"/>
      </w:pPr>
      <w:r w:rsidRPr="009E316A">
        <w:t>–</w:t>
      </w:r>
      <w:r w:rsidRPr="009E316A">
        <w:tab/>
        <w:t>uwzględniając Protokół ustaleń między Radą Europy a Unią Europejską z 23 maja 2007 r. oraz konkluzje Rady z dnia 8 lipca 2020 r. w sprawie priorytetów UE w dziedzinie współpracy z Radą Europy w latach 2020–2022,</w:t>
      </w:r>
    </w:p>
    <w:p w:rsidR="00967A95" w:rsidRPr="009E316A" w:rsidRDefault="006C3DD2">
      <w:pPr>
        <w:pStyle w:val="NormalHanging12a"/>
      </w:pPr>
      <w:r w:rsidRPr="009E316A">
        <w:t>–</w:t>
      </w:r>
      <w:r w:rsidRPr="009E316A">
        <w:tab/>
        <w:t>uwzględniając uzasadniony wniosek Komisji z dnia 20 grudnia 2017 r. dotyczący decyzji Rady w sprawie stwierdzenia wyraźnego ryzyka poważnego naruszenia przez Rzeczpospolitą Polską zasady praworządności (COM(2017)0835), wydany zgodnie z art. 7 ust. 1 TUE,</w:t>
      </w:r>
    </w:p>
    <w:p w:rsidR="00967A95" w:rsidRPr="009E316A" w:rsidRDefault="006C3DD2">
      <w:pPr>
        <w:pStyle w:val="NormalHanging12a"/>
      </w:pPr>
      <w:r w:rsidRPr="009E316A">
        <w:t>–</w:t>
      </w:r>
      <w:r w:rsidRPr="009E316A">
        <w:tab/>
        <w:t>uwzględniając sprawozdania: Agencji Praw Podstawowych Unii Europejskiej (FRA) z dnia 19 lipca 2022 r. zatytułowane „Europejskie społeczeństwo obywatelskie still under pressure” [„Europejskie społeczeństwo obywatelskie – nadal pod presją”], z dni 8 czerwca 2022 r. pt. „Fundamental Rights Report 2022” [„Sprawozdanie na temat praw podstawowych z 2022 r.”], 19 sierpnia 2022 r. pt. „Protecting civic space in the EU” [„Ochrona przestrzeni obywatelskiej w UE”] oraz 3 listopada 2022 r. pt. „Antisemitism – Overview of antisemitic incidents recorded in the European Union 2011-2021” [„Antysemityzm – Ogólne informacje na temat incydentów antysemickich odnotowanych w Unii Europejskiej w latach 2011–2021”] i jej inne sprawozdania, dane i narzędzia, w szczególności system informacji Unii Europejskiej o prawach podstawowych (EFRIS),</w:t>
      </w:r>
    </w:p>
    <w:p w:rsidR="00967A95" w:rsidRPr="009E316A" w:rsidRDefault="006C3DD2">
      <w:pPr>
        <w:pStyle w:val="NormalHanging12a"/>
      </w:pPr>
      <w:r w:rsidRPr="009E316A">
        <w:t>–</w:t>
      </w:r>
      <w:r w:rsidRPr="009E316A">
        <w:tab/>
        <w:t>uwzględniając swoją rezolucję z dnia 25 października 2016 r. zawierającą zalecenia dla Komisji w kwestii utworzenia unijnego mechanizmu dotyczącego demokracji, praworządności i praw podstawowych</w:t>
      </w:r>
      <w:r w:rsidRPr="009E316A">
        <w:rPr>
          <w:rStyle w:val="FootnoteReference"/>
        </w:rPr>
        <w:footnoteReference w:id="3"/>
      </w:r>
      <w:r w:rsidRPr="009E316A">
        <w:t>,</w:t>
      </w:r>
    </w:p>
    <w:p w:rsidR="00967A95" w:rsidRPr="009E316A" w:rsidRDefault="006C3DD2">
      <w:pPr>
        <w:pStyle w:val="NormalHanging12a"/>
      </w:pPr>
      <w:r w:rsidRPr="009E316A">
        <w:t>–</w:t>
      </w:r>
      <w:r w:rsidRPr="009E316A">
        <w:tab/>
        <w:t>uwzględniając swoją rezolucję z dnia 1 marca 2018 r. w sprawie decyzji Komisji o zastosowaniu art. 7 ust. 1 TUE w związku z sytuacją w Polsce</w:t>
      </w:r>
      <w:r w:rsidRPr="009E316A">
        <w:rPr>
          <w:rStyle w:val="FootnoteReference"/>
        </w:rPr>
        <w:footnoteReference w:id="4"/>
      </w:r>
      <w:r w:rsidRPr="009E316A">
        <w:t>,</w:t>
      </w:r>
    </w:p>
    <w:p w:rsidR="00967A95" w:rsidRPr="009E316A" w:rsidRDefault="006C3DD2">
      <w:pPr>
        <w:pStyle w:val="NormalHanging12a"/>
      </w:pPr>
      <w:r w:rsidRPr="009E316A">
        <w:t>–</w:t>
      </w:r>
      <w:r w:rsidRPr="009E316A">
        <w:tab/>
        <w:t>uwzględniając swoją rezolucję z dnia 19 kwietnia 2018 r. w sprawie konieczności ustanowienia instrumentu na rzecz wartości europejskich wspierającego organizacje społeczeństwa obywatelskiego, które propagują wartości podstawowe w Unii Europejskiej na poziomie lokalnym i krajowym</w:t>
      </w:r>
      <w:r w:rsidRPr="009E316A">
        <w:rPr>
          <w:rStyle w:val="FootnoteReference"/>
        </w:rPr>
        <w:footnoteReference w:id="5"/>
      </w:r>
      <w:r w:rsidRPr="009E316A">
        <w:t>,</w:t>
      </w:r>
    </w:p>
    <w:p w:rsidR="00967A95" w:rsidRPr="009E316A" w:rsidRDefault="006C3DD2">
      <w:pPr>
        <w:pStyle w:val="NormalHanging12a"/>
      </w:pPr>
      <w:r w:rsidRPr="009E316A">
        <w:t>–</w:t>
      </w:r>
      <w:r w:rsidRPr="009E316A">
        <w:tab/>
        <w:t>uwzględniając swoją rezolucję z dnia 12 września 2018 r. w sprawie wniosku wzywającego Radę do stwierdzenia, zgodnie z art. 7 ust. 1 Traktatu o Unii Europejskiej, istnienia wyraźnego ryzyka poważnego naruszenia przez Węgry wartości, na których opiera się Unia</w:t>
      </w:r>
      <w:r w:rsidRPr="009E316A">
        <w:rPr>
          <w:rStyle w:val="FootnoteReference"/>
        </w:rPr>
        <w:footnoteReference w:id="6"/>
      </w:r>
      <w:r w:rsidRPr="009E316A">
        <w:t>,</w:t>
      </w:r>
    </w:p>
    <w:p w:rsidR="00967A95" w:rsidRPr="009E316A" w:rsidRDefault="006C3DD2">
      <w:pPr>
        <w:pStyle w:val="NormalHanging12a"/>
      </w:pPr>
      <w:r w:rsidRPr="009E316A">
        <w:lastRenderedPageBreak/>
        <w:t>–</w:t>
      </w:r>
      <w:r w:rsidRPr="009E316A">
        <w:tab/>
        <w:t>uwzględniając swoją rezolucję z dnia 14 listopada 2018 r. w sprawie potrzeby utworzenia kompleksowego mechanizmu UE na rzecz ochrony demokracji, praworządności i praw podstawowych</w:t>
      </w:r>
      <w:r w:rsidRPr="009E316A">
        <w:rPr>
          <w:rStyle w:val="FootnoteReference"/>
        </w:rPr>
        <w:footnoteReference w:id="7"/>
      </w:r>
      <w:r w:rsidRPr="009E316A">
        <w:t>,</w:t>
      </w:r>
    </w:p>
    <w:p w:rsidR="00967A95" w:rsidRPr="009E316A" w:rsidRDefault="006C3DD2">
      <w:pPr>
        <w:pStyle w:val="NormalHanging12a"/>
      </w:pPr>
      <w:r w:rsidRPr="009E316A">
        <w:t>–</w:t>
      </w:r>
      <w:r w:rsidRPr="009E316A">
        <w:tab/>
        <w:t>uwzględniając swoją rezolucję z dnia 7 października 2020 r. w sprawie ustanowienia unijnego mechanizmu na rzecz demokracji, praworządności i praw podstawowych</w:t>
      </w:r>
      <w:r w:rsidRPr="009E316A">
        <w:rPr>
          <w:rStyle w:val="FootnoteReference"/>
        </w:rPr>
        <w:footnoteReference w:id="8"/>
      </w:r>
      <w:r w:rsidRPr="009E316A">
        <w:t>,</w:t>
      </w:r>
    </w:p>
    <w:p w:rsidR="00967A95" w:rsidRPr="009E316A" w:rsidRDefault="006C3DD2">
      <w:pPr>
        <w:pStyle w:val="NormalHanging12a"/>
      </w:pPr>
      <w:r w:rsidRPr="009E316A">
        <w:t>–</w:t>
      </w:r>
      <w:r w:rsidRPr="009E316A">
        <w:tab/>
        <w:t>uwzględniając swoją rezolucję z dnia 13 listopada 2020 r. w sprawie wpływu środków stosowanych w odpowiedzi na pandemię COVID-19 na demokrację, praworządność i prawa podstawowe</w:t>
      </w:r>
      <w:r w:rsidRPr="009E316A">
        <w:rPr>
          <w:rStyle w:val="FootnoteReference"/>
        </w:rPr>
        <w:footnoteReference w:id="9"/>
      </w:r>
      <w:r w:rsidRPr="009E316A">
        <w:t>,</w:t>
      </w:r>
    </w:p>
    <w:p w:rsidR="00967A95" w:rsidRPr="009E316A" w:rsidRDefault="006C3DD2">
      <w:pPr>
        <w:pStyle w:val="NormalHanging12a"/>
      </w:pPr>
      <w:r w:rsidRPr="009E316A">
        <w:t>–</w:t>
      </w:r>
      <w:r w:rsidRPr="009E316A">
        <w:tab/>
        <w:t>uwzględniając swoją rezolucję z dnia 10 czerwca 2021 r. w sprawie sytuacji w zakresie praworządności w Unii Europejskiej i stosowania rozporządzenia (UE, Euratom) 2020/2092 w sprawie warunkowości</w:t>
      </w:r>
      <w:r w:rsidRPr="009E316A">
        <w:rPr>
          <w:rStyle w:val="FootnoteReference"/>
        </w:rPr>
        <w:footnoteReference w:id="10"/>
      </w:r>
      <w:r w:rsidRPr="009E316A">
        <w:t>,</w:t>
      </w:r>
    </w:p>
    <w:p w:rsidR="00967A95" w:rsidRPr="009E316A" w:rsidRDefault="006C3DD2">
      <w:pPr>
        <w:pStyle w:val="NormalHanging12a"/>
      </w:pPr>
      <w:r w:rsidRPr="009E316A">
        <w:t>–</w:t>
      </w:r>
      <w:r w:rsidRPr="009E316A">
        <w:tab/>
        <w:t>uwzględniając swoją rezolucję z dnia 24 czerwca 2021 r. w sprawie sprawozdania Komisji na temat praworządności z 2020 r.</w:t>
      </w:r>
      <w:r w:rsidRPr="009E316A">
        <w:rPr>
          <w:rStyle w:val="FootnoteReference"/>
        </w:rPr>
        <w:footnoteReference w:id="11"/>
      </w:r>
      <w:r w:rsidRPr="009E316A">
        <w:t>,</w:t>
      </w:r>
    </w:p>
    <w:p w:rsidR="00967A95" w:rsidRPr="009E316A" w:rsidRDefault="006C3DD2">
      <w:pPr>
        <w:pStyle w:val="NormalHanging12a"/>
      </w:pPr>
      <w:r w:rsidRPr="009E316A">
        <w:t>–</w:t>
      </w:r>
      <w:r w:rsidRPr="009E316A">
        <w:tab/>
        <w:t>uwzględniając swoją rezolucję z dnia 8 lipca 2021 r. w sprawie opracowania wytycznych dotyczących stosowania ogólnego systemu warunkowości służącego ochronie budżetu Unii</w:t>
      </w:r>
      <w:r w:rsidRPr="009E316A">
        <w:rPr>
          <w:rStyle w:val="FootnoteReference"/>
        </w:rPr>
        <w:footnoteReference w:id="12"/>
      </w:r>
      <w:r w:rsidRPr="009E316A">
        <w:t>,</w:t>
      </w:r>
    </w:p>
    <w:p w:rsidR="00967A95" w:rsidRPr="009E316A" w:rsidRDefault="006C3DD2">
      <w:pPr>
        <w:pStyle w:val="NormalHanging12a"/>
      </w:pPr>
      <w:r w:rsidRPr="009E316A">
        <w:t>–</w:t>
      </w:r>
      <w:r w:rsidRPr="009E316A">
        <w:tab/>
        <w:t>uwzględniając swoją rezolucję z dnia 11 listopada 2021 r. w sprawie wzmocnienia demokracji oraz wolności i pluralizmu mediów w UE – niewłaściwe wykorzystywanie postępowań cywilnych i karnych do uciszania dziennikarzy, organizacji pozarządowych i społeczeństwa obywatelskiego</w:t>
      </w:r>
      <w:r w:rsidRPr="009E316A">
        <w:rPr>
          <w:rStyle w:val="FootnoteReference"/>
        </w:rPr>
        <w:footnoteReference w:id="13"/>
      </w:r>
      <w:r w:rsidRPr="009E316A">
        <w:t>,</w:t>
      </w:r>
    </w:p>
    <w:p w:rsidR="00967A95" w:rsidRPr="009E316A" w:rsidRDefault="006C3DD2">
      <w:pPr>
        <w:pStyle w:val="NormalHanging12a"/>
      </w:pPr>
      <w:r w:rsidRPr="009E316A">
        <w:t>–</w:t>
      </w:r>
      <w:r w:rsidRPr="009E316A">
        <w:tab/>
        <w:t>uwzględniając swoją rezolucję z dnia 15 grudnia 2021 r. w sprawie oceny środków mających na celu zapobieganie korupcji, nieprawidłowym wydatkom i niewłaściwemu wykorzystywaniu funduszy unijnych i krajowych w przypadku funduszy pomocy w sytuacjach nadzwyczajnych i obszarów wydatków kryzysowych</w:t>
      </w:r>
      <w:r w:rsidRPr="009E316A">
        <w:rPr>
          <w:rStyle w:val="FootnoteReference"/>
        </w:rPr>
        <w:footnoteReference w:id="14"/>
      </w:r>
      <w:r w:rsidRPr="009E316A">
        <w:t>,</w:t>
      </w:r>
    </w:p>
    <w:p w:rsidR="00967A95" w:rsidRPr="009E316A" w:rsidRDefault="006C3DD2">
      <w:pPr>
        <w:pStyle w:val="NormalHanging12a"/>
      </w:pPr>
      <w:r w:rsidRPr="009E316A">
        <w:t>–</w:t>
      </w:r>
      <w:r w:rsidRPr="009E316A">
        <w:tab/>
        <w:t>uwzględniając swoją rezolucję z dnia 8 marca 2022 r. w sprawie kurczącej się przestrzeni działania społeczeństwa obywatelskiego w Europie</w:t>
      </w:r>
      <w:r w:rsidRPr="009E316A">
        <w:rPr>
          <w:rStyle w:val="FootnoteReference"/>
        </w:rPr>
        <w:footnoteReference w:id="15"/>
      </w:r>
      <w:r w:rsidRPr="009E316A">
        <w:t>,</w:t>
      </w:r>
    </w:p>
    <w:p w:rsidR="00967A95" w:rsidRPr="009E316A" w:rsidRDefault="006C3DD2">
      <w:pPr>
        <w:pStyle w:val="NormalHanging12a"/>
      </w:pPr>
      <w:r w:rsidRPr="009E316A">
        <w:t>–</w:t>
      </w:r>
      <w:r w:rsidRPr="009E316A">
        <w:tab/>
        <w:t>uwzględniając swoją rezolucję z dnia 10 marca 2022 r. w sprawie praworządności i konsekwencji wyroku TSUE</w:t>
      </w:r>
      <w:r w:rsidRPr="009E316A">
        <w:rPr>
          <w:rStyle w:val="FootnoteReference"/>
        </w:rPr>
        <w:footnoteReference w:id="16"/>
      </w:r>
      <w:r w:rsidRPr="009E316A">
        <w:t>,</w:t>
      </w:r>
    </w:p>
    <w:p w:rsidR="00967A95" w:rsidRPr="009E316A" w:rsidRDefault="006C3DD2">
      <w:pPr>
        <w:pStyle w:val="NormalHanging12a"/>
      </w:pPr>
      <w:r w:rsidRPr="009E316A">
        <w:t>–</w:t>
      </w:r>
      <w:r w:rsidRPr="009E316A">
        <w:tab/>
        <w:t>uwzględniając swoją rezolucję z dnia 19 maja 2022 r. w sprawie sprawozdania Komisji na temat praworządności z 2021 r.</w:t>
      </w:r>
      <w:r w:rsidRPr="009E316A">
        <w:rPr>
          <w:rStyle w:val="FootnoteReference"/>
        </w:rPr>
        <w:footnoteReference w:id="17"/>
      </w:r>
      <w:r w:rsidRPr="009E316A">
        <w:t>,</w:t>
      </w:r>
    </w:p>
    <w:p w:rsidR="00967A95" w:rsidRPr="009E316A" w:rsidRDefault="006C3DD2">
      <w:pPr>
        <w:pStyle w:val="NormalHanging12a"/>
      </w:pPr>
      <w:r w:rsidRPr="009E316A">
        <w:lastRenderedPageBreak/>
        <w:t>–</w:t>
      </w:r>
      <w:r w:rsidRPr="009E316A">
        <w:tab/>
        <w:t>uwzględniając swoją rezolucję z dnia 9 czerwca 2022 r. w sprawie praworządności i ewentualnego zatwierdzenia polskiego krajowego planu odbudowy (RRF)</w:t>
      </w:r>
      <w:r w:rsidRPr="009E316A">
        <w:rPr>
          <w:rStyle w:val="FootnoteReference"/>
        </w:rPr>
        <w:footnoteReference w:id="18"/>
      </w:r>
      <w:r w:rsidRPr="009E316A">
        <w:t>,</w:t>
      </w:r>
    </w:p>
    <w:p w:rsidR="00967A95" w:rsidRPr="009E316A" w:rsidRDefault="006C3DD2">
      <w:pPr>
        <w:pStyle w:val="NormalHanging12a"/>
      </w:pPr>
      <w:r w:rsidRPr="009E316A">
        <w:t>–</w:t>
      </w:r>
      <w:r w:rsidRPr="009E316A">
        <w:tab/>
        <w:t>uwzględniając rezolucję z dnia 15 września 2022 r. w sprawie wniosku dotyczącego decyzji Rady w sprawie stwierdzenia, zgodnie z art. 7 ust. 1 Traktatu o Unii Europejskiej, istnienia wyraźnego ryzyka poważnego naruszenia przez Węgry wartości, na których opiera się Unia</w:t>
      </w:r>
      <w:r w:rsidRPr="009E316A">
        <w:rPr>
          <w:rStyle w:val="FootnoteReference"/>
        </w:rPr>
        <w:footnoteReference w:id="19"/>
      </w:r>
      <w:r w:rsidRPr="009E316A">
        <w:t>,</w:t>
      </w:r>
    </w:p>
    <w:p w:rsidR="00967A95" w:rsidRPr="009E316A" w:rsidRDefault="006C3DD2">
      <w:pPr>
        <w:pStyle w:val="NormalHanging12a"/>
      </w:pPr>
      <w:r w:rsidRPr="009E316A">
        <w:t>–</w:t>
      </w:r>
      <w:r w:rsidRPr="009E316A">
        <w:tab/>
        <w:t>uwzględniając swoją rezolucję z 15 września 2022 r. w sprawie sytuacji w zakresie praw podstawowych w Unii Europejskiej w latach 2020–2021</w:t>
      </w:r>
      <w:r w:rsidRPr="009E316A">
        <w:rPr>
          <w:rStyle w:val="FootnoteReference"/>
        </w:rPr>
        <w:footnoteReference w:id="20"/>
      </w:r>
      <w:r w:rsidRPr="009E316A">
        <w:t>,</w:t>
      </w:r>
    </w:p>
    <w:p w:rsidR="00967A95" w:rsidRPr="009E316A" w:rsidRDefault="006C3DD2">
      <w:pPr>
        <w:pStyle w:val="NormalHanging12a"/>
      </w:pPr>
      <w:r w:rsidRPr="009E316A">
        <w:t>–</w:t>
      </w:r>
      <w:r w:rsidRPr="009E316A">
        <w:tab/>
        <w:t>uwzględniając swoją rezolucję z dnia 20 października 2022 r. w sprawie praworządności na Malcie pięć lat po zabójstwie Daphne Caruany Galizii</w:t>
      </w:r>
      <w:r w:rsidRPr="009E316A">
        <w:rPr>
          <w:rStyle w:val="FootnoteReference"/>
        </w:rPr>
        <w:footnoteReference w:id="21"/>
      </w:r>
      <w:r w:rsidRPr="009E316A">
        <w:t>,</w:t>
      </w:r>
    </w:p>
    <w:p w:rsidR="00967A95" w:rsidRPr="009E316A" w:rsidRDefault="006C3DD2">
      <w:pPr>
        <w:pStyle w:val="NormalHanging12a"/>
      </w:pPr>
      <w:r w:rsidRPr="009E316A">
        <w:t>–</w:t>
      </w:r>
      <w:r w:rsidRPr="009E316A">
        <w:tab/>
        <w:t>uwzględniając swoją rezolucję z dnia 20 października 2022 r. w sprawie wzrostu liczby zbrodni popełnianych z nienawiści do osób LGBTIQ+ w całej Europie, w świetle niedawnego morderstwa homofobicznego na Słowacji</w:t>
      </w:r>
      <w:r w:rsidRPr="009E316A">
        <w:rPr>
          <w:rStyle w:val="FootnoteReference"/>
        </w:rPr>
        <w:footnoteReference w:id="22"/>
      </w:r>
      <w:r w:rsidRPr="009E316A">
        <w:t>,</w:t>
      </w:r>
    </w:p>
    <w:p w:rsidR="00967A95" w:rsidRPr="009E316A" w:rsidRDefault="006C3DD2">
      <w:pPr>
        <w:pStyle w:val="NormalHanging12a"/>
      </w:pPr>
      <w:r w:rsidRPr="009E316A">
        <w:t>–</w:t>
      </w:r>
      <w:r w:rsidRPr="009E316A">
        <w:tab/>
        <w:t>uwzględniając swoją rezolucję z dnia 10 listopada 2022 r. w sprawie sprawiedliwości rasowej, niedyskryminacji i przeciwdziałania rasizmowi w UE</w:t>
      </w:r>
      <w:r w:rsidRPr="009E316A">
        <w:rPr>
          <w:rStyle w:val="FootnoteReference"/>
        </w:rPr>
        <w:footnoteReference w:id="23"/>
      </w:r>
      <w:r w:rsidRPr="009E316A">
        <w:t>,</w:t>
      </w:r>
    </w:p>
    <w:p w:rsidR="00967A95" w:rsidRPr="009E316A" w:rsidRDefault="006C3DD2">
      <w:pPr>
        <w:pStyle w:val="NormalHanging12a"/>
      </w:pPr>
      <w:r w:rsidRPr="009E316A">
        <w:t>–</w:t>
      </w:r>
      <w:r w:rsidRPr="009E316A">
        <w:tab/>
        <w:t>uwzględniając rezolucję Parlamentu Europejskiego z dnia 24 listopada 2022 r. w sprawie oceny przestrzegania przez Węgry warunków dotyczących praworządności na mocy rozporządzenia w sprawie warunkowości oraz stanu prac nad węgierskim planem odbudowy i zwiększania odporności</w:t>
      </w:r>
      <w:r w:rsidRPr="009E316A">
        <w:rPr>
          <w:rStyle w:val="FootnoteReference"/>
        </w:rPr>
        <w:footnoteReference w:id="24"/>
      </w:r>
      <w:r w:rsidRPr="009E316A">
        <w:t>,</w:t>
      </w:r>
    </w:p>
    <w:p w:rsidR="00967A95" w:rsidRPr="009E316A" w:rsidRDefault="006C3DD2">
      <w:pPr>
        <w:pStyle w:val="NormalHanging12a"/>
      </w:pPr>
      <w:r w:rsidRPr="009E316A">
        <w:t>–</w:t>
      </w:r>
      <w:r w:rsidRPr="009E316A">
        <w:tab/>
        <w:t>uwzględniając swoją rezolucję z dnia 30 marca 2023 r. w sprawie sprawozdania na temat praworządności z 2022 r. – Sytuacja w zakresie praworządności w Unii Europejskiej</w:t>
      </w:r>
      <w:r w:rsidRPr="009E316A">
        <w:rPr>
          <w:rStyle w:val="FootnoteReference"/>
        </w:rPr>
        <w:footnoteReference w:id="25"/>
      </w:r>
      <w:r w:rsidRPr="009E316A">
        <w:t>,</w:t>
      </w:r>
    </w:p>
    <w:p w:rsidR="00967A95" w:rsidRPr="009E316A" w:rsidRDefault="006C3DD2">
      <w:pPr>
        <w:pStyle w:val="NormalHanging12a"/>
      </w:pPr>
      <w:r w:rsidRPr="009E316A">
        <w:t>–</w:t>
      </w:r>
      <w:r w:rsidRPr="009E316A">
        <w:tab/>
        <w:t>uwzględniając sprawozdanie komisji śledczej PEGA oraz rezolucję i zalecenia, które powstały na jego podstawie</w:t>
      </w:r>
      <w:r w:rsidRPr="009E316A">
        <w:rPr>
          <w:rStyle w:val="FootnoteReference"/>
        </w:rPr>
        <w:footnoteReference w:id="26"/>
      </w:r>
      <w:r w:rsidRPr="009E316A">
        <w:t>,</w:t>
      </w:r>
    </w:p>
    <w:p w:rsidR="00967A95" w:rsidRPr="009E316A" w:rsidRDefault="006C3DD2">
      <w:pPr>
        <w:pStyle w:val="NormalHanging12a"/>
      </w:pPr>
      <w:r w:rsidRPr="009E316A">
        <w:t>–</w:t>
      </w:r>
      <w:r w:rsidRPr="009E316A">
        <w:tab/>
        <w:t>uwzględniając sprawozdania zawierające informacje zwrotne, sprawozdania z misji, pytania wymagające odpowiedzi na piśmie i odpowiedzi Grupy ds. Monitorowania Demokracji, Praworządności i Praw Podstawowych (DRFMG)</w:t>
      </w:r>
      <w:r w:rsidRPr="009E316A">
        <w:rPr>
          <w:rStyle w:val="FootnoteReference"/>
        </w:rPr>
        <w:footnoteReference w:id="27"/>
      </w:r>
      <w:r w:rsidRPr="009E316A">
        <w:t>,</w:t>
      </w:r>
    </w:p>
    <w:p w:rsidR="00967A95" w:rsidRPr="009E316A" w:rsidRDefault="006C3DD2">
      <w:pPr>
        <w:pStyle w:val="NormalHanging12a"/>
      </w:pPr>
      <w:r w:rsidRPr="009E316A">
        <w:t>–</w:t>
      </w:r>
      <w:r w:rsidRPr="009E316A">
        <w:tab/>
        <w:t>uwzględniając art. 54 Regulaminu,</w:t>
      </w:r>
    </w:p>
    <w:p w:rsidR="00967A95" w:rsidRPr="009E316A" w:rsidRDefault="006C3DD2">
      <w:pPr>
        <w:pStyle w:val="NormalHanging12a"/>
      </w:pPr>
      <w:r w:rsidRPr="009E316A">
        <w:lastRenderedPageBreak/>
        <w:t>–</w:t>
      </w:r>
      <w:r w:rsidRPr="009E316A">
        <w:tab/>
        <w:t>uwzględniając opinię przedstawioną przez Komisję Prawną,</w:t>
      </w:r>
    </w:p>
    <w:p w:rsidR="00967A95" w:rsidRPr="009E316A" w:rsidRDefault="006C3DD2">
      <w:pPr>
        <w:pStyle w:val="NormalHanging12a"/>
      </w:pPr>
      <w:r w:rsidRPr="009E316A">
        <w:t>–</w:t>
      </w:r>
      <w:r w:rsidRPr="009E316A">
        <w:tab/>
        <w:t>uwzględniając sprawozdanie Komisji Wolności Obywatelskich, Sprawiedliwości i Spraw Wewnętrznych (A9-0000/2023),</w:t>
      </w:r>
    </w:p>
    <w:p w:rsidR="00967A95" w:rsidRPr="009E316A" w:rsidRDefault="006C3DD2">
      <w:pPr>
        <w:pStyle w:val="Normal12a24b"/>
      </w:pPr>
      <w:r w:rsidRPr="009E316A">
        <w:rPr>
          <w:rStyle w:val="BoldItalic"/>
        </w:rPr>
        <w:t>Systemy wymiaru sprawiedliwości</w:t>
      </w:r>
    </w:p>
    <w:p w:rsidR="00967A95" w:rsidRPr="009E316A" w:rsidRDefault="006C3DD2">
      <w:pPr>
        <w:pStyle w:val="NormalHanging12a"/>
      </w:pPr>
      <w:r w:rsidRPr="009E316A">
        <w:t>1.</w:t>
      </w:r>
      <w:r w:rsidRPr="009E316A">
        <w:tab/>
        <w:t>przypomina, że niezależne sądownictwo to podstawa praworządności, ponieważ jest ono warunkiem wstępnym skutecznego środka odwoławczego w przypadku nierespektowania lub naruszania praw i wolności; podkreśla, że niezależne i skuteczne sądownictwo ma zasadnicze znaczenie dla wdrażania prawa UE, ponieważ w egzekwowaniu prawa UE Komisja polega na krajowych organach sądowych; wyraża zaniepokojenie faktem, że to „domniemanie przestrzegania” przekształca się w „udawanie przestrzegania”, gdy Komisja ignoruje uchybienia krajowych organów sądowych; z niepokojem zauważa, że chociaż niektóre systemy sądowe mogą być solidne na papierze, czasem nie są odporne na zawłaszczanie państwa, ingerencję polityczną czy nepotyzm; jest świadomy faktu, że trudno jest o to podczas zwykłej oceny struktur formalnych; w związku z tym apeluje do Komisji o przeprowadzenie analizy o bardziej jakościowym charakterze, obejmującej elementy kontekstowe;</w:t>
      </w:r>
    </w:p>
    <w:p w:rsidR="00967A95" w:rsidRPr="009E316A" w:rsidRDefault="006C3DD2">
      <w:pPr>
        <w:pStyle w:val="NormalHanging12a"/>
      </w:pPr>
      <w:r w:rsidRPr="009E316A">
        <w:t>2.</w:t>
      </w:r>
      <w:r w:rsidRPr="009E316A">
        <w:tab/>
        <w:t>zauważa, że Komisja stwierdza znaczne różnice między państwami członkowskimi UE pod względem niezależności sądów i związanych z nią gwarancji; zauważa, że w sprawozdaniu wspomniano o szeregu pozytywnych inicjatyw i bieżących wydarzeń dotyczących rad sądownictwa, zwłaszcza w Luksemburgu, Niderlandach, Portugalii, we Włoszech, w Szwecji, Finlandii i na Węgrzech; podkreśla jednak, że z niezależnej oceny wynika, iż spośród czterech tzw. superkamieni milowych związanych z niezależnością sądownictwa na Węgrzech tylko jeden można uznać za w pełni wdrożony;</w:t>
      </w:r>
      <w:r w:rsidRPr="009E316A">
        <w:rPr>
          <w:rStyle w:val="FootnoteReference"/>
        </w:rPr>
        <w:footnoteReference w:id="28"/>
      </w:r>
      <w:r w:rsidRPr="009E316A">
        <w:rPr>
          <w:rStyle w:val="Sup"/>
        </w:rPr>
        <w:t xml:space="preserve"> </w:t>
      </w:r>
      <w:r w:rsidRPr="009E316A">
        <w:t>zauważa, że zdaniem Komisji nadal należy zająć się problemami dotyczącymi rad sądownictwa w Polsce, na Słowacji, w Bułgarii, Hiszpanii i na Cyprze; z zaniepokojeniem odnotowuje, że postępowania dyscyplinarne mogą służyć jako narzędzie do ograniczania niezależności sądów, jak ma to miejsce w Polsce i Bułgarii; zauważa, że Komisja wreszcie pozwała Polskę do Trybunału Sprawiedliwości Unii Europejskiej (TSUE) w związku z naruszeniem prawa UE przez Trybunał Konstytucyjny;</w:t>
      </w:r>
    </w:p>
    <w:p w:rsidR="00967A95" w:rsidRPr="009E316A" w:rsidRDefault="006C3DD2">
      <w:pPr>
        <w:pStyle w:val="NormalHanging12a"/>
      </w:pPr>
      <w:r w:rsidRPr="009E316A">
        <w:t>3.</w:t>
      </w:r>
      <w:r w:rsidRPr="009E316A">
        <w:tab/>
        <w:t xml:space="preserve">zauważa, że Komisja stwierdza, iż wprawdzie niektóre państwa członkowskie, w tym Finlandia, Austria, Słowenia, Cypr, Szwecja i Węgry, podjęły lub zapowiedziały inicjatywy służące poprawie procesów mianowania sędziów i funkcjonowania sądów wyższego szczebla, jednak nadal istnieją wyzwania związane z mianowaniem sędziów wysokiego szczebla na Malcie, w Grecji, na Litwie, Łotwie i w Irlandii; podkreśla, że w Polsce utrzymują się poważne zastrzeżenia dotyczące uprzednio mianowanych sędziów Sądu Najwyższego, w tym pierwszej prezes Sądu Najwyższego, oraz ciągłego niewykonania orzeczenia w trybie prejudycjalnym TSUE w sprawie powołania sędziów do Izby Kontroli Nadzwyczajnej; zauważa, że Komisja stwierdza, iż na Słowacji zastrzeżenia nadal budzi pociąganie sędziów do odpowiedzialności karnej z tytułu </w:t>
      </w:r>
      <w:r w:rsidRPr="009E316A">
        <w:lastRenderedPageBreak/>
        <w:t>nadużycia prawa przy wydawaniu orzeczeń sądowych, ponieważ ma negatywny wpływ psychologiczny na sędziów i jest uciążliwe dla organów śledczych;</w:t>
      </w:r>
    </w:p>
    <w:p w:rsidR="00967A95" w:rsidRPr="009E316A" w:rsidRDefault="006C3DD2">
      <w:pPr>
        <w:pStyle w:val="Normal12a24b"/>
      </w:pPr>
      <w:r w:rsidRPr="009E316A">
        <w:rPr>
          <w:rStyle w:val="BoldItalic"/>
        </w:rPr>
        <w:t>Korupcja</w:t>
      </w:r>
    </w:p>
    <w:p w:rsidR="00967A95" w:rsidRPr="009E316A" w:rsidRDefault="006C3DD2">
      <w:pPr>
        <w:pStyle w:val="NormalHanging12a"/>
      </w:pPr>
      <w:r w:rsidRPr="009E316A">
        <w:t>4.</w:t>
      </w:r>
      <w:r w:rsidRPr="009E316A">
        <w:tab/>
        <w:t>przypomina, że korupcja stanowi poważne zagrożenie dla praworządności i podkopuje zaufanie do demokracji i równości wobec prawa; apeluje do państw członkowskich o podjęcie znacznie większych wysiłków w celu wyeliminowania korupcji;</w:t>
      </w:r>
    </w:p>
    <w:p w:rsidR="00967A95" w:rsidRPr="009E316A" w:rsidRDefault="006C3DD2">
      <w:pPr>
        <w:pStyle w:val="NormalHanging12a"/>
      </w:pPr>
      <w:r w:rsidRPr="009E316A">
        <w:t>5.</w:t>
      </w:r>
      <w:r w:rsidRPr="009E316A">
        <w:tab/>
        <w:t>ubolewa, że – pomimo obowiązywania strategii antykorupcyjnych we wszystkich państwach członkowskich – istnieją znaczne różnice w postrzeganiu korupcji w UE, przy czym wśród najmniej skorumpowanych państw plasują się Dania, Finlandia, Szwecja i Niderlandy, natomiast niepokojące są postrzegane poziomy korupcji w Bułgarii, na Malcie, Węgrzech, w Grecji i Słowenii</w:t>
      </w:r>
      <w:r w:rsidRPr="009E316A">
        <w:rPr>
          <w:rStyle w:val="FootnoteReference"/>
        </w:rPr>
        <w:footnoteReference w:id="29"/>
      </w:r>
      <w:r w:rsidRPr="009E316A">
        <w:t>; zauważa również z zaniepokojeniem, że Komisja stwierdza, iż niektóre państwa członkowskie, takie jak Bułgaria, Malta, Węgry, Grecja i Słowenia, nie osiągnęły jeszcze solidnych wyników w prowadzeniu dochodzeń i ściganiu spraw dotyczących korupcji na wysokim szczeblu, skutkujących prawomocnymi wyrokami skazującymi, które mają skutek odstraszający;</w:t>
      </w:r>
    </w:p>
    <w:p w:rsidR="00967A95" w:rsidRPr="009E316A" w:rsidRDefault="006C3DD2">
      <w:pPr>
        <w:pStyle w:val="NormalHanging12a"/>
      </w:pPr>
      <w:r w:rsidRPr="009E316A">
        <w:t>6.</w:t>
      </w:r>
      <w:r w:rsidRPr="009E316A">
        <w:tab/>
        <w:t>podkreśla, że urzędnicy państwowi w państwach członkowskich i urzędnicy UE powinni dawać przykład, nie dopuszczając się żadnych praktyk korupcyjnych, oraz że w dochodzeniach dotyczących korupcji nie powinny mieć miejsca ingerencje rządowe ani polityczne; zwraca uwagę, że również urzędnicy UE mogą być uwikłani w korupcję, o czym świadczy afera katarska, w związku z czym ponownie domaga się, aby sprawozdanie roczne obejmowało także instytucje UE;</w:t>
      </w:r>
    </w:p>
    <w:p w:rsidR="00967A95" w:rsidRPr="009E316A" w:rsidRDefault="006C3DD2">
      <w:pPr>
        <w:pStyle w:val="NormalHanging12a"/>
      </w:pPr>
      <w:r w:rsidRPr="009E316A">
        <w:t>7.</w:t>
      </w:r>
      <w:r w:rsidRPr="009E316A">
        <w:tab/>
        <w:t>potępia fakt, że Malta nadal prowadzi swój program obywatelstwa dla inwestorów (CBI), który stanowi poważne zagrożenie korupcją i innymi przestępstwami, zwłaszcza w świetle kroków podjętych przez szereg innych państw członkowskich w celu zniesienia takich programów; potwierdza swoje stanowisko, zgodnie z którym Komisja powinna skorzystać z przysługującego jej uprawnienia do proponowania przepisów i zainicjować unijny zakaz legislacyjny w odniesieniu do wszystkich programów CBI w UE;</w:t>
      </w:r>
    </w:p>
    <w:p w:rsidR="00967A95" w:rsidRPr="009E316A" w:rsidRDefault="006C3DD2">
      <w:pPr>
        <w:pStyle w:val="NormalHanging12a"/>
      </w:pPr>
      <w:r w:rsidRPr="009E316A">
        <w:t>8.</w:t>
      </w:r>
      <w:r w:rsidRPr="009E316A">
        <w:tab/>
        <w:t>uważa, że warunkiem wstępnym otrzymania funduszy UE powinno być członkostwo w Prokuraturze Europejskiej (EPPO); ponawia apel o rozszerzenie mandatu Prokuratury Europejskiej;</w:t>
      </w:r>
    </w:p>
    <w:p w:rsidR="00967A95" w:rsidRPr="009E316A" w:rsidRDefault="006C3DD2">
      <w:pPr>
        <w:pStyle w:val="NormalHanging12a"/>
      </w:pPr>
      <w:r w:rsidRPr="009E316A">
        <w:t>9.</w:t>
      </w:r>
      <w:r w:rsidRPr="009E316A">
        <w:tab/>
        <w:t>zauważa, że korupcja może obejmować organy krajowe, w tym organy sądowe i policyjne, które same mają za zadanie ją zwalczać; uważa, że organy UE, takie jak Europol, mogłyby odgrywać ważną rolę w prowadzeniu dochodzeń w sprawie korupcji i zabezpieczaniu dowodów, ale na przeszkodzie staje wymóg krajowej zgody na udział Europolu; apeluje o zwiększenie mandatu Europolu, aby umożliwić mu prowadzenie dochodzeń w przypadkach korupcji opisanych powyżej;</w:t>
      </w:r>
    </w:p>
    <w:p w:rsidR="00967A95" w:rsidRPr="009E316A" w:rsidRDefault="006C3DD2">
      <w:pPr>
        <w:pStyle w:val="Normal12a24b"/>
      </w:pPr>
      <w:r w:rsidRPr="009E316A">
        <w:rPr>
          <w:rStyle w:val="BoldItalic"/>
        </w:rPr>
        <w:t>Niezależne organy</w:t>
      </w:r>
    </w:p>
    <w:p w:rsidR="00967A95" w:rsidRPr="009E316A" w:rsidRDefault="006C3DD2">
      <w:pPr>
        <w:pStyle w:val="NormalHanging12a"/>
      </w:pPr>
      <w:r w:rsidRPr="009E316A">
        <w:lastRenderedPageBreak/>
        <w:t>10.</w:t>
      </w:r>
      <w:r w:rsidRPr="009E316A">
        <w:tab/>
        <w:t>podkreśla, że mechanizmy kontroli i równowagi mogą funkcjonować tylko wtedy, gdy rzecznicy praw obywatelskich, krajowe instytucje praw człowieka, urzędy kontroli, organy ds. równości i wszystkie inne niezależne organy są w stanie funkcjonować i mają wystarczająco szerokie uprawnienia, niezależność i odpowiednie finansowanie;</w:t>
      </w:r>
    </w:p>
    <w:p w:rsidR="00967A95" w:rsidRPr="009E316A" w:rsidRDefault="006C3DD2">
      <w:pPr>
        <w:pStyle w:val="NormalHanging12a"/>
      </w:pPr>
      <w:r w:rsidRPr="009E316A">
        <w:t>11.</w:t>
      </w:r>
      <w:r w:rsidRPr="009E316A">
        <w:tab/>
        <w:t>zauważa, że według Komisji sytuacja w państwach członkowskich jest bardzo zróżnicowana – na Cyprze, Słowacji, w Luksemburgu, Portugalii, Słowenii i Polsce zaszły pewne zmiany we właściwym kierunku, na Litwie, Węgrzech i w Chorwacji wciąż są pewne wyzwania, we Włoszech, w Czechach, na Malcie i w Rumunii w ogóle nie utworzono krajowej instytucji praw człowieka, w Bułgarii, Hiszpanii i Austrii wystąpiły opóźnienia w powoływaniu na stanowiska w różnych niezależnych organach, a w Polsce zagrożone jest skuteczne funkcjonowanie Najwyższej Izby Kontroli; z wielkim zaniepokojeniem odnotowuje niedawne wydarzenia w Grecji, gdzie niezależne organy, takie jak grecki Urząd ds. Bezpieczeństwa Komunikacji i Prywatności (ADAE) i grecki Urząd Ochrony Danych, są pod coraz większą presją ze względu na ich prace związane z nielegalnym stosowaniem oprogramowania szpiegowskiego, a członkowie zarządu ADAE zostali niedawno ostatnio pospiesznie zastąpieni decyzją greckiego parlamentu, najwyraźniej ze względu na zbliżającą się decyzję ADAE o nałożeniu grzywny na grecką agencję wywiadowczą;</w:t>
      </w:r>
    </w:p>
    <w:p w:rsidR="00967A95" w:rsidRPr="009E316A" w:rsidRDefault="006C3DD2">
      <w:pPr>
        <w:pStyle w:val="Normal12a24b"/>
      </w:pPr>
      <w:r w:rsidRPr="009E316A">
        <w:rPr>
          <w:rStyle w:val="BoldItalic"/>
        </w:rPr>
        <w:t>Pluralizm mediów i wolność mediów</w:t>
      </w:r>
    </w:p>
    <w:p w:rsidR="00967A95" w:rsidRPr="009E316A" w:rsidRDefault="006C3DD2">
      <w:pPr>
        <w:pStyle w:val="NormalHanging12a"/>
      </w:pPr>
      <w:r w:rsidRPr="009E316A">
        <w:t>12.</w:t>
      </w:r>
      <w:r w:rsidRPr="009E316A">
        <w:tab/>
        <w:t>podkreśla, że bez pluralizmu mediów i wolności mediów życie demokratyczne i praworządność nie mogą przetrwać;</w:t>
      </w:r>
    </w:p>
    <w:p w:rsidR="00967A95" w:rsidRPr="009E316A" w:rsidRDefault="006C3DD2">
      <w:pPr>
        <w:pStyle w:val="NormalHanging12a"/>
      </w:pPr>
      <w:r w:rsidRPr="009E316A">
        <w:t>13.</w:t>
      </w:r>
      <w:r w:rsidRPr="009E316A">
        <w:tab/>
        <w:t>podkreśla znaczenie przejrzystej własności mediów; zauważa stwierdzenie Komisji, że od czasu opublikowania sprawozdania na temat praworządności z 2022 r. w Grecji, Luksemburgu i Szwecji przyjęto nowe przepisy zwiększające przejrzystość własności mediów lub poprawiające publiczną dostępność informacji o własności mediów oraz że takie przepisy wzmocniono na Cyprze, natomiast w Bułgarii, Czechach i Francji zmiany jeszcze nie nastąpiły; zauważa również, że Komisja stwierdza, iż organy regulacyjne ds. mediów nie są chronione wystarczającymi zabezpieczeniami przed nadmiernymi naciskami politycznymi oraz że władzom brakuje zasobów, zwłaszcza na Węgrzech, w Słowenii, Polsce, Grecji i Rumunii;</w:t>
      </w:r>
    </w:p>
    <w:p w:rsidR="00967A95" w:rsidRPr="009E316A" w:rsidRDefault="006C3DD2">
      <w:pPr>
        <w:pStyle w:val="NormalHanging12a"/>
      </w:pPr>
      <w:r w:rsidRPr="009E316A">
        <w:t>14.</w:t>
      </w:r>
      <w:r w:rsidRPr="009E316A">
        <w:tab/>
        <w:t>podkreśla znaczenie niezależności redakcyjnej mediów publicznych oraz obowiązek przestrzegania tej zasady przez wszystkie państwa członkowskie;</w:t>
      </w:r>
    </w:p>
    <w:p w:rsidR="00967A95" w:rsidRPr="009E316A" w:rsidRDefault="006C3DD2">
      <w:pPr>
        <w:pStyle w:val="NormalHanging12a"/>
      </w:pPr>
      <w:r w:rsidRPr="009E316A">
        <w:t>15.</w:t>
      </w:r>
      <w:r w:rsidRPr="009E316A">
        <w:tab/>
        <w:t>apeluje do Rady i Komisji o zapewnienie odpowiedniego finansowania z przeznaczeniem na niezależne, ogólnoeuropejskie dziennikarstwo wysokiej jakości na szczeblu krajowym, regionalnym i lokalnym;</w:t>
      </w:r>
    </w:p>
    <w:p w:rsidR="00967A95" w:rsidRPr="009E316A" w:rsidRDefault="006C3DD2">
      <w:pPr>
        <w:pStyle w:val="Normal12a24b"/>
      </w:pPr>
      <w:r w:rsidRPr="009E316A">
        <w:rPr>
          <w:rStyle w:val="BoldItalic"/>
        </w:rPr>
        <w:t>Ochrona dziennikarzy</w:t>
      </w:r>
    </w:p>
    <w:p w:rsidR="00967A95" w:rsidRPr="009E316A" w:rsidRDefault="006C3DD2">
      <w:pPr>
        <w:pStyle w:val="NormalHanging12a"/>
      </w:pPr>
      <w:r w:rsidRPr="009E316A">
        <w:t>16.</w:t>
      </w:r>
      <w:r w:rsidRPr="009E316A">
        <w:tab/>
        <w:t>przypomina, że niezależne dziennikarstwo jest kluczowym elementem demokratycznej praworządności w ramach podstawowych mechanizmów kontroli i równowagi, a także elementem kontroli publicznej; wyraża zaniepokojenie podejmowanymi przez niektóre rządy celowymi próbami uciszenia dziennikarzy, którzy ujawniają nadużycia;</w:t>
      </w:r>
    </w:p>
    <w:p w:rsidR="00967A95" w:rsidRPr="009E316A" w:rsidRDefault="006C3DD2">
      <w:pPr>
        <w:pStyle w:val="NormalHanging12a"/>
      </w:pPr>
      <w:r w:rsidRPr="009E316A">
        <w:lastRenderedPageBreak/>
        <w:t>17.</w:t>
      </w:r>
      <w:r w:rsidRPr="009E316A">
        <w:tab/>
        <w:t>ubolewa nad niepokojącymi tendencjami dotyczącymi bezpieczeństwa dziennikarzy w niektórych państwach członkowskich; zauważa, że od 2015 r. platforma Rady Europy propagująca ochronę dziennikarstwa i bezpieczeństwo dziennikarzy zarejestrowała ponad 1600 ostrzeżeń o groźbach; ubolewa nad zastraszaniem dziennikarzy podczas kampanii wyborczych, co ostatnio miało miejsce podczas wyborów na Słowacji;</w:t>
      </w:r>
    </w:p>
    <w:p w:rsidR="00967A95" w:rsidRPr="009E316A" w:rsidRDefault="006C3DD2">
      <w:pPr>
        <w:pStyle w:val="NormalHanging12a"/>
      </w:pPr>
      <w:r w:rsidRPr="009E316A">
        <w:t>18.</w:t>
      </w:r>
      <w:r w:rsidRPr="009E316A">
        <w:tab/>
        <w:t>ubolewa, że pomimo zastrzeżeń zgłoszonych przez różne organizacje międzynarodowe zaproponowane przez Maltę przepisy przeciwdziałające strategicznym powództwom zmierzającym do stłumienia debaty publicznej (SLAPP) nie chronią wystarczająco pracy dziennikarzy</w:t>
      </w:r>
      <w:r w:rsidRPr="009E316A">
        <w:rPr>
          <w:rStyle w:val="FootnoteReference"/>
        </w:rPr>
        <w:footnoteReference w:id="30"/>
      </w:r>
      <w:r w:rsidRPr="009E316A">
        <w:t>;</w:t>
      </w:r>
      <w:r w:rsidRPr="009E316A">
        <w:rPr>
          <w:rStyle w:val="Sup"/>
        </w:rPr>
        <w:t xml:space="preserve"> </w:t>
      </w:r>
      <w:r w:rsidRPr="009E316A">
        <w:t>wzywa rząd grecki, aby zajął się poważnymi problemami wskazanymi przez mechanizm szybkiego reagowania w kwestii wolności mediów (MFRR) – sojusz, który śledzi i monitoruje naruszenia wolności prasy i mediów oraz reaguje na nie, w szczególności w związku z arbitralną inwigilacją, przestępstwami wobec dziennikarzy i bezkarnością tych przestępstw, powództwami SLAPP oraz niezależnością i pluralizmem mediów</w:t>
      </w:r>
      <w:r w:rsidRPr="009E316A">
        <w:rPr>
          <w:rStyle w:val="FootnoteReference"/>
        </w:rPr>
        <w:footnoteReference w:id="31"/>
      </w:r>
      <w:r w:rsidRPr="009E316A">
        <w:t>; z wielkim zaniepokojeniem odnotowuje niedawne zatrzymanie reporterki przez władze francuskie, najwyraźniej w celu ujawnienia jej źródeł, a także nielegalne podsłuchiwanie holenderskiego dziennikarza pracującego dla „De Correspondent”;</w:t>
      </w:r>
    </w:p>
    <w:p w:rsidR="00967A95" w:rsidRPr="009E316A" w:rsidRDefault="006C3DD2">
      <w:pPr>
        <w:pStyle w:val="NormalHanging12a"/>
      </w:pPr>
      <w:r w:rsidRPr="009E316A">
        <w:t>19.</w:t>
      </w:r>
      <w:r w:rsidRPr="009E316A">
        <w:tab/>
        <w:t>wzywa instytucje UE do szybkiego osiągnięcia porozumienia dotyczącego ambitnej dyrektywy w sprawie przeciwdziałania SLAPP; wzywa Komisję, aby przeanalizowała możliwość przyjęcia dalszych przepisów w celu objęcia nimi wszystkich przypadków SLAPP;</w:t>
      </w:r>
    </w:p>
    <w:p w:rsidR="00967A95" w:rsidRPr="009E316A" w:rsidRDefault="006C3DD2">
      <w:pPr>
        <w:pStyle w:val="NormalHanging12a"/>
      </w:pPr>
      <w:r w:rsidRPr="009E316A">
        <w:t>20.</w:t>
      </w:r>
      <w:r w:rsidRPr="009E316A">
        <w:tab/>
        <w:t>stanowczo potępia brak poważnego śledztwa w sprawie zamordowania Giorgosa Karaivaza; zauważa, że dwóch domniemanych sprawców aresztowano ponad dwa lata po morderstwie na podstawie dowodów, którymi, jak się okazuje, policja dysponowała od początku; uważa, że osoba, która zleciła to morderstwo, nadal nie została zidentyfikowana; zauważa, że Giorgos Karaivaz – podobnie jak Daphne Caruana Galizia i Ján Kuciak – prowadził śledztwa w sprawie korupcji i przestępczości oraz że być może miał wysoko postawionych wrogów, w tym w kręgach politycznych; zwraca uwagę, że osoba podejrzana o zlecenie morderstwa Daphne Caruany Galizii nadal nie została osądzona, a władze nie zajęły się odpowiednio wszystkimi przypadkami korupcji i przestępstw, które dziennikarka badała;</w:t>
      </w:r>
    </w:p>
    <w:p w:rsidR="00967A95" w:rsidRPr="009E316A" w:rsidRDefault="006C3DD2">
      <w:pPr>
        <w:pStyle w:val="NormalHanging12a"/>
      </w:pPr>
      <w:r w:rsidRPr="009E316A">
        <w:t>21.</w:t>
      </w:r>
      <w:r w:rsidRPr="009E316A">
        <w:tab/>
        <w:t xml:space="preserve">potępia nielegalną inwigilację dziennikarzy, w szczególności za pomocą oprogramowania szpiegowskiego; jest zbulwersowany odmową wdrożenia przez Komisję Europejską wszystkich zaleceń specjalnej komisji śledczej ds. oprogramowania Pegasus i uważa, że stanowi to zaniechanie z jej strony; zwraca uwagę, że sprawiedliwości nie wymierzono w żadnym z setek przypadków nadużywania oprogramowania szpiegowskiego przeciwko dziennikarzom, działaczom, politykom, prawnikom i innym osobom stanowiącym cel polityczny; w związku z tym stwierdza, że wbrew temu, co zakłada Komisja, wiele organów krajowych nie chce ani nie jest w stanie zająć się tą sprawą, co sprawia, że ofiary są pozbawione skutecznego środka prawnego, a demokracja nie jest chroniona; jest głęboko zaniepokojony </w:t>
      </w:r>
      <w:r w:rsidRPr="009E316A">
        <w:lastRenderedPageBreak/>
        <w:t>mrożącym efektem bezkarności nadużywania oprogramowania szpiegowskiego wobec dziennikarzy i ich źródeł;</w:t>
      </w:r>
    </w:p>
    <w:p w:rsidR="00967A95" w:rsidRPr="009E316A" w:rsidRDefault="006C3DD2">
      <w:pPr>
        <w:pStyle w:val="NormalHanging12a"/>
      </w:pPr>
      <w:r w:rsidRPr="009E316A">
        <w:t>22.</w:t>
      </w:r>
      <w:r w:rsidRPr="009E316A">
        <w:tab/>
        <w:t>podkreśla, że skutki bezprawnego stosowania oprogramowania szpiegowskiego są znacznie dotkliwsze w państwach członkowskich, gdzie organy, do których normalnie należałoby prowadzenie dochodzeń, gwarantowanie zadośćuczynienia osobom będącym celem inwigilacji i zapewnianie rozliczalności, są zawłaszczane przez państwo i gdzie trwa kryzys praworządności i zagrożona jest niezależność wymiaru sprawiedliwości, przez co nie można polegać na organach krajowych; w związku z tym apeluje do Komisji, aby sprawozdanie na temat praworządności obejmowało specjalne monitorowanie i zalecenia w odniesieniu do poszczególnych państw członkowskich w związku z bezprawnym wykorzystywaniem przez nie oprogramowania szpiegowskiego, wraz z oceną zdolności instytucji państwowych do reagowania w celu zapewnienia zadośćuczynienia dotkniętym osobom;</w:t>
      </w:r>
    </w:p>
    <w:p w:rsidR="00967A95" w:rsidRPr="009E316A" w:rsidRDefault="006C3DD2">
      <w:pPr>
        <w:pStyle w:val="Normal12a24b"/>
      </w:pPr>
      <w:r w:rsidRPr="009E316A">
        <w:rPr>
          <w:rStyle w:val="BoldItalic"/>
        </w:rPr>
        <w:t>Przejrzystość i dostęp do informacji</w:t>
      </w:r>
    </w:p>
    <w:p w:rsidR="00967A95" w:rsidRPr="009E316A" w:rsidRDefault="006C3DD2">
      <w:pPr>
        <w:pStyle w:val="NormalHanging12a"/>
      </w:pPr>
      <w:r w:rsidRPr="009E316A">
        <w:t>23.</w:t>
      </w:r>
      <w:r w:rsidRPr="009E316A">
        <w:tab/>
        <w:t>ubolewa nad ciągłymi trudnościami w uzyskiwaniu informacji i dostępie do dokumentów napotykanymi przez wielu obywateli, dziennikarzy i parlamentarzystów w wielu państwach członkowskich; podkreśla, że zbyt często organy publiczne celowo udaremniają dostęp do informacji i dokumentów, na przykład nieproporcjonalnie opóźniając decyzje lub udzielając tylko pozornego dostępu przez jedynie częściowe udostępnianie informacji;</w:t>
      </w:r>
    </w:p>
    <w:p w:rsidR="00967A95" w:rsidRPr="009E316A" w:rsidRDefault="006C3DD2">
      <w:pPr>
        <w:pStyle w:val="Normal12a24b"/>
      </w:pPr>
      <w:r w:rsidRPr="009E316A">
        <w:rPr>
          <w:rStyle w:val="BoldItalic"/>
        </w:rPr>
        <w:t>Przestrzeń społeczeństwa obywatelskiego</w:t>
      </w:r>
    </w:p>
    <w:p w:rsidR="00967A95" w:rsidRPr="009E316A" w:rsidRDefault="006C3DD2">
      <w:pPr>
        <w:pStyle w:val="NormalHanging12a"/>
      </w:pPr>
      <w:r w:rsidRPr="009E316A">
        <w:t>24.</w:t>
      </w:r>
      <w:r w:rsidRPr="009E316A">
        <w:tab/>
        <w:t>uznaje kluczową rolę społeczeństwa obywatelskiego i zdrowej przestrzeni obywatelskiej w utrzymywaniu i ochronie praworządności oraz ponawia swój apel o poświęcenie osobnego rozdziału sytuacji społeczeństwa obywatelskiego w państwach członkowskich; zauważa, że według Komisji Malta, Irlandia, Bułgaria, Litwa i Niemcy ogłosiły lub rozpoczęły działania na rzecz poprawy ram dotyczących społeczeństwa obywatelskiego oraz że społeczeństwo obywatelskie stoi w obliczu szczególnych wyzwań na Cyprze, w Grecji, w Hiszpanii, we Włoszech i we Francji, a w obliczu poważnych ograniczeń systemowych na Węgrzech i w Polsce; wzywa wszystkie państwa członkowskie, aby zaakceptowały organizacje społeczeństwa obywatelskiego jako ważne zainteresowane strony w życiu demokratycznym oraz stworzyły sprzyjające warunki dla społeczeństwa obywatelskiego;</w:t>
      </w:r>
    </w:p>
    <w:p w:rsidR="00967A95" w:rsidRPr="009E316A" w:rsidRDefault="006C3DD2">
      <w:pPr>
        <w:pStyle w:val="NormalHanging12a"/>
      </w:pPr>
      <w:r w:rsidRPr="009E316A">
        <w:t>25.</w:t>
      </w:r>
      <w:r w:rsidRPr="009E316A">
        <w:tab/>
        <w:t>wzywa Komisję, aby nadal inwestowała, z wykorzystaniem specjalnych środków finansowych, w budowanie zdolności organizacji społeczeństwa obywatelskiego do monitorowania stanu praworządności w państwach członkowskich i do sprawozdawczości na jej temat i aby zapewniła odpowiednią ochronę organizacjom społeczeństwa obywatelskiego zaangażowanym w ten proces;</w:t>
      </w:r>
    </w:p>
    <w:p w:rsidR="00967A95" w:rsidRPr="009E316A" w:rsidRDefault="006C3DD2">
      <w:pPr>
        <w:pStyle w:val="Normal12a24b"/>
      </w:pPr>
      <w:r w:rsidRPr="009E316A">
        <w:rPr>
          <w:rStyle w:val="BoldItalic"/>
        </w:rPr>
        <w:t>Ochrona mniejszości</w:t>
      </w:r>
    </w:p>
    <w:p w:rsidR="00967A95" w:rsidRPr="009E316A" w:rsidRDefault="006C3DD2">
      <w:pPr>
        <w:pStyle w:val="NormalHanging12a"/>
      </w:pPr>
      <w:r w:rsidRPr="009E316A">
        <w:t>26.</w:t>
      </w:r>
      <w:r w:rsidRPr="009E316A">
        <w:tab/>
        <w:t xml:space="preserve">zauważa, że erozja demokracji i praworządności oraz podważanie praw mniejszości często idą w parze, i ponownie podkreśla, że w przyszłych sprawozdaniach potrzebne jest kompleksowe podejście do monitorowania demokracji, praworządności i praw </w:t>
      </w:r>
      <w:r w:rsidRPr="009E316A">
        <w:lastRenderedPageBreak/>
        <w:t>podstawowych; ubolewa nad brakiem postępów w zakresie ochrony mniejszości w całej UE; potępia mowę nienawiści wobec grup mniejszościowych, w tym ze strony osób urzędników państwowych i osób pełniących funkcje polityczne;</w:t>
      </w:r>
    </w:p>
    <w:p w:rsidR="00967A95" w:rsidRPr="009E316A" w:rsidRDefault="006C3DD2">
      <w:pPr>
        <w:pStyle w:val="NormalHanging12a"/>
      </w:pPr>
      <w:r w:rsidRPr="009E316A">
        <w:t>27.</w:t>
      </w:r>
      <w:r w:rsidRPr="009E316A">
        <w:tab/>
        <w:t xml:space="preserve">wzywa państwa członkowskie UE, aby uczyniły ochronę praw osób LGBTIQ+ rzeczywistym i przekrojowym priorytetem we wszystkich obszarach polityki; wzywa Komisję, aby wykorzystała wszelkie dostępne środki w celu zapewnienia poszanowania praw osób LGBTIQ w całej UE, w tym wszczynała przeciwko państwom członkowskim postępowania w sprawie uchybienia zobowiązaniom państwa członkowskiego </w:t>
      </w:r>
      <w:bookmarkStart w:id="1" w:name="_GoBack"/>
      <w:bookmarkEnd w:id="1"/>
      <w:r w:rsidRPr="009E316A">
        <w:t>wzywa państwa członkowskie, aby uwzględniły 12 zaleceń Komitetu Sterującego Rady Europy ds. Walki z Dyskryminacją, Różnorodności i Włączenia Społecznego dotyczących zwalczania przestępstw z nienawiści przeciwko osobom LGBTIQ+, a także zalecenia Europejskiej Komisji przeciwko Rasizmowi i Nietolerancji</w:t>
      </w:r>
      <w:r w:rsidRPr="009E316A">
        <w:rPr>
          <w:rStyle w:val="FootnoteReference"/>
        </w:rPr>
        <w:footnoteReference w:id="32"/>
      </w:r>
      <w:r w:rsidRPr="009E316A">
        <w:t>;</w:t>
      </w:r>
      <w:r w:rsidRPr="009E316A">
        <w:rPr>
          <w:rStyle w:val="Sup"/>
        </w:rPr>
        <w:t xml:space="preserve"> </w:t>
      </w:r>
      <w:r w:rsidRPr="009E316A">
        <w:t>odnotowuje niedawny rumuński projekt ustawy mający na celu zastosowanie się do wyroku TSUE w sprawie Coman z 2018 r.</w:t>
      </w:r>
      <w:r w:rsidRPr="009E316A">
        <w:rPr>
          <w:rStyle w:val="FootnoteReference"/>
        </w:rPr>
        <w:footnoteReference w:id="33"/>
      </w:r>
      <w:r w:rsidRPr="009E316A">
        <w:t>, a także odnotowuje, że ten projekt ustawy krytykowano za to, że wykonuje ten wyrok jedynie bardzo wąsko i nie gwarantuje równych praw parom osób tej samej płci</w:t>
      </w:r>
      <w:r w:rsidRPr="009E316A">
        <w:rPr>
          <w:rStyle w:val="FootnoteReference"/>
        </w:rPr>
        <w:footnoteReference w:id="34"/>
      </w:r>
      <w:r w:rsidRPr="009E316A">
        <w:t>;</w:t>
      </w:r>
      <w:r w:rsidRPr="009E316A">
        <w:rPr>
          <w:rStyle w:val="Sup"/>
        </w:rPr>
        <w:t xml:space="preserve"> </w:t>
      </w:r>
    </w:p>
    <w:p w:rsidR="00967A95" w:rsidRPr="009E316A" w:rsidRDefault="006C3DD2">
      <w:pPr>
        <w:pStyle w:val="NormalHanging12a"/>
      </w:pPr>
      <w:r w:rsidRPr="009E316A">
        <w:t>28.</w:t>
      </w:r>
      <w:r w:rsidRPr="009E316A">
        <w:tab/>
        <w:t>ponownie podkreśla, że prawa kobiet są prawami człowieka i że nic nie uzasadnia regresu praw i autonomii kobiet; potępia w szczególności atak na zdrowie seksualne i reprodukcyjne oraz prawa kobiet i dziewcząt w niektórych państwach członkowskich; uważa, że prawo do bezpiecznej i legalnej aborcji powinno być zapisane w Karcie praw podstawowych;</w:t>
      </w:r>
    </w:p>
    <w:p w:rsidR="00967A95" w:rsidRPr="009E316A" w:rsidRDefault="006C3DD2">
      <w:pPr>
        <w:pStyle w:val="NormalHanging12a"/>
      </w:pPr>
      <w:r w:rsidRPr="009E316A">
        <w:t>29.</w:t>
      </w:r>
      <w:r w:rsidRPr="009E316A">
        <w:tab/>
        <w:t>wzywa Komisję, aby w następnym sprawozdaniu uwzględniła nowy specjalny filar dotyczący ochrony mniejszości, obejmujący wszystkie formy ksenofobii, rasizmu, antysemityzmu, islamofobii, antycyganizmu i fobii wobec osób LGBTIQ we wszystkich państwach członkowskich;</w:t>
      </w:r>
    </w:p>
    <w:p w:rsidR="00967A95" w:rsidRPr="009E316A" w:rsidRDefault="006C3DD2">
      <w:pPr>
        <w:pStyle w:val="NormalHanging12a"/>
      </w:pPr>
      <w:r w:rsidRPr="009E316A">
        <w:t>30.</w:t>
      </w:r>
      <w:r w:rsidRPr="009E316A">
        <w:tab/>
        <w:t>wyraża rozczarowanie powolnym rozwiązywaniem przez Komisję problemu nieprzestrzegania przez państwa członkowskie przepisów i orzeczeń dotyczących praw podstawowych; odrzuca interpretację Komisji, że przypadki odmowy przez władze krajowe przestrzegania orzeczeń Trybunału Sprawiedliwości Unii Europejskiej (TSUE) i Europejskiego Trybunału Praw Człowieka (ETPC) dotyczących praw podstawowych można uznać za „sprawy indywidualne” i nie wszczynać w związku z nimi postępowań w sprawie uchybienia zobowiązaniom państwa członkowskiego; apeluje do Komisji, która stoi na straży Traktatów, aby wywiązywała się z obowiązku egzekwowania prawa UE dotyczącego praw człowieka i nie polegała na egzekwowaniu na drodze prywatnoprawnej;</w:t>
      </w:r>
    </w:p>
    <w:p w:rsidR="00967A95" w:rsidRPr="009E316A" w:rsidRDefault="006C3DD2">
      <w:pPr>
        <w:pStyle w:val="Normal12a24b"/>
      </w:pPr>
      <w:r w:rsidRPr="009E316A">
        <w:rPr>
          <w:rStyle w:val="BoldItalic"/>
        </w:rPr>
        <w:t xml:space="preserve">Przekrojowe konkluzje dotyczące stanu demokracji, praworządności i praw podstawowych </w:t>
      </w:r>
      <w:r w:rsidRPr="009E316A">
        <w:rPr>
          <w:rStyle w:val="BoldItalic"/>
        </w:rPr>
        <w:lastRenderedPageBreak/>
        <w:t>w całej UE</w:t>
      </w:r>
    </w:p>
    <w:p w:rsidR="00967A95" w:rsidRPr="009E316A" w:rsidRDefault="006C3DD2">
      <w:pPr>
        <w:pStyle w:val="NormalHanging12a"/>
      </w:pPr>
      <w:r w:rsidRPr="009E316A">
        <w:t>31.</w:t>
      </w:r>
      <w:r w:rsidRPr="009E316A">
        <w:tab/>
        <w:t>w związku z powyższym wyraża głębokie zaniepokojenie erozją demokracji, praworządności i praw podstawowych w całej UE; podkreśla, że choć już stan rzeczy przedstawiony w sprawozdaniu Komisji na temat praworządności świadczy o licznych problematycznych zjawiskach, sytuacja wydaje się jeszcze bardziej niepokojąca, jeśli uwzględnić inne niezależne sprawozdania i źródła; podkreśla, że nawet jeśli niektóre państwa członkowskie wzorowo chronią i propagują demokrację, praworządność i prawa podstawowe, we współzależnej, otwartej Unii Europejskiej erozja tych wartości w innych państwach członkowskich osłabia i naraża na szwank instytucje unijne oraz sytuację w całej UE;</w:t>
      </w:r>
    </w:p>
    <w:p w:rsidR="00967A95" w:rsidRPr="009E316A" w:rsidRDefault="006C3DD2">
      <w:pPr>
        <w:pStyle w:val="Normal12a24b"/>
      </w:pPr>
      <w:r w:rsidRPr="009E316A">
        <w:rPr>
          <w:rStyle w:val="BoldItalic"/>
        </w:rPr>
        <w:t>Egzekwowanie prawa UE</w:t>
      </w:r>
    </w:p>
    <w:p w:rsidR="00967A95" w:rsidRPr="009E316A" w:rsidRDefault="006C3DD2">
      <w:pPr>
        <w:pStyle w:val="NormalHanging12a"/>
      </w:pPr>
      <w:r w:rsidRPr="009E316A">
        <w:t>32.</w:t>
      </w:r>
      <w:r w:rsidRPr="009E316A">
        <w:tab/>
        <w:t>zauważa, że zasadniczym warunkiem praworządności w UE jest właściwe egzekwowanie całego jej prawa; potępia niekiedy otwarte i nieskrywane nieprzestrzeganie przez niektóre państwa członkowskie prawa UE w różnych dziedzinach, takich jak azyl, wykonywanie sankcji i prawo dotyczące praw człowieka; podkreśla, że grozi to uczynieniem UE strefą bezprawia, w której niektóre państwa członkowskie uważałyby się za stojące ponad innymi, a prawa i wolności obywateli UE nie byłyby chronione w równym stopniu;</w:t>
      </w:r>
    </w:p>
    <w:p w:rsidR="00967A95" w:rsidRPr="009E316A" w:rsidRDefault="006C3DD2">
      <w:pPr>
        <w:pStyle w:val="NormalHanging12a"/>
      </w:pPr>
      <w:r w:rsidRPr="009E316A">
        <w:t>33.</w:t>
      </w:r>
      <w:r w:rsidRPr="009E316A">
        <w:tab/>
        <w:t>przypomina Komisji, że jej nadrzędnym zadaniem jest stać na straży Traktatów; podkreśla, że przedstawienie sprawozdania nie wystarczy, aby wzmocnić praworządność w Unii, lecz że sprawozdanie to powinno prowadzić do konkretnych działań w zakresie egzekwowania prawa, zwłaszcza gdy zalecenia nie są w pełni przestrzegane;</w:t>
      </w:r>
    </w:p>
    <w:p w:rsidR="00967A95" w:rsidRPr="009E316A" w:rsidRDefault="006C3DD2">
      <w:pPr>
        <w:pStyle w:val="NormalHanging12a"/>
      </w:pPr>
      <w:r w:rsidRPr="009E316A">
        <w:t>34.</w:t>
      </w:r>
      <w:r w:rsidRPr="009E316A">
        <w:tab/>
        <w:t>głęboko ubolewa, że Komisja nie podejmuje bardziej zdecydowanych działań w celu egzekwowania prawa UE; w związku z tym wzywa Komisję, aby wszczynała więcej nowych postępowań w sprawie uchybienia zobowiązaniom państwa członkowskiego, a w już toczących się postępowaniach działała odważniej i szybciej; wzywa Komisję, aby nie wykorzystywała „dialogu” z państwami członkowskimi ani procedury EU Pilot jako elastycznego środka pozwalającego uniknąć wszczynania faktycznych postępowań w sprawie uchybienia zobowiązaniom państwa członkowskiego; wzywa Komisję, aby zrewidowała swoją politykę – która nie ma podstaw w Traktatach – niewszczynania postępowań w sprawie uchybienia zobowiązaniom państwa członkowskiego w przypadkach „indywidualnych”, ponieważ powoduje ona, że obywatele w całej UE są w poważnym stopniu pozbawieni praw, zwłaszcza gdy ich rządy odmawiają przestrzegania prawa UE lub wyroków TSUE, gdyż większość tych spraw nie ma charakteru indywidualnego, lecz dotyczy kwestii strategicznych i podstawowych;</w:t>
      </w:r>
    </w:p>
    <w:p w:rsidR="00967A95" w:rsidRPr="009E316A" w:rsidRDefault="006C3DD2">
      <w:pPr>
        <w:pStyle w:val="NormalHanging12a"/>
      </w:pPr>
      <w:r w:rsidRPr="009E316A">
        <w:t>35.</w:t>
      </w:r>
      <w:r w:rsidRPr="009E316A">
        <w:tab/>
        <w:t>zauważa utrzymujący się problem niepełnego wykonywania wyroków Europejskiego Trybunału Praw Człowieka (ETPC), a także niedawne decyzje Komitetu Ministrów Rady Europy</w:t>
      </w:r>
      <w:r w:rsidRPr="009E316A">
        <w:rPr>
          <w:rStyle w:val="Sup"/>
        </w:rPr>
        <w:t>[1]</w:t>
      </w:r>
      <w:r w:rsidRPr="009E316A">
        <w:t xml:space="preserve">; z zadowoleniem odnotowuje, że od wydania z 2022 r. sprawozdanie na temat praworządności zawiera systemowe wskaźniki wdrożenia wyroków wiodących ETPC; wzywa jednak Komisję, aby opracowała tablicę wyników służącą monitorowaniu wdrażania każdego wyroku TSUE i ETPC dotyczącego demokracji, praworządności i praw podstawowych oraz w całości ujmowała ją w sprawozdaniu rocznym na temat praworządności; wzywa państwa członkowskie, aby bezzwłocznie </w:t>
      </w:r>
      <w:r w:rsidRPr="009E316A">
        <w:lastRenderedPageBreak/>
        <w:t>wykonały zaległe wyroki, a także wzywa Komisję, aby oceniła konsekwencje pod względem zgodności z prawem UE i w razie potrzeby wszczęła postępowania sprawie uchybienia zobowiązaniom państwa członkowskiego;</w:t>
      </w:r>
    </w:p>
    <w:p w:rsidR="00967A95" w:rsidRPr="009E316A" w:rsidRDefault="006C3DD2">
      <w:pPr>
        <w:pStyle w:val="Normal12a24b"/>
      </w:pPr>
      <w:r w:rsidRPr="009E316A">
        <w:rPr>
          <w:rStyle w:val="BoldItalic"/>
        </w:rPr>
        <w:t>Sprawozdanie na temat praworządności jako narzędzie</w:t>
      </w:r>
    </w:p>
    <w:p w:rsidR="00967A95" w:rsidRPr="009E316A" w:rsidRDefault="006C3DD2">
      <w:pPr>
        <w:pStyle w:val="NormalHanging12a"/>
      </w:pPr>
      <w:r w:rsidRPr="009E316A">
        <w:t>36.</w:t>
      </w:r>
      <w:r w:rsidRPr="009E316A">
        <w:tab/>
        <w:t>uznaje, że sprawozdanie na temat praworządności stało się punktem odniesienia dla prac instytucji unijnych nad kwestiami praworządności w UE i w poszczególnych państwach członkowskich;</w:t>
      </w:r>
    </w:p>
    <w:p w:rsidR="00967A95" w:rsidRPr="009E316A" w:rsidRDefault="006C3DD2">
      <w:pPr>
        <w:pStyle w:val="NormalHanging12a"/>
      </w:pPr>
      <w:r w:rsidRPr="009E316A">
        <w:t>37.</w:t>
      </w:r>
      <w:r w:rsidRPr="009E316A">
        <w:tab/>
        <w:t>przyznaje, że sprawozdanie Komisji na temat praworządności stało się bardziej kompleksowe niż początkowo (2020 r.); ubolewa jednak, że w edycji z 2023 r. sprawozdanie nie zostało znacząco rozszerzone przez dodanie nowego kompleksowego filaru; podtrzymuje swoje stanowisko, że sprawozdanie powinno obejmować pełny zakres wartości określonych w art. 2 TUE, ponieważ nie można ich rozpatrywać oddzielnie; wzywa Komisję, aby w przyszłym roku rozszerzyła zakres sprawozdania;</w:t>
      </w:r>
    </w:p>
    <w:p w:rsidR="00967A95" w:rsidRPr="009E316A" w:rsidRDefault="006C3DD2">
      <w:pPr>
        <w:pStyle w:val="NormalHanging12a"/>
      </w:pPr>
      <w:r w:rsidRPr="009E316A">
        <w:t>38.</w:t>
      </w:r>
      <w:r w:rsidRPr="009E316A">
        <w:tab/>
        <w:t>z zaniepokojeniem zauważa, że Komisja, dążąc do rzeczowości i obiektywności, niekiedy staje się zbyt dyplomatyczna i nieprecyzyjna przy identyfikowaniu problemów związanych z praworządnością w państwach członkowskich; ubolewa, że eufemistyczny język oraz sztucznie równa liczba konkluzji i zaleceń dotyczących poszczególnych państw członkowskich ukrywają rzeczywiste różnice między państwami członkowskimi; uważa, że ocena realizacji zaleceń powinna być bardziej precyzyjna i jakościowa oraz powinna opierać się nie tylko na zmianach legislacyjnych, lecz także na rzeczywistych i niezależnych dowodach ich wdrożenia w praktyce; odnotowuje niekiedy rażące różnice między streszczeniami rozdziałów dotyczących poszczególnych krajów a szczegółową treścią samych rozdziałów i sugeruje interwencję redakcyjną;</w:t>
      </w:r>
    </w:p>
    <w:p w:rsidR="00967A95" w:rsidRPr="009E316A" w:rsidRDefault="006C3DD2">
      <w:pPr>
        <w:pStyle w:val="NormalHanging12a"/>
      </w:pPr>
      <w:r w:rsidRPr="009E316A">
        <w:t>39.</w:t>
      </w:r>
      <w:r w:rsidRPr="009E316A">
        <w:tab/>
        <w:t>potwierdza, że wiele z tych problemów można rozwiązać przez zaangażowanie niezależnego zespołu ekspertów w przygotowanie sprawozdania, ponieważ będą oni mniej związani względami dyplomatycznymi; wzywa Komisję, aby przemyślała swoje stanowisko w tej kwestii i rozważyła wszystkie możliwości zaangażowania niezależnych ekspertów w pracę nad kolejnymi edycjami sprawozdania na temat praworządności;</w:t>
      </w:r>
    </w:p>
    <w:p w:rsidR="00967A95" w:rsidRPr="009E316A" w:rsidRDefault="006C3DD2">
      <w:pPr>
        <w:pStyle w:val="NormalHanging12a"/>
      </w:pPr>
      <w:r w:rsidRPr="009E316A">
        <w:t>40.</w:t>
      </w:r>
      <w:r w:rsidRPr="009E316A">
        <w:tab/>
        <w:t>potwierdza, że monitorowanie sytuacji nie wystarcza, zatem sprawozdanie roczne na temat praworządności nie jest celem samym w sobie, lecz powinno prowadzić do konkretnych działań w zakresie egzekwowania prawa w odniesieniu do stwierdzonych niedociągnięć;</w:t>
      </w:r>
    </w:p>
    <w:p w:rsidR="00967A95" w:rsidRPr="009E316A" w:rsidRDefault="006C3DD2">
      <w:pPr>
        <w:pStyle w:val="Normal12a24b"/>
      </w:pPr>
      <w:r w:rsidRPr="009E316A">
        <w:rPr>
          <w:rStyle w:val="BoldItalic"/>
        </w:rPr>
        <w:t xml:space="preserve">Współpraca międzyinstytucjonalna i procedury dotyczące praworządności </w:t>
      </w:r>
    </w:p>
    <w:p w:rsidR="00967A95" w:rsidRPr="009E316A" w:rsidRDefault="006C3DD2">
      <w:pPr>
        <w:pStyle w:val="NormalHanging12a"/>
      </w:pPr>
      <w:r w:rsidRPr="009E316A">
        <w:t>41.</w:t>
      </w:r>
      <w:r w:rsidRPr="009E316A">
        <w:tab/>
        <w:t>odnotowuje ocenę dialogu na temat praworządności prowadzoną obecnie przez Radę oraz ogłoszone stanowisko Rady, zgodnie z którym rozważy ona dalszą ewentualną współpracę międzyinstytucjonalną w tym kontekście; wzywa Radę, aby zadbała o większy pluralizm dialogu na temat praworządności, zapraszając na swoje sesje przedstawicieli innych instytucji i zainteresowanych stron, w szczególności organów Rady Europy, takich jak Komisja Wenecka, a także przedstawicieli Parlamentu Europejskiego;</w:t>
      </w:r>
    </w:p>
    <w:p w:rsidR="00967A95" w:rsidRPr="009E316A" w:rsidRDefault="006C3DD2">
      <w:pPr>
        <w:pStyle w:val="NormalHanging12a"/>
      </w:pPr>
      <w:r w:rsidRPr="009E316A">
        <w:lastRenderedPageBreak/>
        <w:t>42.</w:t>
      </w:r>
      <w:r w:rsidRPr="009E316A">
        <w:tab/>
        <w:t>ubolewa, że Komisja i Rada dotychczas odrzucały propozycję Parlamentu dotyczącą zawarcia porozumienia międzyinstytucjonalnego w sprawie praworządności; potwierdza swoją gotowość do wznowienia rozmów na temat tego porozumienia;</w:t>
      </w:r>
    </w:p>
    <w:p w:rsidR="00967A95" w:rsidRPr="009E316A" w:rsidRDefault="006C3DD2">
      <w:pPr>
        <w:pStyle w:val="NormalHanging12a"/>
      </w:pPr>
      <w:r w:rsidRPr="009E316A">
        <w:t>43.</w:t>
      </w:r>
      <w:r w:rsidRPr="009E316A">
        <w:tab/>
        <w:t>w międzyczasie wzywa pozostałe instytucje, aby przynajmniej rozważyły dalszą współpracę w kontekście proponowanego międzyinstytucjonalnego projektu pilotażowego dotyczącego demokracji, praworządności i praw podstawowych, co pomogłoby w budowaniu zaufania między instytucjami w praktyce, w szczególności przez wymianę praktyk w zakresie monitorowania, dialogu i spotkań;</w:t>
      </w:r>
    </w:p>
    <w:p w:rsidR="00967A95" w:rsidRPr="009E316A" w:rsidRDefault="006C3DD2">
      <w:pPr>
        <w:pStyle w:val="NormalHanging12a"/>
      </w:pPr>
      <w:r w:rsidRPr="009E316A">
        <w:t>44.</w:t>
      </w:r>
      <w:r w:rsidRPr="009E316A">
        <w:tab/>
        <w:t>potępia całkowity brak postępów w toczących się procedurach na podstawie art. 7 ust. 1 TUE; wzywa Radę do zajęcia się każdym nowym zdarzeniem mającym wpływ na praworządność, demokrację i prawa podstawowe; ponownie zwraca się do Rady, aby uwzględniła zalecenia w ramach tej procedury, podkreślając, że dalsze zwlekanie z podjęciem takich działań będzie oznaczać naruszenie zasady praworządności przez samą Radę; domaga się poszanowania roli i kompetencji Parlamentu;</w:t>
      </w:r>
    </w:p>
    <w:p w:rsidR="00967A95" w:rsidRPr="009E316A" w:rsidRDefault="006C3DD2">
      <w:pPr>
        <w:pStyle w:val="NormalHanging12a"/>
      </w:pPr>
      <w:r w:rsidRPr="009E316A">
        <w:t>45.</w:t>
      </w:r>
      <w:r w:rsidRPr="009E316A">
        <w:tab/>
        <w:t>wzywa Komisję, aby we wszystkich instrumentach i procesach budżetowych uwzględniała, ściśle monitorowała i gwarantowała warunki dotyczące demokracji, praworządności i praw podstawowych; w związku z tym wzywa Komisję, aby nie odblokowywała żadnych funduszy spójności dla Węgier, chyba że wszystkie warunki podstawowe zostaną w pełni spełnione, a sądownictwo w tym państwie członkowskim będzie można uznać za w pełni niezależne w teorii i w praktyce; wzywa Komisję i Radę, aby w razie potrzeby nadal niezwłocznie stosowały rozporządzenie w sprawie warunkowości w zakresie praworządności i nie uchylały środków przyjętych w przypadku Węgier, dopóki wszystkie kamienie milowe nie zostaną skutecznie osiągnięte; wzywa Komisję, aby rygorystycznie sprawdzała, czy w planach odbudowy i zwiększania odporności poszczególnych państw członkowskich spełnione są kamienie milowe związane z praworządnością, stanowiące warunek wypłat środków finansowych, o które zwracają się państwa członkowskie; wzywa Komisję, aby powierzyła główną odpowiedzialność za stosowanie tych warunków komisarzom odpowiedzialnym za praworządność;</w:t>
      </w:r>
    </w:p>
    <w:p w:rsidR="00967A95" w:rsidRPr="009E316A" w:rsidRDefault="006C3DD2">
      <w:pPr>
        <w:pStyle w:val="NormalCenter12a"/>
      </w:pPr>
      <w:r w:rsidRPr="009E316A">
        <w:t>°</w:t>
      </w:r>
    </w:p>
    <w:p w:rsidR="00967A95" w:rsidRPr="009E316A" w:rsidRDefault="006C3DD2">
      <w:pPr>
        <w:pStyle w:val="NormalCenter12a"/>
      </w:pPr>
      <w:r w:rsidRPr="009E316A">
        <w:t>°</w:t>
      </w:r>
      <w:r w:rsidRPr="009E316A">
        <w:tab/>
        <w:t>°</w:t>
      </w:r>
    </w:p>
    <w:p w:rsidR="00967A95" w:rsidRPr="009E316A" w:rsidRDefault="006C3DD2">
      <w:pPr>
        <w:pStyle w:val="NormalHanging12a"/>
      </w:pPr>
      <w:r w:rsidRPr="009E316A">
        <w:t>46.</w:t>
      </w:r>
      <w:r w:rsidRPr="009E316A">
        <w:tab/>
        <w:t>zobowiązuje swoją przewodniczącą do przekazania niniejszej rezolucji Radzie i Komisji.</w:t>
      </w:r>
    </w:p>
    <w:p w:rsidR="00967A95" w:rsidRPr="009E316A" w:rsidRDefault="00967A95">
      <w:pPr>
        <w:pStyle w:val="Normal12a"/>
      </w:pPr>
    </w:p>
    <w:sectPr w:rsidR="00967A95" w:rsidRPr="009E316A" w:rsidSect="009E316A">
      <w:footnotePr>
        <w:numRestart w:val="eachSect"/>
      </w:footnotePr>
      <w:type w:val="continuous"/>
      <w:pgSz w:w="11906" w:h="16838"/>
      <w:pgMar w:top="1134" w:right="1417" w:bottom="1417" w:left="1417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6755" w:rsidRPr="009E316A" w:rsidRDefault="006C3DD2">
      <w:r w:rsidRPr="009E316A">
        <w:separator/>
      </w:r>
    </w:p>
  </w:endnote>
  <w:endnote w:type="continuationSeparator" w:id="0">
    <w:p w:rsidR="00936755" w:rsidRPr="009E316A" w:rsidRDefault="006C3DD2">
      <w:r w:rsidRPr="009E316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316A" w:rsidRPr="009E316A" w:rsidRDefault="009E316A" w:rsidP="009E316A">
    <w:pPr>
      <w:pStyle w:val="EPFooter"/>
    </w:pPr>
    <w:r w:rsidRPr="009E316A">
      <w:t>PE</w:t>
    </w:r>
    <w:r w:rsidRPr="009E316A">
      <w:rPr>
        <w:rStyle w:val="HideTWBExt"/>
      </w:rPr>
      <w:t>&lt;NoPE&gt;</w:t>
    </w:r>
    <w:r w:rsidRPr="009E316A">
      <w:t>754.695</w:t>
    </w:r>
    <w:r w:rsidRPr="009E316A">
      <w:rPr>
        <w:rStyle w:val="HideTWBExt"/>
      </w:rPr>
      <w:t>&lt;/NoPE&gt;&lt;Version&gt;</w:t>
    </w:r>
    <w:r w:rsidRPr="009E316A">
      <w:t>v01-00</w:t>
    </w:r>
    <w:r w:rsidRPr="009E316A">
      <w:rPr>
        <w:rStyle w:val="HideTWBExt"/>
      </w:rPr>
      <w:t>&lt;/Version&gt;</w:t>
    </w:r>
    <w:r w:rsidRPr="009E316A">
      <w:tab/>
    </w:r>
    <w:r w:rsidRPr="009E316A">
      <w:fldChar w:fldCharType="begin"/>
    </w:r>
    <w:r w:rsidRPr="009E316A">
      <w:instrText xml:space="preserve"> PAGE  \* MERGEFORMAT </w:instrText>
    </w:r>
    <w:r w:rsidRPr="009E316A">
      <w:fldChar w:fldCharType="separate"/>
    </w:r>
    <w:r w:rsidR="00BD260D">
      <w:rPr>
        <w:noProof/>
      </w:rPr>
      <w:t>12</w:t>
    </w:r>
    <w:r w:rsidRPr="009E316A">
      <w:fldChar w:fldCharType="end"/>
    </w:r>
    <w:r w:rsidRPr="009E316A">
      <w:t>/</w:t>
    </w:r>
    <w:fldSimple w:instr=" NUMPAGES  \* MERGEFORMAT ">
      <w:r w:rsidR="00BD260D">
        <w:rPr>
          <w:noProof/>
        </w:rPr>
        <w:t>16</w:t>
      </w:r>
    </w:fldSimple>
    <w:r w:rsidRPr="009E316A">
      <w:tab/>
    </w:r>
    <w:r w:rsidRPr="009E316A">
      <w:rPr>
        <w:rStyle w:val="HideTWBExt"/>
      </w:rPr>
      <w:t>&lt;PathFdR&gt;</w:t>
    </w:r>
    <w:r w:rsidRPr="009E316A">
      <w:t>PR\1287814PL.docx</w:t>
    </w:r>
    <w:r w:rsidRPr="009E316A">
      <w:rPr>
        <w:rStyle w:val="HideTWBExt"/>
      </w:rPr>
      <w:t>&lt;/PathFdR&gt;</w:t>
    </w:r>
  </w:p>
  <w:p w:rsidR="00967A95" w:rsidRPr="009E316A" w:rsidRDefault="009E316A" w:rsidP="009E316A">
    <w:pPr>
      <w:pStyle w:val="EPFooter2"/>
    </w:pPr>
    <w:r w:rsidRPr="009E316A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316A" w:rsidRPr="009E316A" w:rsidRDefault="009E316A" w:rsidP="009E316A">
    <w:pPr>
      <w:pStyle w:val="EPFooter"/>
    </w:pPr>
    <w:r w:rsidRPr="009E316A">
      <w:rPr>
        <w:rStyle w:val="HideTWBExt"/>
      </w:rPr>
      <w:t>&lt;PathFdR&gt;</w:t>
    </w:r>
    <w:r w:rsidRPr="009E316A">
      <w:t>PR\1287814PL.docx</w:t>
    </w:r>
    <w:r w:rsidRPr="009E316A">
      <w:rPr>
        <w:rStyle w:val="HideTWBExt"/>
      </w:rPr>
      <w:t>&lt;/PathFdR&gt;</w:t>
    </w:r>
    <w:r w:rsidRPr="009E316A">
      <w:tab/>
    </w:r>
    <w:r w:rsidRPr="009E316A">
      <w:fldChar w:fldCharType="begin"/>
    </w:r>
    <w:r w:rsidRPr="009E316A">
      <w:instrText xml:space="preserve"> PAGE  \* MERGEFORMAT </w:instrText>
    </w:r>
    <w:r w:rsidRPr="009E316A">
      <w:fldChar w:fldCharType="separate"/>
    </w:r>
    <w:r w:rsidR="00BD260D">
      <w:rPr>
        <w:noProof/>
      </w:rPr>
      <w:t>13</w:t>
    </w:r>
    <w:r w:rsidRPr="009E316A">
      <w:fldChar w:fldCharType="end"/>
    </w:r>
    <w:r w:rsidRPr="009E316A">
      <w:t>/</w:t>
    </w:r>
    <w:fldSimple w:instr=" NUMPAGES  \* MERGEFORMAT ">
      <w:r w:rsidR="00BD260D">
        <w:rPr>
          <w:noProof/>
        </w:rPr>
        <w:t>16</w:t>
      </w:r>
    </w:fldSimple>
    <w:r w:rsidRPr="009E316A">
      <w:tab/>
      <w:t>PE</w:t>
    </w:r>
    <w:r w:rsidRPr="009E316A">
      <w:rPr>
        <w:rStyle w:val="HideTWBExt"/>
      </w:rPr>
      <w:t>&lt;NoPE&gt;</w:t>
    </w:r>
    <w:r w:rsidRPr="009E316A">
      <w:t>754.695</w:t>
    </w:r>
    <w:r w:rsidRPr="009E316A">
      <w:rPr>
        <w:rStyle w:val="HideTWBExt"/>
      </w:rPr>
      <w:t>&lt;/NoPE&gt;&lt;Version&gt;</w:t>
    </w:r>
    <w:r w:rsidRPr="009E316A">
      <w:t>v01-00</w:t>
    </w:r>
    <w:r w:rsidRPr="009E316A">
      <w:rPr>
        <w:rStyle w:val="HideTWBExt"/>
      </w:rPr>
      <w:t>&lt;/Version&gt;</w:t>
    </w:r>
  </w:p>
  <w:p w:rsidR="00967A95" w:rsidRPr="009E316A" w:rsidRDefault="009E316A" w:rsidP="009E316A">
    <w:pPr>
      <w:pStyle w:val="EPFooter2"/>
    </w:pPr>
    <w:r w:rsidRPr="009E316A">
      <w:tab/>
    </w:r>
    <w:r w:rsidRPr="009E316A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316A" w:rsidRPr="009E316A" w:rsidRDefault="009E316A" w:rsidP="009E316A">
    <w:pPr>
      <w:pStyle w:val="EPFooter"/>
    </w:pPr>
    <w:r w:rsidRPr="009E316A">
      <w:rPr>
        <w:rStyle w:val="HideTWBExt"/>
      </w:rPr>
      <w:t>&lt;PathFdR&gt;</w:t>
    </w:r>
    <w:r w:rsidRPr="009E316A">
      <w:t>PR\1287814PL.docx</w:t>
    </w:r>
    <w:r w:rsidRPr="009E316A">
      <w:rPr>
        <w:rStyle w:val="HideTWBExt"/>
      </w:rPr>
      <w:t>&lt;/PathFdR&gt;</w:t>
    </w:r>
    <w:r w:rsidRPr="009E316A">
      <w:tab/>
    </w:r>
    <w:r w:rsidRPr="009E316A">
      <w:tab/>
      <w:t>PE</w:t>
    </w:r>
    <w:r w:rsidRPr="009E316A">
      <w:rPr>
        <w:rStyle w:val="HideTWBExt"/>
      </w:rPr>
      <w:t>&lt;NoPE&gt;</w:t>
    </w:r>
    <w:r w:rsidRPr="009E316A">
      <w:t>754.695</w:t>
    </w:r>
    <w:r w:rsidRPr="009E316A">
      <w:rPr>
        <w:rStyle w:val="HideTWBExt"/>
      </w:rPr>
      <w:t>&lt;/NoPE&gt;&lt;Version&gt;</w:t>
    </w:r>
    <w:r w:rsidRPr="009E316A">
      <w:t>v01-00</w:t>
    </w:r>
    <w:r w:rsidRPr="009E316A">
      <w:rPr>
        <w:rStyle w:val="HideTWBExt"/>
      </w:rPr>
      <w:t>&lt;/Version&gt;</w:t>
    </w:r>
  </w:p>
  <w:p w:rsidR="00967A95" w:rsidRPr="009E316A" w:rsidRDefault="009E316A" w:rsidP="009E316A">
    <w:pPr>
      <w:pStyle w:val="EPFooter2"/>
    </w:pPr>
    <w:r w:rsidRPr="009E316A">
      <w:t>PL</w:t>
    </w:r>
    <w:r w:rsidRPr="009E316A">
      <w:tab/>
    </w:r>
    <w:r w:rsidRPr="009E316A">
      <w:rPr>
        <w:b w:val="0"/>
        <w:i/>
        <w:color w:val="C0C0C0"/>
        <w:sz w:val="22"/>
      </w:rPr>
      <w:t>Zjednoczona w różnorodności</w:t>
    </w:r>
    <w:r w:rsidRPr="009E316A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6755" w:rsidRPr="009E316A" w:rsidRDefault="006C3DD2">
      <w:r w:rsidRPr="009E316A">
        <w:separator/>
      </w:r>
    </w:p>
  </w:footnote>
  <w:footnote w:type="continuationSeparator" w:id="0">
    <w:p w:rsidR="00936755" w:rsidRPr="009E316A" w:rsidRDefault="006C3DD2">
      <w:r w:rsidRPr="009E316A">
        <w:continuationSeparator/>
      </w:r>
    </w:p>
  </w:footnote>
  <w:footnote w:id="1">
    <w:p w:rsidR="00967A95" w:rsidRPr="009E316A" w:rsidRDefault="006C3DD2">
      <w:pPr>
        <w:pStyle w:val="FootnoteText"/>
      </w:pPr>
      <w:r w:rsidRPr="009E316A">
        <w:rPr>
          <w:rStyle w:val="FootnoteReference"/>
        </w:rPr>
        <w:footnoteRef/>
      </w:r>
      <w:r w:rsidRPr="009E316A">
        <w:t xml:space="preserve"> Dz.U. L 433 I z 22.12.2020, s. 1.</w:t>
      </w:r>
    </w:p>
  </w:footnote>
  <w:footnote w:id="2">
    <w:p w:rsidR="00967A95" w:rsidRPr="009E316A" w:rsidRDefault="006C3DD2">
      <w:pPr>
        <w:pStyle w:val="FootnoteText"/>
      </w:pPr>
      <w:r w:rsidRPr="009E316A">
        <w:rPr>
          <w:rStyle w:val="FootnoteReference"/>
        </w:rPr>
        <w:footnoteRef/>
      </w:r>
      <w:r w:rsidRPr="009E316A">
        <w:t xml:space="preserve"> Dz.U. L 156 z 5.5.2021, s. 1.</w:t>
      </w:r>
    </w:p>
  </w:footnote>
  <w:footnote w:id="3">
    <w:p w:rsidR="00967A95" w:rsidRPr="009E316A" w:rsidRDefault="006C3DD2">
      <w:pPr>
        <w:pStyle w:val="FootnoteText"/>
      </w:pPr>
      <w:r w:rsidRPr="009E316A">
        <w:rPr>
          <w:rStyle w:val="FootnoteReference"/>
        </w:rPr>
        <w:footnoteRef/>
      </w:r>
      <w:r w:rsidRPr="009E316A">
        <w:t xml:space="preserve"> Dz.U. C 215 z 19.6.2018, s. 162.</w:t>
      </w:r>
    </w:p>
  </w:footnote>
  <w:footnote w:id="4">
    <w:p w:rsidR="00967A95" w:rsidRPr="009E316A" w:rsidRDefault="006C3DD2">
      <w:pPr>
        <w:pStyle w:val="FootnoteText"/>
      </w:pPr>
      <w:r w:rsidRPr="009E316A">
        <w:rPr>
          <w:rStyle w:val="FootnoteReference"/>
        </w:rPr>
        <w:footnoteRef/>
      </w:r>
      <w:r w:rsidRPr="009E316A">
        <w:t xml:space="preserve"> Dz.U. C 129 z 5.4.2019, s. 13.</w:t>
      </w:r>
    </w:p>
  </w:footnote>
  <w:footnote w:id="5">
    <w:p w:rsidR="00967A95" w:rsidRPr="009E316A" w:rsidRDefault="006C3DD2">
      <w:pPr>
        <w:pStyle w:val="FootnoteText"/>
      </w:pPr>
      <w:r w:rsidRPr="009E316A">
        <w:rPr>
          <w:rStyle w:val="FootnoteReference"/>
        </w:rPr>
        <w:footnoteRef/>
      </w:r>
      <w:r w:rsidRPr="009E316A">
        <w:t xml:space="preserve"> Dz.U. C 390 z 18.11.2019, s. 117.</w:t>
      </w:r>
    </w:p>
  </w:footnote>
  <w:footnote w:id="6">
    <w:p w:rsidR="00967A95" w:rsidRPr="009E316A" w:rsidRDefault="006C3DD2">
      <w:pPr>
        <w:pStyle w:val="FootnoteText"/>
      </w:pPr>
      <w:r w:rsidRPr="009E316A">
        <w:rPr>
          <w:rStyle w:val="FootnoteReference"/>
        </w:rPr>
        <w:footnoteRef/>
      </w:r>
      <w:r w:rsidRPr="009E316A">
        <w:t xml:space="preserve"> Dz.U. C 433 z 23.12.2019, s. 66.</w:t>
      </w:r>
    </w:p>
  </w:footnote>
  <w:footnote w:id="7">
    <w:p w:rsidR="00967A95" w:rsidRPr="009E316A" w:rsidRDefault="006C3DD2">
      <w:pPr>
        <w:pStyle w:val="FootnoteText"/>
      </w:pPr>
      <w:r w:rsidRPr="009E316A">
        <w:rPr>
          <w:rStyle w:val="FootnoteReference"/>
        </w:rPr>
        <w:footnoteRef/>
      </w:r>
      <w:r w:rsidRPr="009E316A">
        <w:t xml:space="preserve"> Dz.U. C 363 z 28.10.2020, s. 45.</w:t>
      </w:r>
    </w:p>
  </w:footnote>
  <w:footnote w:id="8">
    <w:p w:rsidR="00967A95" w:rsidRPr="009E316A" w:rsidRDefault="006C3DD2">
      <w:pPr>
        <w:pStyle w:val="FootnoteText"/>
      </w:pPr>
      <w:r w:rsidRPr="009E316A">
        <w:rPr>
          <w:rStyle w:val="FootnoteReference"/>
        </w:rPr>
        <w:footnoteRef/>
      </w:r>
      <w:r w:rsidRPr="009E316A">
        <w:t xml:space="preserve"> Dz.U. C 395 z 29.9.2021, s. 2.</w:t>
      </w:r>
    </w:p>
  </w:footnote>
  <w:footnote w:id="9">
    <w:p w:rsidR="00967A95" w:rsidRPr="009E316A" w:rsidRDefault="006C3DD2">
      <w:pPr>
        <w:pStyle w:val="FootnoteText"/>
      </w:pPr>
      <w:r w:rsidRPr="009E316A">
        <w:rPr>
          <w:rStyle w:val="FootnoteReference"/>
        </w:rPr>
        <w:footnoteRef/>
      </w:r>
      <w:r w:rsidRPr="009E316A">
        <w:t xml:space="preserve"> Dz.U. C 415 z 13.10.2021, s. 36.</w:t>
      </w:r>
    </w:p>
  </w:footnote>
  <w:footnote w:id="10">
    <w:p w:rsidR="00967A95" w:rsidRPr="009E316A" w:rsidRDefault="006C3DD2">
      <w:pPr>
        <w:pStyle w:val="FootnoteText"/>
      </w:pPr>
      <w:r w:rsidRPr="009E316A">
        <w:rPr>
          <w:rStyle w:val="FootnoteReference"/>
        </w:rPr>
        <w:footnoteRef/>
      </w:r>
      <w:r w:rsidRPr="009E316A">
        <w:t xml:space="preserve"> Dz.U. C 67 z 8.2.2022, s. 86.</w:t>
      </w:r>
    </w:p>
  </w:footnote>
  <w:footnote w:id="11">
    <w:p w:rsidR="00967A95" w:rsidRPr="009E316A" w:rsidRDefault="006C3DD2">
      <w:pPr>
        <w:pStyle w:val="FootnoteText"/>
      </w:pPr>
      <w:r w:rsidRPr="009E316A">
        <w:rPr>
          <w:rStyle w:val="FootnoteReference"/>
        </w:rPr>
        <w:footnoteRef/>
      </w:r>
      <w:r w:rsidRPr="009E316A">
        <w:t xml:space="preserve"> Dz.U. C 81 z 18.2.2022, s. 27.</w:t>
      </w:r>
    </w:p>
  </w:footnote>
  <w:footnote w:id="12">
    <w:p w:rsidR="00967A95" w:rsidRPr="009E316A" w:rsidRDefault="006C3DD2">
      <w:pPr>
        <w:pStyle w:val="FootnoteText"/>
      </w:pPr>
      <w:r w:rsidRPr="009E316A">
        <w:rPr>
          <w:rStyle w:val="FootnoteReference"/>
        </w:rPr>
        <w:footnoteRef/>
      </w:r>
      <w:r w:rsidRPr="009E316A">
        <w:t xml:space="preserve"> Dz.U. C 99 z 1.3.2022, s. 146.</w:t>
      </w:r>
    </w:p>
  </w:footnote>
  <w:footnote w:id="13">
    <w:p w:rsidR="00967A95" w:rsidRPr="009E316A" w:rsidRDefault="006C3DD2">
      <w:pPr>
        <w:pStyle w:val="FootnoteText"/>
      </w:pPr>
      <w:r w:rsidRPr="009E316A">
        <w:rPr>
          <w:rStyle w:val="FootnoteReference"/>
        </w:rPr>
        <w:footnoteRef/>
      </w:r>
      <w:r w:rsidRPr="009E316A">
        <w:t xml:space="preserve"> Dz.U. C 205 z 20.5.2022, s. 2.</w:t>
      </w:r>
    </w:p>
  </w:footnote>
  <w:footnote w:id="14">
    <w:p w:rsidR="00967A95" w:rsidRPr="009E316A" w:rsidRDefault="006C3DD2">
      <w:pPr>
        <w:pStyle w:val="FootnoteText"/>
      </w:pPr>
      <w:r w:rsidRPr="009E316A">
        <w:rPr>
          <w:rStyle w:val="FootnoteReference"/>
        </w:rPr>
        <w:footnoteRef/>
      </w:r>
      <w:r w:rsidRPr="009E316A">
        <w:t xml:space="preserve"> Dz.U. C 251 z 30.6.2022, s. 48.</w:t>
      </w:r>
    </w:p>
  </w:footnote>
  <w:footnote w:id="15">
    <w:p w:rsidR="00967A95" w:rsidRPr="009E316A" w:rsidRDefault="006C3DD2">
      <w:pPr>
        <w:pStyle w:val="FootnoteText"/>
      </w:pPr>
      <w:r w:rsidRPr="009E316A">
        <w:rPr>
          <w:rStyle w:val="FootnoteReference"/>
        </w:rPr>
        <w:footnoteRef/>
      </w:r>
      <w:r w:rsidRPr="009E316A">
        <w:t xml:space="preserve"> Dz.U. C 347 z 9.9.2022, s. 2.</w:t>
      </w:r>
    </w:p>
  </w:footnote>
  <w:footnote w:id="16">
    <w:p w:rsidR="00967A95" w:rsidRPr="009E316A" w:rsidRDefault="006C3DD2">
      <w:pPr>
        <w:pStyle w:val="FootnoteText"/>
      </w:pPr>
      <w:r w:rsidRPr="009E316A">
        <w:rPr>
          <w:rStyle w:val="FootnoteReference"/>
        </w:rPr>
        <w:footnoteRef/>
      </w:r>
      <w:r w:rsidRPr="009E316A">
        <w:t xml:space="preserve"> Dz.U. C 347 z 9.9.2022, s. 168.</w:t>
      </w:r>
    </w:p>
  </w:footnote>
  <w:footnote w:id="17">
    <w:p w:rsidR="00967A95" w:rsidRPr="009E316A" w:rsidRDefault="006C3DD2">
      <w:pPr>
        <w:pStyle w:val="FootnoteText"/>
      </w:pPr>
      <w:r w:rsidRPr="009E316A">
        <w:rPr>
          <w:rStyle w:val="FootnoteReference"/>
        </w:rPr>
        <w:footnoteRef/>
      </w:r>
      <w:r w:rsidRPr="009E316A">
        <w:t xml:space="preserve"> Dz.U. C 479 z 16.12.2022, s. 18.</w:t>
      </w:r>
    </w:p>
  </w:footnote>
  <w:footnote w:id="18">
    <w:p w:rsidR="00967A95" w:rsidRPr="009E316A" w:rsidRDefault="006C3DD2">
      <w:pPr>
        <w:pStyle w:val="FootnoteText"/>
      </w:pPr>
      <w:r w:rsidRPr="009E316A">
        <w:rPr>
          <w:rStyle w:val="FootnoteReference"/>
        </w:rPr>
        <w:footnoteRef/>
      </w:r>
      <w:r w:rsidRPr="009E316A">
        <w:t xml:space="preserve"> Dz.U. C 493 z 27.12.2022, s. 108.</w:t>
      </w:r>
    </w:p>
  </w:footnote>
  <w:footnote w:id="19">
    <w:p w:rsidR="00967A95" w:rsidRPr="009E316A" w:rsidRDefault="006C3DD2">
      <w:pPr>
        <w:pStyle w:val="FootnoteText"/>
      </w:pPr>
      <w:r w:rsidRPr="009E316A">
        <w:rPr>
          <w:rStyle w:val="FootnoteReference"/>
        </w:rPr>
        <w:footnoteRef/>
      </w:r>
      <w:r w:rsidRPr="009E316A">
        <w:t xml:space="preserve"> Teksty przyjęte, P9_TA(2022)0324.</w:t>
      </w:r>
    </w:p>
  </w:footnote>
  <w:footnote w:id="20">
    <w:p w:rsidR="00967A95" w:rsidRPr="009E316A" w:rsidRDefault="006C3DD2">
      <w:pPr>
        <w:pStyle w:val="FootnoteText"/>
      </w:pPr>
      <w:r w:rsidRPr="009E316A">
        <w:rPr>
          <w:rStyle w:val="FootnoteReference"/>
        </w:rPr>
        <w:footnoteRef/>
      </w:r>
      <w:r w:rsidRPr="009E316A">
        <w:t xml:space="preserve"> Teksty przyjęte, P9_TA(2022)0325.</w:t>
      </w:r>
    </w:p>
  </w:footnote>
  <w:footnote w:id="21">
    <w:p w:rsidR="00967A95" w:rsidRPr="009E316A" w:rsidRDefault="006C3DD2">
      <w:pPr>
        <w:pStyle w:val="FootnoteText"/>
      </w:pPr>
      <w:r w:rsidRPr="009E316A">
        <w:rPr>
          <w:rStyle w:val="FootnoteReference"/>
        </w:rPr>
        <w:footnoteRef/>
      </w:r>
      <w:r w:rsidRPr="009E316A">
        <w:t xml:space="preserve"> Teksty przyjęte, P9_TA(2022)0371.</w:t>
      </w:r>
    </w:p>
  </w:footnote>
  <w:footnote w:id="22">
    <w:p w:rsidR="00967A95" w:rsidRPr="009E316A" w:rsidRDefault="006C3DD2">
      <w:pPr>
        <w:pStyle w:val="FootnoteText"/>
      </w:pPr>
      <w:r w:rsidRPr="009E316A">
        <w:rPr>
          <w:rStyle w:val="FootnoteReference"/>
        </w:rPr>
        <w:footnoteRef/>
      </w:r>
      <w:r w:rsidRPr="009E316A">
        <w:t xml:space="preserve"> Teksty przyjęte, P9_TA(2022)0372.</w:t>
      </w:r>
    </w:p>
  </w:footnote>
  <w:footnote w:id="23">
    <w:p w:rsidR="00967A95" w:rsidRPr="009E316A" w:rsidRDefault="006C3DD2">
      <w:pPr>
        <w:pStyle w:val="FootnoteText"/>
      </w:pPr>
      <w:r w:rsidRPr="009E316A">
        <w:rPr>
          <w:rStyle w:val="FootnoteReference"/>
        </w:rPr>
        <w:footnoteRef/>
      </w:r>
      <w:r w:rsidRPr="009E316A">
        <w:t xml:space="preserve"> Teksty przyjęte, P9_TA(2022)0389.</w:t>
      </w:r>
    </w:p>
  </w:footnote>
  <w:footnote w:id="24">
    <w:p w:rsidR="00967A95" w:rsidRPr="009E316A" w:rsidRDefault="006C3DD2">
      <w:pPr>
        <w:pStyle w:val="FootnoteText"/>
      </w:pPr>
      <w:r w:rsidRPr="009E316A">
        <w:rPr>
          <w:rStyle w:val="FootnoteReference"/>
        </w:rPr>
        <w:footnoteRef/>
      </w:r>
      <w:r w:rsidRPr="009E316A">
        <w:t xml:space="preserve"> Teksty przyjęte, P9_TA(2022)0422.</w:t>
      </w:r>
    </w:p>
  </w:footnote>
  <w:footnote w:id="25">
    <w:p w:rsidR="00967A95" w:rsidRPr="009E316A" w:rsidRDefault="006C3DD2">
      <w:pPr>
        <w:pStyle w:val="FootnoteText"/>
      </w:pPr>
      <w:r w:rsidRPr="009E316A">
        <w:rPr>
          <w:rStyle w:val="FootnoteReference"/>
        </w:rPr>
        <w:footnoteRef/>
      </w:r>
      <w:r w:rsidRPr="009E316A">
        <w:t xml:space="preserve"> Teksty przyjęte, P9_TA(2023)0094.</w:t>
      </w:r>
    </w:p>
  </w:footnote>
  <w:footnote w:id="26">
    <w:p w:rsidR="00967A95" w:rsidRPr="009E316A" w:rsidRDefault="006C3DD2">
      <w:pPr>
        <w:pStyle w:val="FootnoteText"/>
      </w:pPr>
      <w:r w:rsidRPr="009E316A">
        <w:rPr>
          <w:rStyle w:val="FootnoteReference"/>
        </w:rPr>
        <w:footnoteRef/>
      </w:r>
      <w:r w:rsidRPr="009E316A">
        <w:t xml:space="preserve"> Teksty przyjęte, P9_TA(2023)0244.</w:t>
      </w:r>
    </w:p>
  </w:footnote>
  <w:footnote w:id="27">
    <w:p w:rsidR="00967A95" w:rsidRPr="009E316A" w:rsidRDefault="006C3DD2">
      <w:pPr>
        <w:pStyle w:val="FootnoteText"/>
        <w:rPr>
          <w:color w:val="0000FF"/>
          <w:u w:val="single" w:color="0000FF"/>
        </w:rPr>
      </w:pPr>
      <w:r w:rsidRPr="009E316A">
        <w:rPr>
          <w:rStyle w:val="FootnoteReference"/>
        </w:rPr>
        <w:footnoteRef/>
      </w:r>
      <w:r w:rsidRPr="009E316A">
        <w:t xml:space="preserve"> </w:t>
      </w:r>
      <w:hyperlink r:id="rId1" w:history="1">
        <w:r w:rsidRPr="009E316A">
          <w:rPr>
            <w:color w:val="0000FF"/>
            <w:u w:val="single" w:color="0000FF"/>
          </w:rPr>
          <w:t>Informacje na temat wszystkich działań monitorujących tej grupy można znaleźć na stronie: https://www.europarl.europa.eu/committees/pl/libe-democracy-rule-of-law-and-fundament/product-details/20190103CDT02662.</w:t>
        </w:r>
      </w:hyperlink>
    </w:p>
  </w:footnote>
  <w:footnote w:id="28">
    <w:p w:rsidR="00967A95" w:rsidRPr="009E316A" w:rsidRDefault="006C3DD2">
      <w:pPr>
        <w:pStyle w:val="FootnoteText"/>
      </w:pPr>
      <w:r w:rsidRPr="009E316A">
        <w:rPr>
          <w:rStyle w:val="FootnoteReference"/>
        </w:rPr>
        <w:footnoteRef/>
      </w:r>
      <w:r w:rsidRPr="009E316A">
        <w:t xml:space="preserve"> Węgierski Komitet Helsiński</w:t>
      </w:r>
      <w:r w:rsidRPr="009E316A">
        <w:rPr>
          <w:rStyle w:val="Italic"/>
        </w:rPr>
        <w:t>, Updated summary assessment on Hungary’s compliance with the four super milestones aimed at restoring the independence of the judiciary</w:t>
      </w:r>
      <w:r w:rsidRPr="009E316A">
        <w:t xml:space="preserve"> [Zaktualizowana skrócona ocena zgodności Węgier z czterema tzw. superkamieniami milowymi służącymi przywróceniu niezależności sądownictwa], 9 października 2023 r.</w:t>
      </w:r>
    </w:p>
  </w:footnote>
  <w:footnote w:id="29">
    <w:p w:rsidR="00967A95" w:rsidRPr="009E316A" w:rsidRDefault="006C3DD2">
      <w:pPr>
        <w:pStyle w:val="FootnoteText"/>
      </w:pPr>
      <w:r w:rsidRPr="009E316A">
        <w:rPr>
          <w:rStyle w:val="FootnoteReference"/>
        </w:rPr>
        <w:footnoteRef/>
      </w:r>
      <w:r w:rsidRPr="009E316A">
        <w:t xml:space="preserve"> Transparency International, wskaźnik postrzegania korupcji, 31 stycznia 2023 r.</w:t>
      </w:r>
    </w:p>
  </w:footnote>
  <w:footnote w:id="30">
    <w:p w:rsidR="00967A95" w:rsidRPr="009E316A" w:rsidRDefault="006C3DD2">
      <w:pPr>
        <w:pStyle w:val="FootnoteText"/>
      </w:pPr>
      <w:r w:rsidRPr="009E316A">
        <w:rPr>
          <w:rStyle w:val="FootnoteReference"/>
        </w:rPr>
        <w:footnoteRef/>
      </w:r>
      <w:r w:rsidRPr="009E316A">
        <w:t xml:space="preserve"> Komisarz Praw Człowieka Rady Europy, pismo do przewodniczącego parlamentu Malty, 26 września 2023 r.</w:t>
      </w:r>
    </w:p>
  </w:footnote>
  <w:footnote w:id="31">
    <w:p w:rsidR="00967A95" w:rsidRPr="009E316A" w:rsidRDefault="006C3DD2">
      <w:pPr>
        <w:pStyle w:val="FootnoteText"/>
      </w:pPr>
      <w:r w:rsidRPr="009E316A">
        <w:rPr>
          <w:rStyle w:val="FootnoteReference"/>
        </w:rPr>
        <w:footnoteRef/>
      </w:r>
      <w:r w:rsidRPr="009E316A">
        <w:t xml:space="preserve"> Międzynarodowy Instytut Prasowy, </w:t>
      </w:r>
      <w:r w:rsidRPr="009E316A">
        <w:rPr>
          <w:i/>
          <w:iCs/>
        </w:rPr>
        <w:t>Murdered, surveilled and sued:</w:t>
      </w:r>
      <w:r w:rsidRPr="009E316A">
        <w:rPr>
          <w:rStyle w:val="Italic"/>
          <w:iCs/>
        </w:rPr>
        <w:t xml:space="preserve"> </w:t>
      </w:r>
      <w:r w:rsidRPr="009E316A">
        <w:rPr>
          <w:i/>
          <w:iCs/>
        </w:rPr>
        <w:t>decisive action needed to protect journalists and salvage press freedom in Greece</w:t>
      </w:r>
      <w:r w:rsidRPr="009E316A">
        <w:t xml:space="preserve"> [Mordowani, inwigilowani i pozywani: potrzeba zdecydowanych działań, aby chronić dziennikarzy i uratować wolność prasy w Grecji], 27 września 2023 r.</w:t>
      </w:r>
    </w:p>
  </w:footnote>
  <w:footnote w:id="32">
    <w:p w:rsidR="00967A95" w:rsidRPr="009E316A" w:rsidRDefault="006C3DD2">
      <w:pPr>
        <w:pStyle w:val="FootnoteText"/>
        <w:rPr>
          <w:color w:val="0000FF"/>
          <w:u w:val="single" w:color="0000FF"/>
        </w:rPr>
      </w:pPr>
      <w:r w:rsidRPr="009E316A">
        <w:rPr>
          <w:rStyle w:val="FootnoteReference"/>
        </w:rPr>
        <w:footnoteRef/>
      </w:r>
      <w:r w:rsidRPr="009E316A">
        <w:t xml:space="preserve"> </w:t>
      </w:r>
      <w:hyperlink r:id="rId2" w:history="1">
        <w:r w:rsidRPr="009E316A">
          <w:rPr>
            <w:color w:val="0000FF"/>
            <w:u w:val="single" w:color="0000FF"/>
          </w:rPr>
          <w:t xml:space="preserve"> Rada Europy, Komitet Sterujący ds. Walki z Dyskryminacją, Różnorodności i Włączenia Społecznego, Przegląd tematyczny wdrożenia zalecenia CM/Rec(2010)5, 14 września 2023 r.</w:t>
        </w:r>
      </w:hyperlink>
      <w:hyperlink r:id="rId3" w:history="1">
        <w:r w:rsidRPr="009E316A">
          <w:rPr>
            <w:color w:val="0000FF"/>
            <w:u w:val="single" w:color="0000FF"/>
          </w:rPr>
          <w:t>Rada Europy, Europejska Komisja przeciwko Rasizmowi i Nietolerancji (ECRI), Zalecenie polityczne ECRI nr 17 w sprawie zapobiegania nietolerancji i dyskryminacji wobec osób LGBTI oraz zwalczania tych zjawisk, 28 września 2023 r.</w:t>
        </w:r>
      </w:hyperlink>
    </w:p>
  </w:footnote>
  <w:footnote w:id="33">
    <w:p w:rsidR="00967A95" w:rsidRPr="009E316A" w:rsidRDefault="006C3DD2">
      <w:pPr>
        <w:pStyle w:val="FootnoteText"/>
      </w:pPr>
      <w:r w:rsidRPr="009E316A">
        <w:rPr>
          <w:rStyle w:val="FootnoteReference"/>
        </w:rPr>
        <w:footnoteRef/>
      </w:r>
      <w:r w:rsidRPr="009E316A">
        <w:t xml:space="preserve"> Wyrok Trybunału Sprawiedliwości z dnia 5 czerwca 2018 r., odesłanie prejudycjalne na podstawie art. 267 TFUE skierowane przez Curtea Constituţională (Trybunał Konstytucyjny Rumunii), ECLI:EU:C:2018:385.</w:t>
      </w:r>
    </w:p>
  </w:footnote>
  <w:footnote w:id="34">
    <w:p w:rsidR="00967A95" w:rsidRPr="009E316A" w:rsidRDefault="006C3DD2">
      <w:pPr>
        <w:pStyle w:val="FootnoteText"/>
      </w:pPr>
      <w:r w:rsidRPr="009E316A">
        <w:rPr>
          <w:rStyle w:val="FootnoteReference"/>
        </w:rPr>
        <w:footnoteRef/>
      </w:r>
      <w:r w:rsidRPr="009E316A">
        <w:t xml:space="preserve"> Euractiv, </w:t>
      </w:r>
      <w:r w:rsidRPr="009E316A">
        <w:rPr>
          <w:rStyle w:val="Italic"/>
        </w:rPr>
        <w:t>Romanian LGBTQ+ community wants equal rights, not special conditions</w:t>
      </w:r>
      <w:r w:rsidRPr="009E316A">
        <w:t xml:space="preserve"> [Rumuńska społeczność LGBTQ+ chce równych praw, a nie specjalnych warunków], 22 września 2023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260D" w:rsidRDefault="00BD26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260D" w:rsidRDefault="00BD260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260D" w:rsidRDefault="00BD26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654581"/>
    <w:multiLevelType w:val="hybridMultilevel"/>
    <w:tmpl w:val="F16C6036"/>
    <w:lvl w:ilvl="0" w:tplc="81BC732E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3CB7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8003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E664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DA00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3E58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C2F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2837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60676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6C09CF"/>
    <w:multiLevelType w:val="hybridMultilevel"/>
    <w:tmpl w:val="0DAA9F68"/>
    <w:lvl w:ilvl="0" w:tplc="3DB478D0">
      <w:start w:val="1"/>
      <w:numFmt w:val="bullet"/>
      <w:pStyle w:val="Normal12a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265A970A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C41289E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072E41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FF467D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80492C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C64959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ECEC6E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9AE480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TXTNRPE" w:val="754.695"/>
    <w:docVar w:name="TXTPEorAP" w:val="PE"/>
    <w:docVar w:name="TXTVERSION" w:val="01-00"/>
  </w:docVars>
  <w:rsids>
    <w:rsidRoot w:val="00A77B3E"/>
    <w:rsid w:val="00324046"/>
    <w:rsid w:val="006C3DD2"/>
    <w:rsid w:val="00936755"/>
    <w:rsid w:val="00967A95"/>
    <w:rsid w:val="009E316A"/>
    <w:rsid w:val="00A77B3E"/>
    <w:rsid w:val="00BD260D"/>
    <w:rsid w:val="00CA2A55"/>
    <w:rsid w:val="00E4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C90FCC8-68EC-40E6-85D9-569C4F540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widowControl w:val="0"/>
    </w:pPr>
    <w:rPr>
      <w:snapToGrid w:val="0"/>
      <w:sz w:val="24"/>
      <w:lang w:eastAsia="en-US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Comma">
    <w:name w:val="EPComma"/>
    <w:basedOn w:val="Normal"/>
    <w:rsid w:val="006A5366"/>
    <w:pPr>
      <w:spacing w:before="480" w:after="240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TOCRight">
    <w:name w:val="TOC Right"/>
    <w:basedOn w:val="Normal"/>
    <w:rsid w:val="00E839D9"/>
    <w:pPr>
      <w:spacing w:after="240"/>
      <w:jc w:val="right"/>
    </w:pPr>
  </w:style>
  <w:style w:type="paragraph" w:customStyle="1" w:styleId="CoverDateRefPart">
    <w:name w:val="CoverDateRefPart"/>
    <w:basedOn w:val="Normal"/>
    <w:rsid w:val="00C5424C"/>
    <w:pPr>
      <w:spacing w:after="1200"/>
    </w:pPr>
  </w:style>
  <w:style w:type="paragraph" w:customStyle="1" w:styleId="EPName">
    <w:name w:val="EPName"/>
    <w:basedOn w:val="Normal"/>
    <w:rsid w:val="00D16E15"/>
    <w:pPr>
      <w:spacing w:before="80" w:after="80"/>
    </w:pPr>
    <w:rPr>
      <w:rFonts w:ascii="Arial Narrow" w:hAnsi="Arial Narrow" w:cs="Arial"/>
      <w:b/>
      <w:snapToGrid/>
      <w:sz w:val="32"/>
      <w:szCs w:val="22"/>
      <w:lang w:eastAsia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NormalBold">
    <w:name w:val="NormalBold"/>
    <w:basedOn w:val="Normal"/>
    <w:rsid w:val="006A5366"/>
    <w:rPr>
      <w:b/>
    </w:rPr>
  </w:style>
  <w:style w:type="paragraph" w:customStyle="1" w:styleId="CoverReference">
    <w:name w:val="CoverReference"/>
    <w:basedOn w:val="Normal"/>
    <w:rsid w:val="00791131"/>
    <w:pPr>
      <w:spacing w:before="1080"/>
      <w:jc w:val="right"/>
    </w:pPr>
    <w:rPr>
      <w:rFonts w:ascii="Arial" w:hAnsi="Arial" w:cs="Arial"/>
      <w:b/>
    </w:rPr>
  </w:style>
  <w:style w:type="paragraph" w:customStyle="1" w:styleId="CoverNormal24a">
    <w:name w:val="CoverNormal24a"/>
    <w:basedOn w:val="Normal"/>
    <w:rsid w:val="00D20BEB"/>
    <w:pPr>
      <w:spacing w:after="480"/>
      <w:ind w:left="1417"/>
    </w:pPr>
  </w:style>
  <w:style w:type="paragraph" w:styleId="TOC1">
    <w:name w:val="toc 1"/>
    <w:basedOn w:val="Normal"/>
    <w:next w:val="Normal"/>
    <w:autoRedefine/>
    <w:uiPriority w:val="39"/>
    <w:rsid w:val="00E57F92"/>
    <w:pPr>
      <w:spacing w:after="240"/>
    </w:pPr>
  </w:style>
  <w:style w:type="paragraph" w:customStyle="1" w:styleId="TOCPage">
    <w:name w:val="TOC Page"/>
    <w:basedOn w:val="Normal"/>
    <w:next w:val="TOC1"/>
    <w:rsid w:val="004302F8"/>
    <w:pPr>
      <w:keepNext/>
      <w:spacing w:after="24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F03FCA"/>
    <w:pPr>
      <w:spacing w:after="480"/>
      <w:ind w:left="1418"/>
    </w:pPr>
    <w:rPr>
      <w:rFonts w:ascii="Arial" w:hAnsi="Arial"/>
      <w:b/>
      <w:sz w:val="48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customStyle="1" w:styleId="NormalHanging12a">
    <w:name w:val="NormalHanging12a"/>
    <w:basedOn w:val="Normal"/>
    <w:rsid w:val="00572801"/>
    <w:pPr>
      <w:widowControl/>
      <w:spacing w:after="240"/>
      <w:ind w:left="567" w:hanging="567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customStyle="1" w:styleId="PageHeading">
    <w:name w:val="PageHeading"/>
    <w:basedOn w:val="Normal"/>
    <w:rsid w:val="00F03FCA"/>
    <w:pPr>
      <w:keepNext/>
      <w:spacing w:after="480"/>
      <w:jc w:val="center"/>
    </w:pPr>
    <w:rPr>
      <w:rFonts w:ascii="Arial" w:hAnsi="Arial" w:cs="Arial"/>
      <w:b/>
    </w:r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TOCSubHeading">
    <w:name w:val="TOC SubHeading"/>
    <w:basedOn w:val="Normal"/>
    <w:rsid w:val="00F03FCA"/>
    <w:pPr>
      <w:spacing w:before="480" w:after="240"/>
    </w:pPr>
    <w:rPr>
      <w:b/>
    </w:rPr>
  </w:style>
  <w:style w:type="paragraph" w:customStyle="1" w:styleId="TOCTabLeader">
    <w:name w:val="TOC TabLeader"/>
    <w:basedOn w:val="Normal"/>
    <w:rsid w:val="00E839D9"/>
    <w:pPr>
      <w:tabs>
        <w:tab w:val="left" w:leader="dot" w:pos="5954"/>
      </w:tabs>
      <w:spacing w:after="240"/>
    </w:pPr>
  </w:style>
  <w:style w:type="paragraph" w:customStyle="1" w:styleId="CoverNormalHanging">
    <w:name w:val="CoverNormalHanging"/>
    <w:basedOn w:val="Normal"/>
    <w:rsid w:val="00BF1100"/>
    <w:pPr>
      <w:ind w:left="3686" w:hanging="2268"/>
    </w:pPr>
  </w:style>
  <w:style w:type="paragraph" w:styleId="TOCHeading">
    <w:name w:val="TOC Heading"/>
    <w:basedOn w:val="Normal"/>
    <w:next w:val="TOCPage"/>
    <w:rsid w:val="007F2104"/>
    <w:pPr>
      <w:keepNext/>
      <w:spacing w:before="240" w:after="240"/>
      <w:jc w:val="center"/>
    </w:pPr>
    <w:rPr>
      <w:rFonts w:ascii="Arial" w:hAnsi="Arial"/>
      <w:b/>
      <w:snapToGrid/>
      <w:lang w:eastAsia="en-GB"/>
    </w:rPr>
  </w:style>
  <w:style w:type="table" w:styleId="TableGrid">
    <w:name w:val="Table Grid"/>
    <w:basedOn w:val="TableNormal"/>
    <w:rsid w:val="00F73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F03FCA"/>
    <w:pPr>
      <w:jc w:val="center"/>
    </w:pPr>
    <w:rPr>
      <w:rFonts w:ascii="Arial" w:hAnsi="Arial" w:cs="Arial"/>
      <w:i/>
      <w:snapToGrid/>
      <w:sz w:val="22"/>
      <w:szCs w:val="22"/>
      <w:lang w:eastAsia="en-GB"/>
    </w:rPr>
  </w:style>
  <w:style w:type="paragraph" w:customStyle="1" w:styleId="LineTop">
    <w:name w:val="LineTop"/>
    <w:basedOn w:val="Normal"/>
    <w:next w:val="Normal"/>
    <w:rsid w:val="00F732B6"/>
    <w:pPr>
      <w:pBdr>
        <w:top w:val="single" w:sz="4" w:space="1" w:color="auto"/>
      </w:pBdr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LineBottom">
    <w:name w:val="LineBottom"/>
    <w:basedOn w:val="Normal"/>
    <w:next w:val="Normal"/>
    <w:rsid w:val="00791131"/>
    <w:pPr>
      <w:pBdr>
        <w:bottom w:val="single" w:sz="4" w:space="1" w:color="auto"/>
      </w:pBdr>
      <w:spacing w:after="240"/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EPTerm">
    <w:name w:val="EPTerm"/>
    <w:basedOn w:val="Normal"/>
    <w:next w:val="Normal"/>
    <w:rsid w:val="00D16E15"/>
    <w:pPr>
      <w:spacing w:after="80"/>
    </w:pPr>
    <w:rPr>
      <w:rFonts w:ascii="Arial" w:hAnsi="Arial" w:cs="Arial"/>
      <w:snapToGrid/>
      <w:sz w:val="20"/>
      <w:szCs w:val="22"/>
      <w:lang w:eastAsia="en-GB"/>
    </w:rPr>
  </w:style>
  <w:style w:type="paragraph" w:customStyle="1" w:styleId="EPLogo">
    <w:name w:val="EPLogo"/>
    <w:basedOn w:val="Normal"/>
    <w:qFormat/>
    <w:rsid w:val="00D16E15"/>
    <w:pPr>
      <w:jc w:val="right"/>
    </w:pPr>
    <w:rPr>
      <w:snapToGrid/>
      <w:lang w:eastAsia="en-GB"/>
    </w:rPr>
  </w:style>
  <w:style w:type="paragraph" w:customStyle="1" w:styleId="CoverRefPart">
    <w:name w:val="CoverRefPart"/>
    <w:basedOn w:val="Normal"/>
    <w:rsid w:val="00577455"/>
    <w:pPr>
      <w:jc w:val="right"/>
    </w:pPr>
    <w:rPr>
      <w:rFonts w:ascii="Arial" w:hAnsi="Arial"/>
    </w:rPr>
  </w:style>
  <w:style w:type="paragraph" w:customStyle="1" w:styleId="Subheading">
    <w:name w:val="Subheading"/>
    <w:basedOn w:val="Normal"/>
    <w:rsid w:val="0065571D"/>
    <w:pPr>
      <w:spacing w:before="480" w:after="240"/>
    </w:pPr>
    <w:rPr>
      <w:b/>
      <w:bCs/>
      <w:i/>
      <w:iCs/>
    </w:rPr>
  </w:style>
  <w:style w:type="paragraph" w:customStyle="1" w:styleId="EPFooter">
    <w:name w:val="EPFooter"/>
    <w:basedOn w:val="Normal"/>
    <w:rsid w:val="007C663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semiHidden/>
    <w:rsid w:val="007C66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791131"/>
    <w:rPr>
      <w:snapToGrid w:val="0"/>
      <w:sz w:val="24"/>
      <w:lang w:eastAsia="en-US"/>
    </w:rPr>
  </w:style>
  <w:style w:type="character" w:styleId="PageNumber">
    <w:name w:val="page number"/>
    <w:basedOn w:val="DefaultParagraphFont"/>
    <w:semiHidden/>
    <w:rsid w:val="00131752"/>
  </w:style>
  <w:style w:type="paragraph" w:customStyle="1" w:styleId="AmColumnHeading">
    <w:name w:val="AmColumnHeading"/>
    <w:basedOn w:val="Normal"/>
    <w:rsid w:val="00B47478"/>
    <w:pPr>
      <w:spacing w:after="240"/>
      <w:jc w:val="center"/>
    </w:pPr>
    <w:rPr>
      <w:i/>
      <w:snapToGrid/>
      <w:lang w:eastAsia="en-GB"/>
    </w:rPr>
  </w:style>
  <w:style w:type="paragraph" w:customStyle="1" w:styleId="AmCrossRef">
    <w:name w:val="AmCrossRef"/>
    <w:basedOn w:val="Normal"/>
    <w:rsid w:val="00B47478"/>
    <w:pPr>
      <w:spacing w:before="240" w:after="240"/>
      <w:jc w:val="center"/>
    </w:pPr>
    <w:rPr>
      <w:i/>
      <w:snapToGrid/>
      <w:lang w:eastAsia="en-GB"/>
    </w:rPr>
  </w:style>
  <w:style w:type="paragraph" w:customStyle="1" w:styleId="AmJustText">
    <w:name w:val="AmJustText"/>
    <w:basedOn w:val="Normal"/>
    <w:rsid w:val="00B47478"/>
    <w:pPr>
      <w:spacing w:after="240"/>
    </w:pPr>
    <w:rPr>
      <w:i/>
      <w:snapToGrid/>
      <w:lang w:eastAsia="en-GB"/>
    </w:rPr>
  </w:style>
  <w:style w:type="paragraph" w:customStyle="1" w:styleId="AmJustTitle">
    <w:name w:val="AmJustTitle"/>
    <w:basedOn w:val="Normal"/>
    <w:next w:val="AmJustText"/>
    <w:rsid w:val="00B47478"/>
    <w:pPr>
      <w:keepNext/>
      <w:spacing w:before="240" w:after="240"/>
      <w:jc w:val="center"/>
    </w:pPr>
    <w:rPr>
      <w:i/>
      <w:snapToGrid/>
      <w:lang w:eastAsia="en-GB"/>
    </w:rPr>
  </w:style>
  <w:style w:type="paragraph" w:customStyle="1" w:styleId="AmNumberTabs">
    <w:name w:val="AmNumberTabs"/>
    <w:basedOn w:val="Normal"/>
    <w:rsid w:val="00B4747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napToGrid/>
      <w:lang w:eastAsia="en-GB"/>
    </w:rPr>
  </w:style>
  <w:style w:type="paragraph" w:customStyle="1" w:styleId="AmOrLang">
    <w:name w:val="AmOrLang"/>
    <w:basedOn w:val="Normal"/>
    <w:rsid w:val="00B47478"/>
    <w:pPr>
      <w:spacing w:before="240" w:after="240"/>
      <w:jc w:val="right"/>
    </w:pPr>
    <w:rPr>
      <w:snapToGrid/>
      <w:lang w:eastAsia="en-GB"/>
    </w:rPr>
  </w:style>
  <w:style w:type="paragraph" w:customStyle="1" w:styleId="AnnexWPDate">
    <w:name w:val="AnnexWPDate"/>
    <w:basedOn w:val="Normal"/>
    <w:rsid w:val="00B47478"/>
    <w:pPr>
      <w:spacing w:before="240" w:after="480"/>
      <w:jc w:val="right"/>
    </w:pPr>
    <w:rPr>
      <w:snapToGrid/>
      <w:lang w:eastAsia="en-GB"/>
    </w:rPr>
  </w:style>
  <w:style w:type="paragraph" w:customStyle="1" w:styleId="AnnexWPDocType">
    <w:name w:val="AnnexWPDocType"/>
    <w:basedOn w:val="Normal"/>
    <w:rsid w:val="00B47478"/>
    <w:pPr>
      <w:spacing w:after="240"/>
      <w:jc w:val="center"/>
    </w:pPr>
    <w:rPr>
      <w:b/>
      <w:snapToGrid/>
      <w:lang w:eastAsia="en-GB"/>
    </w:rPr>
  </w:style>
  <w:style w:type="paragraph" w:customStyle="1" w:styleId="AnnexWPLogo">
    <w:name w:val="AnnexWPLogo"/>
    <w:basedOn w:val="Normal"/>
    <w:rsid w:val="00B47478"/>
    <w:pPr>
      <w:spacing w:before="120" w:after="120"/>
    </w:pPr>
    <w:rPr>
      <w:snapToGrid/>
      <w:lang w:eastAsia="en-GB"/>
    </w:rPr>
  </w:style>
  <w:style w:type="paragraph" w:customStyle="1" w:styleId="AnnexWPSmall">
    <w:name w:val="AnnexWPSmall"/>
    <w:basedOn w:val="Normal"/>
    <w:rsid w:val="00B47478"/>
    <w:rPr>
      <w:smallCaps/>
      <w:snapToGrid/>
      <w:sz w:val="20"/>
      <w:lang w:eastAsia="en-GB"/>
    </w:rPr>
  </w:style>
  <w:style w:type="paragraph" w:customStyle="1" w:styleId="AnnexWPTabs">
    <w:name w:val="AnnexWPTabs"/>
    <w:basedOn w:val="Normal"/>
    <w:rsid w:val="00B47478"/>
    <w:pPr>
      <w:tabs>
        <w:tab w:val="right" w:pos="3686"/>
        <w:tab w:val="left" w:pos="3827"/>
      </w:tabs>
    </w:pPr>
    <w:rPr>
      <w:b/>
      <w:snapToGrid/>
      <w:lang w:eastAsia="en-GB"/>
    </w:rPr>
  </w:style>
  <w:style w:type="paragraph" w:customStyle="1" w:styleId="AnnexWPTitle">
    <w:name w:val="AnnexWPTitle"/>
    <w:basedOn w:val="Normal"/>
    <w:rsid w:val="00B47478"/>
    <w:pPr>
      <w:spacing w:before="480"/>
    </w:pPr>
    <w:rPr>
      <w:b/>
      <w:snapToGrid/>
      <w:lang w:eastAsia="en-GB"/>
    </w:rPr>
  </w:style>
  <w:style w:type="paragraph" w:customStyle="1" w:styleId="AmHeadingConsam">
    <w:name w:val="AmHeadingConsam"/>
    <w:basedOn w:val="Normal"/>
    <w:next w:val="Normal"/>
    <w:rsid w:val="00B47478"/>
    <w:pPr>
      <w:spacing w:before="720" w:after="240"/>
      <w:jc w:val="center"/>
    </w:pPr>
    <w:rPr>
      <w:snapToGrid/>
      <w:lang w:eastAsia="en-GB"/>
    </w:rPr>
  </w:style>
  <w:style w:type="paragraph" w:customStyle="1" w:styleId="CoverNormal12a">
    <w:name w:val="CoverNormal12a"/>
    <w:basedOn w:val="Normal"/>
    <w:rsid w:val="00B47478"/>
    <w:pPr>
      <w:spacing w:after="240"/>
      <w:ind w:left="1418"/>
    </w:pPr>
    <w:rPr>
      <w:snapToGrid/>
      <w:lang w:eastAsia="en-GB"/>
    </w:rPr>
  </w:style>
  <w:style w:type="paragraph" w:customStyle="1" w:styleId="Confidential">
    <w:name w:val="Confidential"/>
    <w:basedOn w:val="Normal"/>
    <w:rsid w:val="00B47478"/>
    <w:pPr>
      <w:spacing w:before="120" w:after="120"/>
      <w:jc w:val="center"/>
    </w:pPr>
    <w:rPr>
      <w:rFonts w:ascii="Arial" w:hAnsi="Arial"/>
      <w:caps/>
      <w:snapToGrid/>
      <w:lang w:eastAsia="en-GB"/>
    </w:rPr>
  </w:style>
  <w:style w:type="paragraph" w:customStyle="1" w:styleId="CoverReferenceIMM">
    <w:name w:val="CoverReferenceIMM"/>
    <w:basedOn w:val="Normal"/>
    <w:rsid w:val="00B47478"/>
    <w:pPr>
      <w:spacing w:before="360"/>
      <w:jc w:val="right"/>
    </w:pPr>
    <w:rPr>
      <w:rFonts w:ascii="Arial" w:hAnsi="Arial"/>
      <w:b/>
      <w:snapToGrid/>
      <w:lang w:eastAsia="en-GB"/>
    </w:rPr>
  </w:style>
  <w:style w:type="paragraph" w:customStyle="1" w:styleId="CoverDate">
    <w:name w:val="CoverDate"/>
    <w:basedOn w:val="Normal"/>
    <w:rsid w:val="00B47478"/>
    <w:pPr>
      <w:spacing w:before="240" w:after="1200"/>
    </w:pPr>
    <w:rPr>
      <w:snapToGrid/>
      <w:lang w:eastAsia="en-GB"/>
    </w:rPr>
  </w:style>
  <w:style w:type="paragraph" w:customStyle="1" w:styleId="CoverDocType">
    <w:name w:val="CoverDocType"/>
    <w:basedOn w:val="Normal"/>
    <w:rsid w:val="00B47478"/>
    <w:pPr>
      <w:ind w:left="1418"/>
    </w:pPr>
    <w:rPr>
      <w:rFonts w:ascii="Arial" w:hAnsi="Arial"/>
      <w:b/>
      <w:snapToGrid/>
      <w:sz w:val="48"/>
      <w:lang w:eastAsia="en-GB"/>
    </w:rPr>
  </w:style>
  <w:style w:type="character" w:styleId="FootnoteReference">
    <w:name w:val="footnote reference"/>
    <w:rsid w:val="00B47478"/>
    <w:rPr>
      <w:vertAlign w:val="superscript"/>
    </w:rPr>
  </w:style>
  <w:style w:type="paragraph" w:customStyle="1" w:styleId="NormalBold12a">
    <w:name w:val="NormalBold12a"/>
    <w:basedOn w:val="Normal"/>
    <w:rsid w:val="00B47478"/>
    <w:pPr>
      <w:spacing w:after="240"/>
    </w:pPr>
    <w:rPr>
      <w:b/>
      <w:snapToGrid/>
      <w:lang w:eastAsia="en-GB"/>
    </w:rPr>
  </w:style>
  <w:style w:type="paragraph" w:customStyle="1" w:styleId="NormalCenter12a">
    <w:name w:val="NormalCenter12a"/>
    <w:basedOn w:val="Normal"/>
    <w:rsid w:val="00B47478"/>
    <w:pPr>
      <w:spacing w:after="240"/>
      <w:jc w:val="center"/>
    </w:pPr>
    <w:rPr>
      <w:snapToGrid/>
      <w:lang w:eastAsia="en-GB"/>
    </w:rPr>
  </w:style>
  <w:style w:type="paragraph" w:customStyle="1" w:styleId="Normal6a">
    <w:name w:val="Normal6a"/>
    <w:basedOn w:val="Normal"/>
    <w:rsid w:val="00B47478"/>
    <w:pPr>
      <w:spacing w:after="120"/>
    </w:pPr>
    <w:rPr>
      <w:snapToGrid/>
      <w:lang w:eastAsia="en-GB"/>
    </w:rPr>
  </w:style>
  <w:style w:type="paragraph" w:customStyle="1" w:styleId="NormalBold12b">
    <w:name w:val="NormalBold12b"/>
    <w:basedOn w:val="Normal"/>
    <w:rsid w:val="00B47478"/>
    <w:pPr>
      <w:spacing w:before="240"/>
    </w:pPr>
    <w:rPr>
      <w:b/>
      <w:snapToGrid/>
      <w:lang w:eastAsia="en-GB"/>
    </w:rPr>
  </w:style>
  <w:style w:type="paragraph" w:customStyle="1" w:styleId="Arial14CentreBold">
    <w:name w:val="Arial14CentreBold"/>
    <w:basedOn w:val="Normal"/>
    <w:qFormat/>
    <w:rsid w:val="00A75A20"/>
    <w:pPr>
      <w:jc w:val="center"/>
    </w:pPr>
    <w:rPr>
      <w:rFonts w:ascii="Arial" w:hAnsi="Arial" w:cs="Arial"/>
      <w:b/>
      <w:snapToGrid/>
      <w:sz w:val="28"/>
      <w:szCs w:val="28"/>
      <w:lang w:eastAsia="en-GB"/>
    </w:rPr>
  </w:style>
  <w:style w:type="character" w:customStyle="1" w:styleId="Bold">
    <w:name w:val="Bold"/>
    <w:uiPriority w:val="1"/>
    <w:rsid w:val="0065571D"/>
    <w:rPr>
      <w:b/>
    </w:rPr>
  </w:style>
  <w:style w:type="character" w:customStyle="1" w:styleId="BoldItalic">
    <w:name w:val="BoldItalic"/>
    <w:uiPriority w:val="1"/>
    <w:rsid w:val="0065571D"/>
    <w:rPr>
      <w:b/>
      <w:i/>
      <w:u w:val="none"/>
    </w:rPr>
  </w:style>
  <w:style w:type="character" w:customStyle="1" w:styleId="BoldItalicUnderline">
    <w:name w:val="BoldItalicUnderline"/>
    <w:uiPriority w:val="1"/>
    <w:rsid w:val="0065571D"/>
    <w:rPr>
      <w:b/>
      <w:i/>
      <w:u w:val="single"/>
    </w:rPr>
  </w:style>
  <w:style w:type="character" w:customStyle="1" w:styleId="BoldUnderline">
    <w:name w:val="BoldUnderline"/>
    <w:uiPriority w:val="1"/>
    <w:rsid w:val="0065571D"/>
    <w:rPr>
      <w:b/>
      <w:u w:val="single"/>
    </w:rPr>
  </w:style>
  <w:style w:type="paragraph" w:customStyle="1" w:styleId="CoverNormalLeft">
    <w:name w:val="CoverNormalLeft"/>
    <w:basedOn w:val="CoverNormal"/>
    <w:qFormat/>
    <w:rsid w:val="00A75A20"/>
    <w:pPr>
      <w:ind w:left="0"/>
    </w:pPr>
    <w:rPr>
      <w:snapToGrid/>
      <w:lang w:eastAsia="en-GB"/>
    </w:rPr>
  </w:style>
  <w:style w:type="paragraph" w:customStyle="1" w:styleId="EPFooter2Landscape">
    <w:name w:val="EPFooter2Landscape"/>
    <w:qFormat/>
    <w:rsid w:val="00A75A20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character" w:customStyle="1" w:styleId="EPFooter2Motto">
    <w:name w:val="EPFooter2Motto"/>
    <w:uiPriority w:val="1"/>
    <w:qFormat/>
    <w:rsid w:val="002707F5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A75A20"/>
    <w:pPr>
      <w:tabs>
        <w:tab w:val="center" w:pos="6804"/>
        <w:tab w:val="right" w:pos="15026"/>
      </w:tabs>
    </w:pPr>
    <w:rPr>
      <w:sz w:val="22"/>
    </w:rPr>
  </w:style>
  <w:style w:type="character" w:customStyle="1" w:styleId="Italic">
    <w:name w:val="Italic"/>
    <w:uiPriority w:val="1"/>
    <w:rsid w:val="0065571D"/>
    <w:rPr>
      <w:i/>
    </w:rPr>
  </w:style>
  <w:style w:type="character" w:customStyle="1" w:styleId="ItalicUnderline">
    <w:name w:val="ItalicUnderline"/>
    <w:uiPriority w:val="1"/>
    <w:rsid w:val="0065571D"/>
    <w:rPr>
      <w:i/>
      <w:u w:val="single"/>
    </w:rPr>
  </w:style>
  <w:style w:type="paragraph" w:customStyle="1" w:styleId="LegendSign">
    <w:name w:val="LegendSign"/>
    <w:basedOn w:val="Normal"/>
    <w:qFormat/>
    <w:rsid w:val="00A75A20"/>
    <w:pPr>
      <w:tabs>
        <w:tab w:val="right" w:pos="454"/>
        <w:tab w:val="left" w:pos="737"/>
      </w:tabs>
      <w:ind w:left="737" w:hanging="737"/>
    </w:pPr>
    <w:rPr>
      <w:snapToGrid/>
      <w:sz w:val="18"/>
      <w:lang w:eastAsia="en-GB"/>
    </w:rPr>
  </w:style>
  <w:style w:type="paragraph" w:customStyle="1" w:styleId="LegendStandard">
    <w:name w:val="LegendStandard"/>
    <w:basedOn w:val="LegendSign"/>
    <w:qFormat/>
    <w:rsid w:val="00A75A20"/>
    <w:pPr>
      <w:ind w:left="0" w:firstLine="0"/>
    </w:pPr>
  </w:style>
  <w:style w:type="paragraph" w:customStyle="1" w:styleId="LegendTitle">
    <w:name w:val="LegendTitle"/>
    <w:basedOn w:val="Normal"/>
    <w:qFormat/>
    <w:rsid w:val="00A75A20"/>
    <w:pPr>
      <w:spacing w:before="240" w:after="240"/>
    </w:pPr>
    <w:rPr>
      <w:b/>
      <w:i/>
      <w:snapToGrid/>
      <w:lang w:eastAsia="en-GB"/>
    </w:rPr>
  </w:style>
  <w:style w:type="character" w:customStyle="1" w:styleId="HideTermComment">
    <w:name w:val="HideTermComment"/>
    <w:uiPriority w:val="1"/>
    <w:qFormat/>
    <w:rsid w:val="00A75A20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A75A20"/>
    <w:rPr>
      <w:rFonts w:ascii="Arial" w:hAnsi="Arial"/>
      <w:vanish/>
      <w:color w:val="538135" w:themeColor="accent6" w:themeShade="BF"/>
      <w:sz w:val="18"/>
    </w:rPr>
  </w:style>
  <w:style w:type="paragraph" w:customStyle="1" w:styleId="Normal12a">
    <w:name w:val="Normal12a"/>
    <w:basedOn w:val="Normal"/>
    <w:rsid w:val="00031EA2"/>
    <w:pPr>
      <w:spacing w:after="240"/>
    </w:pPr>
    <w:rPr>
      <w:snapToGrid/>
      <w:lang w:eastAsia="en-GB"/>
    </w:rPr>
  </w:style>
  <w:style w:type="paragraph" w:customStyle="1" w:styleId="Normal12b">
    <w:name w:val="Normal12b"/>
    <w:basedOn w:val="Normal"/>
    <w:qFormat/>
    <w:rsid w:val="00A75A20"/>
    <w:pPr>
      <w:spacing w:before="240"/>
    </w:pPr>
    <w:rPr>
      <w:snapToGrid/>
      <w:lang w:eastAsia="en-GB"/>
    </w:rPr>
  </w:style>
  <w:style w:type="paragraph" w:customStyle="1" w:styleId="NormalBoldUnderline24b">
    <w:name w:val="NormalBoldUnderline24b"/>
    <w:basedOn w:val="Normal"/>
    <w:qFormat/>
    <w:rsid w:val="001038F2"/>
    <w:pPr>
      <w:spacing w:before="480"/>
    </w:pPr>
    <w:rPr>
      <w:b/>
      <w:snapToGrid/>
      <w:u w:val="single"/>
      <w:lang w:eastAsia="en-GB"/>
    </w:rPr>
  </w:style>
  <w:style w:type="paragraph" w:customStyle="1" w:styleId="NormalBoldUnderline24b12a">
    <w:name w:val="NormalBoldUnderline24b12a"/>
    <w:basedOn w:val="NormalBoldUnderline24b"/>
    <w:qFormat/>
    <w:rsid w:val="00A75A20"/>
    <w:pPr>
      <w:spacing w:after="240"/>
    </w:pPr>
  </w:style>
  <w:style w:type="paragraph" w:customStyle="1" w:styleId="Normal12aBullet1">
    <w:name w:val="Normal12aBullet1"/>
    <w:basedOn w:val="Normal"/>
    <w:qFormat/>
    <w:rsid w:val="00A75A20"/>
    <w:pPr>
      <w:widowControl/>
      <w:numPr>
        <w:numId w:val="1"/>
      </w:numPr>
    </w:pPr>
    <w:rPr>
      <w:snapToGrid/>
      <w:lang w:eastAsia="en-GB"/>
    </w:rPr>
  </w:style>
  <w:style w:type="paragraph" w:customStyle="1" w:styleId="Normal12aBullet2">
    <w:name w:val="Normal12aBullet2"/>
    <w:basedOn w:val="Normal"/>
    <w:qFormat/>
    <w:rsid w:val="00A75A20"/>
    <w:pPr>
      <w:numPr>
        <w:numId w:val="2"/>
      </w:numPr>
    </w:pPr>
    <w:rPr>
      <w:snapToGrid/>
      <w:lang w:eastAsia="en-GB"/>
    </w:rPr>
  </w:style>
  <w:style w:type="paragraph" w:customStyle="1" w:styleId="NormalHanging12a1">
    <w:name w:val="NormalHanging12a1"/>
    <w:basedOn w:val="Normal"/>
    <w:qFormat/>
    <w:rsid w:val="00C668A5"/>
    <w:pPr>
      <w:spacing w:after="240"/>
      <w:ind w:left="992" w:hanging="425"/>
    </w:pPr>
    <w:rPr>
      <w:snapToGrid/>
      <w:lang w:eastAsia="en-GB"/>
    </w:rPr>
  </w:style>
  <w:style w:type="paragraph" w:customStyle="1" w:styleId="NormalHanging12a2">
    <w:name w:val="NormalHanging12a2"/>
    <w:basedOn w:val="NormalHanging12a1"/>
    <w:qFormat/>
    <w:rsid w:val="00A75A20"/>
    <w:pPr>
      <w:ind w:left="1417"/>
    </w:pPr>
  </w:style>
  <w:style w:type="paragraph" w:customStyle="1" w:styleId="NormalHanging12a3">
    <w:name w:val="NormalHanging12a3"/>
    <w:basedOn w:val="NormalHanging12a2"/>
    <w:qFormat/>
    <w:rsid w:val="00A75A20"/>
    <w:pPr>
      <w:ind w:left="1843"/>
    </w:pPr>
  </w:style>
  <w:style w:type="paragraph" w:customStyle="1" w:styleId="NormalHanging12a4">
    <w:name w:val="NormalHanging12a4"/>
    <w:basedOn w:val="NormalHanging12a3"/>
    <w:qFormat/>
    <w:rsid w:val="00A75A20"/>
    <w:pPr>
      <w:ind w:left="2268"/>
    </w:pPr>
  </w:style>
  <w:style w:type="paragraph" w:customStyle="1" w:styleId="NormalHanging12a5">
    <w:name w:val="NormalHanging12a5"/>
    <w:basedOn w:val="NormalHanging12a4"/>
    <w:qFormat/>
    <w:rsid w:val="00A75A20"/>
    <w:pPr>
      <w:ind w:left="2693"/>
    </w:pPr>
  </w:style>
  <w:style w:type="paragraph" w:customStyle="1" w:styleId="NormalHanging12a6">
    <w:name w:val="NormalHanging12a6"/>
    <w:basedOn w:val="NormalHanging12a5"/>
    <w:qFormat/>
    <w:rsid w:val="00A75A20"/>
    <w:pPr>
      <w:ind w:left="3118"/>
    </w:pPr>
  </w:style>
  <w:style w:type="paragraph" w:customStyle="1" w:styleId="NormalHanging12a7">
    <w:name w:val="NormalHanging12a7"/>
    <w:basedOn w:val="NormalHanging12a6"/>
    <w:qFormat/>
    <w:rsid w:val="00A75A20"/>
    <w:pPr>
      <w:ind w:left="3544"/>
    </w:pPr>
  </w:style>
  <w:style w:type="paragraph" w:customStyle="1" w:styleId="NormalHangingCenter">
    <w:name w:val="NormalHangingCenter"/>
    <w:basedOn w:val="Normal"/>
    <w:qFormat/>
    <w:rsid w:val="00BC0B6B"/>
    <w:pPr>
      <w:spacing w:after="240"/>
      <w:ind w:left="567" w:hanging="567"/>
      <w:jc w:val="center"/>
    </w:pPr>
    <w:rPr>
      <w:snapToGrid/>
      <w:lang w:eastAsia="en-GB"/>
    </w:rPr>
  </w:style>
  <w:style w:type="paragraph" w:customStyle="1" w:styleId="NormalHangingJustified">
    <w:name w:val="NormalHangingJustified"/>
    <w:basedOn w:val="Normal"/>
    <w:qFormat/>
    <w:rsid w:val="00BC0B6B"/>
    <w:pPr>
      <w:spacing w:after="240"/>
      <w:ind w:left="714" w:hanging="357"/>
      <w:jc w:val="both"/>
    </w:pPr>
    <w:rPr>
      <w:snapToGrid/>
      <w:lang w:eastAsia="en-GB"/>
    </w:rPr>
  </w:style>
  <w:style w:type="paragraph" w:customStyle="1" w:styleId="NormalUnderline24b12a">
    <w:name w:val="NormalUnderline24b12a"/>
    <w:basedOn w:val="EPComma"/>
    <w:qFormat/>
    <w:rsid w:val="00A75A20"/>
    <w:rPr>
      <w:snapToGrid/>
      <w:u w:val="single"/>
      <w:lang w:eastAsia="en-GB"/>
    </w:rPr>
  </w:style>
  <w:style w:type="paragraph" w:customStyle="1" w:styleId="Normal2">
    <w:name w:val="Normal2"/>
    <w:next w:val="Normal"/>
    <w:qFormat/>
    <w:rsid w:val="00A75A20"/>
    <w:pPr>
      <w:spacing w:line="120" w:lineRule="auto"/>
    </w:pPr>
    <w:rPr>
      <w:color w:val="000000"/>
      <w:sz w:val="4"/>
      <w:szCs w:val="24"/>
    </w:rPr>
  </w:style>
  <w:style w:type="character" w:customStyle="1" w:styleId="NormalBI">
    <w:name w:val="NormalBI"/>
    <w:basedOn w:val="DefaultParagraphFont"/>
    <w:uiPriority w:val="1"/>
    <w:qFormat/>
    <w:rsid w:val="00A75A20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A75A20"/>
    <w:rPr>
      <w:b/>
      <w:i/>
    </w:rPr>
  </w:style>
  <w:style w:type="paragraph" w:customStyle="1" w:styleId="NormalBoldItalicCenter6a">
    <w:name w:val="NormalBoldItalicCenter6a"/>
    <w:basedOn w:val="Normal6a"/>
    <w:qFormat/>
    <w:rsid w:val="00A75A20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A75A20"/>
    <w:rPr>
      <w:i/>
    </w:rPr>
  </w:style>
  <w:style w:type="paragraph" w:customStyle="1" w:styleId="PageHeadingNotTOC">
    <w:name w:val="PageHeadingNotTOC"/>
    <w:basedOn w:val="PageHeading"/>
    <w:rsid w:val="00A75A20"/>
    <w:rPr>
      <w:rFonts w:cs="Times New Roman"/>
      <w:snapToGrid/>
      <w:lang w:eastAsia="en-GB"/>
    </w:rPr>
  </w:style>
  <w:style w:type="character" w:customStyle="1" w:styleId="Sub">
    <w:name w:val="Sub"/>
    <w:uiPriority w:val="1"/>
    <w:qFormat/>
    <w:rsid w:val="0065571D"/>
    <w:rPr>
      <w:vertAlign w:val="subscript"/>
    </w:rPr>
  </w:style>
  <w:style w:type="character" w:customStyle="1" w:styleId="SubBold">
    <w:name w:val="SubBold"/>
    <w:uiPriority w:val="1"/>
    <w:qFormat/>
    <w:rsid w:val="0065571D"/>
    <w:rPr>
      <w:b/>
      <w:vertAlign w:val="subscript"/>
    </w:rPr>
  </w:style>
  <w:style w:type="character" w:customStyle="1" w:styleId="SubBoldItalic">
    <w:name w:val="SubBoldItalic"/>
    <w:uiPriority w:val="1"/>
    <w:rsid w:val="0065571D"/>
    <w:rPr>
      <w:b/>
      <w:i/>
      <w:vertAlign w:val="subscript"/>
    </w:rPr>
  </w:style>
  <w:style w:type="character" w:customStyle="1" w:styleId="SubItalic">
    <w:name w:val="SubItalic"/>
    <w:uiPriority w:val="1"/>
    <w:qFormat/>
    <w:rsid w:val="0065571D"/>
    <w:rPr>
      <w:b/>
      <w:i/>
      <w:vertAlign w:val="subscript"/>
    </w:rPr>
  </w:style>
  <w:style w:type="character" w:customStyle="1" w:styleId="Sup">
    <w:name w:val="Sup"/>
    <w:uiPriority w:val="1"/>
    <w:rsid w:val="0065571D"/>
    <w:rPr>
      <w:vertAlign w:val="superscript"/>
    </w:rPr>
  </w:style>
  <w:style w:type="character" w:customStyle="1" w:styleId="SupBoldItalic">
    <w:name w:val="SupBoldItalic"/>
    <w:uiPriority w:val="1"/>
    <w:qFormat/>
    <w:rsid w:val="0065571D"/>
    <w:rPr>
      <w:b/>
      <w:i/>
      <w:vertAlign w:val="superscript"/>
    </w:rPr>
  </w:style>
  <w:style w:type="character" w:customStyle="1" w:styleId="Underline">
    <w:name w:val="Underline"/>
    <w:uiPriority w:val="1"/>
    <w:rsid w:val="0065571D"/>
    <w:rPr>
      <w:u w:val="single"/>
    </w:rPr>
  </w:style>
  <w:style w:type="paragraph" w:customStyle="1" w:styleId="NormalBoldCenter">
    <w:name w:val="NormalBoldCenter"/>
    <w:basedOn w:val="Normal"/>
    <w:rsid w:val="00880359"/>
    <w:pPr>
      <w:jc w:val="center"/>
    </w:pPr>
    <w:rPr>
      <w:b/>
      <w:snapToGrid/>
      <w:lang w:eastAsia="en-GB"/>
    </w:rPr>
  </w:style>
  <w:style w:type="paragraph" w:customStyle="1" w:styleId="ProcedureTable">
    <w:name w:val="ProcedureTable"/>
    <w:basedOn w:val="Normal"/>
    <w:rsid w:val="008572D4"/>
    <w:rPr>
      <w:snapToGrid/>
      <w:sz w:val="20"/>
      <w:lang w:eastAsia="en-GB"/>
    </w:rPr>
  </w:style>
  <w:style w:type="paragraph" w:customStyle="1" w:styleId="ProcedureTableBold">
    <w:name w:val="ProcedureTableBold"/>
    <w:basedOn w:val="Normal"/>
    <w:rsid w:val="008572D4"/>
    <w:rPr>
      <w:b/>
      <w:snapToGrid/>
      <w:sz w:val="20"/>
      <w:lang w:eastAsia="en-GB"/>
    </w:rPr>
  </w:style>
  <w:style w:type="paragraph" w:customStyle="1" w:styleId="NormalCenter">
    <w:name w:val="NormalCenter"/>
    <w:basedOn w:val="Normal"/>
    <w:rsid w:val="00314D1A"/>
    <w:pPr>
      <w:jc w:val="center"/>
    </w:pPr>
    <w:rPr>
      <w:snapToGrid/>
      <w:lang w:eastAsia="en-GB"/>
    </w:rPr>
  </w:style>
  <w:style w:type="character" w:customStyle="1" w:styleId="SubBoldItalicUnderline">
    <w:name w:val="SubBoldItalicUnderline"/>
    <w:uiPriority w:val="1"/>
    <w:rsid w:val="0065571D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65571D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65571D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65571D"/>
    <w:rPr>
      <w:u w:val="single"/>
      <w:vertAlign w:val="subscript"/>
    </w:rPr>
  </w:style>
  <w:style w:type="character" w:customStyle="1" w:styleId="SupBold">
    <w:name w:val="SupBold"/>
    <w:uiPriority w:val="1"/>
    <w:rsid w:val="0065571D"/>
    <w:rPr>
      <w:b/>
      <w:vertAlign w:val="superscript"/>
    </w:rPr>
  </w:style>
  <w:style w:type="character" w:customStyle="1" w:styleId="SupBoldItalicUnderline">
    <w:name w:val="SupBoldItalicUnderline"/>
    <w:uiPriority w:val="1"/>
    <w:rsid w:val="0065571D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65571D"/>
    <w:rPr>
      <w:b/>
      <w:u w:val="single"/>
      <w:vertAlign w:val="superscript"/>
    </w:rPr>
  </w:style>
  <w:style w:type="character" w:customStyle="1" w:styleId="SupItalic">
    <w:name w:val="SupItalic"/>
    <w:uiPriority w:val="1"/>
    <w:rsid w:val="0065571D"/>
    <w:rPr>
      <w:i/>
      <w:vertAlign w:val="superscript"/>
    </w:rPr>
  </w:style>
  <w:style w:type="character" w:customStyle="1" w:styleId="SupItalicUnderline">
    <w:name w:val="SupItalicUnderline"/>
    <w:uiPriority w:val="1"/>
    <w:rsid w:val="0065571D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65571D"/>
    <w:rPr>
      <w:u w:val="single"/>
      <w:vertAlign w:val="superscript"/>
    </w:rPr>
  </w:style>
  <w:style w:type="paragraph" w:customStyle="1" w:styleId="Normal24a">
    <w:name w:val="Normal24a"/>
    <w:basedOn w:val="Normal"/>
    <w:rsid w:val="00B140D0"/>
    <w:pPr>
      <w:spacing w:after="480"/>
    </w:pPr>
    <w:rPr>
      <w:snapToGrid/>
      <w:lang w:eastAsia="en-GB"/>
    </w:rPr>
  </w:style>
  <w:style w:type="paragraph" w:customStyle="1" w:styleId="Normal12a24b">
    <w:name w:val="Normal12a24b"/>
    <w:basedOn w:val="Normal"/>
    <w:rsid w:val="00D46F6C"/>
    <w:pPr>
      <w:spacing w:before="360" w:after="240"/>
    </w:pPr>
  </w:style>
  <w:style w:type="paragraph" w:styleId="Footer">
    <w:name w:val="footer"/>
    <w:basedOn w:val="Normal"/>
    <w:link w:val="FooterChar"/>
    <w:semiHidden/>
    <w:unhideWhenUsed/>
    <w:rsid w:val="00BD260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BD260D"/>
    <w:rPr>
      <w:snapToGrid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search.coe.int/cm/Pages/result_details.aspx?Reference=CM/Rec(2010)5" TargetMode="External"/><Relationship Id="rId2" Type="http://schemas.openxmlformats.org/officeDocument/2006/relationships/hyperlink" Target="https://search.coe.int/cm/Pages/result_details.aspx?Reference=CM/Rec(2010)5" TargetMode="External"/><Relationship Id="rId1" Type="http://schemas.openxmlformats.org/officeDocument/2006/relationships/hyperlink" Target="https://www.europarl.europa.eu/committees/en/libe-democracy-rule-of-law-and-fundament/product-details/20190103CDT0266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4561</Words>
  <Characters>30520</Characters>
  <Application>Microsoft Office Word</Application>
  <DocSecurity>0</DocSecurity>
  <Lines>517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</vt:lpstr>
    </vt:vector>
  </TitlesOfParts>
  <Company/>
  <LinksUpToDate>false</LinksUpToDate>
  <CharactersWithSpaces>34942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e-Parliament@europarl.europa.eu</dc:creator>
  <cp:lastModifiedBy>WIERTLEWSKA Maria</cp:lastModifiedBy>
  <cp:revision>2</cp:revision>
  <dcterms:created xsi:type="dcterms:W3CDTF">2023-11-13T08:40:00Z</dcterms:created>
  <dcterms:modified xsi:type="dcterms:W3CDTF">2023-11-13T08:40:00Z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1287814</vt:lpwstr>
  </property>
  <property fmtid="{D5CDD505-2E9C-101B-9397-08002B2CF9AE}" pid="4" name="&lt;Model&gt;">
    <vt:lpwstr>PR_INI</vt:lpwstr>
  </property>
  <property fmtid="{D5CDD505-2E9C-101B-9397-08002B2CF9AE}" pid="5" name="&lt;Type&gt;">
    <vt:lpwstr>PR</vt:lpwstr>
  </property>
  <property fmtid="{D5CDD505-2E9C-101B-9397-08002B2CF9AE}" pid="6" name="DMXMLUID">
    <vt:lpwstr>20231031-173016-012605-124709</vt:lpwstr>
  </property>
  <property fmtid="{D5CDD505-2E9C-101B-9397-08002B2CF9AE}" pid="7" name="FooterPath">
    <vt:lpwstr>PR\1287814PL.docx</vt:lpwstr>
  </property>
  <property fmtid="{D5CDD505-2E9C-101B-9397-08002B2CF9AE}" pid="8" name="PE Number">
    <vt:lpwstr>754.695</vt:lpwstr>
  </property>
  <property fmtid="{D5CDD505-2E9C-101B-9397-08002B2CF9AE}" pid="9" name="UID">
    <vt:lpwstr>eu.europa.europarl-DIN1-2023-0000131083_01.06-en-01.00_text-xml</vt:lpwstr>
  </property>
  <property fmtid="{D5CDD505-2E9C-101B-9397-08002B2CF9AE}" pid="10" name="SDLStudio">
    <vt:lpwstr/>
  </property>
  <property fmtid="{D5CDD505-2E9C-101B-9397-08002B2CF9AE}" pid="11" name="Bookout">
    <vt:lpwstr>OK - 2023/11/13 09:40</vt:lpwstr>
  </property>
</Properties>
</file>