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4"/>
        <w:gridCol w:w="2488"/>
      </w:tblGrid>
      <w:tr w:rsidR="00A359E5" w:rsidRPr="00C75443">
        <w:trPr>
          <w:trHeight w:hRule="exact" w:val="1420"/>
        </w:trPr>
        <w:tc>
          <w:tcPr>
            <w:tcW w:w="6804" w:type="dxa"/>
            <w:vAlign w:val="center"/>
          </w:tcPr>
          <w:p w:rsidR="00967A95" w:rsidRPr="00C75443" w:rsidRDefault="003E73F3">
            <w:pPr>
              <w:pStyle w:val="EPName"/>
            </w:pPr>
            <w:r w:rsidRPr="00C75443">
              <w:t>Parlamento Europeu</w:t>
            </w:r>
          </w:p>
          <w:p w:rsidR="00967A95" w:rsidRPr="00C75443" w:rsidRDefault="003E73F3">
            <w:pPr>
              <w:pStyle w:val="EPTerm"/>
            </w:pPr>
            <w:r w:rsidRPr="00C75443">
              <w:t>2019</w:t>
            </w:r>
            <w:r>
              <w:noBreakHyphen/>
            </w:r>
            <w:r w:rsidRPr="00C75443">
              <w:t>2024</w:t>
            </w:r>
          </w:p>
        </w:tc>
        <w:tc>
          <w:tcPr>
            <w:tcW w:w="2488" w:type="dxa"/>
          </w:tcPr>
          <w:p w:rsidR="00967A95" w:rsidRPr="00C75443" w:rsidRDefault="003E73F3">
            <w:pPr>
              <w:pStyle w:val="EPLogo"/>
            </w:pPr>
            <w:r w:rsidRPr="00C75443">
              <w:rPr>
                <w:noProof/>
              </w:rPr>
              <w:drawing>
                <wp:inline distT="0" distB="0" distL="0" distR="0">
                  <wp:extent cx="1162812" cy="647954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967A95" w:rsidRPr="00C75443" w:rsidRDefault="00967A95">
      <w:pPr>
        <w:pStyle w:val="LineTop"/>
      </w:pPr>
    </w:p>
    <w:p w:rsidR="00967A95" w:rsidRPr="00C75443" w:rsidRDefault="003E73F3">
      <w:pPr>
        <w:pStyle w:val="EPBody"/>
      </w:pPr>
      <w:r w:rsidRPr="00C75443">
        <w:rPr>
          <w:rStyle w:val="HideTWBExt"/>
        </w:rPr>
        <w:t>&lt;Commission&gt;</w:t>
      </w:r>
      <w:r w:rsidRPr="00C75443">
        <w:rPr>
          <w:rStyle w:val="HideTWBInt"/>
          <w:color w:val="auto"/>
        </w:rPr>
        <w:t>{LIBE}</w:t>
      </w:r>
      <w:r w:rsidRPr="00C75443">
        <w:t>Comissão das Liberdades Cívicas, da Justiça e dos Assuntos Internos</w:t>
      </w:r>
      <w:r w:rsidRPr="00C75443">
        <w:rPr>
          <w:rStyle w:val="HideTWBExt"/>
        </w:rPr>
        <w:t>&lt;/Commission&gt;</w:t>
      </w:r>
    </w:p>
    <w:p w:rsidR="00967A95" w:rsidRPr="00C75443" w:rsidRDefault="00967A95">
      <w:pPr>
        <w:pStyle w:val="LineBottom"/>
      </w:pPr>
    </w:p>
    <w:p w:rsidR="00967A95" w:rsidRPr="00C75443" w:rsidRDefault="003E73F3">
      <w:pPr>
        <w:pStyle w:val="CoverReference"/>
      </w:pPr>
      <w:r w:rsidRPr="00C75443">
        <w:rPr>
          <w:rStyle w:val="HideTWBExt"/>
        </w:rPr>
        <w:t>&lt;RefProc&gt;</w:t>
      </w:r>
      <w:r w:rsidRPr="00C75443">
        <w:t>2023/2113</w:t>
      </w:r>
      <w:r w:rsidRPr="00C75443">
        <w:rPr>
          <w:rStyle w:val="HideTWBExt"/>
        </w:rPr>
        <w:t>&lt;/RefProc&gt;&lt;RefTypeProc&gt;</w:t>
      </w:r>
      <w:r w:rsidRPr="00C75443">
        <w:t>(INI)</w:t>
      </w:r>
      <w:r w:rsidRPr="00C75443">
        <w:rPr>
          <w:rStyle w:val="HideTWBExt"/>
        </w:rPr>
        <w:t>&lt;/RefTypeProc&gt;</w:t>
      </w:r>
    </w:p>
    <w:p w:rsidR="00967A95" w:rsidRPr="00C75443" w:rsidRDefault="003E73F3">
      <w:pPr>
        <w:pStyle w:val="CoverDate"/>
      </w:pPr>
      <w:r w:rsidRPr="00C75443">
        <w:rPr>
          <w:rStyle w:val="HideTWBExt"/>
        </w:rPr>
        <w:t>&lt;Date&gt;</w:t>
      </w:r>
      <w:r w:rsidRPr="00C75443">
        <w:rPr>
          <w:rStyle w:val="HideTWBInt"/>
          <w:color w:val="auto"/>
        </w:rPr>
        <w:t>{26/10/2023}</w:t>
      </w:r>
      <w:r w:rsidRPr="00C75443">
        <w:t>26.10.2023</w:t>
      </w:r>
      <w:r w:rsidRPr="00C75443">
        <w:rPr>
          <w:rStyle w:val="HideTWBExt"/>
        </w:rPr>
        <w:t>&lt;/Date&gt;</w:t>
      </w:r>
    </w:p>
    <w:p w:rsidR="00967A95" w:rsidRPr="00C75443" w:rsidRDefault="003E73F3">
      <w:pPr>
        <w:pStyle w:val="CoverDocType24a"/>
      </w:pPr>
      <w:r w:rsidRPr="00C75443">
        <w:rPr>
          <w:rStyle w:val="HideTWBExt"/>
        </w:rPr>
        <w:t>&lt;TitreType&gt;</w:t>
      </w:r>
      <w:r w:rsidRPr="00C75443">
        <w:t xml:space="preserve">PROJETO DE </w:t>
      </w:r>
      <w:r w:rsidRPr="00C75443">
        <w:t>RELATÓRIO</w:t>
      </w:r>
      <w:r w:rsidRPr="00C75443">
        <w:rPr>
          <w:rStyle w:val="HideTWBExt"/>
        </w:rPr>
        <w:t>&lt;/TitreType&gt;</w:t>
      </w:r>
    </w:p>
    <w:p w:rsidR="00967A95" w:rsidRPr="00C75443" w:rsidRDefault="003E73F3">
      <w:pPr>
        <w:pStyle w:val="CoverNormal"/>
      </w:pPr>
      <w:r w:rsidRPr="00C75443">
        <w:rPr>
          <w:rStyle w:val="HideTWBExt"/>
        </w:rPr>
        <w:t>&lt;Titre&gt;</w:t>
      </w:r>
      <w:r w:rsidRPr="00C75443">
        <w:t>sobre o relatório de 2023 da Comissão sobre o Estado de Direito</w:t>
      </w:r>
      <w:r w:rsidRPr="00C75443">
        <w:rPr>
          <w:rStyle w:val="HideTWBExt"/>
        </w:rPr>
        <w:t>&lt;/Titre&gt;</w:t>
      </w:r>
    </w:p>
    <w:p w:rsidR="00967A95" w:rsidRPr="00C75443" w:rsidRDefault="003E73F3">
      <w:pPr>
        <w:pStyle w:val="CoverNormal24a"/>
      </w:pPr>
      <w:r w:rsidRPr="00C75443">
        <w:rPr>
          <w:rStyle w:val="HideTWBExt"/>
        </w:rPr>
        <w:t>&lt;DocRef&gt;</w:t>
      </w:r>
      <w:r w:rsidRPr="00C75443">
        <w:t>(2023/2113(INI))</w:t>
      </w:r>
      <w:r w:rsidRPr="00C75443">
        <w:rPr>
          <w:rStyle w:val="HideTWBExt"/>
        </w:rPr>
        <w:t>&lt;/DocRef&gt;</w:t>
      </w:r>
    </w:p>
    <w:p w:rsidR="00967A95" w:rsidRPr="00C75443" w:rsidRDefault="003E73F3">
      <w:pPr>
        <w:pStyle w:val="CoverNormal24a"/>
      </w:pPr>
      <w:r w:rsidRPr="00C75443">
        <w:rPr>
          <w:rStyle w:val="HideTWBExt"/>
        </w:rPr>
        <w:t>&lt;Commission&gt;</w:t>
      </w:r>
      <w:r w:rsidRPr="00C75443">
        <w:rPr>
          <w:rStyle w:val="HideTWBInt"/>
          <w:color w:val="auto"/>
        </w:rPr>
        <w:t>{LIBE}</w:t>
      </w:r>
      <w:r w:rsidRPr="00C75443">
        <w:t>Comissão das Liberdades Cívicas, da Justiça e dos Assuntos Internos</w:t>
      </w:r>
      <w:r w:rsidRPr="00C75443">
        <w:rPr>
          <w:rStyle w:val="HideTWBExt"/>
        </w:rPr>
        <w:t>&lt;/Commission&gt;</w:t>
      </w:r>
    </w:p>
    <w:p w:rsidR="00967A95" w:rsidRPr="00C75443" w:rsidRDefault="003E73F3">
      <w:pPr>
        <w:pStyle w:val="CoverNormal24a"/>
      </w:pPr>
      <w:r w:rsidRPr="00C75443">
        <w:t xml:space="preserve">Relatora: </w:t>
      </w:r>
      <w:r w:rsidRPr="00C75443">
        <w:rPr>
          <w:rStyle w:val="HideTWBExt"/>
        </w:rPr>
        <w:t>&lt;Depute&gt;</w:t>
      </w:r>
      <w:r w:rsidRPr="00C75443">
        <w:t>Soph</w:t>
      </w:r>
      <w:r w:rsidRPr="00C75443">
        <w:t>ia in 't Veld</w:t>
      </w:r>
      <w:r w:rsidRPr="00C75443">
        <w:rPr>
          <w:rStyle w:val="HideTWBExt"/>
        </w:rPr>
        <w:t>&lt;/Depute&gt;</w:t>
      </w:r>
    </w:p>
    <w:p w:rsidR="00967A95" w:rsidRPr="00C75443" w:rsidRDefault="003E73F3">
      <w:pPr>
        <w:pStyle w:val="CoverNormal24a"/>
      </w:pPr>
      <w:r w:rsidRPr="00C75443">
        <w:t>Relator do parecer da comissão associada, nos termos do artigo 57.º do Regimento:</w:t>
      </w:r>
      <w:r w:rsidRPr="00C75443">
        <w:br/>
        <w:t>Adrián Vázquez Lázara, da Comissão dos Assuntos Jurídicos</w:t>
      </w:r>
    </w:p>
    <w:p w:rsidR="00967A95" w:rsidRPr="00C75443" w:rsidRDefault="003E73F3">
      <w:r w:rsidRPr="00C75443">
        <w:br w:type="page"/>
      </w:r>
      <w:r w:rsidRPr="00C75443">
        <w:lastRenderedPageBreak/>
        <w:t>PR_INI</w:t>
      </w:r>
    </w:p>
    <w:p w:rsidR="00967A95" w:rsidRPr="00C75443" w:rsidRDefault="003E73F3">
      <w:pPr>
        <w:pStyle w:val="TOCHeading"/>
      </w:pPr>
      <w:r w:rsidRPr="00C75443">
        <w:t>ÍNDICE</w:t>
      </w:r>
    </w:p>
    <w:p w:rsidR="00967A95" w:rsidRPr="00C75443" w:rsidRDefault="003E73F3">
      <w:pPr>
        <w:pStyle w:val="TOCPage"/>
      </w:pPr>
      <w:r w:rsidRPr="00C75443">
        <w:t>Página</w:t>
      </w:r>
    </w:p>
    <w:p w:rsidR="003E73F3" w:rsidRDefault="003E73F3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napToGrid/>
          <w:sz w:val="22"/>
          <w:szCs w:val="22"/>
          <w:lang w:val="en-GB" w:eastAsia="en-GB"/>
        </w:rPr>
      </w:pPr>
      <w:r w:rsidRPr="00C75443">
        <w:fldChar w:fldCharType="begin"/>
      </w:r>
      <w:r w:rsidRPr="00C75443">
        <w:instrText>TOC \t "PageHeading"</w:instrText>
      </w:r>
      <w:r w:rsidRPr="00C75443">
        <w:fldChar w:fldCharType="separate"/>
      </w:r>
      <w:r>
        <w:rPr>
          <w:noProof/>
        </w:rPr>
        <w:t>PROPOSTA DE RESOLUÇÃO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_Toc150760447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A95" w:rsidRPr="00C75443" w:rsidRDefault="003E73F3">
      <w:pPr>
        <w:pStyle w:val="Normal12b"/>
      </w:pPr>
      <w:r w:rsidRPr="00C75443">
        <w:fldChar w:fldCharType="end"/>
      </w:r>
    </w:p>
    <w:p w:rsidR="00967A95" w:rsidRPr="00C75443" w:rsidRDefault="00967A95">
      <w:pPr>
        <w:pStyle w:val="CoverNormalLeft"/>
      </w:pPr>
    </w:p>
    <w:p w:rsidR="00967A95" w:rsidRPr="00C75443" w:rsidRDefault="003E73F3">
      <w:pPr>
        <w:pStyle w:val="CoverNormalLeft"/>
        <w:sectPr w:rsidR="00967A95" w:rsidRPr="00C75443" w:rsidSect="00C7544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space="708"/>
          <w:titlePg/>
          <w:docGrid w:linePitch="360"/>
        </w:sectPr>
      </w:pPr>
      <w:r w:rsidRPr="00C75443">
        <w:br w:type="page"/>
      </w:r>
    </w:p>
    <w:p w:rsidR="00967A95" w:rsidRPr="00C75443" w:rsidRDefault="003E73F3">
      <w:pPr>
        <w:pStyle w:val="PageHeading"/>
      </w:pPr>
      <w:bookmarkStart w:id="1" w:name="_Toc150760447"/>
      <w:r w:rsidRPr="00C75443">
        <w:lastRenderedPageBreak/>
        <w:t>PROPOSTA DE RESOLUÇÃO DO PARLAMENTO EUROPEU</w:t>
      </w:r>
      <w:bookmarkEnd w:id="1"/>
    </w:p>
    <w:p w:rsidR="00967A95" w:rsidRPr="00C75443" w:rsidRDefault="003E73F3">
      <w:pPr>
        <w:pStyle w:val="NormalBold"/>
      </w:pPr>
      <w:r w:rsidRPr="00C75443">
        <w:t>sobre o relatório de 2023 da Comissão sobre o Estado de Direito</w:t>
      </w:r>
    </w:p>
    <w:p w:rsidR="00967A95" w:rsidRPr="00C75443" w:rsidRDefault="003E73F3">
      <w:pPr>
        <w:pStyle w:val="NormalBold"/>
      </w:pPr>
      <w:r w:rsidRPr="00C75443">
        <w:t>(2023/2113(INI))</w:t>
      </w:r>
    </w:p>
    <w:p w:rsidR="00967A95" w:rsidRPr="00C75443" w:rsidRDefault="003E73F3">
      <w:pPr>
        <w:pStyle w:val="EPComma"/>
      </w:pPr>
      <w:r w:rsidRPr="00C75443">
        <w:rPr>
          <w:rStyle w:val="Italic"/>
        </w:rPr>
        <w:t>O Parlamento Europeu</w:t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contra o Tratado da União Europeia (TUE), em particular o artigo 2.º, o</w:t>
      </w:r>
      <w:r w:rsidRPr="00C75443">
        <w:t xml:space="preserve"> artigo 3.º, n.ºs 1 e 3, segundo parágrafo, o artigo 4.º, n.º 3, e os artigos 5.º, 6.º, 7.º, 11.º, 19.º e 49.º,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o Tratado sobre o Funcionamento da União Europeia, em particular os artigos relativos ao respeito, à proteção e à promoção da d</w:t>
      </w:r>
      <w:r w:rsidRPr="00C75443">
        <w:t>emocracia, do Estado de direito e dos direitos fundamentais na União, especificamente os artigos 70.º, 258.º, 259.º, 260.º, 263.º, 265.º e 267.º,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Carta dos Direitos Fundamentais da União Europeia,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jurisprudência do Tri</w:t>
      </w:r>
      <w:r w:rsidRPr="00C75443">
        <w:t>bunal de Justiça da União Europeia,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Comunicação da Comissão, de 5 de julho de 2023, sobre o relatório de 2023 sobre o Estado de Direito – Situação na União Europeia (COM(2023)0800),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conta o Regulamento (UE, Euratom) 2020/2092 </w:t>
      </w:r>
      <w:r w:rsidRPr="00C75443">
        <w:t>do Parlamento Europeu e do Conselho, de 16 de dezembro de 2020, relativo a um regime geral de condicionalidade para a proteção do orçamento da União</w:t>
      </w:r>
      <w:r w:rsidRPr="00C75443">
        <w:rPr>
          <w:rStyle w:val="FootnoteReference"/>
        </w:rPr>
        <w:footnoteReference w:id="1"/>
      </w:r>
      <w:r w:rsidRPr="00C75443">
        <w:t xml:space="preserve"> («Regulamento Condicionalidade do Estado de direito»),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o Regulamento (UE) 2021/692 do Par</w:t>
      </w:r>
      <w:r w:rsidRPr="00C75443">
        <w:t>lamento Europeu e do Conselho, de 28 de abril de 2021, que cria o Programa Cidadãos, Igualdade, Direitos e Valores e que revoga o Regulamento (UE) n.º 1381/2013 do Parlamento Europeu e do Conselho e o Regulamento (UE) n.º 390/2014 do Conselho</w:t>
      </w:r>
      <w:r w:rsidRPr="00C75443">
        <w:rPr>
          <w:rStyle w:val="FootnoteReference"/>
        </w:rPr>
        <w:footnoteReference w:id="2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</w:t>
      </w:r>
      <w:r w:rsidRPr="00C75443">
        <w:t>conta a Declaração Universal dos Direitos Humanos,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os instrumentos das Nações Unidas em matéria de proteção dos direitos humanos e das liberdades fundamentais, as recomendações e os relatórios do Exame Periódico Universal das Nações Unidas</w:t>
      </w:r>
      <w:r w:rsidRPr="00C75443">
        <w:t>, bem como a jurisprudência dos órgãos instituídos pelos tratados das Nações Unidas e os procedimentos especiais do Conselho dos Direitos Humanos,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as recomendações e os relatórios do Gabinete das Instituições Democráticas e dos Direitos Hu</w:t>
      </w:r>
      <w:r w:rsidRPr="00C75443">
        <w:t>manos, do alto</w:t>
      </w:r>
      <w:r>
        <w:noBreakHyphen/>
      </w:r>
      <w:r w:rsidRPr="00C75443">
        <w:t>comissário para as Minorias Nacionais, do representante para a Liberdade dos Meios de Comunicação Social e de outros órgãos da Organização para a Segurança e a Cooperação na Europa (OSCE),</w:t>
      </w:r>
    </w:p>
    <w:p w:rsidR="00967A95" w:rsidRPr="00C75443" w:rsidRDefault="003E73F3">
      <w:pPr>
        <w:pStyle w:val="NormalHanging12a"/>
      </w:pPr>
      <w:r w:rsidRPr="00C75443">
        <w:lastRenderedPageBreak/>
        <w:t>–</w:t>
      </w:r>
      <w:r w:rsidRPr="00C75443">
        <w:tab/>
        <w:t>Tendo em conta a Convenção Europeia para a Proteçã</w:t>
      </w:r>
      <w:r w:rsidRPr="00C75443">
        <w:t xml:space="preserve">o dos Direitos do Humanos e das Liberdades Fundamentais, a Carta Social Europeia, a jurisprudência do Tribunal Europeu dos Direitos Humanos e o Comité Europeu dos Direitos Sociais, bem como as convenções, as recomendações, as resoluções, os pareceres e os </w:t>
      </w:r>
      <w:r w:rsidRPr="00C75443">
        <w:t>relatórios da Assembleia Parlamentar, do Comité de Ministros, do comissário para os Direitos Humanos, da Comissão Europeia contra o Racismo e a Intolerância, do Comité Diretor para a Luta contra a Discriminação, a Diversidade e a Inclusão, da Comissão de V</w:t>
      </w:r>
      <w:r w:rsidRPr="00C75443">
        <w:t>eneza e de outros organismos do Conselho da Europa,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o «Memorando de Entendimento entre o Conselho da Europa e a União Europeia», de 23 de maio de 2007 e as Conclusões do Conselho, de 8 de julho de 2020, sobre as prioridades da UE para a co</w:t>
      </w:r>
      <w:r w:rsidRPr="00C75443">
        <w:t>operação com o Conselho da Europa em 2020</w:t>
      </w:r>
      <w:r>
        <w:noBreakHyphen/>
      </w:r>
      <w:r w:rsidRPr="00C75443">
        <w:t>2022,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proposta fundamentada da Comissão, de 20 de dezembro de 2017, de decisão do Conselho relativa à verificação da existência de um risco manifesto de violação grave, pela República da Polónia,</w:t>
      </w:r>
      <w:r w:rsidRPr="00C75443">
        <w:t xml:space="preserve"> do Estado de direito (COM(2017)0835), emitida nos termos do artigo 7.º, n.º 1, do TUE,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os relatórios da Agência dos Direitos Fundamentais da União Europeia (FRA), de 19 de julho de 2022, intitulado «A sociedade civil europeia: ainda sob p</w:t>
      </w:r>
      <w:r w:rsidRPr="00C75443">
        <w:t>ressão», de 8 de junho de 2022, intitulado «Relatório de 2020 sobre os Direitos Fundamentais», de 19 de agosto de 2022, intitulado «A proteção do espaço cívico na UE» e, de 3 de novembro de 2022, intitulado «Antissemitismo: panorâmica dos incidentes antiss</w:t>
      </w:r>
      <w:r w:rsidRPr="00C75443">
        <w:t>emitas registados na União Europeia entre 2011 e 2021», bem como os outros relatórios, dados e instrumentos, em particular o Sistema de Informação da União Europeia sobre Direitos Fundamentais (EFRIS),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conta a sua resolução, de 25 de outubro de </w:t>
      </w:r>
      <w:r w:rsidRPr="00C75443">
        <w:t>2016, que contém recomendações à Comissão sobre a criação de um mecanismo da UE para a democracia, o Estado de direito e os direitos fundamentais</w:t>
      </w:r>
      <w:r w:rsidRPr="00C75443">
        <w:rPr>
          <w:rStyle w:val="FootnoteReference"/>
        </w:rPr>
        <w:footnoteReference w:id="3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 de março de 2018, sobre a decisão da Comissão de ativar o artigo 7.º,</w:t>
      </w:r>
      <w:r w:rsidRPr="00C75443">
        <w:t xml:space="preserve"> n.º 1, do TUE no que respeita à situação na Polónia</w:t>
      </w:r>
      <w:r w:rsidRPr="00C75443">
        <w:rPr>
          <w:rStyle w:val="FootnoteReference"/>
        </w:rPr>
        <w:footnoteReference w:id="4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19 de abril de 2018, sobre a necessidade de criar um Instrumento de Valores Europeus para apoiar as organizações da sociedade civil que promovem os valores fundamen</w:t>
      </w:r>
      <w:r w:rsidRPr="00C75443">
        <w:t>tais na União Europeia a nível local e nacional</w:t>
      </w:r>
      <w:r w:rsidRPr="00C75443">
        <w:rPr>
          <w:rStyle w:val="FootnoteReference"/>
        </w:rPr>
        <w:footnoteReference w:id="5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conta a sua resolução, de 12 de setembro de 2018 sobre uma proposta solicitando ao Conselho que, nos termos do artigo 7.º, n.º 1, do TUE, verifique a existência de um risco manifesto de violação </w:t>
      </w:r>
      <w:r w:rsidRPr="00C75443">
        <w:t>grave pela Hungria dos valores em que a União assenta</w:t>
      </w:r>
      <w:r w:rsidRPr="00C75443">
        <w:rPr>
          <w:rStyle w:val="FootnoteReference"/>
        </w:rPr>
        <w:footnoteReference w:id="6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lastRenderedPageBreak/>
        <w:t>–</w:t>
      </w:r>
      <w:r w:rsidRPr="00C75443">
        <w:tab/>
        <w:t>Tendo em conta a sua resolução, de 14 de novembro de 2018, sobre a necessidade de um mecanismo abrangente da UE para a proteção da democracia, do primado do Direito e dos direitos fundamentais</w:t>
      </w:r>
      <w:r w:rsidRPr="00C75443">
        <w:rPr>
          <w:rStyle w:val="FootnoteReference"/>
        </w:rPr>
        <w:footnoteReference w:id="7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</w:t>
      </w:r>
      <w:r w:rsidRPr="00C75443">
        <w:t>endo em conta a sua resolução, de 7 de outubro de 2020, sobre a criação de um mecanismo da UE para a democracia, o Estado de direito e os direitos fundamentais</w:t>
      </w:r>
      <w:r w:rsidRPr="00C75443">
        <w:rPr>
          <w:rStyle w:val="FootnoteReference"/>
        </w:rPr>
        <w:footnoteReference w:id="8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13 de novembro de 2020, sobre o impacto das medidas de re</w:t>
      </w:r>
      <w:r w:rsidRPr="00C75443">
        <w:t>sposta à COVID</w:t>
      </w:r>
      <w:r>
        <w:noBreakHyphen/>
      </w:r>
      <w:r w:rsidRPr="00C75443">
        <w:t>19 na democracia, no Estado de direito e nos direitos fundamentais</w:t>
      </w:r>
      <w:r w:rsidRPr="00C75443">
        <w:rPr>
          <w:rStyle w:val="FootnoteReference"/>
        </w:rPr>
        <w:footnoteReference w:id="9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10 de junho de 2021, sobre a situação do Estado de direito na União Europeia e a aplicação do Regulamento relativo à condicionalidade (</w:t>
      </w:r>
      <w:r w:rsidRPr="00C75443">
        <w:t>UE, Euratom) 2020/2092</w:t>
      </w:r>
      <w:r w:rsidRPr="00C75443">
        <w:rPr>
          <w:rStyle w:val="FootnoteReference"/>
        </w:rPr>
        <w:footnoteReference w:id="10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24 de junho de 2021, sobre o relatório de 2020, da Comissão, sobre o Estado de Direito</w:t>
      </w:r>
      <w:r w:rsidRPr="00C75443">
        <w:rPr>
          <w:rStyle w:val="FootnoteReference"/>
        </w:rPr>
        <w:footnoteReference w:id="11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conta a sua resolução de 8 de julho de 2021 sobre a criação de diretrizes para a aplicação do </w:t>
      </w:r>
      <w:r w:rsidRPr="00C75443">
        <w:t>regime geral de condicionalidade para a proteção do orçamento da União</w:t>
      </w:r>
      <w:r w:rsidRPr="00C75443">
        <w:rPr>
          <w:rStyle w:val="FootnoteReference"/>
        </w:rPr>
        <w:footnoteReference w:id="12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11 de novembro de 2021, sobre o reforço da democracia e da liberdade e do pluralismo dos meios de comunicação social na UE: recurso abusivo a açõe</w:t>
      </w:r>
      <w:r w:rsidRPr="00C75443">
        <w:t>s a título do direito civil e penal para silenciar jornalistas, ONG e a sociedade civil</w:t>
      </w:r>
      <w:r w:rsidRPr="00C75443">
        <w:rPr>
          <w:rStyle w:val="FootnoteReference"/>
        </w:rPr>
        <w:footnoteReference w:id="13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15 de dezembro de 2021, sobre a avaliação de medidas preventivas para evitar a corrupção, despesas irregulares e a utilização ind</w:t>
      </w:r>
      <w:r w:rsidRPr="00C75443">
        <w:t>evida de fundos nacionais e da UE no caso de fundos de emergência e de domínios de despesas relacionados com crises</w:t>
      </w:r>
      <w:r w:rsidRPr="00C75443">
        <w:rPr>
          <w:rStyle w:val="FootnoteReference"/>
        </w:rPr>
        <w:footnoteReference w:id="14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8 de março de 2022, sobre a redução do espaço reservado à sociedade civil na Europa</w:t>
      </w:r>
      <w:r w:rsidRPr="00C75443">
        <w:rPr>
          <w:rStyle w:val="FootnoteReference"/>
        </w:rPr>
        <w:footnoteReference w:id="15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</w:t>
      </w:r>
      <w:r w:rsidRPr="00C75443">
        <w:t>a a sua resolução, de 10 de março de 2022, sobre o Estado de direito e as consequências do acórdão do TJUE</w:t>
      </w:r>
      <w:r w:rsidRPr="00C75443">
        <w:rPr>
          <w:rStyle w:val="FootnoteReference"/>
        </w:rPr>
        <w:footnoteReference w:id="16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19 de maio de 2022, sobre o relatório de 2021 da Comissão sobre o Estado de Direito</w:t>
      </w:r>
      <w:r w:rsidRPr="00C75443">
        <w:rPr>
          <w:rStyle w:val="FootnoteReference"/>
        </w:rPr>
        <w:footnoteReference w:id="17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lastRenderedPageBreak/>
        <w:t>–</w:t>
      </w:r>
      <w:r w:rsidRPr="00C75443">
        <w:tab/>
        <w:t>Tendo em conta a sua r</w:t>
      </w:r>
      <w:r w:rsidRPr="00C75443">
        <w:t>esolução, de 9 de junho de 2022, sobre o Estado de direito e a eventual aprovação do plano nacional de recuperação da Polónia (MRR)</w:t>
      </w:r>
      <w:r w:rsidRPr="00C75443">
        <w:rPr>
          <w:rStyle w:val="FootnoteReference"/>
        </w:rPr>
        <w:footnoteReference w:id="18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15 de setembro de 2020, sobre a proposta de decisão do Conselho relativa à verificaçã</w:t>
      </w:r>
      <w:r w:rsidRPr="00C75443">
        <w:t>o, nos termos do artigo 7.º, n.º 1, do Tratado da União Europeia, da existência de um risco manifesto de violação grave, pela Hungria, dos valores em que a União se funda</w:t>
      </w:r>
      <w:r w:rsidRPr="00C75443">
        <w:rPr>
          <w:rStyle w:val="FootnoteReference"/>
        </w:rPr>
        <w:footnoteReference w:id="19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15 de setembro de 2022, sobre a situação dos d</w:t>
      </w:r>
      <w:r w:rsidRPr="00C75443">
        <w:t>ireitos fundamentais na União Europeia em 2020 e 2021</w:t>
      </w:r>
      <w:r w:rsidRPr="00C75443">
        <w:rPr>
          <w:rStyle w:val="FootnoteReference"/>
        </w:rPr>
        <w:footnoteReference w:id="20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20 de outubro de 2022, sobre o Estado de direito em Malta, cinco anos após o assassinato de Daphne Caruana Galizia</w:t>
      </w:r>
      <w:r w:rsidRPr="00C75443">
        <w:rPr>
          <w:rStyle w:val="FootnoteReference"/>
        </w:rPr>
        <w:footnoteReference w:id="21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conta a sua resolução, de 20 de </w:t>
      </w:r>
      <w:r w:rsidRPr="00C75443">
        <w:t>outubro de 2022, sobre o aumento dos crimes de ódio contra as pessoas LGBTIQ+ em toda a Europa, à luz do recente assassinato homofóbico na Eslováquia</w:t>
      </w:r>
      <w:r w:rsidRPr="00C75443">
        <w:rPr>
          <w:rStyle w:val="FootnoteReference"/>
        </w:rPr>
        <w:footnoteReference w:id="22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10 de novembro de 2022, sobre a justiça racial, a não discriminação</w:t>
      </w:r>
      <w:r w:rsidRPr="00C75443">
        <w:t xml:space="preserve"> e a luta contra o racismo na UE</w:t>
      </w:r>
      <w:r w:rsidRPr="00C75443">
        <w:rPr>
          <w:rStyle w:val="FootnoteReference"/>
        </w:rPr>
        <w:footnoteReference w:id="23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sua resolução, de 24 de novembro de 2022, sobre a avaliação do cumprimento pela Hungria das condições relativas ao Estado de direito estabelecidas no Regulamento Condicionalidade e a situação atual do p</w:t>
      </w:r>
      <w:r w:rsidRPr="00C75443">
        <w:t>lano de recuperação e resiliência húngaro</w:t>
      </w:r>
      <w:r w:rsidRPr="00C75443">
        <w:rPr>
          <w:rStyle w:val="FootnoteReference"/>
        </w:rPr>
        <w:footnoteReference w:id="24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a Comunicação da Comissão, de 30 de março de 2023, sobre o relatório de 2022 sobre o Estado de Direito – Situação na União Europeia (COM(2022)0500)</w:t>
      </w:r>
      <w:r w:rsidRPr="00C75443">
        <w:rPr>
          <w:rStyle w:val="FootnoteReference"/>
        </w:rPr>
        <w:footnoteReference w:id="25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conta o relatório da sua comissão </w:t>
      </w:r>
      <w:r w:rsidRPr="00C75443">
        <w:t>de inquérito PEGA e a resolução e recomendações da comissão PEGA</w:t>
      </w:r>
      <w:r w:rsidRPr="00C75443">
        <w:rPr>
          <w:rStyle w:val="FootnoteReference"/>
        </w:rPr>
        <w:footnoteReference w:id="26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 xml:space="preserve">Tendo em conta os relatórios de informação, os relatórios de missão, as perguntas escritas e as respostas do seu Grupo de Acompanhamento para a Democracia, o Estado de Direito e os </w:t>
      </w:r>
      <w:r w:rsidRPr="00C75443">
        <w:t>Direitos Fundamentais</w:t>
      </w:r>
      <w:r w:rsidRPr="00C75443">
        <w:rPr>
          <w:rStyle w:val="FootnoteReference"/>
        </w:rPr>
        <w:footnoteReference w:id="27"/>
      </w:r>
      <w:r w:rsidRPr="00C75443">
        <w:t>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o artigo 54.º do seu Regimento,</w:t>
      </w:r>
    </w:p>
    <w:p w:rsidR="00967A95" w:rsidRPr="00C75443" w:rsidRDefault="003E73F3">
      <w:pPr>
        <w:pStyle w:val="NormalHanging12a"/>
      </w:pPr>
      <w:r w:rsidRPr="00C75443">
        <w:t>–</w:t>
      </w:r>
      <w:r w:rsidRPr="00C75443">
        <w:tab/>
        <w:t>Tendo em conta o parecer da Comissão dos Assuntos Jurídicos,</w:t>
      </w:r>
    </w:p>
    <w:p w:rsidR="00967A95" w:rsidRPr="00C75443" w:rsidRDefault="003E73F3">
      <w:pPr>
        <w:pStyle w:val="NormalHanging12a"/>
      </w:pPr>
      <w:r w:rsidRPr="00C75443">
        <w:lastRenderedPageBreak/>
        <w:t>–</w:t>
      </w:r>
      <w:r w:rsidRPr="00C75443">
        <w:tab/>
        <w:t>Tendo em conta o relatório da Comissão das Liberdades Cívicas, da Justiça e dos Assuntos Internos (A9</w:t>
      </w:r>
      <w:r>
        <w:noBreakHyphen/>
      </w:r>
      <w:r w:rsidRPr="00C75443">
        <w:t>0000/2023),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Sist</w:t>
      </w:r>
      <w:r w:rsidRPr="00C75443">
        <w:rPr>
          <w:rStyle w:val="BoldItalic"/>
        </w:rPr>
        <w:t>emas judiciais</w:t>
      </w:r>
    </w:p>
    <w:p w:rsidR="00967A95" w:rsidRPr="00C75443" w:rsidRDefault="003E73F3">
      <w:pPr>
        <w:pStyle w:val="NormalHanging12a"/>
      </w:pPr>
      <w:r w:rsidRPr="00C75443">
        <w:t>1.</w:t>
      </w:r>
      <w:r w:rsidRPr="00C75443">
        <w:tab/>
        <w:t>Reitera que um sistema judicial independente é a espinha dorsal do Estado de direito, uma vez que é uma condição prévia para um recurso efetivo quando os direitos e as liberdades são recusados ou violados; sublinha que um sistema judicial</w:t>
      </w:r>
      <w:r w:rsidRPr="00C75443">
        <w:t xml:space="preserve"> independente e eficaz é vital para a aplicação do direito da UE, uma vez que a Comissão depende das autoridades judiciais nacionais para fazer cumprir o direito da UE; manifesta a sua preocupação pelo facto de esta «presunção de cumprimento» se tornar a «</w:t>
      </w:r>
      <w:r w:rsidRPr="00C75443">
        <w:t>máscara de cumprimento» quando a Comissão ignora as deficiências das autoridades judiciais nacionais; constata com preocupação que embora alguns sistemas judiciais possam ser sólidos à primeira vista, em alguns casos não estão imunes à captura do Estado, à</w:t>
      </w:r>
      <w:r w:rsidRPr="00C75443">
        <w:t xml:space="preserve"> interferência política ou ao nepotismo; está ciente de que tal é difícil de detetar através da simples avaliação das estruturas formais; insta, portanto, a Comissão a realizar uma análise mais qualitativa, incluindo elementos contextuais;</w:t>
      </w:r>
    </w:p>
    <w:p w:rsidR="00967A95" w:rsidRPr="00C75443" w:rsidRDefault="003E73F3">
      <w:pPr>
        <w:pStyle w:val="NormalHanging12a"/>
      </w:pPr>
      <w:r w:rsidRPr="00C75443">
        <w:t>2.</w:t>
      </w:r>
      <w:r w:rsidRPr="00C75443">
        <w:tab/>
        <w:t xml:space="preserve">Assinala que </w:t>
      </w:r>
      <w:r w:rsidRPr="00C75443">
        <w:t>a Comissão detetou grandes disparidades entre os Estados</w:t>
      </w:r>
      <w:r>
        <w:noBreakHyphen/>
      </w:r>
      <w:r w:rsidRPr="00C75443">
        <w:t>Membros da UE em termos de independência judicial e salvaguardas; observa que o relatório menciona uma série de iniciativas positivas e desenvolvimentos em curso relativos aos conselhos de magistratu</w:t>
      </w:r>
      <w:r w:rsidRPr="00C75443">
        <w:t>ra, nomeadamente no Luxemburgo, nos Países Baixos, em Portugal, Itália, Suécia, Finlândia e Hungria; salienta, no entanto, que uma avaliação independente mostra que dos quatro «super marcos» relacionados com a independência do poder judicial na Hungria ape</w:t>
      </w:r>
      <w:r w:rsidRPr="00C75443">
        <w:t>nas um pode ser considerado plenamente aplicado</w:t>
      </w:r>
      <w:r w:rsidRPr="00C75443">
        <w:rPr>
          <w:rStyle w:val="FootnoteReference"/>
        </w:rPr>
        <w:footnoteReference w:id="28"/>
      </w:r>
      <w:r w:rsidRPr="00C75443">
        <w:t>;</w:t>
      </w:r>
      <w:r w:rsidRPr="00C75443">
        <w:rPr>
          <w:rStyle w:val="Sup"/>
        </w:rPr>
        <w:t xml:space="preserve"> </w:t>
      </w:r>
      <w:r w:rsidRPr="00C75443">
        <w:t>constata que a Comissão considera que as preocupações relativas aos conselhos de magistratura ainda têm de ser abordadas na Polónia, Eslováquia, Bulgária, Espanha e Chipre; constata com preocupação que os p</w:t>
      </w:r>
      <w:r w:rsidRPr="00C75443">
        <w:t xml:space="preserve">rocessos disciplinares podem ser utilizados como forma de reduzir a independência judicial, como é o caso na Polónia e Bulgária; constata que a Comissão finalmente remeteu a Polónia para o Tribunal de Justiça da União Europeia (TJUE) devido a violações da </w:t>
      </w:r>
      <w:r w:rsidRPr="00C75443">
        <w:t>legislação da UE pelo seu Tribunal Constitucional;</w:t>
      </w:r>
    </w:p>
    <w:p w:rsidR="00967A95" w:rsidRPr="00C75443" w:rsidRDefault="003E73F3">
      <w:pPr>
        <w:pStyle w:val="NormalHanging12a"/>
      </w:pPr>
      <w:r w:rsidRPr="00C75443">
        <w:t>3.</w:t>
      </w:r>
      <w:r w:rsidRPr="00C75443">
        <w:tab/>
        <w:t>Assinala que a Comissão considera que embora alguns Estados</w:t>
      </w:r>
      <w:r>
        <w:noBreakHyphen/>
      </w:r>
      <w:r w:rsidRPr="00C75443">
        <w:t>Membros – nomeadamente Finlândia, Áustria, Eslovénia, Chipre, Suécia e Hungria – tenham tomado ou anunciado iniciativas para melhorar os proce</w:t>
      </w:r>
      <w:r w:rsidRPr="00C75443">
        <w:t>ssos de nomeação judicial e o funcionamento dos tribunais superiores, persistem desafios na nomeação de juízes de alto nível em Malta, Grécia, Lituânia, Letónia e Irlanda; salienta que persistem preocupações sérias na Polónia no que diz respeito aos juízes</w:t>
      </w:r>
      <w:r w:rsidRPr="00C75443">
        <w:t xml:space="preserve"> do Supremo Tribunal anteriormente nomeados – incluindo o seu primeiro presidente – e à persistente não aplicação duma decisão prejudicial do TJUE sobre a nomeação judicial para a Secção de Fiscalização Extraordinária; assinala que a Comissão considera que</w:t>
      </w:r>
      <w:r w:rsidRPr="00C75443">
        <w:t>, na Eslováquia, o crime de abuso de direito criado para os juízes no que diz respeito às suas decisões judiciais continua a suscitar preocupações, dado que tem um impacto psicológico negativo nos juízes e é oneroso para as autoridades de investigação;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lastRenderedPageBreak/>
        <w:t>Cor</w:t>
      </w:r>
      <w:r w:rsidRPr="00C75443">
        <w:rPr>
          <w:rStyle w:val="BoldItalic"/>
        </w:rPr>
        <w:t>rupção</w:t>
      </w:r>
    </w:p>
    <w:p w:rsidR="00967A95" w:rsidRPr="00C75443" w:rsidRDefault="003E73F3">
      <w:pPr>
        <w:pStyle w:val="NormalHanging12a"/>
      </w:pPr>
      <w:r w:rsidRPr="00C75443">
        <w:t>4.</w:t>
      </w:r>
      <w:r w:rsidRPr="00C75443">
        <w:tab/>
        <w:t>Reitera que a corrupção constitui uma grave ameaça ao Estado de direito e compromete gravemente a confiança na democracia e na igualdade perante a lei; insta os Estados</w:t>
      </w:r>
      <w:r>
        <w:noBreakHyphen/>
      </w:r>
      <w:r w:rsidRPr="00C75443">
        <w:t>Membros a envidarem maiores esforços para erradicar a corrupção;</w:t>
      </w:r>
    </w:p>
    <w:p w:rsidR="00967A95" w:rsidRPr="00C75443" w:rsidRDefault="003E73F3">
      <w:pPr>
        <w:pStyle w:val="NormalHanging12a"/>
      </w:pPr>
      <w:r w:rsidRPr="00C75443">
        <w:t>5.</w:t>
      </w:r>
      <w:r w:rsidRPr="00C75443">
        <w:tab/>
        <w:t>Lamenta q</w:t>
      </w:r>
      <w:r w:rsidRPr="00C75443">
        <w:t>ue apesar de todos os Estados</w:t>
      </w:r>
      <w:r>
        <w:noBreakHyphen/>
      </w:r>
      <w:r w:rsidRPr="00C75443">
        <w:t>Membros disporem de estratégias de luta contra a corrupção, a perceção da corrupção varie consideravelmente em toda a UE – estando a Dinamarca, a Finlândia, a Suécia e os Países Baixos entre os menos corruptos, ao passo que os</w:t>
      </w:r>
      <w:r w:rsidRPr="00C75443">
        <w:t xml:space="preserve"> níveis de corrupção na Bulgária, em Malta, na Hungria, na Grécia e na Eslovénia são vistos como preocupantes</w:t>
      </w:r>
      <w:r w:rsidRPr="00C75443">
        <w:rPr>
          <w:rStyle w:val="FootnoteReference"/>
        </w:rPr>
        <w:footnoteReference w:id="29"/>
      </w:r>
      <w:r w:rsidRPr="00C75443">
        <w:t>; constata também com preocupação que a Comissão considera que alguns Estados</w:t>
      </w:r>
      <w:r>
        <w:noBreakHyphen/>
      </w:r>
      <w:r w:rsidRPr="00C75443">
        <w:t xml:space="preserve">Membros – por exemplo, Bulgária, Malta, Hungria, Grécia e Eslovénia </w:t>
      </w:r>
      <w:r w:rsidRPr="00C75443">
        <w:t>– ainda não conseguiram obter resultados sólidos em matéria de investigação e repressão de casos de corrupção de alto nível que conduzam a condenações definitivas com um efeito dissuasor;</w:t>
      </w:r>
    </w:p>
    <w:p w:rsidR="00967A95" w:rsidRPr="00C75443" w:rsidRDefault="003E73F3">
      <w:pPr>
        <w:pStyle w:val="NormalHanging12a"/>
      </w:pPr>
      <w:r w:rsidRPr="00C75443">
        <w:t>6.</w:t>
      </w:r>
      <w:r w:rsidRPr="00C75443">
        <w:tab/>
        <w:t>Sublinha que o governo dos Estados</w:t>
      </w:r>
      <w:r>
        <w:noBreakHyphen/>
      </w:r>
      <w:r w:rsidRPr="00C75443">
        <w:t>Membros e os funcionários da U</w:t>
      </w:r>
      <w:r w:rsidRPr="00C75443">
        <w:t>E devem dar o exemplo, abstendo</w:t>
      </w:r>
      <w:r>
        <w:noBreakHyphen/>
      </w:r>
      <w:r w:rsidRPr="00C75443">
        <w:t>se de quaisquer práticas de corrupção, e que não deve haver interferência governamental ou política nas investigações de corrupção; salienta que os funcionários da UE também podem estar envolvidos em corrupção, tal como demo</w:t>
      </w:r>
      <w:r w:rsidRPr="00C75443">
        <w:t>nstrado no «Qatargate», pelo que reitera o seu pedido de que o relatório anual abranja também as instituições da UE;</w:t>
      </w:r>
    </w:p>
    <w:p w:rsidR="00967A95" w:rsidRPr="00C75443" w:rsidRDefault="003E73F3">
      <w:pPr>
        <w:pStyle w:val="NormalHanging12a"/>
      </w:pPr>
      <w:r w:rsidRPr="00C75443">
        <w:t>7.</w:t>
      </w:r>
      <w:r w:rsidRPr="00C75443">
        <w:tab/>
        <w:t>Condena o facto de Malta continuar a aplicar o seu regime de concessão de cidadania pelo investimento (CBI), que constitui um risco impo</w:t>
      </w:r>
      <w:r w:rsidRPr="00C75443">
        <w:t>rtante de corrupção e outros crimes, especialmente à luz das medidas tomadas por vários outros Estados</w:t>
      </w:r>
      <w:r>
        <w:noBreakHyphen/>
      </w:r>
      <w:r w:rsidRPr="00C75443">
        <w:t>Membros para garantir a abolição dos regimes de concessão de cidadania a investidores; reafirma a sua posição de que a Comissão deve utilizar a sua prerr</w:t>
      </w:r>
      <w:r w:rsidRPr="00C75443">
        <w:t>ogativa de propor legislação e iniciar uma proibição legislativa da UE de todos os regimes do tipo CBI na UE;</w:t>
      </w:r>
    </w:p>
    <w:p w:rsidR="00967A95" w:rsidRPr="00C75443" w:rsidRDefault="003E73F3">
      <w:pPr>
        <w:pStyle w:val="NormalHanging12a"/>
      </w:pPr>
      <w:r w:rsidRPr="00C75443">
        <w:t>8.</w:t>
      </w:r>
      <w:r w:rsidRPr="00C75443">
        <w:tab/>
        <w:t>Considera que a adesão à Procuradoria Europeia deve ser uma condição prévia para receber fundos da UE; reitera o seu apelo ao alargamento do ma</w:t>
      </w:r>
      <w:r w:rsidRPr="00C75443">
        <w:t>ndato da Procuradoria Europeia;</w:t>
      </w:r>
    </w:p>
    <w:p w:rsidR="00967A95" w:rsidRPr="00C75443" w:rsidRDefault="003E73F3">
      <w:pPr>
        <w:pStyle w:val="NormalHanging12a"/>
      </w:pPr>
      <w:r w:rsidRPr="00C75443">
        <w:t>9.</w:t>
      </w:r>
      <w:r w:rsidRPr="00C75443">
        <w:tab/>
        <w:t>Assinala que a corrupção pode envolver as autoridades nacionais, incluindo as autoridades judiciais e policiais, que são aquelas mesmas que se presume servirem para combater a corrupção; considera que organismos da UE com</w:t>
      </w:r>
      <w:r w:rsidRPr="00C75443">
        <w:t>o a Europol podem desempenhar um papel importante na investigação da corrupção e na obtenção de provas, mas que a exigência de aprovação nacional da participação da Europol constitui um obstáculo; solicita o reforço do mandato da Europol, a fim de lhe perm</w:t>
      </w:r>
      <w:r w:rsidRPr="00C75443">
        <w:t>itir investigar casos de corrupção do tipo acima descrito;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Autoridades independentes</w:t>
      </w:r>
    </w:p>
    <w:p w:rsidR="00967A95" w:rsidRPr="00C75443" w:rsidRDefault="003E73F3">
      <w:pPr>
        <w:pStyle w:val="NormalHanging12a"/>
      </w:pPr>
      <w:r w:rsidRPr="00C75443">
        <w:t>10.</w:t>
      </w:r>
      <w:r w:rsidRPr="00C75443">
        <w:tab/>
        <w:t>Salienta que o equilíbrio de poderes só pode funcionar quando os provedores de justiça, as instituições nacionais de defesa dos direitos humanos, os serviços de audito</w:t>
      </w:r>
      <w:r w:rsidRPr="00C75443">
        <w:t xml:space="preserve">ria, os organismos de promoção da igualdade e todas as outras autoridades independentes </w:t>
      </w:r>
      <w:r w:rsidRPr="00C75443">
        <w:lastRenderedPageBreak/>
        <w:t>forem capazes de funcionar e dispuserem de mandatos suficientemente amplos, independência e financiamento adequado;</w:t>
      </w:r>
    </w:p>
    <w:p w:rsidR="00967A95" w:rsidRPr="00C75443" w:rsidRDefault="003E73F3">
      <w:pPr>
        <w:pStyle w:val="NormalHanging12a"/>
      </w:pPr>
      <w:r w:rsidRPr="00C75443">
        <w:t>11.</w:t>
      </w:r>
      <w:r w:rsidRPr="00C75443">
        <w:tab/>
        <w:t>Constata que a Comissão considera que a situação</w:t>
      </w:r>
      <w:r w:rsidRPr="00C75443">
        <w:t xml:space="preserve"> varia consideravelmente entre os Estados</w:t>
      </w:r>
      <w:r>
        <w:noBreakHyphen/>
      </w:r>
      <w:r w:rsidRPr="00C75443">
        <w:t>Membros: há alguns desenvolvimentos na direção certa em Chipre, Eslováquia, Luxemburgo, Portugal, Eslovénia e Polónia; continuam a existir desafios na Lituânia, Hungria e Croácia; não há ainda nenhuma instituição n</w:t>
      </w:r>
      <w:r w:rsidRPr="00C75443">
        <w:t>acional de direitos humanos na Itália, Chéquia, Malta e Roménia; há atrasos nas nomeações de várias autoridades independentes na Bulgária, Espanha e Áustria; e a Polónia põe em risco o funcionamento eficaz do Serviço Supremo de Auditoria; regista com grand</w:t>
      </w:r>
      <w:r w:rsidRPr="00C75443">
        <w:t xml:space="preserve">e preocupação os recentes desenvolvimentos na Grécia, onde autoridades independentes – como a Autoridade Helénica para a Segurança e a Privacidade das Comunicações (ADAE) e a Autoridade Grega de Proteção de Dados – têm sofrido uma pressão crescente devido </w:t>
      </w:r>
      <w:r w:rsidRPr="00C75443">
        <w:t>ao seu trabalho relativamente à utilização ilegítima de software espião, tendo os membros do conselho de administração da ADAE sido recentemente substituídos pelo Parlamento grego, aparentemente devido à iminente decisão da ADAE de aplicar uma multa à agên</w:t>
      </w:r>
      <w:r w:rsidRPr="00C75443">
        <w:t>cia de informações grega;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Pluralismo e liberdade dos meios de comunicação social</w:t>
      </w:r>
    </w:p>
    <w:p w:rsidR="00967A95" w:rsidRPr="00C75443" w:rsidRDefault="003E73F3">
      <w:pPr>
        <w:pStyle w:val="NormalHanging12a"/>
      </w:pPr>
      <w:r w:rsidRPr="00C75443">
        <w:t>12.</w:t>
      </w:r>
      <w:r w:rsidRPr="00C75443">
        <w:tab/>
        <w:t>Salienta que sem o pluralismo e a liberdade dos meios de comunicação social, a vida democrática e o Estado de direito não podem sobreviver;</w:t>
      </w:r>
    </w:p>
    <w:p w:rsidR="00967A95" w:rsidRPr="00C75443" w:rsidRDefault="003E73F3">
      <w:pPr>
        <w:pStyle w:val="NormalHanging12a"/>
      </w:pPr>
      <w:r w:rsidRPr="00C75443">
        <w:t>13.</w:t>
      </w:r>
      <w:r w:rsidRPr="00C75443">
        <w:tab/>
        <w:t>Sublinha a importância da t</w:t>
      </w:r>
      <w:r w:rsidRPr="00C75443">
        <w:t>ransparência da propriedade dos meios de comunicação social; assinala que a Comissão constatou que, desde o relatório de 2022 sobre o Estado de direito, nova legislação que aumenta a transparência da propriedade dos meios de comunicação social ou melhora a</w:t>
      </w:r>
      <w:r w:rsidRPr="00C75443">
        <w:t xml:space="preserve"> disponibilidade pública de informações sobre essa propriedade foi adotada na Grécia, no Luxemburgo e na Suécia e que essa legislação foi reforçada em Chipre, ao passo que na Bulgária, Chéquia e França a sua alteração continua pendente; assinala igualmente</w:t>
      </w:r>
      <w:r w:rsidRPr="00C75443">
        <w:t xml:space="preserve"> que a Comissão constatou que os reguladores dos meios de comunicação social estão protegidos por salvaguardas insuficientes contra influências políticas indevidas e que as autoridades carecem de recursos, em particular na Hungria, Eslovénia, Polónia, Gréc</w:t>
      </w:r>
      <w:r w:rsidRPr="00C75443">
        <w:t>ia e Roménia;</w:t>
      </w:r>
    </w:p>
    <w:p w:rsidR="00967A95" w:rsidRPr="00C75443" w:rsidRDefault="003E73F3">
      <w:pPr>
        <w:pStyle w:val="NormalHanging12a"/>
      </w:pPr>
      <w:r w:rsidRPr="00C75443">
        <w:t>14.</w:t>
      </w:r>
      <w:r w:rsidRPr="00C75443">
        <w:tab/>
        <w:t>Salienta a importância da independência editorial dos meios de comunicação social de serviço público e o dever de todos os Estados</w:t>
      </w:r>
      <w:r>
        <w:noBreakHyphen/>
      </w:r>
      <w:r w:rsidRPr="00C75443">
        <w:t>Membros respeitarem este aspeto;</w:t>
      </w:r>
    </w:p>
    <w:p w:rsidR="00967A95" w:rsidRPr="00C75443" w:rsidRDefault="003E73F3">
      <w:pPr>
        <w:pStyle w:val="NormalHanging12a"/>
      </w:pPr>
      <w:r w:rsidRPr="00C75443">
        <w:t>15.</w:t>
      </w:r>
      <w:r w:rsidRPr="00C75443">
        <w:tab/>
        <w:t>Solicita ao Conselho e à Comissão que prestem financiamento adequado e</w:t>
      </w:r>
      <w:r w:rsidRPr="00C75443">
        <w:t>m prol dum jornalismo de qualidade independente em toda a UE a nível nacional, regional e local;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Proteção dos jornalistas</w:t>
      </w:r>
    </w:p>
    <w:p w:rsidR="00967A95" w:rsidRPr="00C75443" w:rsidRDefault="003E73F3">
      <w:pPr>
        <w:pStyle w:val="NormalHanging12a"/>
      </w:pPr>
      <w:r w:rsidRPr="00C75443">
        <w:t>16.</w:t>
      </w:r>
      <w:r w:rsidRPr="00C75443">
        <w:tab/>
        <w:t xml:space="preserve">Recorda que o jornalismo independente é um elemento vital do Estado de direito democrático, como parte do equilíbrio de poderes </w:t>
      </w:r>
      <w:r w:rsidRPr="00C75443">
        <w:t>essencial e elemento de escrutínio público; manifesta a sua preocupação com as tentativas deliberadas de vários governos para silenciar jornalistas que denunciam irregularidades;</w:t>
      </w:r>
    </w:p>
    <w:p w:rsidR="00967A95" w:rsidRPr="00C75443" w:rsidRDefault="003E73F3">
      <w:pPr>
        <w:pStyle w:val="NormalHanging12a"/>
      </w:pPr>
      <w:r w:rsidRPr="00C75443">
        <w:t>17.</w:t>
      </w:r>
      <w:r w:rsidRPr="00C75443">
        <w:tab/>
        <w:t>Lamenta as tendências preocupantes em matéria de segurança dos jornalista</w:t>
      </w:r>
      <w:r w:rsidRPr="00C75443">
        <w:t>s em vários Estados</w:t>
      </w:r>
      <w:r>
        <w:noBreakHyphen/>
      </w:r>
      <w:r w:rsidRPr="00C75443">
        <w:t xml:space="preserve">Membros; constata que a Plataforma do Conselho da Europa para promover a proteção do jornalismo e a segurança dos jornalistas registou mais de 1 600 alertas de </w:t>
      </w:r>
      <w:r w:rsidRPr="00C75443">
        <w:lastRenderedPageBreak/>
        <w:t>ameaças desde 2015; lamenta a intimidação de jornalistas durante as campanha</w:t>
      </w:r>
      <w:r w:rsidRPr="00C75443">
        <w:t>s eleitorais, como aconteceu recentemente nas eleições na Eslováquia;</w:t>
      </w:r>
    </w:p>
    <w:p w:rsidR="00967A95" w:rsidRPr="00C75443" w:rsidRDefault="003E73F3">
      <w:pPr>
        <w:pStyle w:val="NormalHanging12a"/>
      </w:pPr>
      <w:r w:rsidRPr="00C75443">
        <w:t>18.</w:t>
      </w:r>
      <w:r w:rsidRPr="00C75443">
        <w:tab/>
        <w:t>Lamenta que apesar das preocupações manifestadas por várias organizações internacionais, as disposições propostas por Malta contra as ações judiciais estratégicas contra a participaç</w:t>
      </w:r>
      <w:r w:rsidRPr="00C75443">
        <w:t>ão pública (SLAPP) não sejam suficientes para proteger o trabalho dos jornalistas</w:t>
      </w:r>
      <w:r w:rsidRPr="00C75443">
        <w:rPr>
          <w:rStyle w:val="FootnoteReference"/>
        </w:rPr>
        <w:footnoteReference w:id="30"/>
      </w:r>
      <w:r w:rsidRPr="00C75443">
        <w:t>;</w:t>
      </w:r>
      <w:r w:rsidRPr="00C75443">
        <w:rPr>
          <w:rStyle w:val="Sup"/>
        </w:rPr>
        <w:t xml:space="preserve"> </w:t>
      </w:r>
      <w:r w:rsidRPr="00C75443">
        <w:t xml:space="preserve">insta o Governo grego a dar resposta aos graves desafios identificados pela Media Freedom Rapid Response (MFRR) – uma aliança que deteta, acompanha e reage às violações da </w:t>
      </w:r>
      <w:r w:rsidRPr="00C75443">
        <w:t>liberdade de imprensa e dos meios de comunicação social – especialmente os relacionados com a vigilância arbitrária, a impunidade ou os crimes contra jornalistas, as SLAPP, o pluralismo e a independência dos meios de comunicação social</w:t>
      </w:r>
      <w:r w:rsidRPr="00C75443">
        <w:rPr>
          <w:rStyle w:val="FootnoteReference"/>
        </w:rPr>
        <w:footnoteReference w:id="31"/>
      </w:r>
      <w:r w:rsidRPr="00C75443">
        <w:t>; constata com grand</w:t>
      </w:r>
      <w:r w:rsidRPr="00C75443">
        <w:t>e preocupação a recente detenção duma repórter pelas autoridades francesas – aparentemente com o objetivo de descobrir as suas fontes – e as escutas telefónicas ilegais dum jornalista neerlandês que trabalha para o «De Correspondent»;</w:t>
      </w:r>
    </w:p>
    <w:p w:rsidR="00967A95" w:rsidRPr="00C75443" w:rsidRDefault="003E73F3">
      <w:pPr>
        <w:pStyle w:val="NormalHanging12a"/>
      </w:pPr>
      <w:r w:rsidRPr="00C75443">
        <w:t>19.</w:t>
      </w:r>
      <w:r w:rsidRPr="00C75443">
        <w:tab/>
        <w:t>Insta as institui</w:t>
      </w:r>
      <w:r w:rsidRPr="00C75443">
        <w:t>ções da UE a chegarem rapidamente a acordo sobre uma diretiva ambiciosa contra as SLAPP; insta a Comissão a ponderar a possibilidade de adotar mais medidas legislativas para cobrir todos os casos de SLAPP;</w:t>
      </w:r>
    </w:p>
    <w:p w:rsidR="00967A95" w:rsidRPr="00C75443" w:rsidRDefault="003E73F3">
      <w:pPr>
        <w:pStyle w:val="NormalHanging12a"/>
      </w:pPr>
      <w:r w:rsidRPr="00C75443">
        <w:t>20.</w:t>
      </w:r>
      <w:r w:rsidRPr="00C75443">
        <w:tab/>
        <w:t xml:space="preserve">Condena veementemente a falta de investigação </w:t>
      </w:r>
      <w:r w:rsidRPr="00C75443">
        <w:t>séria sobre o assassinato de Giorgos Karaivaz; constata que os dois alegados assassinos foram detidos mais de dois anos após o assassínio com base em provas que aparentemente estiveram sempre à disposição da polícia; considera que ainda não foi identificad</w:t>
      </w:r>
      <w:r w:rsidRPr="00C75443">
        <w:t>o o cérebro por detrás do homicídio; assinala que Giorgos Karaivaz – tal como Daphne Caruana Galizia e Ján Kuciak – investigava a corrupção e a criminalidade e pode ter feito inimigos em cargos elevados, incluindo em círculos políticos; salienta que o cére</w:t>
      </w:r>
      <w:r w:rsidRPr="00C75443">
        <w:t>bro suspeito do homicídio de Daphne Caruana Galizia ainda não foi julgado, assim como todos os casos de corrupção e criminalidade que ela investigava não foram adequadamente tratados pelas autoridades;</w:t>
      </w:r>
    </w:p>
    <w:p w:rsidR="00967A95" w:rsidRPr="00C75443" w:rsidRDefault="003E73F3">
      <w:pPr>
        <w:pStyle w:val="NormalHanging12a"/>
      </w:pPr>
      <w:r w:rsidRPr="00C75443">
        <w:t>21.</w:t>
      </w:r>
      <w:r w:rsidRPr="00C75443">
        <w:tab/>
        <w:t>Condena a vigilância ilegal de jornalistas, especi</w:t>
      </w:r>
      <w:r w:rsidRPr="00C75443">
        <w:t xml:space="preserve">almente através de software espião; manifesta a sua consternação face à recusa da Comissão em aplicar todas as recomendações da Comissão de Inquérito Especial Pegasus e considera que tal é uma omissão; salienta que não se fez justiça em nenhuma das muitas </w:t>
      </w:r>
      <w:r w:rsidRPr="00C75443">
        <w:t>centenas de casos de abuso de software espião contra jornalistas, ativistas, políticos, advogados e outros alvos políticos; conclui, portanto, que contrariamente ao pressuposto da Comissão, muitas autoridades nacionais não têm vontade nem capacidade para r</w:t>
      </w:r>
      <w:r w:rsidRPr="00C75443">
        <w:t>esolver a questão, deixando as vítimas sem recurso efetivo e a democracia desprotegida; manifesta a sua profunda preocupação com o efeito dissuasor da impunidade dos casos de abuso de software espião nos jornalistas e nas suas fontes;</w:t>
      </w:r>
    </w:p>
    <w:p w:rsidR="00967A95" w:rsidRPr="00C75443" w:rsidRDefault="003E73F3">
      <w:pPr>
        <w:pStyle w:val="NormalHanging12a"/>
      </w:pPr>
      <w:r w:rsidRPr="00C75443">
        <w:t>22.</w:t>
      </w:r>
      <w:r w:rsidRPr="00C75443">
        <w:tab/>
        <w:t>Frisa que o impac</w:t>
      </w:r>
      <w:r w:rsidRPr="00C75443">
        <w:t>to da utilização ilegal de software espião é muito mais acentuado nos Estados</w:t>
      </w:r>
      <w:r>
        <w:noBreakHyphen/>
      </w:r>
      <w:r w:rsidRPr="00C75443">
        <w:t xml:space="preserve">Membros onde as autoridades que, em condições normais, seriam incumbidas de investigar, indemnizar as pessoas visadas e assegurar a responsabilização estão nas mãos do Estado, e </w:t>
      </w:r>
      <w:r w:rsidRPr="00C75443">
        <w:t xml:space="preserve">onde existe uma crise do Estado de direito e uma ameaça à independência do sistema judiciário, de tal modo que não é possível contar com as </w:t>
      </w:r>
      <w:r w:rsidRPr="00C75443">
        <w:lastRenderedPageBreak/>
        <w:t>autoridades nacionais; insta, portanto, a Comissão a instituir um acompanhamento e recomendações específicas por paí</w:t>
      </w:r>
      <w:r w:rsidRPr="00C75443">
        <w:t>s relativamente à utilização ilegal de software espião pelos Estados</w:t>
      </w:r>
      <w:r>
        <w:noBreakHyphen/>
      </w:r>
      <w:r w:rsidRPr="00C75443">
        <w:t>Membros no relatório sobre o Estado de direito, avaliando a capacidade de resposta das instituições estatais para indemnizar as pessoas visadas;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Transparência e acesso à informação</w:t>
      </w:r>
    </w:p>
    <w:p w:rsidR="00967A95" w:rsidRPr="00C75443" w:rsidRDefault="003E73F3">
      <w:pPr>
        <w:pStyle w:val="NormalHanging12a"/>
      </w:pPr>
      <w:r w:rsidRPr="00C75443">
        <w:t>23.</w:t>
      </w:r>
      <w:r w:rsidRPr="00C75443">
        <w:tab/>
        <w:t>La</w:t>
      </w:r>
      <w:r w:rsidRPr="00C75443">
        <w:t>menta as dificuldades contínuas que muitos cidadãos, jornalistas e deputados de muitos Estados</w:t>
      </w:r>
      <w:r>
        <w:noBreakHyphen/>
      </w:r>
      <w:r w:rsidRPr="00C75443">
        <w:t>Membros enfrentam na obtenção de informações e no acesso a documentos; sublinha que as autoridades públicas estão a frustrar deliberadamente e com demasiada freq</w:t>
      </w:r>
      <w:r w:rsidRPr="00C75443">
        <w:t>uência o acesso à informação e aos documentos – por exemplo, atrasando desproporcionadamente as decisões ou concedendo apenas um acesso artificial através da disponibilização parcial de informações;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Espaço da sociedade civil</w:t>
      </w:r>
    </w:p>
    <w:p w:rsidR="00967A95" w:rsidRPr="00C75443" w:rsidRDefault="003E73F3">
      <w:pPr>
        <w:pStyle w:val="NormalHanging12a"/>
      </w:pPr>
      <w:r w:rsidRPr="00C75443">
        <w:t>24.</w:t>
      </w:r>
      <w:r w:rsidRPr="00C75443">
        <w:tab/>
        <w:t>Reconhece o papel crucial q</w:t>
      </w:r>
      <w:r w:rsidRPr="00C75443">
        <w:t>ue a sociedade civil e um espaço cívico saudável desempenham na defesa e na proteção do Estado de direito e reitera o seu apelo a que se dedique um capítulo distinto à situação da sociedade civil nos Estados</w:t>
      </w:r>
      <w:r>
        <w:noBreakHyphen/>
      </w:r>
      <w:r w:rsidRPr="00C75443">
        <w:t>Membros; assinala que a Comissão constatou que M</w:t>
      </w:r>
      <w:r w:rsidRPr="00C75443">
        <w:t>alta, a Irlanda, a Bulgária, a Lituânia e a Alemanha anunciaram ou lançaram esforços para melhorar o quadro da sociedade civil e considera que a sociedade civil enfrenta desafios específicos em Chipre, Grécia, Espanha, Itália e França e continua a impor gr</w:t>
      </w:r>
      <w:r w:rsidRPr="00C75443">
        <w:t>aves restrições sistémicas na Hungria e Polónia; insta todos os Estados</w:t>
      </w:r>
      <w:r>
        <w:noBreakHyphen/>
      </w:r>
      <w:r w:rsidRPr="00C75443">
        <w:t>Membros a aceitarem as organizações da sociedade civil (OSC) como partes interessadas importantes na vida democrática e a criarem um ambiente propício à sociedade civil;</w:t>
      </w:r>
    </w:p>
    <w:p w:rsidR="00967A95" w:rsidRPr="00C75443" w:rsidRDefault="003E73F3">
      <w:pPr>
        <w:pStyle w:val="NormalHanging12a"/>
      </w:pPr>
      <w:r w:rsidRPr="00C75443">
        <w:t>25.</w:t>
      </w:r>
      <w:r w:rsidRPr="00C75443">
        <w:tab/>
        <w:t>Insta a Co</w:t>
      </w:r>
      <w:r w:rsidRPr="00C75443">
        <w:t>missão a investir, através de financiamento específico, no reforço das capacidades das OSC para acompanharem e comunicarem informações sobre a situação do Estado de direito nos Estados</w:t>
      </w:r>
      <w:r>
        <w:noBreakHyphen/>
      </w:r>
      <w:r w:rsidRPr="00C75443">
        <w:t xml:space="preserve">Membros, bem como a garantir a proteção adequada das OSC participantes </w:t>
      </w:r>
      <w:r w:rsidRPr="00C75443">
        <w:t>nesse processo;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Proteção das minorias</w:t>
      </w:r>
    </w:p>
    <w:p w:rsidR="00967A95" w:rsidRPr="00C75443" w:rsidRDefault="003E73F3">
      <w:pPr>
        <w:pStyle w:val="NormalHanging12a"/>
      </w:pPr>
      <w:r w:rsidRPr="00C75443">
        <w:t>26.</w:t>
      </w:r>
      <w:r w:rsidRPr="00C75443">
        <w:tab/>
        <w:t>Assinala que o retrocesso democrático e do Estado de direito e o enfraquecimento dos direitos das minorias frequentemente são indissociáveis e sublinha, uma vez mais, a necessidade duma abordagem abrangente para mo</w:t>
      </w:r>
      <w:r w:rsidRPr="00C75443">
        <w:t xml:space="preserve">nitorizar a democracia, o Estado de direito e os direitos fundamentais nos futuros relatórios; lamenta a falta de progressos em matéria de proteção das minorias em toda a UE; condena o discurso de ódio contra grupos minoritários, nomeadamente por parte de </w:t>
      </w:r>
      <w:r w:rsidRPr="00C75443">
        <w:t>funcionários governamentais ou políticos;</w:t>
      </w:r>
    </w:p>
    <w:p w:rsidR="00967A95" w:rsidRPr="00C75443" w:rsidRDefault="003E73F3">
      <w:pPr>
        <w:pStyle w:val="NormalHanging12a"/>
      </w:pPr>
      <w:r w:rsidRPr="00C75443">
        <w:t>27.</w:t>
      </w:r>
      <w:r w:rsidRPr="00C75443">
        <w:tab/>
        <w:t>Insta os Estados</w:t>
      </w:r>
      <w:r>
        <w:noBreakHyphen/>
      </w:r>
      <w:r w:rsidRPr="00C75443">
        <w:t>Membros da UE a fazerem da proteção dos direitos LGBTIQ+ uma prioridade real e transversal em todos os domínios de intervenção; insta a Comissão a utilizar todos os meios disponíveis para garan</w:t>
      </w:r>
      <w:r w:rsidRPr="00C75443">
        <w:t>tir que os direitos das pessoas LGBTIQ sejam respeitados em toda a UE, incluindo o recurso a procedimentos de infração contra os Estados</w:t>
      </w:r>
      <w:r>
        <w:noBreakHyphen/>
      </w:r>
      <w:r w:rsidRPr="00C75443">
        <w:t>Membros; insta os Estados</w:t>
      </w:r>
      <w:r>
        <w:noBreakHyphen/>
      </w:r>
      <w:r w:rsidRPr="00C75443">
        <w:t>Membros a terem em conta as 12 recomendações para combater os crimes de ódio contra as pessoa</w:t>
      </w:r>
      <w:r w:rsidRPr="00C75443">
        <w:t xml:space="preserve">s LGBTIQ+ elaboradas pelo Comité Diretor para a Luta contra a Discriminação, a Diversidade e a Inclusão do Conselho da </w:t>
      </w:r>
      <w:r w:rsidRPr="00C75443">
        <w:lastRenderedPageBreak/>
        <w:t>Europa, bem como as recomendações da Comissão Europeia contra o Racismo e a Intolerância</w:t>
      </w:r>
      <w:r w:rsidRPr="00C75443">
        <w:rPr>
          <w:rStyle w:val="FootnoteReference"/>
        </w:rPr>
        <w:footnoteReference w:id="32"/>
      </w:r>
      <w:r w:rsidRPr="00C75443">
        <w:t>;</w:t>
      </w:r>
      <w:r w:rsidRPr="00C75443">
        <w:rPr>
          <w:rStyle w:val="Sup"/>
        </w:rPr>
        <w:t xml:space="preserve"> </w:t>
      </w:r>
      <w:r w:rsidRPr="00C75443">
        <w:t xml:space="preserve">Regista o recente projeto de lei romeno, que visa dar cumprimento ao acórdão </w:t>
      </w:r>
      <w:r w:rsidRPr="00C75443">
        <w:rPr>
          <w:rStyle w:val="Italic"/>
        </w:rPr>
        <w:t>Coman</w:t>
      </w:r>
      <w:r w:rsidRPr="00C75443">
        <w:t xml:space="preserve"> de 2018 do TJUE</w:t>
      </w:r>
      <w:r w:rsidRPr="00C75443">
        <w:rPr>
          <w:rStyle w:val="FootnoteReference"/>
        </w:rPr>
        <w:footnoteReference w:id="33"/>
      </w:r>
      <w:r w:rsidRPr="00C75443">
        <w:t>, bem como a crítica de que o projeto de lei só aplica esse acórdão de forma muito estrita e não garante a igualdade de direitos para os casais do mesmo sexo</w:t>
      </w:r>
      <w:r w:rsidRPr="00C75443">
        <w:rPr>
          <w:rStyle w:val="FootnoteReference"/>
        </w:rPr>
        <w:footnoteReference w:id="34"/>
      </w:r>
      <w:r w:rsidRPr="00C75443">
        <w:t>;</w:t>
      </w:r>
      <w:r w:rsidRPr="00C75443">
        <w:rPr>
          <w:rStyle w:val="Sup"/>
        </w:rPr>
        <w:t xml:space="preserve"> </w:t>
      </w:r>
    </w:p>
    <w:p w:rsidR="00967A95" w:rsidRPr="00C75443" w:rsidRDefault="003E73F3">
      <w:pPr>
        <w:pStyle w:val="NormalHanging12a"/>
      </w:pPr>
      <w:r w:rsidRPr="00C75443">
        <w:t>28.</w:t>
      </w:r>
      <w:r w:rsidRPr="00C75443">
        <w:tab/>
        <w:t>Reafirma que os direitos das mulheres são direitos humanos e que nada pode justificar uma regressão dos direitos e da autonomia das mulheres; condena, em particular, o ataque à saúde e direitos sexuais e reprodutivos das mulheres e raparigas que oc</w:t>
      </w:r>
      <w:r w:rsidRPr="00C75443">
        <w:t>orre em vários Estados</w:t>
      </w:r>
      <w:r>
        <w:noBreakHyphen/>
      </w:r>
      <w:r w:rsidRPr="00C75443">
        <w:t>Membros; considera que o direito ao aborto seguro e legal deve ser consagrado na Carta dos Direitos Fundamentais;</w:t>
      </w:r>
    </w:p>
    <w:p w:rsidR="00967A95" w:rsidRPr="00C75443" w:rsidRDefault="003E73F3">
      <w:pPr>
        <w:pStyle w:val="NormalHanging12a"/>
      </w:pPr>
      <w:r w:rsidRPr="00C75443">
        <w:t>29.</w:t>
      </w:r>
      <w:r w:rsidRPr="00C75443">
        <w:tab/>
        <w:t>Insta a Comissão a incluir um novo pilar específico sobre a proteção das minorias no próximo relatório, identifican</w:t>
      </w:r>
      <w:r w:rsidRPr="00C75443">
        <w:t>do todas as formas de xenofobia, racismo, antissemitismo, islamofobia, anticiganismo e fobia contra as pessoas LGBTI em todos os Estados</w:t>
      </w:r>
      <w:r>
        <w:noBreakHyphen/>
      </w:r>
      <w:r w:rsidRPr="00C75443">
        <w:t>Membros;</w:t>
      </w:r>
    </w:p>
    <w:p w:rsidR="00967A95" w:rsidRPr="00C75443" w:rsidRDefault="003E73F3">
      <w:pPr>
        <w:pStyle w:val="NormalHanging12a"/>
      </w:pPr>
      <w:r w:rsidRPr="00C75443">
        <w:t>30.</w:t>
      </w:r>
      <w:r w:rsidRPr="00C75443">
        <w:tab/>
        <w:t>Manifesta a sua deceção com a lentidão da Comissão em resolver o problema do incumprimento da legislação e</w:t>
      </w:r>
      <w:r w:rsidRPr="00C75443">
        <w:t xml:space="preserve"> da jurisprudência em matéria de direitos fundamentais por parte dos Estados</w:t>
      </w:r>
      <w:r>
        <w:noBreakHyphen/>
      </w:r>
      <w:r w:rsidRPr="00C75443">
        <w:t>Membros; rejeita a interpretação da Comissão segundo a qual a recusa das autoridades nacionais em dar cumprimento aos acórdãos do TJUE e do Tribunal Europeu dos Direitos Humanos (</w:t>
      </w:r>
      <w:r w:rsidRPr="00C75443">
        <w:t>TEDH) em processos relativos aos direitos fundamentais deve ser considerada «casos individuais» e não deve ser objeto de procedimentos de infração; insta a Comissão, enquanto guardiã dos Tratados, a assumir a sua responsabilidade pela execução da legislaçã</w:t>
      </w:r>
      <w:r w:rsidRPr="00C75443">
        <w:t>o da UE em matéria de direitos humanos e a não confiar na «execução privada»;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Conclusões transversais sobre o estado da democracia, o Estado de direito e os direitos fundamentais em toda a UE</w:t>
      </w:r>
    </w:p>
    <w:p w:rsidR="00967A95" w:rsidRPr="00C75443" w:rsidRDefault="003E73F3">
      <w:pPr>
        <w:pStyle w:val="NormalHanging12a"/>
      </w:pPr>
      <w:r w:rsidRPr="00C75443">
        <w:t>31.</w:t>
      </w:r>
      <w:r w:rsidRPr="00C75443">
        <w:tab/>
        <w:t xml:space="preserve">Manifesta a sua profunda preocupação, à luz do que precede, </w:t>
      </w:r>
      <w:r w:rsidRPr="00C75443">
        <w:t xml:space="preserve">com a erosão da democracia, do Estado de direito e dos direitos fundamentais em toda a UE; salienta que embora a situação apresentada pelo relatório sobre o Estado de direito da Comissão revele muitos desenvolvimentos preocupantes, a situação parece ainda </w:t>
      </w:r>
      <w:r w:rsidRPr="00C75443">
        <w:t>mais preocupante quando se têm em conta outros relatórios e fontes independentes; sublinha que – embora alguns Estados</w:t>
      </w:r>
      <w:r>
        <w:noBreakHyphen/>
      </w:r>
      <w:r w:rsidRPr="00C75443">
        <w:t>Membros sejam exemplares na proteção e promoção da democracia, do Estado de direito e dos direitos fundamentais – numa União Europeia int</w:t>
      </w:r>
      <w:r w:rsidRPr="00C75443">
        <w:t>erdependente e aberta, a erosão desses valores noutros Estados</w:t>
      </w:r>
      <w:r>
        <w:noBreakHyphen/>
      </w:r>
      <w:r w:rsidRPr="00C75443">
        <w:t>Membros compromete e ameaça as instituições da UE e a situação na UE no seu conjunto;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Aplicação da legislação da UE</w:t>
      </w:r>
    </w:p>
    <w:p w:rsidR="00967A95" w:rsidRPr="00C75443" w:rsidRDefault="003E73F3">
      <w:pPr>
        <w:pStyle w:val="NormalHanging12a"/>
      </w:pPr>
      <w:r w:rsidRPr="00C75443">
        <w:lastRenderedPageBreak/>
        <w:t>32.</w:t>
      </w:r>
      <w:r w:rsidRPr="00C75443">
        <w:tab/>
        <w:t>Observa que a execução adequada de todo o direito da UE é a condição prév</w:t>
      </w:r>
      <w:r w:rsidRPr="00C75443">
        <w:t>ia para uma união baseada no Estado de direito; condena o incumprimento, por vezes aberto e descarado, do direito da UE por parte de vários Estados</w:t>
      </w:r>
      <w:r>
        <w:noBreakHyphen/>
      </w:r>
      <w:r w:rsidRPr="00C75443">
        <w:t>Membros em vários domínios – como o asilo, a aplicação de sanções e a legislação em matéria de direitos huma</w:t>
      </w:r>
      <w:r w:rsidRPr="00C75443">
        <w:t>nos; sublinha que esta situação corre o risco de tornar a UE uma zona sem lei, em que alguns Estados</w:t>
      </w:r>
      <w:r>
        <w:noBreakHyphen/>
      </w:r>
      <w:r w:rsidRPr="00C75443">
        <w:t>Membros se sentem mais iguais do que outros e os direitos e liberdades dos cidadãos da UE não são protegidos uniformemente;</w:t>
      </w:r>
    </w:p>
    <w:p w:rsidR="00967A95" w:rsidRPr="00C75443" w:rsidRDefault="003E73F3">
      <w:pPr>
        <w:pStyle w:val="NormalHanging12a"/>
      </w:pPr>
      <w:r w:rsidRPr="00C75443">
        <w:t>33.</w:t>
      </w:r>
      <w:r w:rsidRPr="00C75443">
        <w:tab/>
        <w:t xml:space="preserve">Recorda à Comissão que ela </w:t>
      </w:r>
      <w:r w:rsidRPr="00C75443">
        <w:t>é, antes de mais, a guardiã dos Tratados; sublinha que publicar um relatório não é suficiente para reforçar a nossa União baseada no Estado de direito, mas que o relatório deve conduzir a medidas de execução concretas, especialmente quando as recomendações</w:t>
      </w:r>
      <w:r w:rsidRPr="00C75443">
        <w:t xml:space="preserve"> não forem plenamente cumpridas;</w:t>
      </w:r>
    </w:p>
    <w:p w:rsidR="00967A95" w:rsidRPr="00C75443" w:rsidRDefault="003E73F3">
      <w:pPr>
        <w:pStyle w:val="NormalHanging12a"/>
      </w:pPr>
      <w:r w:rsidRPr="00C75443">
        <w:t>34.</w:t>
      </w:r>
      <w:r w:rsidRPr="00C75443">
        <w:tab/>
        <w:t>Lamenta profundamente que a Comissão não tome medidas mais firmes para fazer cumprir o direito da UE; insta, por isso, a Comissão a aumentar o número de novos procedimentos de infração e a fazer avançar os procedimentos</w:t>
      </w:r>
      <w:r w:rsidRPr="00C75443">
        <w:t xml:space="preserve"> de infração em curso com mais audácia e urgência; insta a Comissão a não utilizar o «diálogo» com os Estados</w:t>
      </w:r>
      <w:r>
        <w:noBreakHyphen/>
      </w:r>
      <w:r w:rsidRPr="00C75443">
        <w:t>Membros ou o procedimento «piloto» como um meio aberto para evitar o lançamento efetivo de procedimentos de infração; insta a Comissão a rever a s</w:t>
      </w:r>
      <w:r w:rsidRPr="00C75443">
        <w:t>ua política – que não tem base nos Tratados – de não recorrer a procedimentos de infração em casos «individuais», dado que esta política conduziu a uma grave privação dos direitos dos cidadãos em toda a UE – especialmente quando os seus próprios governos s</w:t>
      </w:r>
      <w:r w:rsidRPr="00C75443">
        <w:t>e recusam a cumprir o direito da UE ou os acórdãos do TJUE – visto que a maioria destes casos não são individuais, mas abordam questões estratégicas e fundamentais;</w:t>
      </w:r>
    </w:p>
    <w:p w:rsidR="00967A95" w:rsidRPr="00C75443" w:rsidRDefault="003E73F3">
      <w:pPr>
        <w:pStyle w:val="NormalHanging12a"/>
      </w:pPr>
      <w:r w:rsidRPr="00C75443">
        <w:t>35.</w:t>
      </w:r>
      <w:r w:rsidRPr="00C75443">
        <w:tab/>
        <w:t>Assinala o problema persistente da aplicação incompleta dos acórdãos do TEDH, registand</w:t>
      </w:r>
      <w:r w:rsidRPr="00C75443">
        <w:t>o as recentes decisões do Comité de Ministros do Conselho da Europa</w:t>
      </w:r>
      <w:r w:rsidRPr="00C75443">
        <w:rPr>
          <w:rStyle w:val="Sup"/>
        </w:rPr>
        <w:t>[1]</w:t>
      </w:r>
      <w:r w:rsidRPr="00C75443">
        <w:t xml:space="preserve">; acolhe favoravelmente a inclusão dos indicadores sistémicos sobre a aplicação dos principais acórdãos do TEDH no relatório sobre o Estado de direito desde a sua edição de 2022; insta, </w:t>
      </w:r>
      <w:r w:rsidRPr="00C75443">
        <w:t>contudo, a Comissão a criar um painel de avaliação dedicado ao acompanhamento da aplicação de todos os acórdãos do TJUE e do TEDH relativos à democracia, ao Estado de direito e aos direitos fundamentais, e a integrar plenamente os resultados no relatório a</w:t>
      </w:r>
      <w:r w:rsidRPr="00C75443">
        <w:t>nual sobre o Estado de direito; insta os Estados</w:t>
      </w:r>
      <w:r>
        <w:noBreakHyphen/>
      </w:r>
      <w:r w:rsidRPr="00C75443">
        <w:t>Membros a aplicarem sem demora os acórdãos pendentes e insta a Comissão a avaliar as consequências para o cumprimento do direito da UE e a lançar procedimentos de infração sempre que necessário;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 xml:space="preserve">O relatório </w:t>
      </w:r>
      <w:r w:rsidRPr="00C75443">
        <w:rPr>
          <w:rStyle w:val="BoldItalic"/>
        </w:rPr>
        <w:t>sobre o Estado de direito enquanto instrumento</w:t>
      </w:r>
    </w:p>
    <w:p w:rsidR="00967A95" w:rsidRPr="00C75443" w:rsidRDefault="003E73F3">
      <w:pPr>
        <w:pStyle w:val="NormalHanging12a"/>
      </w:pPr>
      <w:r w:rsidRPr="00C75443">
        <w:t>36.</w:t>
      </w:r>
      <w:r w:rsidRPr="00C75443">
        <w:tab/>
        <w:t>Reconhece que o relatório sobre o Estado de direito se tornou uma referência para o trabalho das instituições da UE sobre questões relacionadas com o Estado de direito na UE e em determinados Estados</w:t>
      </w:r>
      <w:r>
        <w:noBreakHyphen/>
      </w:r>
      <w:r w:rsidRPr="00C75443">
        <w:t>Membr</w:t>
      </w:r>
      <w:r w:rsidRPr="00C75443">
        <w:t>os;</w:t>
      </w:r>
    </w:p>
    <w:p w:rsidR="00967A95" w:rsidRPr="00C75443" w:rsidRDefault="003E73F3">
      <w:pPr>
        <w:pStyle w:val="NormalHanging12a"/>
      </w:pPr>
      <w:r w:rsidRPr="00C75443">
        <w:t>37.</w:t>
      </w:r>
      <w:r w:rsidRPr="00C75443">
        <w:tab/>
        <w:t>Reconhece que o relatório sobre o Estado de direito da Comissão se tornou mais abrangente desde a sua criação, em 2020; lamenta, no entanto, que a edição de 2023 do relatório não tenha sido significativamente alargada através do aditamento dum novo</w:t>
      </w:r>
      <w:r w:rsidRPr="00C75443">
        <w:t xml:space="preserve"> pilar abrangente; reitera a sua posição de que o relatório deve abranger todo o âmbito dos valores do artigo 2.º do TUE, uma vez que estes não podem ser vistos isoladamente; insta a Comissão a alargar o âmbito do relatório no próximo ano;</w:t>
      </w:r>
    </w:p>
    <w:p w:rsidR="00967A95" w:rsidRPr="00C75443" w:rsidRDefault="003E73F3">
      <w:pPr>
        <w:pStyle w:val="NormalHanging12a"/>
      </w:pPr>
      <w:r w:rsidRPr="00C75443">
        <w:lastRenderedPageBreak/>
        <w:t>38.</w:t>
      </w:r>
      <w:r w:rsidRPr="00C75443">
        <w:tab/>
        <w:t xml:space="preserve">Manifesta a </w:t>
      </w:r>
      <w:r w:rsidRPr="00C75443">
        <w:t>sua preocupação por a Comissão – no seu esforço para ser factual e equitativa – acabar, por vezes, por ser demasiado diplomática e imprecisa ao identificar problemas relacionados com o Estado de direito nos Estados</w:t>
      </w:r>
      <w:r>
        <w:noBreakHyphen/>
      </w:r>
      <w:r w:rsidRPr="00C75443">
        <w:t>Membros; lamenta que a utilização de ling</w:t>
      </w:r>
      <w:r w:rsidRPr="00C75443">
        <w:t>uagem eufemística e o número artificialmente igual de conclusões e recomendações por Estado</w:t>
      </w:r>
      <w:r>
        <w:noBreakHyphen/>
      </w:r>
      <w:r w:rsidRPr="00C75443">
        <w:t>Membro ocultem as diferenças muito reais entre os Estados</w:t>
      </w:r>
      <w:r>
        <w:noBreakHyphen/>
      </w:r>
      <w:r w:rsidRPr="00C75443">
        <w:t>Membros; considera que a avaliação do cumprimento das recomendações deve ser mais precisa e qualitativa, n</w:t>
      </w:r>
      <w:r w:rsidRPr="00C75443">
        <w:t xml:space="preserve">ão se baseando apenas em alterações legislativas, mas também em provas reais e independentes da sua aplicação na prática; constata as diferenças por vezes acentuadas entre as sínteses dos capítulos por país e o conteúdo aprofundado dos próprios capítulos, </w:t>
      </w:r>
      <w:r w:rsidRPr="00C75443">
        <w:t>sugerindo uma intervenção editorial;</w:t>
      </w:r>
    </w:p>
    <w:p w:rsidR="00967A95" w:rsidRPr="00C75443" w:rsidRDefault="003E73F3">
      <w:pPr>
        <w:pStyle w:val="NormalHanging12a"/>
      </w:pPr>
      <w:r w:rsidRPr="00C75443">
        <w:t>39.</w:t>
      </w:r>
      <w:r w:rsidRPr="00C75443">
        <w:tab/>
        <w:t xml:space="preserve">Reafirma que muitos destes desafios poderiam ser superados fazendo participar um painel de peritos independente na elaboração do relatório, uma vez que eles estariam menos vinculados por considerações diplomáticas; </w:t>
      </w:r>
      <w:r w:rsidRPr="00C75443">
        <w:t>insta a Comissão a reconsiderar a sua posição sobre este ponto e a explorar todas as possibilidades de envolver peritos independentes nas edições posteriores do relatório sobre o Estado de direito;</w:t>
      </w:r>
    </w:p>
    <w:p w:rsidR="00967A95" w:rsidRPr="00C75443" w:rsidRDefault="003E73F3">
      <w:pPr>
        <w:pStyle w:val="NormalHanging12a"/>
      </w:pPr>
      <w:r w:rsidRPr="00C75443">
        <w:t>40.</w:t>
      </w:r>
      <w:r w:rsidRPr="00C75443">
        <w:tab/>
        <w:t>Afirma que o relatório anual sobre o Estado de direito</w:t>
      </w:r>
      <w:r w:rsidRPr="00C75443">
        <w:t xml:space="preserve"> não é um fim em si mesmo, uma vez que o acompanhamento da situação não é suficiente, devendo antes conduzir a medidas de execução específicas sobre as deficiências identificadas;</w:t>
      </w:r>
    </w:p>
    <w:p w:rsidR="00967A95" w:rsidRPr="00C75443" w:rsidRDefault="003E73F3">
      <w:pPr>
        <w:pStyle w:val="Normal12a24b"/>
      </w:pPr>
      <w:r w:rsidRPr="00C75443">
        <w:rPr>
          <w:rStyle w:val="BoldItalic"/>
        </w:rPr>
        <w:t>Cooperação interinstitucional e procedimentos em matéria de Estado de direit</w:t>
      </w:r>
      <w:r w:rsidRPr="00C75443">
        <w:rPr>
          <w:rStyle w:val="BoldItalic"/>
        </w:rPr>
        <w:t xml:space="preserve">o </w:t>
      </w:r>
    </w:p>
    <w:p w:rsidR="00967A95" w:rsidRPr="00C75443" w:rsidRDefault="003E73F3">
      <w:pPr>
        <w:pStyle w:val="NormalHanging12a"/>
      </w:pPr>
      <w:r w:rsidRPr="00C75443">
        <w:t>41.</w:t>
      </w:r>
      <w:r w:rsidRPr="00C75443">
        <w:tab/>
        <w:t>Regista a avaliação em curso do Conselho do seu diálogo sobre o Estado de direito e da posição expressa pelo mesmo de que irá ponderar a possibilidade duma maior cooperação interinstitucional nesse contexto; insta o Conselho a tornar o seu diálogo s</w:t>
      </w:r>
      <w:r w:rsidRPr="00C75443">
        <w:t>obre o Estado de direito mais inclusivo, convidando para as suas sessões outras instituições e partes interessadas – designadamente organismos do Conselho da Europa, como a Comissão de Veneza – e representantes do Parlamento Europeu;</w:t>
      </w:r>
    </w:p>
    <w:p w:rsidR="00967A95" w:rsidRPr="00C75443" w:rsidRDefault="003E73F3">
      <w:pPr>
        <w:pStyle w:val="NormalHanging12a"/>
      </w:pPr>
      <w:r w:rsidRPr="00C75443">
        <w:t>42.</w:t>
      </w:r>
      <w:r w:rsidRPr="00C75443">
        <w:tab/>
        <w:t>Lamenta que, até à</w:t>
      </w:r>
      <w:r w:rsidRPr="00C75443">
        <w:t xml:space="preserve"> data, a Comissão e o Conselho tenham rejeitado a proposta do Parlamento de celebrar um acordo interinstitucional sobre o Estado de direito; reafirma a sua disponibilidade para retomar as conversações sobre este acordo;</w:t>
      </w:r>
    </w:p>
    <w:p w:rsidR="00967A95" w:rsidRPr="00C75443" w:rsidRDefault="003E73F3">
      <w:pPr>
        <w:pStyle w:val="NormalHanging12a"/>
      </w:pPr>
      <w:r w:rsidRPr="00C75443">
        <w:t>43.</w:t>
      </w:r>
      <w:r w:rsidRPr="00C75443">
        <w:tab/>
        <w:t>Insta, entretanto, as outras ins</w:t>
      </w:r>
      <w:r w:rsidRPr="00C75443">
        <w:t>tituições a explorarem, pelo menos, uma maior cooperação no contexto do projeto</w:t>
      </w:r>
      <w:r>
        <w:noBreakHyphen/>
      </w:r>
      <w:r w:rsidRPr="00C75443">
        <w:t>piloto interinstitucional proposto em matéria de democracia, Estado de direito e direitos fundamentais, o que contribuiria para reforçar a confiança entre as instituições de fo</w:t>
      </w:r>
      <w:r w:rsidRPr="00C75443">
        <w:t>rma prática, nomeadamente através da partilha de práticas de acompanhamento, de diálogo e de reuniões;</w:t>
      </w:r>
    </w:p>
    <w:p w:rsidR="00967A95" w:rsidRPr="00C75443" w:rsidRDefault="003E73F3">
      <w:pPr>
        <w:pStyle w:val="NormalHanging12a"/>
      </w:pPr>
      <w:r w:rsidRPr="00C75443">
        <w:t>44.</w:t>
      </w:r>
      <w:r w:rsidRPr="00C75443">
        <w:tab/>
        <w:t>Condena a total falta de progressos nos procedimentos em curso ao abrigo do artigo 7.º, n.º 1, do TUE; exorta o Conselho a abordar os desenvolvimento</w:t>
      </w:r>
      <w:r w:rsidRPr="00C75443">
        <w:t>s que afetem o Estado de direito, a democracia e os direitos fundamentais; reitera o seu apelo ao Conselho para que formule recomendações no âmbito deste procedimento, sublinhando que qualquer novo adiamento de tais medidas constituiria uma violação do pri</w:t>
      </w:r>
      <w:r w:rsidRPr="00C75443">
        <w:t>ncípio do Estado de direito por parte do próprio Conselho; insiste em que a função e as competências do Parlamento sejam respeitadas;</w:t>
      </w:r>
    </w:p>
    <w:p w:rsidR="00967A95" w:rsidRPr="00C75443" w:rsidRDefault="003E73F3">
      <w:pPr>
        <w:pStyle w:val="NormalHanging12a"/>
      </w:pPr>
      <w:r w:rsidRPr="00C75443">
        <w:t>45.</w:t>
      </w:r>
      <w:r w:rsidRPr="00C75443">
        <w:tab/>
        <w:t>Insta a Comissão a incluir, acompanhar rigorosamente e salvaguardar as condições em matéria de democracia, Estado de d</w:t>
      </w:r>
      <w:r w:rsidRPr="00C75443">
        <w:t xml:space="preserve">ireito e direitos fundamentais em todos os processos </w:t>
      </w:r>
      <w:r w:rsidRPr="00C75443">
        <w:lastRenderedPageBreak/>
        <w:t>e instrumentos orçamentais; insta a Comissão, neste contexto, a não desbloquear quaisquer fundos de coesão destinados à Hungria, a menos que sejam plenamente cumpridas todas as condições favoráveis e que</w:t>
      </w:r>
      <w:r w:rsidRPr="00C75443">
        <w:t xml:space="preserve"> o poder judicial desse Estado</w:t>
      </w:r>
      <w:r>
        <w:noBreakHyphen/>
      </w:r>
      <w:r w:rsidRPr="00C75443">
        <w:t>Membro possa ser considerado totalmente independente na teoria e na prática; insta a Comissão e o Conselho a aplicarem de forma mais profunda e sem demora o Regulamento relativo à condicionalidade do Estado de direito, quando</w:t>
      </w:r>
      <w:r w:rsidRPr="00C75443">
        <w:t xml:space="preserve"> necessário, e a não levantarem as medidas adotadas no caso da Hungria até que todos os marcos tenham sido efetivamente cumpridos; insta a Comissão a verificar rigorosamente se são cumpridos os marcos relacionados com o Estado de direito nos planos de recu</w:t>
      </w:r>
      <w:r w:rsidRPr="00C75443">
        <w:t>peração e resiliência dos vários Estados</w:t>
      </w:r>
      <w:r>
        <w:noBreakHyphen/>
      </w:r>
      <w:r w:rsidRPr="00C75443">
        <w:t>Membros, como condição para o desembolso de financiamento quando os Estados</w:t>
      </w:r>
      <w:r>
        <w:noBreakHyphen/>
      </w:r>
      <w:r w:rsidRPr="00C75443">
        <w:t>Membros apresentarem pedidos de pagamento; insta a Comissão a atribuir a responsabilidade principal pela aplicação destas condições aos com</w:t>
      </w:r>
      <w:r w:rsidRPr="00C75443">
        <w:t>issários responsáveis pelo Estado de direito;</w:t>
      </w:r>
    </w:p>
    <w:p w:rsidR="00967A95" w:rsidRPr="00C75443" w:rsidRDefault="003E73F3">
      <w:pPr>
        <w:pStyle w:val="NormalCenter12a"/>
      </w:pPr>
      <w:r w:rsidRPr="00C75443">
        <w:t>°</w:t>
      </w:r>
    </w:p>
    <w:p w:rsidR="00967A95" w:rsidRPr="00C75443" w:rsidRDefault="003E73F3">
      <w:pPr>
        <w:pStyle w:val="NormalCenter12a"/>
      </w:pPr>
      <w:r w:rsidRPr="00C75443">
        <w:t>°</w:t>
      </w:r>
      <w:r w:rsidRPr="00C75443">
        <w:tab/>
        <w:t>°</w:t>
      </w:r>
    </w:p>
    <w:p w:rsidR="00967A95" w:rsidRPr="00C75443" w:rsidRDefault="003E73F3">
      <w:pPr>
        <w:pStyle w:val="NormalHanging12a"/>
      </w:pPr>
      <w:r w:rsidRPr="00C75443">
        <w:t>46.</w:t>
      </w:r>
      <w:r w:rsidRPr="00C75443">
        <w:tab/>
        <w:t>Encarrega a sua Presidente de transmitir a presente resolução ao Conselho e à Comissão.</w:t>
      </w:r>
    </w:p>
    <w:p w:rsidR="00967A95" w:rsidRPr="00C75443" w:rsidRDefault="00967A95">
      <w:pPr>
        <w:pStyle w:val="Normal12a"/>
      </w:pPr>
    </w:p>
    <w:sectPr w:rsidR="00967A95" w:rsidRPr="00C75443" w:rsidSect="00C75443"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C75443" w:rsidRDefault="003E73F3">
      <w:r w:rsidRPr="00C75443">
        <w:separator/>
      </w:r>
    </w:p>
  </w:endnote>
  <w:endnote w:type="continuationSeparator" w:id="0">
    <w:p w:rsidR="00000000" w:rsidRPr="00C75443" w:rsidRDefault="003E73F3">
      <w:r w:rsidRPr="00C754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443" w:rsidRPr="00C75443" w:rsidRDefault="00C75443" w:rsidP="00C75443">
    <w:pPr>
      <w:pStyle w:val="EPFooter"/>
    </w:pPr>
    <w:r w:rsidRPr="00C75443">
      <w:t>PE</w:t>
    </w:r>
    <w:r w:rsidRPr="00C75443">
      <w:rPr>
        <w:rStyle w:val="HideTWBExt"/>
      </w:rPr>
      <w:t>&lt;NoPE&gt;</w:t>
    </w:r>
    <w:r w:rsidRPr="00C75443">
      <w:t>754.695</w:t>
    </w:r>
    <w:r w:rsidRPr="00C75443">
      <w:rPr>
        <w:rStyle w:val="HideTWBExt"/>
      </w:rPr>
      <w:t>&lt;/NoPE&gt;&lt;Version&gt;</w:t>
    </w:r>
    <w:r w:rsidRPr="00C75443">
      <w:t>v01</w:t>
    </w:r>
    <w:r w:rsidR="003E73F3">
      <w:noBreakHyphen/>
    </w:r>
    <w:r w:rsidRPr="00C75443">
      <w:t>00</w:t>
    </w:r>
    <w:r w:rsidRPr="00C75443">
      <w:rPr>
        <w:rStyle w:val="HideTWBExt"/>
      </w:rPr>
      <w:t>&lt;/Version&gt;</w:t>
    </w:r>
    <w:r w:rsidRPr="00C75443">
      <w:tab/>
    </w:r>
    <w:r w:rsidRPr="00C75443">
      <w:fldChar w:fldCharType="begin"/>
    </w:r>
    <w:r w:rsidRPr="00C75443">
      <w:instrText xml:space="preserve"> PAGE  \* MERGEFORMAT </w:instrText>
    </w:r>
    <w:r w:rsidRPr="00C75443">
      <w:fldChar w:fldCharType="separate"/>
    </w:r>
    <w:r w:rsidR="003E73F3">
      <w:rPr>
        <w:noProof/>
      </w:rPr>
      <w:t>15</w:t>
    </w:r>
    <w:r w:rsidRPr="00C75443">
      <w:fldChar w:fldCharType="end"/>
    </w:r>
    <w:r w:rsidRPr="00C75443">
      <w:t>/</w:t>
    </w:r>
    <w:fldSimple w:instr=" NUMPAGES  \* MERGEFORMAT ">
      <w:r w:rsidR="003E73F3">
        <w:rPr>
          <w:noProof/>
        </w:rPr>
        <w:t>15</w:t>
      </w:r>
    </w:fldSimple>
    <w:r w:rsidRPr="00C75443">
      <w:tab/>
    </w:r>
    <w:r w:rsidRPr="00C75443">
      <w:rPr>
        <w:rStyle w:val="HideTWBExt"/>
      </w:rPr>
      <w:t>&lt;PathFdR&gt;</w:t>
    </w:r>
    <w:r w:rsidRPr="00C75443">
      <w:t>PR\1287814PT.docx</w:t>
    </w:r>
    <w:r w:rsidRPr="00C75443">
      <w:rPr>
        <w:rStyle w:val="HideTWBExt"/>
      </w:rPr>
      <w:t>&lt;/PathFdR&gt;</w:t>
    </w:r>
  </w:p>
  <w:p w:rsidR="00967A95" w:rsidRPr="00C75443" w:rsidRDefault="00C75443" w:rsidP="00C75443">
    <w:pPr>
      <w:pStyle w:val="EPFooter2"/>
    </w:pPr>
    <w:r w:rsidRPr="00C75443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443" w:rsidRPr="00C75443" w:rsidRDefault="00C75443" w:rsidP="00C75443">
    <w:pPr>
      <w:pStyle w:val="EPFooter"/>
    </w:pPr>
    <w:r w:rsidRPr="00C75443">
      <w:rPr>
        <w:rStyle w:val="HideTWBExt"/>
      </w:rPr>
      <w:t>&lt;PathFdR&gt;</w:t>
    </w:r>
    <w:r w:rsidRPr="00C75443">
      <w:t>PR\1287814PT.docx</w:t>
    </w:r>
    <w:r w:rsidRPr="00C75443">
      <w:rPr>
        <w:rStyle w:val="HideTWBExt"/>
      </w:rPr>
      <w:t>&lt;/PathFdR&gt;</w:t>
    </w:r>
    <w:r w:rsidRPr="00C75443">
      <w:tab/>
    </w:r>
    <w:r w:rsidRPr="00C75443">
      <w:fldChar w:fldCharType="begin"/>
    </w:r>
    <w:r w:rsidRPr="00C75443">
      <w:instrText xml:space="preserve"> PAGE  \* MERGEFORMAT </w:instrText>
    </w:r>
    <w:r w:rsidRPr="00C75443">
      <w:fldChar w:fldCharType="separate"/>
    </w:r>
    <w:r w:rsidR="003E73F3">
      <w:rPr>
        <w:noProof/>
      </w:rPr>
      <w:t>15</w:t>
    </w:r>
    <w:r w:rsidRPr="00C75443">
      <w:fldChar w:fldCharType="end"/>
    </w:r>
    <w:r w:rsidRPr="00C75443">
      <w:t>/</w:t>
    </w:r>
    <w:fldSimple w:instr=" NUMPAGES  \* MERGEFORMAT ">
      <w:r w:rsidR="003E73F3">
        <w:rPr>
          <w:noProof/>
        </w:rPr>
        <w:t>15</w:t>
      </w:r>
    </w:fldSimple>
    <w:r w:rsidRPr="00C75443">
      <w:tab/>
      <w:t>PE</w:t>
    </w:r>
    <w:r w:rsidRPr="00C75443">
      <w:rPr>
        <w:rStyle w:val="HideTWBExt"/>
      </w:rPr>
      <w:t>&lt;NoPE&gt;</w:t>
    </w:r>
    <w:r w:rsidRPr="00C75443">
      <w:t>754.695</w:t>
    </w:r>
    <w:r w:rsidRPr="00C75443">
      <w:rPr>
        <w:rStyle w:val="HideTWBExt"/>
      </w:rPr>
      <w:t>&lt;/NoPE&gt;&lt;Version&gt;</w:t>
    </w:r>
    <w:r w:rsidRPr="00C75443">
      <w:t>v01</w:t>
    </w:r>
    <w:r w:rsidR="003E73F3">
      <w:noBreakHyphen/>
    </w:r>
    <w:r w:rsidRPr="00C75443">
      <w:t>00</w:t>
    </w:r>
    <w:r w:rsidRPr="00C75443">
      <w:rPr>
        <w:rStyle w:val="HideTWBExt"/>
      </w:rPr>
      <w:t>&lt;/Version&gt;</w:t>
    </w:r>
  </w:p>
  <w:p w:rsidR="00967A95" w:rsidRPr="00C75443" w:rsidRDefault="00C75443" w:rsidP="00C75443">
    <w:pPr>
      <w:pStyle w:val="EPFooter2"/>
    </w:pPr>
    <w:r w:rsidRPr="00C75443">
      <w:tab/>
    </w:r>
    <w:r w:rsidRPr="00C75443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443" w:rsidRPr="00C75443" w:rsidRDefault="00C75443" w:rsidP="00C75443">
    <w:pPr>
      <w:pStyle w:val="EPFooter"/>
    </w:pPr>
    <w:r w:rsidRPr="00C75443">
      <w:rPr>
        <w:rStyle w:val="HideTWBExt"/>
      </w:rPr>
      <w:t>&lt;PathFdR&gt;</w:t>
    </w:r>
    <w:r w:rsidRPr="00C75443">
      <w:t>PR\1287814PT.docx</w:t>
    </w:r>
    <w:r w:rsidRPr="00C75443">
      <w:rPr>
        <w:rStyle w:val="HideTWBExt"/>
      </w:rPr>
      <w:t>&lt;/PathFdR&gt;</w:t>
    </w:r>
    <w:r w:rsidRPr="00C75443">
      <w:tab/>
    </w:r>
    <w:r w:rsidRPr="00C75443">
      <w:tab/>
      <w:t>PE</w:t>
    </w:r>
    <w:r w:rsidRPr="00C75443">
      <w:rPr>
        <w:rStyle w:val="HideTWBExt"/>
      </w:rPr>
      <w:t>&lt;NoPE&gt;</w:t>
    </w:r>
    <w:r w:rsidRPr="00C75443">
      <w:t>754.695</w:t>
    </w:r>
    <w:r w:rsidRPr="00C75443">
      <w:rPr>
        <w:rStyle w:val="HideTWBExt"/>
      </w:rPr>
      <w:t>&lt;/NoPE&gt;&lt;Version&gt;</w:t>
    </w:r>
    <w:r w:rsidRPr="00C75443">
      <w:t>v01</w:t>
    </w:r>
    <w:r w:rsidR="003E73F3">
      <w:noBreakHyphen/>
    </w:r>
    <w:r w:rsidRPr="00C75443">
      <w:t>00</w:t>
    </w:r>
    <w:r w:rsidRPr="00C75443">
      <w:rPr>
        <w:rStyle w:val="HideTWBExt"/>
      </w:rPr>
      <w:t>&lt;/Version&gt;</w:t>
    </w:r>
  </w:p>
  <w:p w:rsidR="00967A95" w:rsidRPr="00C75443" w:rsidRDefault="00C75443" w:rsidP="00C75443">
    <w:pPr>
      <w:pStyle w:val="EPFooter2"/>
    </w:pPr>
    <w:r w:rsidRPr="00C75443">
      <w:t>PT</w:t>
    </w:r>
    <w:r w:rsidRPr="00C75443">
      <w:tab/>
    </w:r>
    <w:r w:rsidRPr="00C75443">
      <w:rPr>
        <w:b w:val="0"/>
        <w:i/>
        <w:color w:val="C0C0C0"/>
        <w:sz w:val="22"/>
      </w:rPr>
      <w:t>Unida na diversidade</w:t>
    </w:r>
    <w:r w:rsidRPr="00C75443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755" w:rsidRPr="00C75443" w:rsidRDefault="003E73F3">
      <w:r w:rsidRPr="00C75443">
        <w:separator/>
      </w:r>
    </w:p>
  </w:footnote>
  <w:footnote w:type="continuationSeparator" w:id="0">
    <w:p w:rsidR="00936755" w:rsidRPr="00C75443" w:rsidRDefault="003E73F3">
      <w:r w:rsidRPr="00C75443">
        <w:continuationSeparator/>
      </w:r>
    </w:p>
  </w:footnote>
  <w:footnote w:id="1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L 433 I de 22.12.2020, p. 1.</w:t>
      </w:r>
    </w:p>
  </w:footnote>
  <w:footnote w:id="2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L 156, 5.5.2021, p. 1.</w:t>
      </w:r>
    </w:p>
  </w:footnote>
  <w:footnote w:id="3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215 de 19.6.2018, p. 162.</w:t>
      </w:r>
    </w:p>
  </w:footnote>
  <w:footnote w:id="4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129, </w:t>
      </w:r>
      <w:r w:rsidRPr="00C75443">
        <w:t>5.4.2019, p. 13.</w:t>
      </w:r>
    </w:p>
  </w:footnote>
  <w:footnote w:id="5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390, 18.11.2019, p. 117.</w:t>
      </w:r>
    </w:p>
  </w:footnote>
  <w:footnote w:id="6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433, 23.12.2019, p. 66.</w:t>
      </w:r>
    </w:p>
  </w:footnote>
  <w:footnote w:id="7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</w:t>
      </w:r>
      <w:r>
        <w:t xml:space="preserve"> </w:t>
      </w:r>
      <w:r w:rsidRPr="00C75443">
        <w:t>JO C 363, 28.10.2020, p. 45.</w:t>
      </w:r>
    </w:p>
  </w:footnote>
  <w:footnote w:id="8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</w:t>
      </w:r>
      <w:r>
        <w:t xml:space="preserve"> </w:t>
      </w:r>
      <w:r w:rsidRPr="00C75443">
        <w:t>JO C 395, 29.9.2021, p. 2.</w:t>
      </w:r>
    </w:p>
  </w:footnote>
  <w:footnote w:id="9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</w:t>
      </w:r>
      <w:r>
        <w:t xml:space="preserve"> </w:t>
      </w:r>
      <w:r w:rsidRPr="00C75443">
        <w:t>JO C 415, 13.10.2021, p. 36.</w:t>
      </w:r>
    </w:p>
  </w:footnote>
  <w:footnote w:id="10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67, 8.2.2022, p. 86.</w:t>
      </w:r>
    </w:p>
  </w:footnote>
  <w:footnote w:id="11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81, 18.2.2022, p. 27.</w:t>
      </w:r>
    </w:p>
  </w:footnote>
  <w:footnote w:id="12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>
        <w:t xml:space="preserve"> J</w:t>
      </w:r>
      <w:r w:rsidRPr="00C75443">
        <w:t>O</w:t>
      </w:r>
      <w:r>
        <w:t xml:space="preserve"> </w:t>
      </w:r>
      <w:r w:rsidRPr="00C75443">
        <w:t>C 99, 1.3.2022, p. 146.</w:t>
      </w:r>
    </w:p>
  </w:footnote>
  <w:footnote w:id="13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205, 20.5.2022, p. 2.</w:t>
      </w:r>
    </w:p>
  </w:footnote>
  <w:footnote w:id="14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251, 30.6.2022, p. 48.</w:t>
      </w:r>
    </w:p>
  </w:footnote>
  <w:footnote w:id="15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347, 9.9.2022, p. 2.</w:t>
      </w:r>
    </w:p>
  </w:footnote>
  <w:footnote w:id="16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347, 9.9.2022, p. 168.</w:t>
      </w:r>
    </w:p>
  </w:footnote>
  <w:footnote w:id="17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479, 16.12.2022, p. 18.</w:t>
      </w:r>
    </w:p>
  </w:footnote>
  <w:footnote w:id="18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JO C 493, 27.12.2022, p. 108.</w:t>
      </w:r>
    </w:p>
  </w:footnote>
  <w:footnote w:id="19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Textos aprovados, P9_TA(2022)0324.</w:t>
      </w:r>
    </w:p>
  </w:footnote>
  <w:footnote w:id="20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Textos aprovados, P9_TA(2022)0325.</w:t>
      </w:r>
    </w:p>
  </w:footnote>
  <w:footnote w:id="21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Textos aprovados, P9_TA(2022)0371.</w:t>
      </w:r>
    </w:p>
  </w:footnote>
  <w:footnote w:id="22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Textos aprovados, P9_TA(2022)0372.</w:t>
      </w:r>
    </w:p>
  </w:footnote>
  <w:footnote w:id="23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Textos aprovados, P9_TA(2022)0389.</w:t>
      </w:r>
    </w:p>
  </w:footnote>
  <w:footnote w:id="24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Textos aprovados, P9_TA(2022)0422.</w:t>
      </w:r>
    </w:p>
  </w:footnote>
  <w:footnote w:id="25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>
        <w:t xml:space="preserve"> Textos aprovados, </w:t>
      </w:r>
      <w:r w:rsidRPr="00C75443">
        <w:t>P9_TA(2023)0094.</w:t>
      </w:r>
    </w:p>
  </w:footnote>
  <w:footnote w:id="26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Textos aprovados, P9_TA(2023)0244.</w:t>
      </w:r>
    </w:p>
  </w:footnote>
  <w:footnote w:id="27">
    <w:p w:rsidR="00967A95" w:rsidRPr="00C75443" w:rsidRDefault="003E73F3">
      <w:pPr>
        <w:pStyle w:val="FootnoteText"/>
        <w:rPr>
          <w:color w:val="0000FF"/>
          <w:u w:val="single" w:color="0000FF"/>
        </w:rPr>
      </w:pPr>
      <w:r w:rsidRPr="00C75443">
        <w:rPr>
          <w:rStyle w:val="FootnoteReference"/>
        </w:rPr>
        <w:footnoteRef/>
      </w:r>
      <w:r w:rsidRPr="00C75443">
        <w:t xml:space="preserve"> Para todas as atividades de acom</w:t>
      </w:r>
      <w:r w:rsidRPr="00C75443">
        <w:t xml:space="preserve">panhamento deste grupo, ver: </w:t>
      </w:r>
      <w:hyperlink r:id="rId1" w:history="1">
        <w:r w:rsidRPr="00C75443">
          <w:rPr>
            <w:color w:val="0000FF"/>
            <w:u w:val="single" w:color="0000FF"/>
          </w:rPr>
          <w:t>https://www.europarl.europa.eu/committees/en/libe</w:t>
        </w:r>
        <w:r>
          <w:rPr>
            <w:color w:val="0000FF"/>
            <w:u w:val="single" w:color="0000FF"/>
          </w:rPr>
          <w:noBreakHyphen/>
        </w:r>
        <w:r w:rsidRPr="00C75443">
          <w:rPr>
            <w:color w:val="0000FF"/>
            <w:u w:val="single" w:color="0000FF"/>
          </w:rPr>
          <w:t>democracy</w:t>
        </w:r>
        <w:r>
          <w:rPr>
            <w:color w:val="0000FF"/>
            <w:u w:val="single" w:color="0000FF"/>
          </w:rPr>
          <w:noBreakHyphen/>
        </w:r>
        <w:r w:rsidRPr="00C75443">
          <w:rPr>
            <w:color w:val="0000FF"/>
            <w:u w:val="single" w:color="0000FF"/>
          </w:rPr>
          <w:t>rule</w:t>
        </w:r>
        <w:r>
          <w:rPr>
            <w:color w:val="0000FF"/>
            <w:u w:val="single" w:color="0000FF"/>
          </w:rPr>
          <w:noBreakHyphen/>
        </w:r>
        <w:r w:rsidRPr="00C75443">
          <w:rPr>
            <w:color w:val="0000FF"/>
            <w:u w:val="single" w:color="0000FF"/>
          </w:rPr>
          <w:t>of</w:t>
        </w:r>
        <w:r>
          <w:rPr>
            <w:color w:val="0000FF"/>
            <w:u w:val="single" w:color="0000FF"/>
          </w:rPr>
          <w:noBreakHyphen/>
        </w:r>
        <w:r w:rsidRPr="00C75443">
          <w:rPr>
            <w:color w:val="0000FF"/>
            <w:u w:val="single" w:color="0000FF"/>
          </w:rPr>
          <w:t>law</w:t>
        </w:r>
        <w:r>
          <w:rPr>
            <w:color w:val="0000FF"/>
            <w:u w:val="single" w:color="0000FF"/>
          </w:rPr>
          <w:noBreakHyphen/>
        </w:r>
        <w:r w:rsidRPr="00C75443">
          <w:rPr>
            <w:color w:val="0000FF"/>
            <w:u w:val="single" w:color="0000FF"/>
          </w:rPr>
          <w:t>and</w:t>
        </w:r>
        <w:r>
          <w:rPr>
            <w:color w:val="0000FF"/>
            <w:u w:val="single" w:color="0000FF"/>
          </w:rPr>
          <w:noBreakHyphen/>
        </w:r>
        <w:r w:rsidRPr="00C75443">
          <w:rPr>
            <w:color w:val="0000FF"/>
            <w:u w:val="single" w:color="0000FF"/>
          </w:rPr>
          <w:t>fundament/produc</w:t>
        </w:r>
        <w:r w:rsidRPr="00C75443">
          <w:rPr>
            <w:color w:val="0000FF"/>
            <w:u w:val="single" w:color="0000FF"/>
          </w:rPr>
          <w:t>t</w:t>
        </w:r>
        <w:r>
          <w:rPr>
            <w:color w:val="0000FF"/>
            <w:u w:val="single" w:color="0000FF"/>
          </w:rPr>
          <w:noBreakHyphen/>
        </w:r>
        <w:r w:rsidRPr="00C75443">
          <w:rPr>
            <w:color w:val="0000FF"/>
            <w:u w:val="single" w:color="0000FF"/>
          </w:rPr>
          <w:t>details/20190103CDT02662</w:t>
        </w:r>
      </w:hyperlink>
      <w:r w:rsidRPr="00C75443">
        <w:t>.</w:t>
      </w:r>
    </w:p>
  </w:footnote>
  <w:footnote w:id="28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Comité de Helsínquia húngaro, </w:t>
      </w:r>
      <w:r w:rsidRPr="00C75443">
        <w:rPr>
          <w:rStyle w:val="Italic"/>
        </w:rPr>
        <w:t>Updated summary assessment on Hungary’s compliance with the four super milestones aimed at restoring the independence of the judiciary</w:t>
      </w:r>
      <w:r w:rsidRPr="00C75443">
        <w:t>, 9 de outubro de 2023.</w:t>
      </w:r>
    </w:p>
  </w:footnote>
  <w:footnote w:id="29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Transparency International, </w:t>
      </w:r>
      <w:r w:rsidRPr="00C75443">
        <w:rPr>
          <w:rStyle w:val="Italic"/>
        </w:rPr>
        <w:t>Índice d</w:t>
      </w:r>
      <w:r w:rsidRPr="00C75443">
        <w:rPr>
          <w:rStyle w:val="Italic"/>
        </w:rPr>
        <w:t>e Perceção da Corrupção</w:t>
      </w:r>
      <w:r w:rsidRPr="00C75443">
        <w:t>, 31 de janeiro de 2023.</w:t>
      </w:r>
    </w:p>
  </w:footnote>
  <w:footnote w:id="30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Comissário para os Direitos Humanos do Conselho da Europa, </w:t>
      </w:r>
      <w:r w:rsidRPr="00C75443">
        <w:rPr>
          <w:rStyle w:val="Italic"/>
        </w:rPr>
        <w:t>Letter to the Speaker of the House of Malta</w:t>
      </w:r>
      <w:r w:rsidRPr="00C75443">
        <w:t>, 26 de setembro de 2023.</w:t>
      </w:r>
    </w:p>
  </w:footnote>
  <w:footnote w:id="31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IInternational Press Institute, </w:t>
      </w:r>
      <w:r w:rsidRPr="00C75443">
        <w:rPr>
          <w:rStyle w:val="Italic"/>
        </w:rPr>
        <w:t>Murdered, surveilled and sued</w:t>
      </w:r>
      <w:r w:rsidRPr="00C75443">
        <w:t>:</w:t>
      </w:r>
      <w:r w:rsidRPr="00C75443">
        <w:rPr>
          <w:rStyle w:val="Italic"/>
        </w:rPr>
        <w:t xml:space="preserve"> decisive acti</w:t>
      </w:r>
      <w:r w:rsidRPr="00C75443">
        <w:rPr>
          <w:rStyle w:val="Italic"/>
        </w:rPr>
        <w:t>on needed to protect journalists and salvage press freedom in Greece</w:t>
      </w:r>
      <w:r w:rsidRPr="00C75443">
        <w:t>, 27 de setembro de 2023.</w:t>
      </w:r>
    </w:p>
  </w:footnote>
  <w:footnote w:id="32">
    <w:p w:rsidR="00967A95" w:rsidRPr="00C75443" w:rsidRDefault="003E73F3">
      <w:pPr>
        <w:pStyle w:val="FootnoteText"/>
        <w:rPr>
          <w:color w:val="0000FF"/>
          <w:u w:val="single" w:color="0000FF"/>
        </w:rPr>
      </w:pPr>
      <w:r w:rsidRPr="00C75443">
        <w:rPr>
          <w:rStyle w:val="FootnoteReference"/>
        </w:rPr>
        <w:footnoteRef/>
      </w:r>
      <w:r w:rsidRPr="00C75443">
        <w:t xml:space="preserve"> </w:t>
      </w:r>
      <w:hyperlink r:id="rId2" w:history="1">
        <w:r w:rsidRPr="00C75443">
          <w:rPr>
            <w:color w:val="0000FF"/>
            <w:u w:val="single" w:color="0000FF"/>
          </w:rPr>
          <w:t xml:space="preserve">Conselho da Europa, Comité Diretor para a Luta contra a </w:t>
        </w:r>
        <w:r w:rsidRPr="00C75443">
          <w:rPr>
            <w:color w:val="0000FF"/>
            <w:u w:val="single" w:color="0000FF"/>
          </w:rPr>
          <w:t>Discriminação, a Diversidade e a Inclusão, Thematic review of the implementation of Recommendation CM/Rec(2010)5, 14 de setembro de 2023</w:t>
        </w:r>
      </w:hyperlink>
      <w:r w:rsidRPr="00C75443">
        <w:t>;</w:t>
      </w:r>
      <w:hyperlink r:id="rId3" w:history="1">
        <w:r w:rsidRPr="00C75443">
          <w:rPr>
            <w:color w:val="0000FF"/>
            <w:u w:val="single" w:color="0000FF"/>
          </w:rPr>
          <w:t>Conselho da Europa, Comissã</w:t>
        </w:r>
        <w:r w:rsidRPr="00C75443">
          <w:rPr>
            <w:color w:val="0000FF"/>
            <w:u w:val="single" w:color="0000FF"/>
          </w:rPr>
          <w:t>o Europeia contra o Racismo e a Intolerância, ECRI General Policy Recommendation No. 17 on preventing and combating intolerance and discrimination against LGBTI persons, 28 de setembro de 2023</w:t>
        </w:r>
      </w:hyperlink>
      <w:r w:rsidRPr="00C75443">
        <w:t>.</w:t>
      </w:r>
    </w:p>
  </w:footnote>
  <w:footnote w:id="33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Acórdão do Tribunal de Justiça de 5 de junho de 2018, pedido</w:t>
      </w:r>
      <w:r w:rsidRPr="00C75443">
        <w:t xml:space="preserve"> de decisão prejudicial apresentado, nos termos do artigo 267.º TFUE, pela Curtea Constituțională (Tribunal Constitucional da Roménia), ECLI:EU:C:2018:385.</w:t>
      </w:r>
    </w:p>
  </w:footnote>
  <w:footnote w:id="34">
    <w:p w:rsidR="00967A95" w:rsidRPr="00C75443" w:rsidRDefault="003E73F3">
      <w:pPr>
        <w:pStyle w:val="FootnoteText"/>
      </w:pPr>
      <w:r w:rsidRPr="00C75443">
        <w:rPr>
          <w:rStyle w:val="FootnoteReference"/>
        </w:rPr>
        <w:footnoteRef/>
      </w:r>
      <w:r w:rsidRPr="00C75443">
        <w:t xml:space="preserve"> Euractiv, </w:t>
      </w:r>
      <w:r w:rsidRPr="00C75443">
        <w:rPr>
          <w:rStyle w:val="Italic"/>
        </w:rPr>
        <w:t>Romanian LGBTQ+ community wants equal rights, not special conditions</w:t>
      </w:r>
      <w:r w:rsidRPr="00C75443">
        <w:t xml:space="preserve">, 22 de setembro de </w:t>
      </w:r>
      <w:r w:rsidRPr="00C75443">
        <w:t>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3F3" w:rsidRDefault="003E73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3F3" w:rsidRDefault="003E73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3F3" w:rsidRDefault="003E73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54581"/>
    <w:multiLevelType w:val="hybridMultilevel"/>
    <w:tmpl w:val="F16C6036"/>
    <w:lvl w:ilvl="0" w:tplc="5C2C947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60B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38BA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D09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E6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664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A89A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DAC1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F854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C09CF"/>
    <w:multiLevelType w:val="hybridMultilevel"/>
    <w:tmpl w:val="0DAA9F68"/>
    <w:lvl w:ilvl="0" w:tplc="B6F42D16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62C267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E5C0F7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26720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D8F23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74C7F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8E83E8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262FE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594C78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XTNRPE" w:val="754.695"/>
    <w:docVar w:name="TXTPEorAP" w:val="PE"/>
    <w:docVar w:name="TXTVERSION" w:val="01-00"/>
  </w:docVars>
  <w:rsids>
    <w:rsidRoot w:val="00A77B3E"/>
    <w:rsid w:val="00324046"/>
    <w:rsid w:val="003E73F3"/>
    <w:rsid w:val="006C3DD2"/>
    <w:rsid w:val="00936755"/>
    <w:rsid w:val="00967A95"/>
    <w:rsid w:val="00A359E5"/>
    <w:rsid w:val="00A77B3E"/>
    <w:rsid w:val="00C75443"/>
    <w:rsid w:val="00CA2A55"/>
    <w:rsid w:val="00E4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AF02F"/>
  <w15:docId w15:val="{2C90FCC8-68EC-40E6-85D9-569C4F54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styleId="Footer">
    <w:name w:val="footer"/>
    <w:basedOn w:val="Normal"/>
    <w:link w:val="FooterChar"/>
    <w:semiHidden/>
    <w:unhideWhenUsed/>
    <w:rsid w:val="003E73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E73F3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arch.coe.int/cm/Pages/result_details.aspx?Reference=CM/Rec(2010)5" TargetMode="External"/><Relationship Id="rId2" Type="http://schemas.openxmlformats.org/officeDocument/2006/relationships/hyperlink" Target="https://search.coe.int/cm/Pages/result_details.aspx?Reference=CM/Rec(2010)5" TargetMode="External"/><Relationship Id="rId1" Type="http://schemas.openxmlformats.org/officeDocument/2006/relationships/hyperlink" Target="https://www.europarl.europa.eu/committees/en/libe-democracy-rule-of-law-and-fundament/product-details/20190103CDT026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4EF91-1930-4F12-98DB-85405E55F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5653</Words>
  <Characters>30020</Characters>
  <Application>Microsoft Office Word</Application>
  <DocSecurity>0</DocSecurity>
  <Lines>500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35528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GARCIA RODRIGUEZ Viviana</cp:lastModifiedBy>
  <cp:revision>2</cp:revision>
  <dcterms:created xsi:type="dcterms:W3CDTF">2023-11-13T08:33:00Z</dcterms:created>
  <dcterms:modified xsi:type="dcterms:W3CDTF">2023-11-13T08:33:00Z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1287814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20231031-173016-012605-124709</vt:lpwstr>
  </property>
  <property fmtid="{D5CDD505-2E9C-101B-9397-08002B2CF9AE}" pid="7" name="FooterPath">
    <vt:lpwstr>PR\1287814PT.docx</vt:lpwstr>
  </property>
  <property fmtid="{D5CDD505-2E9C-101B-9397-08002B2CF9AE}" pid="8" name="PE Number">
    <vt:lpwstr>754.695</vt:lpwstr>
  </property>
  <property fmtid="{D5CDD505-2E9C-101B-9397-08002B2CF9AE}" pid="9" name="SDLStudio">
    <vt:lpwstr/>
  </property>
  <property fmtid="{D5CDD505-2E9C-101B-9397-08002B2CF9AE}" pid="10" name="UID">
    <vt:lpwstr>eu.europa.europarl-DIN1-2023-0000131083_01.06-en-01.00_text-xml</vt:lpwstr>
  </property>
  <property fmtid="{D5CDD505-2E9C-101B-9397-08002B2CF9AE}" pid="11" name="Bookout">
    <vt:lpwstr>OK - 2023/11/13 09:33</vt:lpwstr>
  </property>
</Properties>
</file>