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B61FA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B61FA7" w:rsidRDefault="00624BCE" w:rsidP="00C85D0F">
            <w:pPr>
              <w:pStyle w:val="EPName"/>
            </w:pPr>
            <w:bookmarkStart w:id="0" w:name="_GoBack"/>
            <w:bookmarkEnd w:id="0"/>
            <w:r w:rsidRPr="00B61FA7">
              <w:t>Európsky parlament</w:t>
            </w:r>
          </w:p>
          <w:p w:rsidR="00C05DD8" w:rsidRPr="00B61FA7" w:rsidRDefault="005B1AA7" w:rsidP="005B1AA7">
            <w:pPr>
              <w:pStyle w:val="EPTerm"/>
            </w:pPr>
            <w:r w:rsidRPr="00B61FA7">
              <w:t>2019 – 2024</w:t>
            </w:r>
          </w:p>
        </w:tc>
        <w:tc>
          <w:tcPr>
            <w:tcW w:w="2268" w:type="dxa"/>
            <w:shd w:val="clear" w:color="auto" w:fill="auto"/>
          </w:tcPr>
          <w:p w:rsidR="00C05DD8" w:rsidRPr="00B61FA7" w:rsidRDefault="00C05DD8" w:rsidP="00C85D0F">
            <w:pPr>
              <w:pStyle w:val="EPLogo"/>
            </w:pPr>
            <w:r w:rsidRPr="00B61FA7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B61FA7" w:rsidRDefault="009612AA" w:rsidP="009612AA">
      <w:pPr>
        <w:pStyle w:val="LineTop"/>
      </w:pPr>
    </w:p>
    <w:p w:rsidR="009612AA" w:rsidRPr="00B61FA7" w:rsidRDefault="009612AA" w:rsidP="009612AA">
      <w:pPr>
        <w:pStyle w:val="EPBody"/>
      </w:pPr>
      <w:r w:rsidRPr="00B61FA7">
        <w:rPr>
          <w:rStyle w:val="HideTWBExt"/>
        </w:rPr>
        <w:t>&lt;</w:t>
      </w:r>
      <w:r w:rsidRPr="00B61FA7">
        <w:rPr>
          <w:rStyle w:val="HideTWBExt"/>
          <w:i w:val="0"/>
        </w:rPr>
        <w:t>Commission</w:t>
      </w:r>
      <w:r w:rsidRPr="00B61FA7">
        <w:rPr>
          <w:rStyle w:val="HideTWBExt"/>
        </w:rPr>
        <w:t>&gt;</w:t>
      </w:r>
      <w:r w:rsidRPr="00B61FA7">
        <w:rPr>
          <w:rStyle w:val="HideTWBInt"/>
        </w:rPr>
        <w:t>{LIBE}</w:t>
      </w:r>
      <w:r w:rsidRPr="00B61FA7">
        <w:t>Výbor pre občianske slobody, spravodlivosť a vnútorné veci</w:t>
      </w:r>
      <w:r w:rsidRPr="00B61FA7">
        <w:rPr>
          <w:rStyle w:val="HideTWBExt"/>
        </w:rPr>
        <w:t>&lt;/</w:t>
      </w:r>
      <w:r w:rsidRPr="00B61FA7">
        <w:rPr>
          <w:rStyle w:val="HideTWBExt"/>
          <w:i w:val="0"/>
        </w:rPr>
        <w:t>Commission</w:t>
      </w:r>
      <w:r w:rsidRPr="00B61FA7">
        <w:rPr>
          <w:rStyle w:val="HideTWBExt"/>
        </w:rPr>
        <w:t>&gt;</w:t>
      </w:r>
    </w:p>
    <w:p w:rsidR="009612AA" w:rsidRPr="00B61FA7" w:rsidRDefault="009612AA" w:rsidP="009612AA">
      <w:pPr>
        <w:pStyle w:val="LineBottom"/>
      </w:pPr>
    </w:p>
    <w:p w:rsidR="00363B94" w:rsidRPr="00B61FA7" w:rsidRDefault="00363B94">
      <w:pPr>
        <w:pStyle w:val="CoverReference"/>
      </w:pPr>
      <w:r w:rsidRPr="00B61FA7">
        <w:rPr>
          <w:rStyle w:val="HideTWBExt"/>
          <w:b w:val="0"/>
        </w:rPr>
        <w:t>&lt;RefProc&gt;</w:t>
      </w:r>
      <w:r w:rsidRPr="00B61FA7">
        <w:t>2023/0400</w:t>
      </w:r>
      <w:r w:rsidRPr="00B61FA7">
        <w:rPr>
          <w:rStyle w:val="HideTWBExt"/>
          <w:b w:val="0"/>
        </w:rPr>
        <w:t>&lt;/RefProc&gt;&lt;RefTypeProc&gt;</w:t>
      </w:r>
      <w:r w:rsidRPr="00B61FA7">
        <w:t>(NLE)</w:t>
      </w:r>
      <w:r w:rsidRPr="00B61FA7">
        <w:rPr>
          <w:rStyle w:val="HideTWBExt"/>
          <w:b w:val="0"/>
        </w:rPr>
        <w:t>&lt;/RefTypeProc&gt;</w:t>
      </w:r>
    </w:p>
    <w:p w:rsidR="00363B94" w:rsidRPr="00B61FA7" w:rsidRDefault="00363B94">
      <w:pPr>
        <w:pStyle w:val="CoverDate"/>
      </w:pPr>
      <w:r w:rsidRPr="00B61FA7">
        <w:rPr>
          <w:rStyle w:val="HideTWBExt"/>
        </w:rPr>
        <w:t>&lt;Date&gt;</w:t>
      </w:r>
      <w:r w:rsidRPr="00B61FA7">
        <w:rPr>
          <w:rStyle w:val="HideTWBInt"/>
        </w:rPr>
        <w:t>{02/02/2024}</w:t>
      </w:r>
      <w:r w:rsidRPr="00B61FA7">
        <w:t>2. 2. 2024</w:t>
      </w:r>
      <w:r w:rsidRPr="00B61FA7">
        <w:rPr>
          <w:rStyle w:val="HideTWBExt"/>
        </w:rPr>
        <w:t>&lt;/Date&gt;</w:t>
      </w:r>
    </w:p>
    <w:p w:rsidR="00363B94" w:rsidRPr="00B61FA7" w:rsidRDefault="00363B94">
      <w:pPr>
        <w:pStyle w:val="CoverDocType"/>
      </w:pPr>
      <w:r w:rsidRPr="00B61FA7">
        <w:rPr>
          <w:rStyle w:val="HideTWBExt"/>
          <w:b w:val="0"/>
        </w:rPr>
        <w:t>&lt;RefProcLect&gt;</w:t>
      </w:r>
      <w:r w:rsidRPr="00B61FA7">
        <w:t>***</w:t>
      </w:r>
      <w:r w:rsidRPr="00B61FA7">
        <w:rPr>
          <w:rStyle w:val="HideTWBExt"/>
          <w:b w:val="0"/>
        </w:rPr>
        <w:t>&lt;/RefProcLect&gt;</w:t>
      </w:r>
    </w:p>
    <w:p w:rsidR="00363B94" w:rsidRPr="00B61FA7" w:rsidRDefault="00363B94">
      <w:pPr>
        <w:pStyle w:val="CoverDocType24a"/>
      </w:pPr>
      <w:r w:rsidRPr="00B61FA7">
        <w:rPr>
          <w:rStyle w:val="HideTWBExt"/>
          <w:b w:val="0"/>
        </w:rPr>
        <w:t>&lt;TitreType&gt;</w:t>
      </w:r>
      <w:r w:rsidRPr="00B61FA7">
        <w:t>NÁVRH ODPORÚČANIA</w:t>
      </w:r>
      <w:r w:rsidRPr="00B61FA7">
        <w:rPr>
          <w:rStyle w:val="HideTWBExt"/>
          <w:b w:val="0"/>
        </w:rPr>
        <w:t>&lt;/TitreType&gt;</w:t>
      </w:r>
    </w:p>
    <w:p w:rsidR="00363B94" w:rsidRPr="00B61FA7" w:rsidRDefault="00363B94">
      <w:pPr>
        <w:pStyle w:val="CoverNormal"/>
      </w:pPr>
      <w:r w:rsidRPr="00B61FA7">
        <w:rPr>
          <w:rStyle w:val="HideTWBExt"/>
        </w:rPr>
        <w:t>&lt;Titre&gt;</w:t>
      </w:r>
      <w:r w:rsidRPr="00B61FA7">
        <w:t>k návrhu rozhodnutia Rady o uzavretí Dohody medzi Európskou úniou na jednej strane a Arménskou republikou na strane druhej o spolupráci medzi Agentúrou Európskej únie pre justičnú spoluprácu v trestných veciach (Eurojust) a orgánmi Arménskej republiky príslušnými pre justičnú spoluprácu v trestných veciach</w:t>
      </w:r>
      <w:r w:rsidRPr="00B61FA7">
        <w:rPr>
          <w:rStyle w:val="HideTWBExt"/>
        </w:rPr>
        <w:t>&lt;/Titre&gt;</w:t>
      </w:r>
    </w:p>
    <w:p w:rsidR="00363B94" w:rsidRPr="00B61FA7" w:rsidRDefault="00363B94">
      <w:pPr>
        <w:pStyle w:val="CoverNormal24a"/>
      </w:pPr>
      <w:r w:rsidRPr="00B61FA7">
        <w:rPr>
          <w:rStyle w:val="HideTWBExt"/>
        </w:rPr>
        <w:t>&lt;DocRef&gt;</w:t>
      </w:r>
      <w:r w:rsidRPr="00B61FA7">
        <w:t>(COM(2023)0705 – C9</w:t>
      </w:r>
      <w:r w:rsidRPr="00B61FA7">
        <w:noBreakHyphen/>
        <w:t>xxxx/2023 – 2023/0400(NLE))</w:t>
      </w:r>
      <w:r w:rsidRPr="00B61FA7">
        <w:rPr>
          <w:rStyle w:val="HideTWBExt"/>
        </w:rPr>
        <w:t>&lt;/DocRef&gt;</w:t>
      </w:r>
    </w:p>
    <w:p w:rsidR="00363B94" w:rsidRPr="00B61FA7" w:rsidRDefault="00363B94">
      <w:pPr>
        <w:pStyle w:val="CoverNormal24a"/>
      </w:pPr>
      <w:r w:rsidRPr="00B61FA7">
        <w:rPr>
          <w:rStyle w:val="HideTWBExt"/>
        </w:rPr>
        <w:t>&lt;Commission&gt;</w:t>
      </w:r>
      <w:r w:rsidRPr="00B61FA7">
        <w:rPr>
          <w:rStyle w:val="HideTWBInt"/>
        </w:rPr>
        <w:t>{LIBE}</w:t>
      </w:r>
      <w:r w:rsidRPr="00B61FA7">
        <w:t>Výbor pre občianske slobody, spravodlivosť a vnútorné veci</w:t>
      </w:r>
      <w:r w:rsidRPr="00B61FA7">
        <w:rPr>
          <w:rStyle w:val="HideTWBExt"/>
        </w:rPr>
        <w:t>&lt;/Commission&gt;</w:t>
      </w:r>
    </w:p>
    <w:p w:rsidR="00363B94" w:rsidRPr="00B61FA7" w:rsidRDefault="00624BCE">
      <w:pPr>
        <w:pStyle w:val="CoverNormal24a"/>
      </w:pPr>
      <w:r w:rsidRPr="00B61FA7">
        <w:t xml:space="preserve">Spravodajca: </w:t>
      </w:r>
      <w:r w:rsidRPr="00B61FA7">
        <w:rPr>
          <w:rStyle w:val="HideTWBExt"/>
        </w:rPr>
        <w:t>&lt;Depute&gt;</w:t>
      </w:r>
      <w:r w:rsidRPr="00B61FA7">
        <w:t>Thijs Reuten</w:t>
      </w:r>
      <w:r w:rsidRPr="00B61FA7">
        <w:rPr>
          <w:rStyle w:val="HideTWBExt"/>
        </w:rPr>
        <w:t>&lt;/Depute&gt;</w:t>
      </w:r>
    </w:p>
    <w:p w:rsidR="00B42885" w:rsidRPr="00B61FA7" w:rsidRDefault="00B42885" w:rsidP="00B42885">
      <w:pPr>
        <w:pStyle w:val="CoverNormal"/>
      </w:pPr>
    </w:p>
    <w:p w:rsidR="005B1AA7" w:rsidRPr="00B61FA7" w:rsidRDefault="00363B94" w:rsidP="00016E55">
      <w:r w:rsidRPr="00B61FA7">
        <w:br w:type="page"/>
      </w:r>
      <w:fldSimple w:instr=" TITLE  \* MERGEFORMAT ">
        <w:r w:rsidR="00253A76">
          <w:t>PR_NLE-AP_Agreement</w:t>
        </w:r>
      </w:fldSimple>
    </w:p>
    <w:p w:rsidR="005B1AA7" w:rsidRPr="00B61FA7" w:rsidRDefault="005B1AA7" w:rsidP="00016E55"/>
    <w:p w:rsidR="005B1AA7" w:rsidRPr="00B61FA7" w:rsidRDefault="005B1AA7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B1AA7" w:rsidRPr="00B61FA7">
        <w:tc>
          <w:tcPr>
            <w:tcW w:w="5811" w:type="dxa"/>
          </w:tcPr>
          <w:p w:rsidR="005B1AA7" w:rsidRPr="00B61FA7" w:rsidRDefault="005B1AA7" w:rsidP="00016E55">
            <w:pPr>
              <w:pStyle w:val="Lgendetitre"/>
            </w:pPr>
            <w:r w:rsidRPr="00B61FA7">
              <w:t>Označenie postupov</w:t>
            </w:r>
          </w:p>
        </w:tc>
      </w:tr>
      <w:tr w:rsidR="005B1AA7" w:rsidRPr="00B61FA7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5B1AA7" w:rsidRPr="00B61FA7" w:rsidRDefault="005B1AA7" w:rsidP="00717061">
            <w:pPr>
              <w:pStyle w:val="Lgendesigne"/>
            </w:pPr>
            <w:r w:rsidRPr="00B61FA7">
              <w:tab/>
              <w:t>*</w:t>
            </w:r>
            <w:r w:rsidRPr="00B61FA7">
              <w:tab/>
              <w:t>Konzultácia</w:t>
            </w:r>
          </w:p>
          <w:p w:rsidR="005B1AA7" w:rsidRPr="00B61FA7" w:rsidRDefault="005B1AA7" w:rsidP="00717061">
            <w:pPr>
              <w:pStyle w:val="Lgendesigne"/>
            </w:pPr>
            <w:r w:rsidRPr="00B61FA7">
              <w:tab/>
              <w:t>***</w:t>
            </w:r>
            <w:r w:rsidRPr="00B61FA7">
              <w:tab/>
              <w:t>Súhlas</w:t>
            </w:r>
          </w:p>
          <w:p w:rsidR="005B1AA7" w:rsidRPr="00B61FA7" w:rsidRDefault="005B1AA7" w:rsidP="00717061">
            <w:pPr>
              <w:pStyle w:val="Lgendesigne"/>
            </w:pPr>
            <w:r w:rsidRPr="00B61FA7">
              <w:tab/>
              <w:t>***I</w:t>
            </w:r>
            <w:r w:rsidRPr="00B61FA7">
              <w:tab/>
              <w:t>Riadny legislatívny postup (prvé čítanie)</w:t>
            </w:r>
          </w:p>
          <w:p w:rsidR="005B1AA7" w:rsidRPr="00B61FA7" w:rsidRDefault="005B1AA7" w:rsidP="00717061">
            <w:pPr>
              <w:pStyle w:val="Lgendesigne"/>
            </w:pPr>
            <w:r w:rsidRPr="00B61FA7">
              <w:tab/>
              <w:t>***II</w:t>
            </w:r>
            <w:r w:rsidRPr="00B61FA7">
              <w:tab/>
              <w:t>Riadny legislatívny postup (druhé čítanie)</w:t>
            </w:r>
          </w:p>
          <w:p w:rsidR="005B1AA7" w:rsidRPr="00B61FA7" w:rsidRDefault="005B1AA7" w:rsidP="00717061">
            <w:pPr>
              <w:pStyle w:val="Lgendesigne"/>
            </w:pPr>
            <w:r w:rsidRPr="00B61FA7">
              <w:tab/>
              <w:t>***III</w:t>
            </w:r>
            <w:r w:rsidRPr="00B61FA7">
              <w:tab/>
              <w:t>Riadny legislatívny postup (tretie čítanie)</w:t>
            </w:r>
          </w:p>
          <w:p w:rsidR="005B1AA7" w:rsidRPr="00B61FA7" w:rsidRDefault="005B1AA7" w:rsidP="00717061">
            <w:pPr>
              <w:pStyle w:val="Lgendestandard"/>
            </w:pPr>
          </w:p>
          <w:p w:rsidR="005B1AA7" w:rsidRPr="00B61FA7" w:rsidRDefault="005B1AA7" w:rsidP="00717061">
            <w:pPr>
              <w:pStyle w:val="Lgendestandard"/>
            </w:pPr>
            <w:r w:rsidRPr="00B61FA7">
              <w:t>(Typ postupu závisí od právneho základu navrhnutého v návrhu aktu.)</w:t>
            </w:r>
          </w:p>
          <w:p w:rsidR="005B1AA7" w:rsidRPr="00B61FA7" w:rsidRDefault="005B1AA7" w:rsidP="00B837B7">
            <w:pPr>
              <w:pStyle w:val="Lgendestandard"/>
            </w:pPr>
          </w:p>
        </w:tc>
      </w:tr>
    </w:tbl>
    <w:p w:rsidR="005B1AA7" w:rsidRPr="00B61FA7" w:rsidRDefault="005B1AA7" w:rsidP="00016E55"/>
    <w:p w:rsidR="00363B94" w:rsidRPr="00B61FA7" w:rsidRDefault="00363B94" w:rsidP="00613F2E">
      <w:pPr>
        <w:widowControl/>
        <w:tabs>
          <w:tab w:val="center" w:pos="4677"/>
        </w:tabs>
      </w:pPr>
    </w:p>
    <w:p w:rsidR="00363B94" w:rsidRPr="00B61FA7" w:rsidRDefault="00363B94">
      <w:pPr>
        <w:pStyle w:val="TOCHeading"/>
      </w:pPr>
      <w:r w:rsidRPr="00B61FA7">
        <w:br w:type="page"/>
      </w:r>
      <w:r w:rsidRPr="00B61FA7">
        <w:lastRenderedPageBreak/>
        <w:t>OBSAH</w:t>
      </w:r>
    </w:p>
    <w:p w:rsidR="00363B94" w:rsidRPr="00B61FA7" w:rsidRDefault="00624BCE">
      <w:pPr>
        <w:pStyle w:val="TOCPage"/>
      </w:pPr>
      <w:r w:rsidRPr="00B61FA7">
        <w:t>strana</w:t>
      </w:r>
    </w:p>
    <w:p w:rsidR="00253A76" w:rsidRPr="00253A76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61FA7">
        <w:fldChar w:fldCharType="begin"/>
      </w:r>
      <w:r w:rsidRPr="00B61FA7">
        <w:instrText xml:space="preserve"> TOC \t "PageHeading</w:instrText>
      </w:r>
      <w:r w:rsidR="005B1AA7" w:rsidRPr="00B61FA7">
        <w:instrText>;</w:instrText>
      </w:r>
      <w:r w:rsidRPr="00B61FA7">
        <w:instrText xml:space="preserve">1" </w:instrText>
      </w:r>
      <w:r w:rsidRPr="00B61FA7">
        <w:fldChar w:fldCharType="separate"/>
      </w:r>
      <w:r w:rsidR="00253A76">
        <w:rPr>
          <w:noProof/>
        </w:rPr>
        <w:t>NÁVRH LEGISLATÍVNEHO UZNESENIA EURÓPSKEHO PARLAMENTU</w:t>
      </w:r>
      <w:r w:rsidR="00253A76">
        <w:rPr>
          <w:noProof/>
        </w:rPr>
        <w:tab/>
      </w:r>
      <w:r w:rsidR="00253A76">
        <w:rPr>
          <w:noProof/>
        </w:rPr>
        <w:fldChar w:fldCharType="begin"/>
      </w:r>
      <w:r w:rsidR="00253A76">
        <w:rPr>
          <w:noProof/>
        </w:rPr>
        <w:instrText xml:space="preserve"> PAGEREF _Toc159225922 \h </w:instrText>
      </w:r>
      <w:r w:rsidR="00253A76">
        <w:rPr>
          <w:noProof/>
        </w:rPr>
      </w:r>
      <w:r w:rsidR="00253A76">
        <w:rPr>
          <w:noProof/>
        </w:rPr>
        <w:fldChar w:fldCharType="separate"/>
      </w:r>
      <w:r w:rsidR="00253A76">
        <w:rPr>
          <w:noProof/>
        </w:rPr>
        <w:t>5</w:t>
      </w:r>
      <w:r w:rsidR="00253A76">
        <w:rPr>
          <w:noProof/>
        </w:rPr>
        <w:fldChar w:fldCharType="end"/>
      </w:r>
    </w:p>
    <w:p w:rsidR="00253A76" w:rsidRPr="00253A76" w:rsidRDefault="00253A7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DÔVODOVÁ SPRÁVA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_Toc159225923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650" w:rsidRPr="00B61FA7" w:rsidRDefault="00EF48F2" w:rsidP="00F04010">
      <w:r w:rsidRPr="00B61FA7">
        <w:fldChar w:fldCharType="end"/>
      </w:r>
    </w:p>
    <w:p w:rsidR="00363B94" w:rsidRPr="00B61FA7" w:rsidRDefault="00363B94" w:rsidP="0006167F">
      <w:pPr>
        <w:pStyle w:val="PageHeading"/>
      </w:pPr>
      <w:r w:rsidRPr="00B61FA7">
        <w:br w:type="page"/>
      </w:r>
      <w:r w:rsidRPr="00B61FA7">
        <w:lastRenderedPageBreak/>
        <w:br w:type="page"/>
      </w:r>
      <w:bookmarkStart w:id="1" w:name="_Toc159225922"/>
      <w:r w:rsidRPr="00B61FA7">
        <w:lastRenderedPageBreak/>
        <w:t>NÁVRH LEGISLATÍVNEHO UZNESENIA EURÓPSKEHO PARLAMENTU</w:t>
      </w:r>
      <w:bookmarkEnd w:id="1"/>
    </w:p>
    <w:p w:rsidR="005B1AA7" w:rsidRPr="00B61FA7" w:rsidRDefault="005B1AA7" w:rsidP="005B1AA7">
      <w:pPr>
        <w:pStyle w:val="NormalBold"/>
      </w:pPr>
      <w:r w:rsidRPr="00B61FA7">
        <w:t>o návrhu rozhodnutia Rady o uzavretí Dohody medzi Európskou úniou na jednej strane a Arménskou republikou na strane druhej o spolupráci medzi Agentúrou Európskej únie pre justičnú spoluprácu v trestných veciach (Eurojust) a orgánmi Arménskej republiky príslušnými pre justičnú spoluprácu v trestných veciach</w:t>
      </w:r>
    </w:p>
    <w:p w:rsidR="005B1AA7" w:rsidRPr="00B61FA7" w:rsidRDefault="005B1AA7" w:rsidP="005B1AA7">
      <w:pPr>
        <w:pStyle w:val="NormalBold12a"/>
      </w:pPr>
      <w:r w:rsidRPr="00B61FA7">
        <w:t>(COM(2023)0705 – C9</w:t>
      </w:r>
      <w:r w:rsidRPr="00B61FA7">
        <w:noBreakHyphen/>
        <w:t>xxxx/2023 – 2023/0400(NLE))</w:t>
      </w:r>
    </w:p>
    <w:p w:rsidR="005B1AA7" w:rsidRPr="00B61FA7" w:rsidRDefault="005B1AA7" w:rsidP="005B1AA7">
      <w:pPr>
        <w:pStyle w:val="NormalBold"/>
      </w:pPr>
      <w:r w:rsidRPr="00B61FA7">
        <w:t>(Súhlas)</w:t>
      </w:r>
    </w:p>
    <w:p w:rsidR="005B1AA7" w:rsidRPr="00B61FA7" w:rsidRDefault="005B1AA7" w:rsidP="005B1AA7">
      <w:pPr>
        <w:pStyle w:val="EPComma"/>
      </w:pPr>
      <w:r w:rsidRPr="00B61FA7">
        <w:rPr>
          <w:i/>
          <w:iCs/>
        </w:rPr>
        <w:t>Európsky parlament</w:t>
      </w:r>
      <w:r w:rsidRPr="00B61FA7">
        <w:t>,</w:t>
      </w:r>
    </w:p>
    <w:p w:rsidR="005B1AA7" w:rsidRPr="00B61FA7" w:rsidRDefault="005B1AA7" w:rsidP="005B1AA7">
      <w:pPr>
        <w:pStyle w:val="NormalHanging12a"/>
      </w:pPr>
      <w:r w:rsidRPr="00B61FA7">
        <w:t>–</w:t>
      </w:r>
      <w:r w:rsidRPr="00B61FA7">
        <w:tab/>
        <w:t>so zreteľom na návrh rozhodnutia Rady [COM(2023)0705],</w:t>
      </w:r>
    </w:p>
    <w:p w:rsidR="005B1AA7" w:rsidRPr="00B61FA7" w:rsidRDefault="005B1AA7" w:rsidP="005B1AA7">
      <w:pPr>
        <w:pStyle w:val="NormalHanging12a"/>
      </w:pPr>
      <w:r w:rsidRPr="00B61FA7">
        <w:t>–</w:t>
      </w:r>
      <w:r w:rsidRPr="00B61FA7">
        <w:tab/>
        <w:t>so zreteľom na návrh Dohody medzi Európskou úniou na jednej strane a Arménskou republikou na strane druhej o spolupráci medzi Agentúrou Európskej únie pre justičnú spoluprácu v trestných veciach (Eurojust) a orgánmi Arménskej republiky príslušnými pre justičnú spoluprácu v trestných veciach (xxxx/2023),</w:t>
      </w:r>
    </w:p>
    <w:p w:rsidR="005B1AA7" w:rsidRPr="00B61FA7" w:rsidRDefault="005B1AA7" w:rsidP="005B1AA7">
      <w:pPr>
        <w:pStyle w:val="NormalHanging12a"/>
      </w:pPr>
      <w:r w:rsidRPr="00B61FA7">
        <w:t>–</w:t>
      </w:r>
      <w:r w:rsidRPr="00B61FA7">
        <w:tab/>
        <w:t>so zreteľom na žiadosť o udelenie súhlasu, ktorú Rada predložila v súlade s článkom 16 ods. 2, článkom 85 v spojení s článkom 218 ods. 6 druhý pododsekom písm. a) bodom v) a článkom 218 ods. 7 Zmluvy o fungovaní Európskej únie (C9</w:t>
      </w:r>
      <w:r w:rsidRPr="00B61FA7">
        <w:noBreakHyphen/>
        <w:t>xxxx/2023),</w:t>
      </w:r>
    </w:p>
    <w:p w:rsidR="005B1AA7" w:rsidRPr="00B61FA7" w:rsidRDefault="005B1AA7" w:rsidP="005B1AA7">
      <w:pPr>
        <w:pStyle w:val="NormalHanging12a"/>
      </w:pPr>
      <w:r w:rsidRPr="00B61FA7">
        <w:t>–</w:t>
      </w:r>
      <w:r w:rsidRPr="00B61FA7">
        <w:tab/>
        <w:t>so zreteľom na článok 105 ods. 1 a 4 a článok 114 ods. 7 rokovacieho poriadku,</w:t>
      </w:r>
    </w:p>
    <w:p w:rsidR="005B1AA7" w:rsidRPr="00B61FA7" w:rsidRDefault="005B1AA7" w:rsidP="005B1AA7">
      <w:pPr>
        <w:pStyle w:val="NormalHanging12a"/>
      </w:pPr>
      <w:r w:rsidRPr="00B61FA7">
        <w:t>–</w:t>
      </w:r>
      <w:r w:rsidRPr="00B61FA7">
        <w:tab/>
        <w:t>so zreteľom na odporúčanie Výboru pre občianske slobody, spravodlivosť a vnútorné veci (A9</w:t>
      </w:r>
      <w:r w:rsidRPr="00B61FA7">
        <w:noBreakHyphen/>
        <w:t>0000/2024),</w:t>
      </w:r>
    </w:p>
    <w:p w:rsidR="005B1AA7" w:rsidRPr="00B61FA7" w:rsidRDefault="005B1AA7" w:rsidP="005B1AA7">
      <w:pPr>
        <w:pStyle w:val="NormalHanging12a"/>
      </w:pPr>
      <w:r w:rsidRPr="00B61FA7">
        <w:t>1.</w:t>
      </w:r>
      <w:r w:rsidRPr="00B61FA7">
        <w:tab/>
        <w:t>udeľuje súhlas s uzatvorením dohody;</w:t>
      </w:r>
    </w:p>
    <w:p w:rsidR="005B1AA7" w:rsidRPr="00B61FA7" w:rsidRDefault="005B1AA7" w:rsidP="005B1AA7">
      <w:pPr>
        <w:pStyle w:val="NormalHanging12a"/>
      </w:pPr>
      <w:r w:rsidRPr="00B61FA7">
        <w:t>2.</w:t>
      </w:r>
      <w:r w:rsidRPr="00B61FA7">
        <w:tab/>
        <w:t>poveruje svoju predsedníčku, aby postúpila túto pozíciu Rade, Komisii a vládam a parlamentom členských štátov a Arménskej republiky.</w:t>
      </w:r>
    </w:p>
    <w:p w:rsidR="005B1AA7" w:rsidRPr="00B61FA7" w:rsidRDefault="005B1AA7" w:rsidP="00822206">
      <w:pPr>
        <w:sectPr w:rsidR="005B1AA7" w:rsidRPr="00B61FA7" w:rsidSect="00B61F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363B94" w:rsidRPr="00B61FA7" w:rsidRDefault="005B1AA7" w:rsidP="005B1AA7">
      <w:pPr>
        <w:pStyle w:val="PageHeading"/>
      </w:pPr>
      <w:bookmarkStart w:id="2" w:name="_Toc159225923"/>
      <w:r w:rsidRPr="00B61FA7">
        <w:lastRenderedPageBreak/>
        <w:t>DÔVODOVÁ SPRÁVA</w:t>
      </w:r>
      <w:bookmarkEnd w:id="2"/>
    </w:p>
    <w:p w:rsidR="005B1AA7" w:rsidRPr="00B61FA7" w:rsidRDefault="005B1AA7" w:rsidP="005B1AA7">
      <w:pPr>
        <w:jc w:val="both"/>
      </w:pPr>
      <w:r w:rsidRPr="00B61FA7">
        <w:t xml:space="preserve">Táto dohoda medzi Európskou úniou a Arménskou republikou predstavuje prvú medzinárodnú dohodu o spolupráci medzi Agentúrou Európskej únie pre justičnú spoluprácu v trestných veciach (Eurojust) a príslušnými orgánmi v tretej krajine od nadobudnutia účinnosti nariadenia o Eurojuste 12. decembra 2019. Na to, aby bola medzinárodná justičná spolupráca účinná, sú nevyhnutné dohody o spolupráci s tretími krajinami. </w:t>
      </w:r>
    </w:p>
    <w:p w:rsidR="005B1AA7" w:rsidRPr="00B61FA7" w:rsidRDefault="005B1AA7" w:rsidP="005B1AA7">
      <w:pPr>
        <w:jc w:val="both"/>
      </w:pPr>
      <w:r w:rsidRPr="00B61FA7">
        <w:t xml:space="preserve">Touto dohodou sa zlepší spolupráca s arménskymi orgánmi zapojenými do vyšetrovania a stíhania závažných trestných činov. </w:t>
      </w:r>
    </w:p>
    <w:p w:rsidR="005B1AA7" w:rsidRPr="00B61FA7" w:rsidRDefault="005B1AA7" w:rsidP="005B1AA7">
      <w:pPr>
        <w:jc w:val="both"/>
      </w:pPr>
      <w:r w:rsidRPr="00B61FA7">
        <w:t xml:space="preserve">Je obzvlášť dôležité, aby to bolo možné len v prípade, že dohody podliehajú prísnym zárukám vo vzťahu k ochrane údajov, súkromiu a základným právam. </w:t>
      </w:r>
    </w:p>
    <w:p w:rsidR="005B1AA7" w:rsidRPr="00B61FA7" w:rsidRDefault="005B1AA7" w:rsidP="005B1AA7">
      <w:pPr>
        <w:jc w:val="both"/>
      </w:pPr>
      <w:r w:rsidRPr="00B61FA7">
        <w:t>Pri tejto dohode je zrejmé, že sú splnené všetky podmienky a zavedené potrebné záruky. Bude sa to neustále monitorovať po nadobudnutí platnosti tejto dohody a jej prípadné porušenia by mohli viesť k pozastaveniu spolupráce. Vítame tento dôležitý krok v spolupráci medzi Európskou úniou a Arménskou republikou.</w:t>
      </w:r>
    </w:p>
    <w:sectPr w:rsidR="005B1AA7" w:rsidRPr="00B61FA7" w:rsidSect="005B1A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BCE" w:rsidRPr="00B61FA7" w:rsidRDefault="00624BCE">
      <w:r w:rsidRPr="00B61FA7">
        <w:separator/>
      </w:r>
    </w:p>
  </w:endnote>
  <w:endnote w:type="continuationSeparator" w:id="0">
    <w:p w:rsidR="00624BCE" w:rsidRPr="00B61FA7" w:rsidRDefault="00624BCE">
      <w:r w:rsidRPr="00B61F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FA7" w:rsidRPr="00B61FA7" w:rsidRDefault="00B61FA7" w:rsidP="00B61FA7">
    <w:pPr>
      <w:pStyle w:val="EPFooter"/>
    </w:pPr>
    <w:r w:rsidRPr="00B61FA7">
      <w:t>PE</w:t>
    </w:r>
    <w:r w:rsidRPr="00B61FA7">
      <w:rPr>
        <w:rStyle w:val="HideTWBExt"/>
      </w:rPr>
      <w:t>&lt;NoPE&gt;</w:t>
    </w:r>
    <w:r w:rsidRPr="00B61FA7">
      <w:t>758.068</w:t>
    </w:r>
    <w:r w:rsidRPr="00B61FA7">
      <w:rPr>
        <w:rStyle w:val="HideTWBExt"/>
      </w:rPr>
      <w:t>&lt;/NoPE&gt;&lt;Version&gt;</w:t>
    </w:r>
    <w:r w:rsidRPr="00B61FA7">
      <w:t>v01-00</w:t>
    </w:r>
    <w:r w:rsidRPr="00B61FA7">
      <w:rPr>
        <w:rStyle w:val="HideTWBExt"/>
      </w:rPr>
      <w:t>&lt;/Version&gt;</w:t>
    </w:r>
    <w:r w:rsidRPr="00B61FA7">
      <w:tab/>
    </w:r>
    <w:r w:rsidRPr="00B61FA7">
      <w:fldChar w:fldCharType="begin"/>
    </w:r>
    <w:r w:rsidRPr="00B61FA7">
      <w:instrText xml:space="preserve"> PAGE  \* MERGEFORMAT </w:instrText>
    </w:r>
    <w:r w:rsidRPr="00B61FA7">
      <w:fldChar w:fldCharType="separate"/>
    </w:r>
    <w:r w:rsidR="00253A76">
      <w:rPr>
        <w:noProof/>
      </w:rPr>
      <w:t>2</w:t>
    </w:r>
    <w:r w:rsidRPr="00B61FA7">
      <w:fldChar w:fldCharType="end"/>
    </w:r>
    <w:r w:rsidRPr="00B61FA7">
      <w:t>/</w:t>
    </w:r>
    <w:fldSimple w:instr=" NUMPAGES  \* MERGEFORMAT ">
      <w:r w:rsidR="00253A76">
        <w:rPr>
          <w:noProof/>
        </w:rPr>
        <w:t>4</w:t>
      </w:r>
    </w:fldSimple>
    <w:r w:rsidRPr="00B61FA7">
      <w:tab/>
    </w:r>
    <w:r w:rsidRPr="00B61FA7">
      <w:rPr>
        <w:rStyle w:val="HideTWBExt"/>
      </w:rPr>
      <w:t>&lt;PathFdR&gt;</w:t>
    </w:r>
    <w:r w:rsidRPr="00B61FA7">
      <w:t>PR\1295974SK.docx</w:t>
    </w:r>
    <w:r w:rsidRPr="00B61FA7">
      <w:rPr>
        <w:rStyle w:val="HideTWBExt"/>
      </w:rPr>
      <w:t>&lt;/PathFdR&gt;</w:t>
    </w:r>
  </w:p>
  <w:p w:rsidR="0085501C" w:rsidRPr="00B61FA7" w:rsidRDefault="00B61FA7" w:rsidP="00B61FA7">
    <w:pPr>
      <w:pStyle w:val="EPFooter2"/>
    </w:pPr>
    <w:r w:rsidRPr="00B61FA7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FA7" w:rsidRPr="00B61FA7" w:rsidRDefault="00B61FA7" w:rsidP="00B61FA7">
    <w:pPr>
      <w:pStyle w:val="EPFooter"/>
    </w:pPr>
    <w:r w:rsidRPr="00B61FA7">
      <w:rPr>
        <w:rStyle w:val="HideTWBExt"/>
      </w:rPr>
      <w:t>&lt;PathFdR&gt;</w:t>
    </w:r>
    <w:r w:rsidRPr="00B61FA7">
      <w:t>PR\1295974SK.docx</w:t>
    </w:r>
    <w:r w:rsidRPr="00B61FA7">
      <w:rPr>
        <w:rStyle w:val="HideTWBExt"/>
      </w:rPr>
      <w:t>&lt;/PathFdR&gt;</w:t>
    </w:r>
    <w:r w:rsidRPr="00B61FA7">
      <w:tab/>
    </w:r>
    <w:r w:rsidRPr="00B61FA7">
      <w:fldChar w:fldCharType="begin"/>
    </w:r>
    <w:r w:rsidRPr="00B61FA7">
      <w:instrText xml:space="preserve"> PAGE  \* MERGEFORMAT </w:instrText>
    </w:r>
    <w:r w:rsidRPr="00B61FA7">
      <w:fldChar w:fldCharType="separate"/>
    </w:r>
    <w:r w:rsidR="00253A76">
      <w:rPr>
        <w:noProof/>
      </w:rPr>
      <w:t>3</w:t>
    </w:r>
    <w:r w:rsidRPr="00B61FA7">
      <w:fldChar w:fldCharType="end"/>
    </w:r>
    <w:r w:rsidRPr="00B61FA7">
      <w:t>/</w:t>
    </w:r>
    <w:fldSimple w:instr=" NUMPAGES  \* MERGEFORMAT ">
      <w:r w:rsidR="00253A76">
        <w:rPr>
          <w:noProof/>
        </w:rPr>
        <w:t>3</w:t>
      </w:r>
    </w:fldSimple>
    <w:r w:rsidRPr="00B61FA7">
      <w:tab/>
      <w:t>PE</w:t>
    </w:r>
    <w:r w:rsidRPr="00B61FA7">
      <w:rPr>
        <w:rStyle w:val="HideTWBExt"/>
      </w:rPr>
      <w:t>&lt;NoPE&gt;</w:t>
    </w:r>
    <w:r w:rsidRPr="00B61FA7">
      <w:t>758.068</w:t>
    </w:r>
    <w:r w:rsidRPr="00B61FA7">
      <w:rPr>
        <w:rStyle w:val="HideTWBExt"/>
      </w:rPr>
      <w:t>&lt;/NoPE&gt;&lt;Version&gt;</w:t>
    </w:r>
    <w:r w:rsidRPr="00B61FA7">
      <w:t>v01-00</w:t>
    </w:r>
    <w:r w:rsidRPr="00B61FA7">
      <w:rPr>
        <w:rStyle w:val="HideTWBExt"/>
      </w:rPr>
      <w:t>&lt;/Version&gt;</w:t>
    </w:r>
  </w:p>
  <w:p w:rsidR="0085501C" w:rsidRPr="00B61FA7" w:rsidRDefault="00B61FA7" w:rsidP="00B61FA7">
    <w:pPr>
      <w:pStyle w:val="EPFooter2"/>
    </w:pPr>
    <w:r w:rsidRPr="00B61FA7">
      <w:tab/>
    </w:r>
    <w:r w:rsidRPr="00B61FA7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FA7" w:rsidRPr="00B61FA7" w:rsidRDefault="00B61FA7" w:rsidP="00B61FA7">
    <w:pPr>
      <w:pStyle w:val="EPFooter"/>
    </w:pPr>
    <w:r w:rsidRPr="00B61FA7">
      <w:rPr>
        <w:rStyle w:val="HideTWBExt"/>
      </w:rPr>
      <w:t>&lt;PathFdR&gt;</w:t>
    </w:r>
    <w:r w:rsidRPr="00B61FA7">
      <w:t>PR\1295974SK.docx</w:t>
    </w:r>
    <w:r w:rsidRPr="00B61FA7">
      <w:rPr>
        <w:rStyle w:val="HideTWBExt"/>
      </w:rPr>
      <w:t>&lt;/PathFdR&gt;</w:t>
    </w:r>
    <w:r w:rsidRPr="00B61FA7">
      <w:tab/>
    </w:r>
    <w:r w:rsidRPr="00B61FA7">
      <w:tab/>
      <w:t>PE</w:t>
    </w:r>
    <w:r w:rsidRPr="00B61FA7">
      <w:rPr>
        <w:rStyle w:val="HideTWBExt"/>
      </w:rPr>
      <w:t>&lt;NoPE&gt;</w:t>
    </w:r>
    <w:r w:rsidRPr="00B61FA7">
      <w:t>758.068</w:t>
    </w:r>
    <w:r w:rsidRPr="00B61FA7">
      <w:rPr>
        <w:rStyle w:val="HideTWBExt"/>
      </w:rPr>
      <w:t>&lt;/NoPE&gt;&lt;Version&gt;</w:t>
    </w:r>
    <w:r w:rsidRPr="00B61FA7">
      <w:t>v01-00</w:t>
    </w:r>
    <w:r w:rsidRPr="00B61FA7">
      <w:rPr>
        <w:rStyle w:val="HideTWBExt"/>
      </w:rPr>
      <w:t>&lt;/Version&gt;</w:t>
    </w:r>
  </w:p>
  <w:p w:rsidR="0085501C" w:rsidRPr="00B61FA7" w:rsidRDefault="00B61FA7" w:rsidP="00B61FA7">
    <w:pPr>
      <w:pStyle w:val="EPFooter2"/>
    </w:pPr>
    <w:r w:rsidRPr="00B61FA7">
      <w:t>SK</w:t>
    </w:r>
    <w:r w:rsidRPr="00B61FA7">
      <w:tab/>
    </w:r>
    <w:r w:rsidRPr="00B61FA7">
      <w:rPr>
        <w:b w:val="0"/>
        <w:i/>
        <w:color w:val="C0C0C0"/>
        <w:sz w:val="22"/>
      </w:rPr>
      <w:t>Zjednotení v rozmanitosti</w:t>
    </w:r>
    <w:r w:rsidRPr="00B61FA7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BCE" w:rsidRPr="00B61FA7" w:rsidRDefault="00624BCE">
      <w:r w:rsidRPr="00B61FA7">
        <w:separator/>
      </w:r>
    </w:p>
  </w:footnote>
  <w:footnote w:type="continuationSeparator" w:id="0">
    <w:p w:rsidR="00624BCE" w:rsidRPr="00B61FA7" w:rsidRDefault="00624BCE">
      <w:r w:rsidRPr="00B61F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A76" w:rsidRDefault="00253A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A76" w:rsidRDefault="00253A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A76" w:rsidRDefault="00253A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1"/>
    <w:docVar w:name="CopyToNetwork" w:val="-1"/>
    <w:docVar w:name="LastEditedSection" w:val=" 1"/>
    <w:docVar w:name="strDocTypeID" w:val="PR_NLE-AP_Agreement"/>
    <w:docVar w:name="strSubDir" w:val="1295"/>
    <w:docVar w:name="TITLEMNU" w:val=" 2"/>
    <w:docVar w:name="TXTAUTHOR" w:val="Thijs Reuten"/>
    <w:docVar w:name="TXTLANGUE" w:val="EN"/>
    <w:docVar w:name="TXTLANGUEMIN" w:val="en"/>
    <w:docVar w:name="TXTNRC" w:val="xxx/xxx"/>
    <w:docVar w:name="TXTNRCOUNC" w:val="xxx/xxx"/>
    <w:docVar w:name="TXTNRNLE" w:val="2023/0400"/>
    <w:docVar w:name="TXTNRPE" w:val="758.068"/>
    <w:docVar w:name="TXTPEorAP" w:val="PE"/>
    <w:docVar w:name="TXTROUTE" w:val="PR\1295974EN.docx"/>
    <w:docVar w:name="TXTTITLE" w:val="subject"/>
    <w:docVar w:name="TXTVERSION" w:val="01-00"/>
  </w:docVars>
  <w:rsids>
    <w:rsidRoot w:val="00624BCE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53A76"/>
    <w:rsid w:val="002B3C36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C083C"/>
    <w:rsid w:val="004E1650"/>
    <w:rsid w:val="0053367A"/>
    <w:rsid w:val="00544D48"/>
    <w:rsid w:val="005805FA"/>
    <w:rsid w:val="005877C0"/>
    <w:rsid w:val="005A6B14"/>
    <w:rsid w:val="005B1AA7"/>
    <w:rsid w:val="005C101D"/>
    <w:rsid w:val="005D0B97"/>
    <w:rsid w:val="005F5D6C"/>
    <w:rsid w:val="006132CE"/>
    <w:rsid w:val="00613F2E"/>
    <w:rsid w:val="00624BCE"/>
    <w:rsid w:val="00660DE6"/>
    <w:rsid w:val="006A1A75"/>
    <w:rsid w:val="006A2CF5"/>
    <w:rsid w:val="006F1B6F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C047F"/>
    <w:rsid w:val="00AD5D0C"/>
    <w:rsid w:val="00B31D18"/>
    <w:rsid w:val="00B42885"/>
    <w:rsid w:val="00B50C20"/>
    <w:rsid w:val="00B61FA7"/>
    <w:rsid w:val="00B634FD"/>
    <w:rsid w:val="00B6769C"/>
    <w:rsid w:val="00BB22CC"/>
    <w:rsid w:val="00BB41C8"/>
    <w:rsid w:val="00BE5E72"/>
    <w:rsid w:val="00BF0A0F"/>
    <w:rsid w:val="00BF2E15"/>
    <w:rsid w:val="00BF548D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F594D"/>
    <w:rsid w:val="00E14FEE"/>
    <w:rsid w:val="00E71368"/>
    <w:rsid w:val="00E93816"/>
    <w:rsid w:val="00EA59ED"/>
    <w:rsid w:val="00EF48F2"/>
    <w:rsid w:val="00F04010"/>
    <w:rsid w:val="00FA5FCA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04099-7855-4305-9723-662920E0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5B1AA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B1AA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B1AA7"/>
    <w:rPr>
      <w:sz w:val="18"/>
    </w:rPr>
  </w:style>
  <w:style w:type="paragraph" w:styleId="Footer">
    <w:name w:val="footer"/>
    <w:basedOn w:val="Normal"/>
    <w:link w:val="FooterChar"/>
    <w:semiHidden/>
    <w:rsid w:val="005B1A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B1AA7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5C10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10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3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10C49-FE94-4087-8A70-0C25A8C96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3215</Characters>
  <Application>Microsoft Office Word</Application>
  <DocSecurity>0</DocSecurity>
  <Lines>89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ARRIBAS Sophie</dc:creator>
  <cp:keywords/>
  <cp:lastModifiedBy>VILEM Jan</cp:lastModifiedBy>
  <cp:revision>2</cp:revision>
  <cp:lastPrinted>2002-12-11T09:25:00Z</cp:lastPrinted>
  <dcterms:created xsi:type="dcterms:W3CDTF">2024-02-19T08:05:00Z</dcterms:created>
  <dcterms:modified xsi:type="dcterms:W3CDTF">2024-02-19T08:05:00Z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Created with">
    <vt:lpwstr>9.17.1 Build [20240111]</vt:lpwstr>
  </property>
  <property fmtid="{D5CDD505-2E9C-101B-9397-08002B2CF9AE}" pid="4" name="LastEdited with">
    <vt:lpwstr>9.17.1 Build [20240111]</vt:lpwstr>
  </property>
  <property fmtid="{D5CDD505-2E9C-101B-9397-08002B2CF9AE}" pid="5" name="&lt;FdR&gt;">
    <vt:lpwstr>1295974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\\eiciBRUpr1\pdocep$\DocEP\DOCS\General\PR\PR_Leg\NLE\PR_NLE-AP_Agreement.dotx(17/04/2020 18:28:04)</vt:lpwstr>
  </property>
  <property fmtid="{D5CDD505-2E9C-101B-9397-08002B2CF9AE}" pid="8" name="&lt;ModelTra&gt;">
    <vt:lpwstr>\\eiciBRUpr1\pdocep$\DocEP\TRANSFIL\EN\PR_NLE-AP_Agreement.EN(29/06/2022 09:21:42)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PR\1295974SK.docx</vt:lpwstr>
  </property>
  <property fmtid="{D5CDD505-2E9C-101B-9397-08002B2CF9AE}" pid="11" name="PE number">
    <vt:lpwstr>758.068</vt:lpwstr>
  </property>
  <property fmtid="{D5CDD505-2E9C-101B-9397-08002B2CF9AE}" pid="12" name="SendToEpades">
    <vt:lpwstr>OK - 2024/02/02 15:50</vt:lpwstr>
  </property>
  <property fmtid="{D5CDD505-2E9C-101B-9397-08002B2CF9AE}" pid="13" name="SDLStudio">
    <vt:lpwstr/>
  </property>
</Properties>
</file>