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4E102F" w:rsidTr="00C85D0F">
        <w:trPr>
          <w:trHeight w:hRule="exact" w:val="1418"/>
        </w:trPr>
        <w:tc>
          <w:tcPr>
            <w:tcW w:w="6804" w:type="dxa"/>
            <w:shd w:val="clear" w:color="auto" w:fill="auto"/>
            <w:vAlign w:val="center"/>
          </w:tcPr>
          <w:p w:rsidR="00C05DD8" w:rsidRPr="004E102F" w:rsidRDefault="004E102F" w:rsidP="00C85D0F">
            <w:pPr>
              <w:pStyle w:val="EPName"/>
            </w:pPr>
            <w:r>
              <w:t>Evropský parlament</w:t>
            </w:r>
          </w:p>
          <w:p w:rsidR="00C05DD8" w:rsidRPr="001B5E7E" w:rsidRDefault="001B5E7E" w:rsidP="001B5E7E">
            <w:pPr>
              <w:pStyle w:val="EPTerm"/>
            </w:pPr>
            <w:r>
              <w:t>2019-2024</w:t>
            </w:r>
          </w:p>
        </w:tc>
        <w:tc>
          <w:tcPr>
            <w:tcW w:w="2268" w:type="dxa"/>
            <w:shd w:val="clear" w:color="auto" w:fill="auto"/>
          </w:tcPr>
          <w:p w:rsidR="00C05DD8" w:rsidRPr="004E102F" w:rsidRDefault="00C05DD8" w:rsidP="00C85D0F">
            <w:pPr>
              <w:pStyle w:val="EPLogo"/>
            </w:pPr>
            <w:r w:rsidRPr="004E102F">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4E102F" w:rsidRDefault="009612AA" w:rsidP="009612AA">
      <w:pPr>
        <w:pStyle w:val="LineTop"/>
      </w:pPr>
    </w:p>
    <w:p w:rsidR="009612AA" w:rsidRPr="004E102F" w:rsidRDefault="009612AA" w:rsidP="009612AA">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w:t>
      </w:r>
      <w:r w:rsidR="007823FD">
        <w:t xml:space="preserve"> a </w:t>
      </w:r>
      <w:r>
        <w:t>vnitřní věci</w:t>
      </w:r>
      <w:r>
        <w:rPr>
          <w:rStyle w:val="HideTWBExt"/>
        </w:rPr>
        <w:t>&lt;/</w:t>
      </w:r>
      <w:r>
        <w:rPr>
          <w:rStyle w:val="HideTWBExt"/>
          <w:i w:val="0"/>
        </w:rPr>
        <w:t>Commission</w:t>
      </w:r>
      <w:r>
        <w:rPr>
          <w:rStyle w:val="HideTWBExt"/>
        </w:rPr>
        <w:t>&gt;</w:t>
      </w:r>
    </w:p>
    <w:p w:rsidR="009612AA" w:rsidRPr="004E102F" w:rsidRDefault="009612AA" w:rsidP="009612AA">
      <w:pPr>
        <w:pStyle w:val="LineBottom"/>
      </w:pPr>
    </w:p>
    <w:p w:rsidR="00363B94" w:rsidRPr="004E102F" w:rsidRDefault="00363B94">
      <w:pPr>
        <w:pStyle w:val="CoverReference"/>
      </w:pPr>
      <w:r>
        <w:rPr>
          <w:rStyle w:val="HideTWBExt"/>
          <w:b w:val="0"/>
        </w:rPr>
        <w:t>&lt;RefProc&gt;</w:t>
      </w:r>
      <w:r>
        <w:t>2023/0224</w:t>
      </w:r>
      <w:r>
        <w:rPr>
          <w:rStyle w:val="HideTWBExt"/>
          <w:b w:val="0"/>
        </w:rPr>
        <w:t>&lt;/RefProc&gt;&lt;RefTypeProc&gt;</w:t>
      </w:r>
      <w:r>
        <w:t>(NLE)</w:t>
      </w:r>
      <w:r>
        <w:rPr>
          <w:rStyle w:val="HideTWBExt"/>
          <w:b w:val="0"/>
        </w:rPr>
        <w:t>&lt;/RefTypeProc&gt;</w:t>
      </w:r>
    </w:p>
    <w:p w:rsidR="00363B94" w:rsidRPr="004E102F" w:rsidRDefault="00363B94">
      <w:pPr>
        <w:pStyle w:val="CoverDate"/>
      </w:pPr>
      <w:r>
        <w:rPr>
          <w:rStyle w:val="HideTWBExt"/>
        </w:rPr>
        <w:t>&lt;Date&gt;</w:t>
      </w:r>
      <w:r>
        <w:rPr>
          <w:rStyle w:val="HideTWBInt"/>
        </w:rPr>
        <w:t>{16/02/2024}</w:t>
      </w:r>
      <w:r>
        <w:t>16.2.2024</w:t>
      </w:r>
      <w:r>
        <w:rPr>
          <w:rStyle w:val="HideTWBExt"/>
        </w:rPr>
        <w:t>&lt;/Date&gt;</w:t>
      </w:r>
    </w:p>
    <w:p w:rsidR="00363B94" w:rsidRPr="004E102F" w:rsidRDefault="00363B94">
      <w:pPr>
        <w:pStyle w:val="CoverDocType"/>
      </w:pPr>
      <w:r>
        <w:rPr>
          <w:rStyle w:val="HideTWBExt"/>
          <w:b w:val="0"/>
        </w:rPr>
        <w:t>&lt;RefProcLect&gt;</w:t>
      </w:r>
      <w:r>
        <w:t>***</w:t>
      </w:r>
      <w:r>
        <w:rPr>
          <w:rStyle w:val="HideTWBExt"/>
          <w:b w:val="0"/>
        </w:rPr>
        <w:t>&lt;/RefProcLect&gt;</w:t>
      </w:r>
    </w:p>
    <w:p w:rsidR="00363B94" w:rsidRPr="004E102F" w:rsidRDefault="00363B94">
      <w:pPr>
        <w:pStyle w:val="CoverDocType24a"/>
      </w:pPr>
      <w:r>
        <w:rPr>
          <w:rStyle w:val="HideTWBExt"/>
          <w:b w:val="0"/>
        </w:rPr>
        <w:t>&lt;TitreType&gt;</w:t>
      </w:r>
      <w:r>
        <w:t>NÁVRH DOPORUČENÍ</w:t>
      </w:r>
      <w:r>
        <w:rPr>
          <w:rStyle w:val="HideTWBExt"/>
          <w:b w:val="0"/>
        </w:rPr>
        <w:t>&lt;/TitreType&gt;</w:t>
      </w:r>
    </w:p>
    <w:p w:rsidR="00363B94" w:rsidRPr="004E102F" w:rsidRDefault="00363B94">
      <w:pPr>
        <w:pStyle w:val="CoverNormal"/>
      </w:pPr>
      <w:r>
        <w:rPr>
          <w:rStyle w:val="HideTWBExt"/>
        </w:rPr>
        <w:t>&lt;Titre&gt;</w:t>
      </w:r>
      <w:r>
        <w:t>k návrhu rozhodnutí Rady</w:t>
      </w:r>
      <w:r w:rsidR="007823FD">
        <w:t xml:space="preserve"> o </w:t>
      </w:r>
      <w:r>
        <w:t>uzavření, jménem Evropské unie, Dohody mezi Evropskou unií</w:t>
      </w:r>
      <w:r w:rsidR="007823FD">
        <w:t xml:space="preserve"> a </w:t>
      </w:r>
      <w:r>
        <w:t>Norským královstvím</w:t>
      </w:r>
      <w:r w:rsidR="007823FD">
        <w:t xml:space="preserve"> o </w:t>
      </w:r>
      <w:r>
        <w:t>doplňkových pravidlech týkajících se Nástroje pro finanční podporu správy hranic</w:t>
      </w:r>
      <w:r w:rsidR="007823FD">
        <w:t xml:space="preserve"> a </w:t>
      </w:r>
      <w:r>
        <w:t>vízové politiky jako součásti Fondu pro integrovanou správu hranic</w:t>
      </w:r>
      <w:r>
        <w:rPr>
          <w:rStyle w:val="HideTWBExt"/>
        </w:rPr>
        <w:t>&lt;/Titre&gt;</w:t>
      </w:r>
    </w:p>
    <w:p w:rsidR="00363B94" w:rsidRPr="004E102F" w:rsidRDefault="00363B94">
      <w:pPr>
        <w:pStyle w:val="CoverNormal24a"/>
      </w:pPr>
      <w:r>
        <w:rPr>
          <w:rStyle w:val="HideTWBExt"/>
        </w:rPr>
        <w:t>&lt;DocRef&gt;</w:t>
      </w:r>
      <w:r>
        <w:t>(12129/2023 – C9</w:t>
      </w:r>
      <w:r>
        <w:noBreakHyphen/>
        <w:t>0002/2023 – 2023/0224(NLE))</w:t>
      </w:r>
      <w:r>
        <w:rPr>
          <w:rStyle w:val="HideTWBExt"/>
        </w:rPr>
        <w:t>&lt;/DocRef&gt;</w:t>
      </w:r>
    </w:p>
    <w:p w:rsidR="00363B94" w:rsidRPr="004E102F" w:rsidRDefault="00363B94">
      <w:pPr>
        <w:pStyle w:val="CoverNormal24a"/>
      </w:pPr>
      <w:r>
        <w:rPr>
          <w:rStyle w:val="HideTWBExt"/>
        </w:rPr>
        <w:t>&lt;Commission&gt;</w:t>
      </w:r>
      <w:r>
        <w:rPr>
          <w:rStyle w:val="HideTWBInt"/>
        </w:rPr>
        <w:t>{LIBE}</w:t>
      </w:r>
      <w:r>
        <w:t>Výbor pro občanské svobody, spravedlnost</w:t>
      </w:r>
      <w:r w:rsidR="007823FD">
        <w:t xml:space="preserve"> a </w:t>
      </w:r>
      <w:r>
        <w:t>vnitřní věci</w:t>
      </w:r>
      <w:r>
        <w:rPr>
          <w:rStyle w:val="HideTWBExt"/>
        </w:rPr>
        <w:t>&lt;/Commission&gt;</w:t>
      </w:r>
    </w:p>
    <w:p w:rsidR="00363B94" w:rsidRPr="004E102F" w:rsidRDefault="001B5E7E">
      <w:pPr>
        <w:pStyle w:val="CoverNormal24a"/>
      </w:pPr>
      <w:r>
        <w:t xml:space="preserve">Zpravodaj: </w:t>
      </w:r>
      <w:r>
        <w:rPr>
          <w:rStyle w:val="HideTWBExt"/>
        </w:rPr>
        <w:t>&lt;Depute&gt;</w:t>
      </w:r>
      <w:r>
        <w:t>Charlie Weimers</w:t>
      </w:r>
      <w:r>
        <w:rPr>
          <w:rStyle w:val="HideTWBExt"/>
        </w:rPr>
        <w:t>&lt;/Depute&gt;</w:t>
      </w:r>
    </w:p>
    <w:p w:rsidR="00B42885" w:rsidRPr="004E102F" w:rsidRDefault="00B42885" w:rsidP="00B42885">
      <w:pPr>
        <w:pStyle w:val="CoverNormal"/>
      </w:pPr>
      <w:bookmarkStart w:id="0" w:name="_GoBack"/>
      <w:bookmarkEnd w:id="0"/>
    </w:p>
    <w:p w:rsidR="001B5E7E" w:rsidRDefault="00363B94" w:rsidP="00016E55">
      <w:r>
        <w:br w:type="page"/>
      </w:r>
      <w:fldSimple w:instr=" TITLE  \* MERGEFORMAT ">
        <w:r w:rsidR="007823FD" w:rsidRPr="007823FD">
          <w:rPr>
            <w:lang w:val="fr-FR"/>
          </w:rPr>
          <w:t>PR_NLE-AP_Agreement</w:t>
        </w:r>
      </w:fldSimple>
    </w:p>
    <w:p w:rsidR="001B5E7E" w:rsidRDefault="001B5E7E" w:rsidP="00016E55">
      <w:pPr>
        <w:rPr>
          <w:lang w:val="fr-FR"/>
        </w:rPr>
      </w:pPr>
    </w:p>
    <w:p w:rsidR="001B5E7E" w:rsidRDefault="001B5E7E"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B5E7E">
        <w:tc>
          <w:tcPr>
            <w:tcW w:w="5811" w:type="dxa"/>
          </w:tcPr>
          <w:p w:rsidR="001B5E7E" w:rsidRDefault="001B5E7E" w:rsidP="00016E55">
            <w:pPr>
              <w:pStyle w:val="Lgendetitre"/>
            </w:pPr>
            <w:r>
              <w:t>Vysvětlivky</w:t>
            </w:r>
          </w:p>
        </w:tc>
      </w:tr>
      <w:tr w:rsidR="001B5E7E" w:rsidTr="00114A3C">
        <w:trPr>
          <w:cantSplit/>
          <w:trHeight w:val="1807"/>
        </w:trPr>
        <w:tc>
          <w:tcPr>
            <w:tcW w:w="5811" w:type="dxa"/>
            <w:tcBorders>
              <w:bottom w:val="single" w:sz="4" w:space="0" w:color="auto"/>
            </w:tcBorders>
          </w:tcPr>
          <w:p w:rsidR="001B5E7E" w:rsidRDefault="001B5E7E" w:rsidP="00343C61">
            <w:pPr>
              <w:pStyle w:val="Lgendesigne"/>
            </w:pPr>
            <w:r>
              <w:tab/>
              <w:t>*</w:t>
            </w:r>
            <w:r>
              <w:tab/>
              <w:t>Postup konzultace</w:t>
            </w:r>
            <w:r>
              <w:tab/>
            </w:r>
          </w:p>
          <w:p w:rsidR="001B5E7E" w:rsidRDefault="001B5E7E" w:rsidP="00343C61">
            <w:pPr>
              <w:pStyle w:val="Lgendesigne"/>
            </w:pPr>
            <w:r>
              <w:tab/>
              <w:t>***</w:t>
            </w:r>
            <w:r>
              <w:tab/>
              <w:t>Postup souhlasu</w:t>
            </w:r>
          </w:p>
          <w:p w:rsidR="001B5E7E" w:rsidRDefault="001B5E7E" w:rsidP="00343C61">
            <w:pPr>
              <w:pStyle w:val="Lgendesigne"/>
            </w:pPr>
            <w:r>
              <w:tab/>
              <w:t>***I</w:t>
            </w:r>
            <w:r>
              <w:tab/>
              <w:t>Řádný legislativní postup (první čtení)</w:t>
            </w:r>
          </w:p>
          <w:p w:rsidR="001B5E7E" w:rsidRDefault="001B5E7E" w:rsidP="00343C61">
            <w:pPr>
              <w:pStyle w:val="Lgendesigne"/>
            </w:pPr>
            <w:r>
              <w:tab/>
              <w:t>***II</w:t>
            </w:r>
            <w:r>
              <w:tab/>
              <w:t>Řádný legislativní postup (druhé čtení)</w:t>
            </w:r>
          </w:p>
          <w:p w:rsidR="001B5E7E" w:rsidRDefault="001B5E7E" w:rsidP="00343C61">
            <w:pPr>
              <w:pStyle w:val="Lgendesigne"/>
              <w:rPr>
                <w:noProof/>
              </w:rPr>
            </w:pPr>
            <w:r>
              <w:tab/>
              <w:t>***III</w:t>
            </w:r>
            <w:r>
              <w:tab/>
              <w:t>Řádný legislativní postup (třetí čtení)</w:t>
            </w:r>
          </w:p>
          <w:p w:rsidR="001B5E7E" w:rsidRDefault="001B5E7E" w:rsidP="00016E55">
            <w:pPr>
              <w:pStyle w:val="Lgendestandard"/>
            </w:pPr>
          </w:p>
          <w:p w:rsidR="001B5E7E" w:rsidRDefault="001B5E7E" w:rsidP="00016E55">
            <w:pPr>
              <w:pStyle w:val="Lgendestandard"/>
            </w:pPr>
            <w:r>
              <w:t>(Druh postupu závisí na právním základu navrženém</w:t>
            </w:r>
            <w:r w:rsidR="007823FD">
              <w:t xml:space="preserve"> v </w:t>
            </w:r>
            <w:r>
              <w:t>návrhu aktu.)</w:t>
            </w:r>
          </w:p>
          <w:p w:rsidR="001B5E7E" w:rsidRDefault="001B5E7E" w:rsidP="002B1E3A">
            <w:pPr>
              <w:pStyle w:val="Lgendestandard"/>
            </w:pPr>
          </w:p>
        </w:tc>
      </w:tr>
    </w:tbl>
    <w:p w:rsidR="001B5E7E" w:rsidRDefault="001B5E7E" w:rsidP="00016E55">
      <w:pPr>
        <w:rPr>
          <w:lang w:val="fr-FR"/>
        </w:rPr>
      </w:pPr>
    </w:p>
    <w:p w:rsidR="00363B94" w:rsidRPr="001B5E7E" w:rsidRDefault="00363B94" w:rsidP="00613F2E">
      <w:pPr>
        <w:widowControl/>
        <w:tabs>
          <w:tab w:val="center" w:pos="4677"/>
        </w:tabs>
      </w:pPr>
    </w:p>
    <w:p w:rsidR="00363B94" w:rsidRPr="004E102F" w:rsidRDefault="00363B94">
      <w:pPr>
        <w:pStyle w:val="TOCHeading"/>
      </w:pPr>
      <w:r>
        <w:br w:type="page"/>
      </w:r>
      <w:r>
        <w:lastRenderedPageBreak/>
        <w:t>OBSAH</w:t>
      </w:r>
    </w:p>
    <w:p w:rsidR="00363B94" w:rsidRPr="004E102F" w:rsidRDefault="004E102F">
      <w:pPr>
        <w:pStyle w:val="TOCPage"/>
      </w:pPr>
      <w:r>
        <w:t>Strana</w:t>
      </w:r>
    </w:p>
    <w:p w:rsidR="007823FD" w:rsidRDefault="00EF48F2">
      <w:pPr>
        <w:pStyle w:val="TOC1"/>
        <w:tabs>
          <w:tab w:val="right" w:leader="dot" w:pos="9060"/>
        </w:tabs>
        <w:rPr>
          <w:rFonts w:asciiTheme="minorHAnsi" w:eastAsiaTheme="minorEastAsia" w:hAnsiTheme="minorHAnsi" w:cstheme="minorBidi"/>
          <w:noProof/>
          <w:sz w:val="22"/>
          <w:szCs w:val="22"/>
          <w:lang w:val="en-GB"/>
        </w:rPr>
      </w:pPr>
      <w:r w:rsidRPr="004E102F">
        <w:fldChar w:fldCharType="begin"/>
      </w:r>
      <w:r w:rsidRPr="004E102F">
        <w:instrText xml:space="preserve"> TOC \t "PageHeading</w:instrText>
      </w:r>
      <w:r w:rsidR="007823FD">
        <w:instrText>;</w:instrText>
      </w:r>
      <w:r w:rsidRPr="004E102F">
        <w:instrText xml:space="preserve">1" </w:instrText>
      </w:r>
      <w:r w:rsidRPr="004E102F">
        <w:fldChar w:fldCharType="separate"/>
      </w:r>
      <w:r w:rsidR="007823FD">
        <w:rPr>
          <w:noProof/>
        </w:rPr>
        <w:t>NÁVRH LEGISLATIVNÍHO USNESENÍ EVROPSKÉHO PARLAMENTU</w:t>
      </w:r>
      <w:r w:rsidR="007823FD">
        <w:rPr>
          <w:noProof/>
        </w:rPr>
        <w:tab/>
      </w:r>
      <w:r w:rsidR="007823FD">
        <w:rPr>
          <w:noProof/>
        </w:rPr>
        <w:fldChar w:fldCharType="begin"/>
      </w:r>
      <w:r w:rsidR="007823FD">
        <w:rPr>
          <w:noProof/>
        </w:rPr>
        <w:instrText xml:space="preserve"> PAGEREF _Toc160175655 \h </w:instrText>
      </w:r>
      <w:r w:rsidR="007823FD">
        <w:rPr>
          <w:noProof/>
        </w:rPr>
      </w:r>
      <w:r w:rsidR="007823FD">
        <w:rPr>
          <w:noProof/>
        </w:rPr>
        <w:fldChar w:fldCharType="separate"/>
      </w:r>
      <w:r w:rsidR="007823FD">
        <w:rPr>
          <w:noProof/>
        </w:rPr>
        <w:t>5</w:t>
      </w:r>
      <w:r w:rsidR="007823FD">
        <w:rPr>
          <w:noProof/>
        </w:rPr>
        <w:fldChar w:fldCharType="end"/>
      </w:r>
    </w:p>
    <w:p w:rsidR="007823FD" w:rsidRDefault="007823FD">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_Toc160175656 \h </w:instrText>
      </w:r>
      <w:r>
        <w:rPr>
          <w:noProof/>
        </w:rPr>
      </w:r>
      <w:r>
        <w:rPr>
          <w:noProof/>
        </w:rPr>
        <w:fldChar w:fldCharType="separate"/>
      </w:r>
      <w:r>
        <w:rPr>
          <w:noProof/>
        </w:rPr>
        <w:t>6</w:t>
      </w:r>
      <w:r>
        <w:rPr>
          <w:noProof/>
        </w:rPr>
        <w:fldChar w:fldCharType="end"/>
      </w:r>
    </w:p>
    <w:p w:rsidR="004E1650" w:rsidRPr="004E102F" w:rsidRDefault="00EF48F2" w:rsidP="00F04010">
      <w:r w:rsidRPr="004E102F">
        <w:fldChar w:fldCharType="end"/>
      </w:r>
    </w:p>
    <w:p w:rsidR="00363B94" w:rsidRPr="004E102F" w:rsidRDefault="00363B94" w:rsidP="0006167F">
      <w:pPr>
        <w:pStyle w:val="PageHeading"/>
      </w:pPr>
      <w:r>
        <w:br w:type="page"/>
      </w:r>
      <w:r>
        <w:lastRenderedPageBreak/>
        <w:br w:type="page"/>
      </w:r>
      <w:bookmarkStart w:id="1" w:name="_Toc160175655"/>
      <w:r>
        <w:lastRenderedPageBreak/>
        <w:t>NÁVRH LEGISLATIVNÍHO USNESENÍ EVROPSKÉHO PARLAMENTU</w:t>
      </w:r>
      <w:bookmarkEnd w:id="1"/>
    </w:p>
    <w:p w:rsidR="00363B94" w:rsidRPr="004E102F" w:rsidRDefault="004E102F">
      <w:pPr>
        <w:pStyle w:val="NormalBold"/>
      </w:pPr>
      <w:r>
        <w:t>o návrhu rozhodnutí Rady</w:t>
      </w:r>
      <w:r w:rsidR="007823FD">
        <w:t xml:space="preserve"> o </w:t>
      </w:r>
      <w:r>
        <w:t>uzavření, jménem Evropské unie, Dohody mezi Evropskou unií</w:t>
      </w:r>
      <w:r w:rsidR="007823FD">
        <w:t xml:space="preserve"> a </w:t>
      </w:r>
      <w:r>
        <w:t>Norským královstvím</w:t>
      </w:r>
      <w:r w:rsidR="007823FD">
        <w:t xml:space="preserve"> o </w:t>
      </w:r>
      <w:r>
        <w:t>doplňkových pravidlech týkajících se Nástroje pro finanční podporu správy hranic</w:t>
      </w:r>
      <w:r w:rsidR="007823FD">
        <w:t xml:space="preserve"> a </w:t>
      </w:r>
      <w:r>
        <w:t>vízové politiky jako součásti Fondu pro integrovanou správu hranic</w:t>
      </w:r>
    </w:p>
    <w:p w:rsidR="00363B94" w:rsidRPr="004E102F" w:rsidRDefault="004E102F">
      <w:pPr>
        <w:pStyle w:val="NormalBold12a"/>
      </w:pPr>
      <w:r>
        <w:t>(12129/2023 – C9</w:t>
      </w:r>
      <w:r>
        <w:noBreakHyphen/>
        <w:t>0002/2023 – 2023/0224(NLE))</w:t>
      </w:r>
    </w:p>
    <w:p w:rsidR="00363B94" w:rsidRPr="004E102F" w:rsidRDefault="004E102F" w:rsidP="00893FBD">
      <w:pPr>
        <w:pStyle w:val="NormalBold"/>
      </w:pPr>
      <w:r>
        <w:t>(Souhlas)</w:t>
      </w:r>
    </w:p>
    <w:p w:rsidR="00363B94" w:rsidRPr="004E102F" w:rsidRDefault="004E102F">
      <w:pPr>
        <w:pStyle w:val="EPComma"/>
      </w:pPr>
      <w:r>
        <w:rPr>
          <w:i/>
        </w:rPr>
        <w:t>Evropský parlament</w:t>
      </w:r>
      <w:r>
        <w:t>,</w:t>
      </w:r>
    </w:p>
    <w:p w:rsidR="00BF7F55" w:rsidRPr="004E102F" w:rsidRDefault="00BF7F55" w:rsidP="00BF7F55">
      <w:pPr>
        <w:pStyle w:val="NormalHanging12a"/>
      </w:pPr>
      <w:r>
        <w:t>–</w:t>
      </w:r>
      <w:r>
        <w:tab/>
        <w:t>s ohledem na návrh rozhodnutí Rady (12129/2023),</w:t>
      </w:r>
    </w:p>
    <w:p w:rsidR="001B5E7E" w:rsidRPr="00493F66" w:rsidRDefault="001B5E7E" w:rsidP="001B5E7E">
      <w:pPr>
        <w:pStyle w:val="NormalHanging12a"/>
      </w:pPr>
      <w:r>
        <w:t>–</w:t>
      </w:r>
      <w:r>
        <w:tab/>
        <w:t>s ohledem na návrh Dohody mezi Evropskou unií</w:t>
      </w:r>
      <w:r w:rsidR="007823FD">
        <w:t xml:space="preserve"> a </w:t>
      </w:r>
      <w:r>
        <w:t>Norským královstvím</w:t>
      </w:r>
      <w:r w:rsidR="007823FD">
        <w:t xml:space="preserve"> o </w:t>
      </w:r>
      <w:r>
        <w:t>doplňkových pravidlech týkajících se Nástroje pro finanční podporu správy hranic</w:t>
      </w:r>
      <w:r w:rsidR="007823FD">
        <w:t xml:space="preserve"> a </w:t>
      </w:r>
      <w:r>
        <w:t>vízové politiky jako součásti Fondu pro integrovanou správu hranic na období 2021 až 2027 (12128/2023),</w:t>
      </w:r>
    </w:p>
    <w:p w:rsidR="00363B94" w:rsidRPr="004E102F" w:rsidRDefault="005F5D6C">
      <w:pPr>
        <w:pStyle w:val="NormalHanging12a"/>
      </w:pPr>
      <w:r>
        <w:t>–</w:t>
      </w:r>
      <w:r>
        <w:tab/>
        <w:t>s ohledem na žádost</w:t>
      </w:r>
      <w:r w:rsidR="007823FD">
        <w:t xml:space="preserve"> o </w:t>
      </w:r>
      <w:r>
        <w:t>udělení souhlasu, kterou předložila Rada</w:t>
      </w:r>
      <w:r w:rsidR="007823FD">
        <w:t xml:space="preserve"> v </w:t>
      </w:r>
      <w:r>
        <w:t>souladu</w:t>
      </w:r>
      <w:r w:rsidR="007823FD">
        <w:t xml:space="preserve"> s </w:t>
      </w:r>
      <w:r>
        <w:t>čl. 77 odst. 2</w:t>
      </w:r>
      <w:r w:rsidR="007823FD">
        <w:t xml:space="preserve"> a </w:t>
      </w:r>
      <w:r>
        <w:t>čl. 218 odst. 6 druhým pododstavcem písm. a)</w:t>
      </w:r>
      <w:r w:rsidR="007823FD">
        <w:t xml:space="preserve"> a </w:t>
      </w:r>
      <w:r>
        <w:t>čl. 218 odst. 7, Smlouvy</w:t>
      </w:r>
      <w:r w:rsidR="007823FD">
        <w:t xml:space="preserve"> o </w:t>
      </w:r>
      <w:r>
        <w:t>fungování Evropské unie (C9</w:t>
      </w:r>
      <w:r>
        <w:noBreakHyphen/>
        <w:t>0002/2023),</w:t>
      </w:r>
    </w:p>
    <w:p w:rsidR="00363B94" w:rsidRPr="004E102F" w:rsidRDefault="00363B94">
      <w:pPr>
        <w:pStyle w:val="NormalHanging12a"/>
      </w:pPr>
      <w:r>
        <w:t>–</w:t>
      </w:r>
      <w:r>
        <w:tab/>
        <w:t>s ohledem na čl. 105 odst. 1</w:t>
      </w:r>
      <w:r w:rsidR="007823FD">
        <w:t xml:space="preserve"> a </w:t>
      </w:r>
      <w:r>
        <w:t>4</w:t>
      </w:r>
      <w:r w:rsidR="007823FD">
        <w:t xml:space="preserve"> a </w:t>
      </w:r>
      <w:r>
        <w:t>čl. 114 odst. 7 jednacího řádu,</w:t>
      </w:r>
    </w:p>
    <w:p w:rsidR="00363B94" w:rsidRPr="004E102F" w:rsidRDefault="00363B94">
      <w:pPr>
        <w:pStyle w:val="NormalHanging12a"/>
      </w:pPr>
      <w:r>
        <w:t>–</w:t>
      </w:r>
      <w:r>
        <w:tab/>
        <w:t>s ohledem na doporučení Výboru pro občanské svobody, spravedlnost</w:t>
      </w:r>
      <w:r w:rsidR="007823FD">
        <w:t xml:space="preserve"> a </w:t>
      </w:r>
      <w:r>
        <w:t>vnitřní věci (A9</w:t>
      </w:r>
      <w:r>
        <w:noBreakHyphen/>
        <w:t>0000/2024),</w:t>
      </w:r>
    </w:p>
    <w:p w:rsidR="00363B94" w:rsidRPr="004E102F" w:rsidRDefault="00363B94">
      <w:pPr>
        <w:pStyle w:val="NormalHanging12a"/>
      </w:pPr>
      <w:r>
        <w:t>1.</w:t>
      </w:r>
      <w:r>
        <w:tab/>
        <w:t>uděluje souhlas</w:t>
      </w:r>
      <w:r w:rsidR="007823FD">
        <w:t xml:space="preserve"> s </w:t>
      </w:r>
      <w:r>
        <w:t>uzavřením dohody;</w:t>
      </w:r>
    </w:p>
    <w:p w:rsidR="001D02E3" w:rsidRPr="004E102F" w:rsidRDefault="001D02E3">
      <w:pPr>
        <w:pStyle w:val="NormalHanging12a"/>
      </w:pPr>
      <w:r>
        <w:t>2.</w:t>
      </w:r>
      <w:r>
        <w:tab/>
        <w:t>pověřuje svou předsedkyni, aby předala postoj Parlamentu Radě, Komisi, jakož</w:t>
      </w:r>
      <w:r w:rsidR="007823FD">
        <w:t xml:space="preserve"> i </w:t>
      </w:r>
      <w:r>
        <w:t>vládám</w:t>
      </w:r>
      <w:r w:rsidR="007823FD">
        <w:t xml:space="preserve"> a </w:t>
      </w:r>
      <w:r>
        <w:t>parlamentům členských států</w:t>
      </w:r>
      <w:r w:rsidR="007823FD">
        <w:t xml:space="preserve"> a </w:t>
      </w:r>
      <w:r>
        <w:t>Norskému království.</w:t>
      </w:r>
    </w:p>
    <w:p w:rsidR="001B5E7E" w:rsidRPr="00493F66" w:rsidRDefault="001B5E7E" w:rsidP="001B5E7E">
      <w:pPr>
        <w:sectPr w:rsidR="001B5E7E" w:rsidRPr="00493F66" w:rsidSect="001B5E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B5E7E" w:rsidRPr="00493F66" w:rsidRDefault="001B5E7E" w:rsidP="001B5E7E">
      <w:pPr>
        <w:pStyle w:val="PageHeading"/>
      </w:pPr>
      <w:bookmarkStart w:id="2" w:name="_Toc159235921"/>
      <w:bookmarkStart w:id="3" w:name="_Toc160175656"/>
      <w:r>
        <w:lastRenderedPageBreak/>
        <w:t>VYSVĚTLUJÍCÍ PROHLÁŠENÍ</w:t>
      </w:r>
      <w:bookmarkEnd w:id="2"/>
      <w:bookmarkEnd w:id="3"/>
    </w:p>
    <w:p w:rsidR="001B5E7E" w:rsidRPr="00493F66" w:rsidRDefault="001B5E7E" w:rsidP="001B5E7E">
      <w:pPr>
        <w:jc w:val="both"/>
      </w:pPr>
      <w:r>
        <w:t>Nástroj pro finanční podporu správy hranic</w:t>
      </w:r>
      <w:r w:rsidR="007823FD">
        <w:t xml:space="preserve"> a </w:t>
      </w:r>
      <w:r>
        <w:t>vízové politiky, který je součástí Fondu pro integrovanou správu hranic, představuje zvláštní nástroj</w:t>
      </w:r>
      <w:r w:rsidR="007823FD">
        <w:t xml:space="preserve"> v </w:t>
      </w:r>
      <w:r>
        <w:t xml:space="preserve">kontextu schengenského </w:t>
      </w:r>
      <w:r>
        <w:rPr>
          <w:i/>
        </w:rPr>
        <w:t>acquis</w:t>
      </w:r>
      <w:r>
        <w:t xml:space="preserve"> určený</w:t>
      </w:r>
      <w:r w:rsidR="007823FD">
        <w:t xml:space="preserve"> k </w:t>
      </w:r>
      <w:r>
        <w:t>zajištění silné</w:t>
      </w:r>
      <w:r w:rsidR="007823FD">
        <w:t xml:space="preserve"> a </w:t>
      </w:r>
      <w:r>
        <w:t>účinné evropské integrované správy vnějších hranic. Usnadňuje povolené překračování hranic</w:t>
      </w:r>
      <w:r w:rsidR="007823FD">
        <w:t xml:space="preserve"> a </w:t>
      </w:r>
      <w:r>
        <w:t>zároveň předchází nedovolené imigraci</w:t>
      </w:r>
      <w:r w:rsidR="007823FD">
        <w:t xml:space="preserve"> a </w:t>
      </w:r>
      <w:r>
        <w:t>přeshraniční trestné činnosti</w:t>
      </w:r>
      <w:r w:rsidR="007823FD">
        <w:t xml:space="preserve"> a </w:t>
      </w:r>
      <w:r>
        <w:t>odhaluje je, čímž chrání schengenský prostor</w:t>
      </w:r>
      <w:r w:rsidR="007823FD">
        <w:t xml:space="preserve"> v </w:t>
      </w:r>
      <w:r>
        <w:t>souladu se závazky členských států</w:t>
      </w:r>
      <w:r w:rsidR="007823FD">
        <w:t xml:space="preserve"> a </w:t>
      </w:r>
      <w:r>
        <w:t>přidružených zemí</w:t>
      </w:r>
      <w:r w:rsidR="007823FD">
        <w:t xml:space="preserve"> v </w:t>
      </w:r>
      <w:r>
        <w:t>oblasti základních práv,</w:t>
      </w:r>
      <w:r w:rsidR="007823FD">
        <w:t xml:space="preserve"> a </w:t>
      </w:r>
      <w:r>
        <w:t>podporuje jednotné provádění</w:t>
      </w:r>
      <w:r w:rsidR="007823FD">
        <w:t xml:space="preserve"> a </w:t>
      </w:r>
      <w:r>
        <w:t>modernizaci společné vízové politiky, čímž přispívá</w:t>
      </w:r>
      <w:r w:rsidR="007823FD">
        <w:t xml:space="preserve"> k </w:t>
      </w:r>
      <w:r>
        <w:t>zajištění vysoké úrovně bezpečnosti</w:t>
      </w:r>
      <w:r w:rsidR="007823FD">
        <w:t xml:space="preserve"> v </w:t>
      </w:r>
      <w:r>
        <w:t>členských státech</w:t>
      </w:r>
      <w:r w:rsidR="007823FD">
        <w:t xml:space="preserve"> a </w:t>
      </w:r>
      <w:r>
        <w:t>přidružených zemích.</w:t>
      </w:r>
    </w:p>
    <w:p w:rsidR="001B5E7E" w:rsidRPr="00493F66" w:rsidRDefault="001B5E7E" w:rsidP="001B5E7E">
      <w:pPr>
        <w:jc w:val="both"/>
      </w:pPr>
    </w:p>
    <w:p w:rsidR="001B5E7E" w:rsidRPr="00493F66" w:rsidRDefault="001B5E7E" w:rsidP="001B5E7E">
      <w:pPr>
        <w:jc w:val="both"/>
      </w:pPr>
      <w:r>
        <w:t>Zpravodaj se rovněž domnívá, že vzhledem ke zvláštní povaze schengenského acquis</w:t>
      </w:r>
      <w:r w:rsidR="007823FD">
        <w:t xml:space="preserve"> a </w:t>
      </w:r>
      <w:r>
        <w:t>významu jeho jednotného uplatňování pro integritu schengenského prostoru by se všechna pravidla vztahující se na správu programů měla vztahovat na Norské království stejným způsobem jako na členské státy. Tím se zajistí vysoká</w:t>
      </w:r>
      <w:r w:rsidR="007823FD">
        <w:t xml:space="preserve"> a </w:t>
      </w:r>
      <w:r>
        <w:t>jednotná úroveň ochrany vnějších hranic.</w:t>
      </w:r>
    </w:p>
    <w:p w:rsidR="001B5E7E" w:rsidRPr="00493F66" w:rsidRDefault="001B5E7E" w:rsidP="001B5E7E">
      <w:pPr>
        <w:jc w:val="both"/>
      </w:pPr>
      <w:r>
        <w:br/>
        <w:t>Dohody zavádějí zvláštní mechanismy pro rychlé úpravy smlouvy</w:t>
      </w:r>
      <w:r w:rsidR="007823FD">
        <w:t xml:space="preserve"> s </w:t>
      </w:r>
      <w:r>
        <w:t>Norskem</w:t>
      </w:r>
      <w:r w:rsidR="007823FD">
        <w:t xml:space="preserve"> v </w:t>
      </w:r>
      <w:r>
        <w:t>případě změn klíčových právních předpisů Unie relevantních pro jejich provádění, jako je finanční nařízení</w:t>
      </w:r>
      <w:r w:rsidR="007823FD">
        <w:t xml:space="preserve"> a </w:t>
      </w:r>
      <w:r>
        <w:t>nařízení</w:t>
      </w:r>
      <w:r w:rsidR="007823FD">
        <w:t xml:space="preserve"> o </w:t>
      </w:r>
      <w:r>
        <w:t>společných ustanoveních. Dohoda by rovněž měla zajistit, aby přezkum Nástroje pro správu hranic</w:t>
      </w:r>
      <w:r w:rsidR="007823FD">
        <w:t xml:space="preserve"> a </w:t>
      </w:r>
      <w:r>
        <w:t>vízové politiky</w:t>
      </w:r>
      <w:r w:rsidR="007823FD">
        <w:t xml:space="preserve"> v </w:t>
      </w:r>
      <w:r>
        <w:t>polovině období zohledňoval opožděnou účast zemí přidružených</w:t>
      </w:r>
      <w:r w:rsidR="007823FD">
        <w:t xml:space="preserve"> k </w:t>
      </w:r>
      <w:r>
        <w:t>Schengenu. Obsahuje také ustanovení</w:t>
      </w:r>
      <w:r w:rsidR="007823FD">
        <w:t xml:space="preserve"> o </w:t>
      </w:r>
      <w:r>
        <w:t>Evropském systému pro cestovní informace</w:t>
      </w:r>
      <w:r w:rsidR="007823FD">
        <w:t xml:space="preserve"> a </w:t>
      </w:r>
      <w:r>
        <w:t>povolení (ETIAS). </w:t>
      </w:r>
    </w:p>
    <w:p w:rsidR="001B5E7E" w:rsidRPr="00493F66" w:rsidRDefault="001B5E7E" w:rsidP="001B5E7E">
      <w:pPr>
        <w:jc w:val="both"/>
      </w:pPr>
    </w:p>
    <w:p w:rsidR="001B5E7E" w:rsidRPr="00493F66" w:rsidRDefault="001B5E7E" w:rsidP="001B5E7E">
      <w:pPr>
        <w:jc w:val="both"/>
      </w:pPr>
      <w:r>
        <w:t>Pokud jde</w:t>
      </w:r>
      <w:r w:rsidR="007823FD">
        <w:t xml:space="preserve"> o </w:t>
      </w:r>
      <w:r>
        <w:t>rozpočtové</w:t>
      </w:r>
      <w:r w:rsidR="007823FD">
        <w:t xml:space="preserve"> a </w:t>
      </w:r>
      <w:r>
        <w:t>finanční kontroly, mají členské státy horizontální povinnosti (v důsledku např. pravomocí Účetního dvora, Evropského úřadu pro boj proti podvodům (OLAF), Úřadu evropského veřejného žalobce</w:t>
      </w:r>
      <w:r w:rsidR="007823FD">
        <w:t xml:space="preserve"> a </w:t>
      </w:r>
      <w:r>
        <w:t>Komise), které vyplývají buď přímo ze Smlouvy, nebo ze sekundárních právních předpisů Unie, včetně výše zmíněného nařízení</w:t>
      </w:r>
      <w:r w:rsidR="007823FD">
        <w:t xml:space="preserve"> o </w:t>
      </w:r>
      <w:r>
        <w:t>společných ustanoveních. Tyto povinnosti se vztahují na členské státy ze své podstaty,</w:t>
      </w:r>
      <w:r w:rsidR="007823FD">
        <w:t xml:space="preserve"> a </w:t>
      </w:r>
      <w:r>
        <w:t>proto nejsou stanoveny</w:t>
      </w:r>
      <w:r w:rsidR="007823FD">
        <w:t xml:space="preserve"> v </w:t>
      </w:r>
      <w:r>
        <w:t>nařízení</w:t>
      </w:r>
      <w:r w:rsidR="007823FD">
        <w:t xml:space="preserve"> o </w:t>
      </w:r>
      <w:r>
        <w:t>BMVI. Tyto povinnosti tudíž musí být rozšířeny na Norsko prostřednictvím dohody, jíž se týká tento návrh.</w:t>
      </w:r>
    </w:p>
    <w:p w:rsidR="001B5E7E" w:rsidRPr="00493F66" w:rsidRDefault="001B5E7E" w:rsidP="001B5E7E">
      <w:pPr>
        <w:jc w:val="both"/>
        <w:rPr>
          <w:rFonts w:ascii="Arial" w:hAnsi="Arial" w:cs="Arial"/>
          <w:color w:val="222222"/>
          <w:spacing w:val="4"/>
          <w:sz w:val="21"/>
          <w:szCs w:val="21"/>
          <w:shd w:val="clear" w:color="auto" w:fill="FFFFFF"/>
        </w:rPr>
      </w:pPr>
    </w:p>
    <w:p w:rsidR="001B5E7E" w:rsidRPr="00493F66" w:rsidRDefault="001B5E7E" w:rsidP="001B5E7E">
      <w:pPr>
        <w:jc w:val="both"/>
      </w:pPr>
      <w:r>
        <w:t>Závěrem zpravodaj konstatuje, že je vhodné uzavřít dohodu, kterou se stanoví doplňková pravidla nezbytná pro účast Norského království na Nástroji pro finanční podporu správy hranic</w:t>
      </w:r>
      <w:r w:rsidR="007823FD">
        <w:t xml:space="preserve"> a </w:t>
      </w:r>
      <w:r>
        <w:t>vízové politiky (dále jen „BMVI“) jako součásti Fondu pro integrovanou správu hranic na programové období 2021–2027</w:t>
      </w:r>
      <w:r w:rsidR="007823FD">
        <w:t xml:space="preserve"> v </w:t>
      </w:r>
      <w:r>
        <w:t>souladu</w:t>
      </w:r>
      <w:r w:rsidR="007823FD">
        <w:t xml:space="preserve"> s </w:t>
      </w:r>
      <w:r>
        <w:t>čl. 7 odst. 6 nařízení (EU) 2021/1148 (dále jen „nařízení</w:t>
      </w:r>
      <w:r w:rsidR="007823FD">
        <w:t xml:space="preserve"> o </w:t>
      </w:r>
      <w:r>
        <w:t>BBMVI“).</w:t>
      </w:r>
    </w:p>
    <w:p w:rsidR="001B5E7E" w:rsidRPr="00493F66" w:rsidRDefault="001B5E7E" w:rsidP="001B5E7E">
      <w:pPr>
        <w:jc w:val="both"/>
      </w:pPr>
    </w:p>
    <w:p w:rsidR="001B5E7E" w:rsidRPr="00493F66" w:rsidRDefault="001B5E7E" w:rsidP="001B5E7E">
      <w:pPr>
        <w:jc w:val="both"/>
      </w:pPr>
      <w:r>
        <w:t>S ohledem na výše uvedené skutečnosti zpravodaj doporučuje, aby Parlament vyslovil souhlas</w:t>
      </w:r>
      <w:r w:rsidR="007823FD">
        <w:t xml:space="preserve"> s </w:t>
      </w:r>
      <w:r>
        <w:t>návrhem rozhodnutí Rady,</w:t>
      </w:r>
      <w:r w:rsidR="007823FD">
        <w:t xml:space="preserve"> a </w:t>
      </w:r>
      <w:r>
        <w:t>pověřuje svou předsedkyni, aby předala postoj Parlamentu Radě, Komisi</w:t>
      </w:r>
      <w:r w:rsidR="007823FD">
        <w:t xml:space="preserve"> a </w:t>
      </w:r>
      <w:r>
        <w:t>vládám</w:t>
      </w:r>
      <w:r w:rsidR="007823FD">
        <w:t xml:space="preserve"> a </w:t>
      </w:r>
      <w:r>
        <w:t>parlamentům členských států.</w:t>
      </w:r>
    </w:p>
    <w:p w:rsidR="001B5E7E" w:rsidRPr="00493F66" w:rsidRDefault="001B5E7E" w:rsidP="001B5E7E">
      <w:pPr>
        <w:jc w:val="both"/>
      </w:pPr>
    </w:p>
    <w:p w:rsidR="001B5E7E" w:rsidRPr="00493F66" w:rsidRDefault="001B5E7E" w:rsidP="001B5E7E"/>
    <w:p w:rsidR="00363B94" w:rsidRPr="004E102F" w:rsidRDefault="00363B94" w:rsidP="00822206"/>
    <w:sectPr w:rsidR="00363B94" w:rsidRPr="004E102F" w:rsidSect="001B5E7E">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02F" w:rsidRPr="004E102F" w:rsidRDefault="004E102F">
      <w:r w:rsidRPr="004E102F">
        <w:separator/>
      </w:r>
    </w:p>
  </w:endnote>
  <w:endnote w:type="continuationSeparator" w:id="0">
    <w:p w:rsidR="004E102F" w:rsidRPr="004E102F" w:rsidRDefault="004E102F">
      <w:r w:rsidRPr="004E10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E7E" w:rsidRDefault="001B5E7E" w:rsidP="001B5E7E">
    <w:pPr>
      <w:pStyle w:val="EPFooter"/>
    </w:pPr>
    <w:r>
      <w:t>PE</w:t>
    </w:r>
    <w:r w:rsidRPr="001B5E7E">
      <w:rPr>
        <w:rStyle w:val="HideTWBExt"/>
      </w:rPr>
      <w:t>&lt;NoPE&gt;</w:t>
    </w:r>
    <w:r>
      <w:t>758.912</w:t>
    </w:r>
    <w:r w:rsidRPr="001B5E7E">
      <w:rPr>
        <w:rStyle w:val="HideTWBExt"/>
      </w:rPr>
      <w:t>&lt;/NoPE&gt;&lt;Version&gt;</w:t>
    </w:r>
    <w:r>
      <w:t>v01-00</w:t>
    </w:r>
    <w:r w:rsidRPr="001B5E7E">
      <w:rPr>
        <w:rStyle w:val="HideTWBExt"/>
      </w:rPr>
      <w:t>&lt;/Version&gt;</w:t>
    </w:r>
    <w:r>
      <w:tab/>
    </w:r>
    <w:r>
      <w:fldChar w:fldCharType="begin"/>
    </w:r>
    <w:r>
      <w:instrText xml:space="preserve"> PAGE  \* MERGEFORMAT </w:instrText>
    </w:r>
    <w:r>
      <w:fldChar w:fldCharType="separate"/>
    </w:r>
    <w:r w:rsidR="007823FD">
      <w:rPr>
        <w:noProof/>
      </w:rPr>
      <w:t>2</w:t>
    </w:r>
    <w:r>
      <w:fldChar w:fldCharType="end"/>
    </w:r>
    <w:r>
      <w:t>/</w:t>
    </w:r>
    <w:r w:rsidR="007823FD">
      <w:fldChar w:fldCharType="begin"/>
    </w:r>
    <w:r w:rsidR="007823FD">
      <w:instrText xml:space="preserve"> NUMPAGES  \* MERGEFORMAT </w:instrText>
    </w:r>
    <w:r w:rsidR="007823FD">
      <w:fldChar w:fldCharType="separate"/>
    </w:r>
    <w:r w:rsidR="007823FD">
      <w:rPr>
        <w:noProof/>
      </w:rPr>
      <w:t>6</w:t>
    </w:r>
    <w:r w:rsidR="007823FD">
      <w:rPr>
        <w:noProof/>
      </w:rPr>
      <w:fldChar w:fldCharType="end"/>
    </w:r>
    <w:r>
      <w:tab/>
    </w:r>
    <w:r w:rsidRPr="001B5E7E">
      <w:rPr>
        <w:rStyle w:val="HideTWBExt"/>
      </w:rPr>
      <w:t>&lt;PathFdR&gt;</w:t>
    </w:r>
    <w:r>
      <w:t>PR\1296233CS.docx</w:t>
    </w:r>
    <w:r w:rsidRPr="001B5E7E">
      <w:rPr>
        <w:rStyle w:val="HideTWBExt"/>
      </w:rPr>
      <w:t>&lt;/PathFdR&gt;</w:t>
    </w:r>
  </w:p>
  <w:p w:rsidR="001B5E7E" w:rsidRPr="00493F66" w:rsidRDefault="001B5E7E" w:rsidP="001B5E7E">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E7E" w:rsidRDefault="001B5E7E" w:rsidP="001B5E7E">
    <w:pPr>
      <w:pStyle w:val="EPFooter"/>
    </w:pPr>
    <w:r w:rsidRPr="001B5E7E">
      <w:rPr>
        <w:rStyle w:val="HideTWBExt"/>
      </w:rPr>
      <w:t>&lt;PathFdR&gt;</w:t>
    </w:r>
    <w:r>
      <w:t>PR\1296233CS.docx</w:t>
    </w:r>
    <w:r w:rsidRPr="001B5E7E">
      <w:rPr>
        <w:rStyle w:val="HideTWBExt"/>
      </w:rPr>
      <w:t>&lt;/PathFdR&gt;</w:t>
    </w:r>
    <w:r>
      <w:tab/>
    </w:r>
    <w:r>
      <w:fldChar w:fldCharType="begin"/>
    </w:r>
    <w:r>
      <w:instrText xml:space="preserve"> PAGE  \* MERGEFORMAT </w:instrText>
    </w:r>
    <w:r>
      <w:fldChar w:fldCharType="separate"/>
    </w:r>
    <w:r w:rsidR="007823FD">
      <w:rPr>
        <w:noProof/>
      </w:rPr>
      <w:t>6</w:t>
    </w:r>
    <w:r>
      <w:fldChar w:fldCharType="end"/>
    </w:r>
    <w:r>
      <w:t>/</w:t>
    </w:r>
    <w:r w:rsidR="007823FD">
      <w:fldChar w:fldCharType="begin"/>
    </w:r>
    <w:r w:rsidR="007823FD">
      <w:instrText xml:space="preserve"> NUMPAGES  \* MERGEFORMAT </w:instrText>
    </w:r>
    <w:r w:rsidR="007823FD">
      <w:fldChar w:fldCharType="separate"/>
    </w:r>
    <w:r w:rsidR="007823FD">
      <w:rPr>
        <w:noProof/>
      </w:rPr>
      <w:t>6</w:t>
    </w:r>
    <w:r w:rsidR="007823FD">
      <w:rPr>
        <w:noProof/>
      </w:rPr>
      <w:fldChar w:fldCharType="end"/>
    </w:r>
    <w:r>
      <w:tab/>
      <w:t>PE</w:t>
    </w:r>
    <w:r w:rsidRPr="001B5E7E">
      <w:rPr>
        <w:rStyle w:val="HideTWBExt"/>
      </w:rPr>
      <w:t>&lt;NoPE&gt;</w:t>
    </w:r>
    <w:r>
      <w:t>758.912</w:t>
    </w:r>
    <w:r w:rsidRPr="001B5E7E">
      <w:rPr>
        <w:rStyle w:val="HideTWBExt"/>
      </w:rPr>
      <w:t>&lt;/NoPE&gt;&lt;Version&gt;</w:t>
    </w:r>
    <w:r>
      <w:t>v01-00</w:t>
    </w:r>
    <w:r w:rsidRPr="001B5E7E">
      <w:rPr>
        <w:rStyle w:val="HideTWBExt"/>
      </w:rPr>
      <w:t>&lt;/Version&gt;</w:t>
    </w:r>
  </w:p>
  <w:p w:rsidR="001B5E7E" w:rsidRPr="00493F66" w:rsidRDefault="001B5E7E" w:rsidP="001B5E7E">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E7E" w:rsidRDefault="001B5E7E" w:rsidP="001B5E7E">
    <w:pPr>
      <w:pStyle w:val="EPFooter"/>
    </w:pPr>
    <w:r w:rsidRPr="001B5E7E">
      <w:rPr>
        <w:rStyle w:val="HideTWBExt"/>
      </w:rPr>
      <w:t>&lt;PathFdR&gt;</w:t>
    </w:r>
    <w:r>
      <w:t>PR\1296233CS.docx</w:t>
    </w:r>
    <w:r w:rsidRPr="001B5E7E">
      <w:rPr>
        <w:rStyle w:val="HideTWBExt"/>
      </w:rPr>
      <w:t>&lt;/PathFdR&gt;</w:t>
    </w:r>
    <w:r>
      <w:tab/>
    </w:r>
    <w:r>
      <w:tab/>
      <w:t>PE</w:t>
    </w:r>
    <w:r w:rsidRPr="001B5E7E">
      <w:rPr>
        <w:rStyle w:val="HideTWBExt"/>
      </w:rPr>
      <w:t>&lt;NoPE&gt;</w:t>
    </w:r>
    <w:r>
      <w:t>758.912</w:t>
    </w:r>
    <w:r w:rsidRPr="001B5E7E">
      <w:rPr>
        <w:rStyle w:val="HideTWBExt"/>
      </w:rPr>
      <w:t>&lt;/NoPE&gt;&lt;Version&gt;</w:t>
    </w:r>
    <w:r>
      <w:t>v01-00</w:t>
    </w:r>
    <w:r w:rsidRPr="001B5E7E">
      <w:rPr>
        <w:rStyle w:val="HideTWBExt"/>
      </w:rPr>
      <w:t>&lt;/Version&gt;</w:t>
    </w:r>
  </w:p>
  <w:p w:rsidR="001B5E7E" w:rsidRPr="00493F66" w:rsidRDefault="001B5E7E" w:rsidP="001B5E7E">
    <w:pPr>
      <w:pStyle w:val="EPFooter2"/>
    </w:pPr>
    <w:r>
      <w:t>CS</w:t>
    </w:r>
    <w:r>
      <w:tab/>
    </w:r>
    <w:r w:rsidRPr="001B5E7E">
      <w:rPr>
        <w:b w:val="0"/>
        <w:i/>
        <w:color w:val="C0C0C0"/>
        <w:sz w:val="22"/>
      </w:rPr>
      <w:t>Jednotná v rozmanitosti</w:t>
    </w:r>
    <w:r>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4E102F" w:rsidRDefault="0085501C" w:rsidP="00B6769C">
    <w:pPr>
      <w:pStyle w:val="EPFooter"/>
    </w:pPr>
    <w:r w:rsidRPr="004E102F">
      <w:rPr>
        <w:rStyle w:val="HideTWBExt"/>
      </w:rPr>
      <w:t>&lt;PathFdR&gt;</w:t>
    </w:r>
    <w:r w:rsidR="001B5E7E" w:rsidRPr="001B5E7E">
      <w:rPr>
        <w:color w:val="auto"/>
      </w:rPr>
      <w:t>PR\1296233CS.docx</w:t>
    </w:r>
    <w:r w:rsidRPr="004E102F">
      <w:rPr>
        <w:rStyle w:val="HideTWBExt"/>
      </w:rPr>
      <w:t>&lt;/PathFdR&gt;</w:t>
    </w:r>
    <w:r w:rsidRPr="004E102F">
      <w:tab/>
    </w:r>
    <w:r w:rsidRPr="004E102F">
      <w:tab/>
      <w:t>PE</w:t>
    </w:r>
    <w:r w:rsidRPr="004E102F">
      <w:rPr>
        <w:rStyle w:val="HideTWBExt"/>
      </w:rPr>
      <w:t>&lt;NoPE&gt;</w:t>
    </w:r>
    <w:r w:rsidR="001B5E7E" w:rsidRPr="001B5E7E">
      <w:rPr>
        <w:color w:val="auto"/>
      </w:rPr>
      <w:t>758.912</w:t>
    </w:r>
    <w:r w:rsidRPr="004E102F">
      <w:rPr>
        <w:rStyle w:val="HideTWBExt"/>
      </w:rPr>
      <w:t>&lt;/NoPE&gt;&lt;Version&gt;</w:t>
    </w:r>
    <w:r w:rsidR="004E102F" w:rsidRPr="004E102F">
      <w:t>v</w:t>
    </w:r>
    <w:r w:rsidR="001B5E7E" w:rsidRPr="001B5E7E">
      <w:rPr>
        <w:color w:val="auto"/>
      </w:rPr>
      <w:t>01-00</w:t>
    </w:r>
    <w:r w:rsidRPr="004E102F">
      <w:rPr>
        <w:rStyle w:val="HideTWBExt"/>
      </w:rPr>
      <w:t>&lt;/Version&gt;</w:t>
    </w:r>
  </w:p>
  <w:p w:rsidR="0085501C" w:rsidRPr="004E102F" w:rsidRDefault="00C05DD8" w:rsidP="009612AA">
    <w:pPr>
      <w:pStyle w:val="EPFooter2"/>
      <w:tabs>
        <w:tab w:val="clear" w:pos="4535"/>
        <w:tab w:val="center" w:pos="4536"/>
      </w:tabs>
    </w:pPr>
    <w:fldSimple w:instr=" DOCPROPERTY &quot;&lt;Extension&gt;&quot; ">
      <w:r w:rsidR="007823FD">
        <w:t>CS</w:t>
      </w:r>
    </w:fldSimple>
    <w:r w:rsidR="0085501C" w:rsidRPr="004E102F">
      <w:tab/>
    </w:r>
    <w:r w:rsidR="001B5E7E">
      <w:rPr>
        <w:b w:val="0"/>
        <w:i/>
        <w:color w:val="C0C0C0"/>
        <w:sz w:val="22"/>
        <w:szCs w:val="22"/>
      </w:rPr>
      <w:t>Jednotná v rozmanitosti</w:t>
    </w:r>
    <w:r w:rsidR="0085501C" w:rsidRPr="004E102F">
      <w:tab/>
    </w:r>
    <w:fldSimple w:instr=" DOCPROPERTY &quot;&lt;Extension&gt;&quot; ">
      <w:r w:rsidR="007823FD">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02F" w:rsidRPr="004E102F" w:rsidRDefault="004E102F">
      <w:r w:rsidRPr="004E102F">
        <w:separator/>
      </w:r>
    </w:p>
  </w:footnote>
  <w:footnote w:type="continuationSeparator" w:id="0">
    <w:p w:rsidR="004E102F" w:rsidRPr="004E102F" w:rsidRDefault="004E102F">
      <w:r w:rsidRPr="004E10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E7E" w:rsidRPr="00493F66" w:rsidRDefault="001B5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E7E" w:rsidRPr="00493F66" w:rsidRDefault="001B5E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E7E" w:rsidRPr="00493F66" w:rsidRDefault="001B5E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E7E" w:rsidRDefault="001B5E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E7E" w:rsidRDefault="001B5E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E7E" w:rsidRDefault="001B5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NU" w:val=" 1"/>
    <w:docVar w:name="CIT1MNU" w:val=" 4"/>
    <w:docVar w:name="CIT2MNU" w:val=" 4"/>
    <w:docVar w:name="CIT3MNU" w:val=" 4"/>
    <w:docVar w:name="COMKEY" w:val="LIBE"/>
    <w:docVar w:name="CONSENTMNU" w:val=" 1"/>
    <w:docVar w:name="LastEditedSection" w:val=" 1"/>
    <w:docVar w:name="strDocTypeID" w:val="PR_NLE-AP_Agreement"/>
    <w:docVar w:name="strSubDir" w:val="1296"/>
    <w:docVar w:name="TITLEMNU" w:val=" 2"/>
    <w:docVar w:name="TXTAUTHOR" w:val="Charlie Weimers"/>
    <w:docVar w:name="TXTLANGUE" w:val="CS"/>
    <w:docVar w:name="TXTLANGUEMIN" w:val="cs"/>
    <w:docVar w:name="TXTNRC" w:val="0002/2023"/>
    <w:docVar w:name="TXTNRCOUNC" w:val="12129/2023"/>
    <w:docVar w:name="TXTNRNLE" w:val="2023/0224"/>
    <w:docVar w:name="TXTNRPE" w:val="758.912"/>
    <w:docVar w:name="TXTPEorAP" w:val="PE"/>
    <w:docVar w:name="TXTROUTE" w:val="PR\1296233CS.docx"/>
    <w:docVar w:name="TXTTITLE" w:val="o uzavření, jménem Evropské unie, Dohody mezi Evropskou unií a Norským královstvím o doplňkových pravidlech týkajících se Nástroje pro finanční podporu správy hranic a vízové politiky jako součásti Fondu pro integrovanou správu hranic"/>
    <w:docVar w:name="TXTVERSION" w:val="01-00"/>
  </w:docVars>
  <w:rsids>
    <w:rsidRoot w:val="004E102F"/>
    <w:rsid w:val="00001D52"/>
    <w:rsid w:val="0000443F"/>
    <w:rsid w:val="000053E3"/>
    <w:rsid w:val="0006167F"/>
    <w:rsid w:val="00061EFE"/>
    <w:rsid w:val="00095D8B"/>
    <w:rsid w:val="000A2F73"/>
    <w:rsid w:val="000C123D"/>
    <w:rsid w:val="000D78AF"/>
    <w:rsid w:val="00180664"/>
    <w:rsid w:val="001874D8"/>
    <w:rsid w:val="001B5E7E"/>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02F"/>
    <w:rsid w:val="004E1650"/>
    <w:rsid w:val="0053367A"/>
    <w:rsid w:val="00544D48"/>
    <w:rsid w:val="005877C0"/>
    <w:rsid w:val="005A6B14"/>
    <w:rsid w:val="005D0B97"/>
    <w:rsid w:val="005F5D6C"/>
    <w:rsid w:val="006132CE"/>
    <w:rsid w:val="00613F2E"/>
    <w:rsid w:val="006A1A75"/>
    <w:rsid w:val="006A2CF5"/>
    <w:rsid w:val="006F1B6F"/>
    <w:rsid w:val="007823FD"/>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A345F6-17FD-404F-ABEE-542769434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1B5E7E"/>
    <w:pPr>
      <w:tabs>
        <w:tab w:val="right" w:pos="454"/>
        <w:tab w:val="left" w:pos="737"/>
      </w:tabs>
      <w:ind w:left="737" w:hanging="737"/>
    </w:pPr>
    <w:rPr>
      <w:snapToGrid w:val="0"/>
      <w:sz w:val="18"/>
      <w:lang w:eastAsia="en-US"/>
    </w:rPr>
  </w:style>
  <w:style w:type="paragraph" w:customStyle="1" w:styleId="Lgendetitre">
    <w:name w:val="Légende titre"/>
    <w:basedOn w:val="Normal"/>
    <w:rsid w:val="001B5E7E"/>
    <w:pPr>
      <w:spacing w:before="240" w:after="240"/>
    </w:pPr>
    <w:rPr>
      <w:b/>
      <w:i/>
      <w:snapToGrid w:val="0"/>
      <w:lang w:eastAsia="en-US"/>
    </w:rPr>
  </w:style>
  <w:style w:type="paragraph" w:customStyle="1" w:styleId="Lgendestandard">
    <w:name w:val="Légende standard"/>
    <w:basedOn w:val="Normal"/>
    <w:rsid w:val="001B5E7E"/>
    <w:rPr>
      <w:sz w:val="18"/>
    </w:rPr>
  </w:style>
  <w:style w:type="paragraph" w:styleId="Footer">
    <w:name w:val="footer"/>
    <w:basedOn w:val="Normal"/>
    <w:link w:val="FooterChar"/>
    <w:semiHidden/>
    <w:rsid w:val="001B5E7E"/>
    <w:pPr>
      <w:tabs>
        <w:tab w:val="center" w:pos="4513"/>
        <w:tab w:val="right" w:pos="9026"/>
      </w:tabs>
    </w:pPr>
  </w:style>
  <w:style w:type="character" w:customStyle="1" w:styleId="FooterChar">
    <w:name w:val="Footer Char"/>
    <w:basedOn w:val="DefaultParagraphFont"/>
    <w:link w:val="Footer"/>
    <w:semiHidden/>
    <w:rsid w:val="001B5E7E"/>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BA6DC-3C2D-483A-9907-4BD88B757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735</Words>
  <Characters>4486</Characters>
  <Application>Microsoft Office Word</Application>
  <DocSecurity>0</DocSecurity>
  <Lines>115</Lines>
  <Paragraphs>52</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SODOMKOVA Renata</dc:creator>
  <cp:keywords/>
  <cp:lastModifiedBy>SMAKALOVA Sona</cp:lastModifiedBy>
  <cp:revision>2</cp:revision>
  <cp:lastPrinted>2002-12-11T09:25:00Z</cp:lastPrinted>
  <dcterms:created xsi:type="dcterms:W3CDTF">2024-03-01T07:54:00Z</dcterms:created>
  <dcterms:modified xsi:type="dcterms:W3CDTF">2024-03-01T07:54:00Z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9.17.1 Build [20240110]</vt:lpwstr>
  </property>
  <property fmtid="{D5CDD505-2E9C-101B-9397-08002B2CF9AE}" pid="4" name="LastEdited with">
    <vt:lpwstr>9.17.2 Build [20240212]</vt:lpwstr>
  </property>
  <property fmtid="{D5CDD505-2E9C-101B-9397-08002B2CF9AE}" pid="5" name="&lt;FdR&gt;">
    <vt:lpwstr>1296233</vt:lpwstr>
  </property>
  <property fmtid="{D5CDD505-2E9C-101B-9397-08002B2CF9AE}" pid="6" name="&lt;Type&gt;">
    <vt:lpwstr>PR</vt:lpwstr>
  </property>
  <property fmtid="{D5CDD505-2E9C-101B-9397-08002B2CF9AE}" pid="7" name="&lt;ModelCod&gt;">
    <vt:lpwstr>\\eiciLUXpr1\pdocep$\DocEP\DOCS\General\PR\PR_Leg\NLE\PR_NLE-AP_Agreement.dotx(17/04/2020 18:28:04)</vt:lpwstr>
  </property>
  <property fmtid="{D5CDD505-2E9C-101B-9397-08002B2CF9AE}" pid="8" name="&lt;ModelTra&gt;">
    <vt:lpwstr>\\eiciLUXpr1\pdocep$\DocEP\TRANSFIL\CS\PR_NLE-AP_Agreement.CS(29/06/2022 09:20:48)</vt:lpwstr>
  </property>
  <property fmtid="{D5CDD505-2E9C-101B-9397-08002B2CF9AE}" pid="9" name="&lt;Model&gt;">
    <vt:lpwstr>PR_NLE-AP_Agreement</vt:lpwstr>
  </property>
  <property fmtid="{D5CDD505-2E9C-101B-9397-08002B2CF9AE}" pid="10" name="FooterPath">
    <vt:lpwstr>PR\1296233CS.docx</vt:lpwstr>
  </property>
  <property fmtid="{D5CDD505-2E9C-101B-9397-08002B2CF9AE}" pid="11" name="PE number">
    <vt:lpwstr>758.912</vt:lpwstr>
  </property>
  <property fmtid="{D5CDD505-2E9C-101B-9397-08002B2CF9AE}" pid="12" name="Bookout">
    <vt:lpwstr>OK - 2024/03/01 08:53</vt:lpwstr>
  </property>
  <property fmtid="{D5CDD505-2E9C-101B-9397-08002B2CF9AE}" pid="13" name="SDLStudio">
    <vt:lpwstr/>
  </property>
</Properties>
</file>