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20103" w:rsidTr="00C85D0F">
        <w:trPr>
          <w:trHeight w:hRule="exact" w:val="1418"/>
        </w:trPr>
        <w:tc>
          <w:tcPr>
            <w:tcW w:w="6804" w:type="dxa"/>
            <w:shd w:val="clear" w:color="auto" w:fill="auto"/>
            <w:vAlign w:val="center"/>
          </w:tcPr>
          <w:p w:rsidR="00C05DD8" w:rsidRPr="00544D68" w:rsidRDefault="0039014B" w:rsidP="00C85D0F">
            <w:pPr>
              <w:pStyle w:val="EPName"/>
            </w:pPr>
            <w:r>
              <w:t>Europa-Parlamentet</w:t>
            </w:r>
          </w:p>
          <w:p w:rsidR="00C05DD8" w:rsidRPr="00BB52A7" w:rsidRDefault="0039014B" w:rsidP="00BB52A7">
            <w:pPr>
              <w:pStyle w:val="EPTerm"/>
            </w:pPr>
            <w:r>
              <w:t>2019-2024</w:t>
            </w:r>
          </w:p>
        </w:tc>
        <w:tc>
          <w:tcPr>
            <w:tcW w:w="2268" w:type="dxa"/>
            <w:shd w:val="clear" w:color="auto" w:fill="auto"/>
          </w:tcPr>
          <w:p w:rsidR="00C05DD8" w:rsidRPr="00544D68" w:rsidRDefault="0039014B" w:rsidP="00C85D0F">
            <w:pPr>
              <w:pStyle w:val="EPLogo"/>
            </w:pPr>
            <w:r w:rsidRPr="00544D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544D68" w:rsidRDefault="009612AA" w:rsidP="009612AA">
      <w:pPr>
        <w:pStyle w:val="LineTop"/>
      </w:pPr>
    </w:p>
    <w:p w:rsidR="009612AA" w:rsidRPr="00544D68" w:rsidRDefault="0039014B" w:rsidP="009612AA">
      <w:pPr>
        <w:pStyle w:val="EPBody"/>
      </w:pPr>
      <w:r>
        <w:rPr>
          <w:rStyle w:val="HideTWBExt"/>
        </w:rPr>
        <w:t>&lt;</w:t>
      </w:r>
      <w:r>
        <w:rPr>
          <w:rStyle w:val="HideTWBExt"/>
          <w:i w:val="0"/>
        </w:rPr>
        <w:t>Commission</w:t>
      </w:r>
      <w:r>
        <w:rPr>
          <w:rStyle w:val="HideTWBExt"/>
        </w:rPr>
        <w:t>&gt;</w:t>
      </w:r>
      <w:r>
        <w:rPr>
          <w:rStyle w:val="HideTWBInt"/>
          <w:color w:val="auto"/>
        </w:rPr>
        <w:t>{LIBE}</w:t>
      </w:r>
      <w:r>
        <w:t>Udvalget om Borgernes Rettigheder og Retlige og Indre Anliggender</w:t>
      </w:r>
      <w:r>
        <w:rPr>
          <w:rStyle w:val="HideTWBExt"/>
        </w:rPr>
        <w:t>&lt;/</w:t>
      </w:r>
      <w:r>
        <w:rPr>
          <w:rStyle w:val="HideTWBExt"/>
          <w:i w:val="0"/>
        </w:rPr>
        <w:t>Commission</w:t>
      </w:r>
      <w:r>
        <w:rPr>
          <w:rStyle w:val="HideTWBExt"/>
        </w:rPr>
        <w:t>&gt;</w:t>
      </w:r>
    </w:p>
    <w:p w:rsidR="009612AA" w:rsidRPr="00544D68" w:rsidRDefault="009612AA" w:rsidP="009612AA">
      <w:pPr>
        <w:pStyle w:val="LineBottom"/>
      </w:pPr>
    </w:p>
    <w:p w:rsidR="00363B94" w:rsidRPr="00544D68" w:rsidRDefault="0039014B">
      <w:pPr>
        <w:pStyle w:val="CoverReference"/>
      </w:pPr>
      <w:r>
        <w:rPr>
          <w:rStyle w:val="HideTWBExt"/>
          <w:b w:val="0"/>
        </w:rPr>
        <w:t>&lt;RefProc&gt;</w:t>
      </w:r>
      <w:r>
        <w:t>2023/0224</w:t>
      </w:r>
      <w:r>
        <w:rPr>
          <w:rStyle w:val="HideTWBExt"/>
          <w:b w:val="0"/>
        </w:rPr>
        <w:t>&lt;/RefProc&gt;&lt;RefTypeProc&gt;</w:t>
      </w:r>
      <w:r>
        <w:t>(NLE)</w:t>
      </w:r>
      <w:r>
        <w:rPr>
          <w:rStyle w:val="HideTWBExt"/>
          <w:b w:val="0"/>
        </w:rPr>
        <w:t>&lt;/RefTypeProc&gt;</w:t>
      </w:r>
    </w:p>
    <w:p w:rsidR="00363B94" w:rsidRPr="00544D68" w:rsidRDefault="0039014B">
      <w:pPr>
        <w:pStyle w:val="CoverDate"/>
      </w:pPr>
      <w:r>
        <w:rPr>
          <w:rStyle w:val="HideTWBExt"/>
        </w:rPr>
        <w:t>&lt;Date&gt;</w:t>
      </w:r>
      <w:r>
        <w:rPr>
          <w:rStyle w:val="HideTWBInt"/>
          <w:color w:val="auto"/>
        </w:rPr>
        <w:t>{16/02/2024}</w:t>
      </w:r>
      <w:r>
        <w:t>16.2.2024</w:t>
      </w:r>
      <w:r>
        <w:rPr>
          <w:rStyle w:val="HideTWBExt"/>
        </w:rPr>
        <w:t>&lt;/Date&gt;</w:t>
      </w:r>
    </w:p>
    <w:p w:rsidR="00363B94" w:rsidRPr="00544D68" w:rsidRDefault="0039014B">
      <w:pPr>
        <w:pStyle w:val="CoverDocType"/>
      </w:pPr>
      <w:r>
        <w:rPr>
          <w:rStyle w:val="HideTWBExt"/>
          <w:b w:val="0"/>
        </w:rPr>
        <w:t>&lt;RefProcLect&gt;</w:t>
      </w:r>
      <w:r>
        <w:t>***</w:t>
      </w:r>
      <w:r>
        <w:rPr>
          <w:rStyle w:val="HideTWBExt"/>
          <w:b w:val="0"/>
        </w:rPr>
        <w:t>&lt;/RefProcLect&gt;</w:t>
      </w:r>
    </w:p>
    <w:p w:rsidR="00363B94" w:rsidRPr="00544D68" w:rsidRDefault="0039014B">
      <w:pPr>
        <w:pStyle w:val="CoverDocType24a"/>
      </w:pPr>
      <w:r>
        <w:rPr>
          <w:rStyle w:val="HideTWBExt"/>
          <w:b w:val="0"/>
        </w:rPr>
        <w:t>&lt;TitreType&gt;</w:t>
      </w:r>
      <w:r>
        <w:t>UDKAST TIL HENSTILLING</w:t>
      </w:r>
      <w:r>
        <w:rPr>
          <w:rStyle w:val="HideTWBExt"/>
          <w:b w:val="0"/>
        </w:rPr>
        <w:t>&lt;/TitreType&gt;</w:t>
      </w:r>
    </w:p>
    <w:p w:rsidR="00363B94" w:rsidRPr="00544D68" w:rsidRDefault="0039014B">
      <w:pPr>
        <w:pStyle w:val="CoverNormal"/>
      </w:pPr>
      <w:r>
        <w:rPr>
          <w:rStyle w:val="HideTWBExt"/>
        </w:rPr>
        <w:t>&lt;Titre&gt;</w:t>
      </w:r>
      <w:r>
        <w:t>om udkast til Rådets afgørelse om Rådets afgørelse om indgåelse på Unionens vegne af aftalen mellem Den Europæiske Union og Kongeriget Norge om supplerende regler vedrørende instrumentet f</w:t>
      </w:r>
      <w:r>
        <w:t>or finansiel støtte til grænseforvaltning og visumpolitik som del af Fonden for Integreret Grænseforvaltning for perioden 2021-2027</w:t>
      </w:r>
      <w:r>
        <w:rPr>
          <w:rStyle w:val="HideTWBExt"/>
        </w:rPr>
        <w:t>&lt;/Titre&gt;</w:t>
      </w:r>
    </w:p>
    <w:p w:rsidR="00363B94" w:rsidRPr="00544D68" w:rsidRDefault="0039014B">
      <w:pPr>
        <w:pStyle w:val="CoverNormal24a"/>
      </w:pPr>
      <w:r>
        <w:rPr>
          <w:rStyle w:val="HideTWBExt"/>
        </w:rPr>
        <w:t>&lt;DocRef&gt;</w:t>
      </w:r>
      <w:r>
        <w:t>(12129/2023 – C9</w:t>
      </w:r>
      <w:r>
        <w:noBreakHyphen/>
        <w:t>0002/2023 – 2023/0224(NLE))</w:t>
      </w:r>
      <w:r>
        <w:rPr>
          <w:rStyle w:val="HideTWBExt"/>
        </w:rPr>
        <w:t>&lt;/DocRef&gt;</w:t>
      </w:r>
    </w:p>
    <w:p w:rsidR="00363B94" w:rsidRPr="00544D68" w:rsidRDefault="0039014B">
      <w:pPr>
        <w:pStyle w:val="CoverNormal24a"/>
      </w:pPr>
      <w:r>
        <w:rPr>
          <w:rStyle w:val="HideTWBExt"/>
        </w:rPr>
        <w:t>&lt;Commission&gt;</w:t>
      </w:r>
      <w:r>
        <w:rPr>
          <w:rStyle w:val="HideTWBInt"/>
          <w:color w:val="auto"/>
        </w:rPr>
        <w:t>{LIBE}</w:t>
      </w:r>
      <w:r>
        <w:t>Udvalget om Borgernes Rettigheder og</w:t>
      </w:r>
      <w:r>
        <w:t xml:space="preserve"> Retlige og Indre Anliggender</w:t>
      </w:r>
      <w:r>
        <w:rPr>
          <w:rStyle w:val="HideTWBExt"/>
        </w:rPr>
        <w:t>&lt;/Commission&gt;</w:t>
      </w:r>
    </w:p>
    <w:p w:rsidR="00363B94" w:rsidRPr="00544D68" w:rsidRDefault="0039014B">
      <w:pPr>
        <w:pStyle w:val="CoverNormal24a"/>
      </w:pPr>
      <w:r>
        <w:t xml:space="preserve">Ordfører: </w:t>
      </w:r>
      <w:r>
        <w:rPr>
          <w:rStyle w:val="HideTWBExt"/>
        </w:rPr>
        <w:t>&lt;Depute&gt;</w:t>
      </w:r>
      <w:r>
        <w:t>Charlie Weimers</w:t>
      </w:r>
      <w:r>
        <w:rPr>
          <w:rStyle w:val="HideTWBExt"/>
        </w:rPr>
        <w:t>&lt;/Depute&gt;</w:t>
      </w:r>
    </w:p>
    <w:p w:rsidR="00B42885" w:rsidRPr="00544D68" w:rsidRDefault="00B42885" w:rsidP="00B42885">
      <w:pPr>
        <w:pStyle w:val="CoverNormal"/>
      </w:pPr>
    </w:p>
    <w:p w:rsidR="00BB52A7" w:rsidRDefault="0039014B" w:rsidP="00016E55">
      <w:r>
        <w:br w:type="page"/>
      </w:r>
      <w:r>
        <w:lastRenderedPageBreak/>
        <w:fldChar w:fldCharType="begin"/>
      </w:r>
      <w:r>
        <w:instrText xml:space="preserve"> TITLE  \* MERGEFORMAT </w:instrText>
      </w:r>
      <w:r>
        <w:fldChar w:fldCharType="separate"/>
      </w:r>
      <w:r w:rsidRPr="0039014B">
        <w:rPr>
          <w:lang w:val="fr-FR"/>
        </w:rPr>
        <w:t>PR_NLE-AP_Agreement</w:t>
      </w:r>
      <w:r>
        <w:rPr>
          <w:lang w:val="fr-FR"/>
        </w:rPr>
        <w:fldChar w:fldCharType="end"/>
      </w:r>
    </w:p>
    <w:p w:rsidR="00BB52A7" w:rsidRDefault="00BB52A7" w:rsidP="00016E55">
      <w:pPr>
        <w:rPr>
          <w:lang w:val="fr-FR"/>
        </w:rPr>
      </w:pPr>
    </w:p>
    <w:p w:rsidR="00BB52A7" w:rsidRDefault="00BB52A7"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20103">
        <w:tc>
          <w:tcPr>
            <w:tcW w:w="5811" w:type="dxa"/>
          </w:tcPr>
          <w:p w:rsidR="00BB52A7" w:rsidRDefault="0039014B" w:rsidP="00016E55">
            <w:pPr>
              <w:pStyle w:val="Lgendetitre"/>
            </w:pPr>
            <w:r>
              <w:t>Tegnforklaring</w:t>
            </w:r>
          </w:p>
        </w:tc>
      </w:tr>
      <w:tr w:rsidR="00620103" w:rsidTr="007948A1">
        <w:trPr>
          <w:cantSplit/>
          <w:trHeight w:val="1944"/>
        </w:trPr>
        <w:tc>
          <w:tcPr>
            <w:tcW w:w="5811" w:type="dxa"/>
            <w:tcBorders>
              <w:bottom w:val="single" w:sz="4" w:space="0" w:color="auto"/>
            </w:tcBorders>
          </w:tcPr>
          <w:p w:rsidR="00BB52A7" w:rsidRPr="00D74CEE" w:rsidRDefault="0039014B" w:rsidP="00DA6388">
            <w:pPr>
              <w:pStyle w:val="Lgendesigne"/>
              <w:rPr>
                <w:szCs w:val="24"/>
              </w:rPr>
            </w:pPr>
            <w:r>
              <w:tab/>
              <w:t>*</w:t>
            </w:r>
            <w:r>
              <w:tab/>
              <w:t>Høringsprocedure</w:t>
            </w:r>
          </w:p>
          <w:p w:rsidR="00BB52A7" w:rsidRPr="00D74CEE" w:rsidRDefault="0039014B" w:rsidP="00DA6388">
            <w:pPr>
              <w:pStyle w:val="Lgendesigne"/>
              <w:rPr>
                <w:szCs w:val="24"/>
              </w:rPr>
            </w:pPr>
            <w:r>
              <w:tab/>
              <w:t>***</w:t>
            </w:r>
            <w:r>
              <w:tab/>
              <w:t>Godkendelsesprocedure</w:t>
            </w:r>
          </w:p>
          <w:p w:rsidR="00BB52A7" w:rsidRPr="00D74CEE" w:rsidRDefault="0039014B" w:rsidP="00DA6388">
            <w:pPr>
              <w:pStyle w:val="Lgendesigne"/>
              <w:rPr>
                <w:szCs w:val="24"/>
              </w:rPr>
            </w:pPr>
            <w:r>
              <w:tab/>
              <w:t>***I</w:t>
            </w:r>
            <w:r>
              <w:tab/>
              <w:t>Almindelig lovgivningsprocedure (førstebehandling)</w:t>
            </w:r>
          </w:p>
          <w:p w:rsidR="00BB52A7" w:rsidRPr="00D74CEE" w:rsidRDefault="0039014B" w:rsidP="00DA6388">
            <w:pPr>
              <w:pStyle w:val="Lgendesigne"/>
              <w:rPr>
                <w:szCs w:val="24"/>
              </w:rPr>
            </w:pPr>
            <w:r>
              <w:tab/>
              <w:t>***II</w:t>
            </w:r>
            <w:r>
              <w:tab/>
              <w:t>Almindelig lovgivningsprocedure (andenbehandling)</w:t>
            </w:r>
          </w:p>
          <w:p w:rsidR="00BB52A7" w:rsidRPr="00D74CEE" w:rsidRDefault="0039014B" w:rsidP="00DA6388">
            <w:pPr>
              <w:pStyle w:val="Lgendesigne"/>
              <w:rPr>
                <w:szCs w:val="24"/>
              </w:rPr>
            </w:pPr>
            <w:r>
              <w:tab/>
              <w:t>***III</w:t>
            </w:r>
            <w:r>
              <w:tab/>
              <w:t>Almindelig lovgivningsprocedure (tredjebehandling)</w:t>
            </w:r>
          </w:p>
          <w:p w:rsidR="00BB52A7" w:rsidRPr="00D74CEE" w:rsidRDefault="00BB52A7" w:rsidP="00DA6388">
            <w:pPr>
              <w:pStyle w:val="Lgendestandard"/>
            </w:pPr>
          </w:p>
          <w:p w:rsidR="00BB52A7" w:rsidRDefault="0039014B" w:rsidP="00DA6388">
            <w:pPr>
              <w:pStyle w:val="Lgendestandard"/>
            </w:pPr>
            <w:r>
              <w:t>(Proceduren afhænger af, hvilket retsgrundlag der er valgt i udkastet til retsakt)</w:t>
            </w:r>
          </w:p>
          <w:p w:rsidR="00BB52A7" w:rsidRDefault="00BB52A7" w:rsidP="00BD67E9">
            <w:pPr>
              <w:pStyle w:val="Lgendestandard"/>
            </w:pPr>
          </w:p>
        </w:tc>
      </w:tr>
    </w:tbl>
    <w:p w:rsidR="00BB52A7" w:rsidRDefault="00BB52A7" w:rsidP="00016E55">
      <w:pPr>
        <w:rPr>
          <w:lang w:val="fr-FR"/>
        </w:rPr>
      </w:pPr>
    </w:p>
    <w:p w:rsidR="00363B94" w:rsidRPr="00BB52A7" w:rsidRDefault="00363B94" w:rsidP="00613F2E">
      <w:pPr>
        <w:widowControl/>
        <w:tabs>
          <w:tab w:val="center" w:pos="4677"/>
        </w:tabs>
      </w:pPr>
    </w:p>
    <w:p w:rsidR="00363B94" w:rsidRPr="00544D68" w:rsidRDefault="0039014B">
      <w:pPr>
        <w:pStyle w:val="TOCHeading"/>
      </w:pPr>
      <w:r>
        <w:br w:type="page"/>
      </w:r>
      <w:r>
        <w:lastRenderedPageBreak/>
        <w:t>INDHOLD</w:t>
      </w:r>
    </w:p>
    <w:p w:rsidR="00363B94" w:rsidRPr="00544D68" w:rsidRDefault="0039014B">
      <w:pPr>
        <w:pStyle w:val="TOCPage"/>
      </w:pPr>
      <w:r>
        <w:t>Side</w:t>
      </w:r>
    </w:p>
    <w:p w:rsidR="0039014B" w:rsidRDefault="0039014B">
      <w:pPr>
        <w:pStyle w:val="TOC1"/>
        <w:tabs>
          <w:tab w:val="right" w:leader="dot" w:pos="9060"/>
        </w:tabs>
        <w:rPr>
          <w:rFonts w:asciiTheme="minorHAnsi" w:eastAsiaTheme="minorEastAsia" w:hAnsiTheme="minorHAnsi" w:cstheme="minorBidi"/>
          <w:noProof/>
          <w:sz w:val="22"/>
          <w:szCs w:val="22"/>
          <w:lang w:val="en-GB"/>
        </w:rPr>
      </w:pPr>
      <w:r w:rsidRPr="00544D68">
        <w:fldChar w:fldCharType="begin"/>
      </w:r>
      <w:r w:rsidRPr="00544D68">
        <w:instrText xml:space="preserve"> TOC \t "PageHeading</w:instrText>
      </w:r>
      <w:r w:rsidR="00BB52A7">
        <w:instrText>;</w:instrText>
      </w:r>
      <w:r w:rsidRPr="00544D68">
        <w:instrText xml:space="preserve">1" </w:instrText>
      </w:r>
      <w:r w:rsidRPr="00544D68">
        <w:fldChar w:fldCharType="separate"/>
      </w:r>
      <w:r>
        <w:rPr>
          <w:noProof/>
        </w:rPr>
        <w:t>FORSLAG TIL EUROPA-PARLAMENTETS LOVGIVNINGSMÆSSIGE BESLUTNING</w:t>
      </w:r>
      <w:r>
        <w:rPr>
          <w:noProof/>
        </w:rPr>
        <w:tab/>
      </w:r>
      <w:r>
        <w:rPr>
          <w:noProof/>
        </w:rPr>
        <w:fldChar w:fldCharType="begin"/>
      </w:r>
      <w:r>
        <w:rPr>
          <w:noProof/>
        </w:rPr>
        <w:instrText xml:space="preserve"> PAGEREF _Toc160017234 \h </w:instrText>
      </w:r>
      <w:r>
        <w:rPr>
          <w:noProof/>
        </w:rPr>
      </w:r>
      <w:r>
        <w:rPr>
          <w:noProof/>
        </w:rPr>
        <w:fldChar w:fldCharType="separate"/>
      </w:r>
      <w:r>
        <w:rPr>
          <w:noProof/>
        </w:rPr>
        <w:t>5</w:t>
      </w:r>
      <w:r>
        <w:rPr>
          <w:noProof/>
        </w:rPr>
        <w:fldChar w:fldCharType="end"/>
      </w:r>
    </w:p>
    <w:p w:rsidR="0039014B" w:rsidRDefault="0039014B">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_Toc160017235 \h </w:instrText>
      </w:r>
      <w:r>
        <w:rPr>
          <w:noProof/>
        </w:rPr>
      </w:r>
      <w:r>
        <w:rPr>
          <w:noProof/>
        </w:rPr>
        <w:fldChar w:fldCharType="separate"/>
      </w:r>
      <w:r>
        <w:rPr>
          <w:noProof/>
        </w:rPr>
        <w:t>6</w:t>
      </w:r>
      <w:r>
        <w:rPr>
          <w:noProof/>
        </w:rPr>
        <w:fldChar w:fldCharType="end"/>
      </w:r>
    </w:p>
    <w:p w:rsidR="004E1650" w:rsidRPr="00544D68" w:rsidRDefault="0039014B" w:rsidP="00F04010">
      <w:r w:rsidRPr="00544D68">
        <w:fldChar w:fldCharType="end"/>
      </w:r>
    </w:p>
    <w:p w:rsidR="00363B94" w:rsidRPr="00544D68" w:rsidRDefault="0039014B" w:rsidP="0006167F">
      <w:pPr>
        <w:pStyle w:val="PageHeading"/>
      </w:pPr>
      <w:r>
        <w:br w:type="page"/>
      </w:r>
      <w:r>
        <w:lastRenderedPageBreak/>
        <w:br w:type="page"/>
      </w:r>
      <w:bookmarkStart w:id="0" w:name="_Toc160017234"/>
      <w:r>
        <w:lastRenderedPageBreak/>
        <w:t>FORSLAG TIL EUROPA-PARLAMENTETS LOVGIVNINGSMÆSSIGE BESLUTNING</w:t>
      </w:r>
      <w:bookmarkEnd w:id="0"/>
    </w:p>
    <w:p w:rsidR="00363B94" w:rsidRPr="00544D68" w:rsidRDefault="0039014B">
      <w:pPr>
        <w:pStyle w:val="NormalBold"/>
      </w:pPr>
      <w:r>
        <w:t>om udkast til Rådets afgørelse om Rådets afgørelse om indgåelse på Unionens vegne af aftalen mellem Den Europæiske Union og Kongeriget Norge om supplerende regler vedrørende instrum</w:t>
      </w:r>
      <w:r>
        <w:t>entet for finansiel støtte til grænseforvaltning og visumpolitik som del af Fonden for Integreret Grænseforvaltning for perioden 2021-2027</w:t>
      </w:r>
    </w:p>
    <w:p w:rsidR="00363B94" w:rsidRPr="00544D68" w:rsidRDefault="0039014B">
      <w:pPr>
        <w:pStyle w:val="NormalBold12a"/>
      </w:pPr>
      <w:r>
        <w:t>(12129/2023 – C9</w:t>
      </w:r>
      <w:r>
        <w:noBreakHyphen/>
        <w:t>0002/2023 – 2023/0224(NLE))</w:t>
      </w:r>
    </w:p>
    <w:p w:rsidR="00363B94" w:rsidRPr="00544D68" w:rsidRDefault="0039014B" w:rsidP="00893FBD">
      <w:pPr>
        <w:pStyle w:val="NormalBold"/>
      </w:pPr>
      <w:r>
        <w:t>(Godkendelse)</w:t>
      </w:r>
    </w:p>
    <w:p w:rsidR="00363B94" w:rsidRPr="00544D68" w:rsidRDefault="0039014B">
      <w:pPr>
        <w:pStyle w:val="EPComma"/>
      </w:pPr>
      <w:r>
        <w:rPr>
          <w:i/>
        </w:rPr>
        <w:t>Europa-Parlamentet</w:t>
      </w:r>
      <w:r>
        <w:t>,</w:t>
      </w:r>
    </w:p>
    <w:p w:rsidR="00BF7F55" w:rsidRPr="00544D68" w:rsidRDefault="0039014B" w:rsidP="00BF7F55">
      <w:pPr>
        <w:pStyle w:val="NormalHanging12a"/>
      </w:pPr>
      <w:r>
        <w:t>–</w:t>
      </w:r>
      <w:r>
        <w:tab/>
        <w:t xml:space="preserve">der henviser til udkast til Rådets </w:t>
      </w:r>
      <w:r>
        <w:t>afgørelse (12129/2023),</w:t>
      </w:r>
    </w:p>
    <w:p w:rsidR="00363B94" w:rsidRPr="00544D68" w:rsidRDefault="0039014B">
      <w:pPr>
        <w:pStyle w:val="NormalHanging12a"/>
      </w:pPr>
      <w:r>
        <w:t>–</w:t>
      </w:r>
      <w:r>
        <w:tab/>
        <w:t>der henviser til udkast til aftalen mellem Den Europæiske Union og Kongeriget Norge om supplerende regler vedrørende instrumentet for finansiel støtte til grænseforvaltning og visumpolitik som del af Fonden for Integreret Grænsefo</w:t>
      </w:r>
      <w:r>
        <w:t>rvaltning for perioden 2021-2027 (12129/2023),</w:t>
      </w:r>
    </w:p>
    <w:p w:rsidR="00363B94" w:rsidRPr="00544D68" w:rsidRDefault="0039014B">
      <w:pPr>
        <w:pStyle w:val="NormalHanging12a"/>
      </w:pPr>
      <w:r>
        <w:t>–</w:t>
      </w:r>
      <w:r>
        <w:tab/>
        <w:t>der henviser til den anmodning om godkendelse, som Rådet har forelagt, jf. artikel 77, stk. 2, og artikel 218, stk. 6, andet afsnit, litra a), og stk. 7, i traktaten om Den Europæiske Unions funktionsmåde (C</w:t>
      </w:r>
      <w:r>
        <w:t>9</w:t>
      </w:r>
      <w:r>
        <w:noBreakHyphen/>
        <w:t>0002/2023),</w:t>
      </w:r>
    </w:p>
    <w:p w:rsidR="00363B94" w:rsidRPr="00544D68" w:rsidRDefault="0039014B">
      <w:pPr>
        <w:pStyle w:val="NormalHanging12a"/>
      </w:pPr>
      <w:r>
        <w:t>–</w:t>
      </w:r>
      <w:r>
        <w:tab/>
        <w:t>der henviser til forretningsordenens artikel 105, stk. 1 og 4, og artikel 114, stk. 7,</w:t>
      </w:r>
    </w:p>
    <w:p w:rsidR="00363B94" w:rsidRPr="00544D68" w:rsidRDefault="0039014B">
      <w:pPr>
        <w:pStyle w:val="NormalHanging12a"/>
      </w:pPr>
      <w:r>
        <w:t>–</w:t>
      </w:r>
      <w:r>
        <w:tab/>
        <w:t>der henviser til henstilling fra Udvalget om Borgernes Rettigheder og Retlige og Indre Anliggender (A9</w:t>
      </w:r>
      <w:r>
        <w:noBreakHyphen/>
        <w:t>0000/2024),</w:t>
      </w:r>
    </w:p>
    <w:p w:rsidR="00363B94" w:rsidRPr="00544D68" w:rsidRDefault="0039014B">
      <w:pPr>
        <w:pStyle w:val="NormalHanging12a"/>
      </w:pPr>
      <w:r>
        <w:t>1.</w:t>
      </w:r>
      <w:r>
        <w:tab/>
        <w:t>godkender indgåelsen af aftalen;</w:t>
      </w:r>
    </w:p>
    <w:p w:rsidR="001D02E3" w:rsidRPr="00544D68" w:rsidRDefault="0039014B">
      <w:pPr>
        <w:pStyle w:val="NormalHanging12a"/>
      </w:pPr>
      <w:r>
        <w:t>2.</w:t>
      </w:r>
      <w:r>
        <w:tab/>
        <w:t>pålægger sin formand at sende Parlamentets holdning til Rådet og Kommissionen samt til medlemsstaternes regeringer og parlamenter og Kongeriget Norges regering og parlament.</w:t>
      </w:r>
    </w:p>
    <w:p w:rsidR="003771FD" w:rsidRDefault="0039014B">
      <w:pPr>
        <w:widowControl/>
        <w:rPr>
          <w:rFonts w:ascii="Arial" w:hAnsi="Arial" w:cs="Arial"/>
          <w:b/>
        </w:rPr>
      </w:pPr>
      <w:bookmarkStart w:id="1" w:name="_Toc159235921"/>
      <w:r>
        <w:br w:type="page"/>
      </w:r>
    </w:p>
    <w:p w:rsidR="003771FD" w:rsidRPr="00493F66" w:rsidRDefault="0039014B" w:rsidP="003771FD">
      <w:pPr>
        <w:pStyle w:val="PageHeading"/>
      </w:pPr>
      <w:bookmarkStart w:id="2" w:name="_Toc160017235"/>
      <w:r>
        <w:lastRenderedPageBreak/>
        <w:t>BEGRUNDELSE</w:t>
      </w:r>
      <w:bookmarkEnd w:id="1"/>
      <w:bookmarkEnd w:id="2"/>
    </w:p>
    <w:p w:rsidR="003771FD" w:rsidRPr="00493F66" w:rsidRDefault="0039014B" w:rsidP="003771FD">
      <w:pPr>
        <w:jc w:val="both"/>
      </w:pPr>
      <w:r>
        <w:t>Instrumentet for finansiel støtte til grænseforvaltning og visump</w:t>
      </w:r>
      <w:r>
        <w:t>olitik, der er en del af Fonden for Integreret Grænseforvaltning, udgør et specifikt instrument inden for rammerne af Schengenreglerne, der skal sikre en stærk og effektiv integreret europæisk grænseforvaltning ved de ydre grænser. Det letter tilladte græn</w:t>
      </w:r>
      <w:r>
        <w:t>sepassager, samtidig med at ulovlig indvandring og grænseoverskridende kriminalitet forebygges og opdages, hvorved Schengenområdet beskyttes i overensstemmelse med medlemsstaternes og de associerede landes forpligtelser vedrørende grundlæggende rettigheder</w:t>
      </w:r>
      <w:r>
        <w:t>, samt støtter en ensartet gennemførelse og modernisering af den fælles visumpolitik og dermed bidrager til at garantere et højt sikkerhedsniveau i medlemsstaterne og i de associerede lande.</w:t>
      </w:r>
    </w:p>
    <w:p w:rsidR="003771FD" w:rsidRPr="00493F66" w:rsidRDefault="003771FD" w:rsidP="003771FD">
      <w:pPr>
        <w:jc w:val="both"/>
      </w:pPr>
    </w:p>
    <w:p w:rsidR="003771FD" w:rsidRPr="00493F66" w:rsidRDefault="0039014B" w:rsidP="003771FD">
      <w:pPr>
        <w:jc w:val="both"/>
      </w:pPr>
      <w:r>
        <w:t>Ordføreren mener også, at alle regler for forvaltning af program</w:t>
      </w:r>
      <w:r>
        <w:t>merne – i betragtning af Schengenreglernes særlige karakter og betydningen af en ensartet anvendelse heraf for Schengenområdets integritet – bør finde anvendelse for Norge på samme måde som for medlemsstaterne. Dette sikrer et højt og ensartet kontrolnivea</w:t>
      </w:r>
      <w:r>
        <w:t>u ved de ydre grænser.</w:t>
      </w:r>
    </w:p>
    <w:p w:rsidR="003771FD" w:rsidRPr="00493F66" w:rsidRDefault="0039014B" w:rsidP="003771FD">
      <w:pPr>
        <w:jc w:val="both"/>
      </w:pPr>
      <w:r>
        <w:br/>
        <w:t>Ved aftalerne indføres der specifikke mekanismer til hurtig tilpasning af aftalen med Norge i tilfælde af ændringer af central EU-lovgivning, der er relevante for gennemførelsen, såsom finansforordningen og forordningen om fælles be</w:t>
      </w:r>
      <w:r>
        <w:t>stemmelser. Aftalen sikrer også, at midtvejsevalueringen af IGFV tager hensyn til de associerede Schengenlandes forsinkede deltagelse. Den indeholder også en bestemmelse om det europæiske system vedrørende rejseinformation og rejsetilladelse (ETIAS). </w:t>
      </w:r>
    </w:p>
    <w:p w:rsidR="003771FD" w:rsidRPr="00493F66" w:rsidRDefault="003771FD" w:rsidP="003771FD">
      <w:pPr>
        <w:jc w:val="both"/>
      </w:pPr>
    </w:p>
    <w:p w:rsidR="003771FD" w:rsidRPr="00493F66" w:rsidRDefault="0039014B" w:rsidP="003771FD">
      <w:pPr>
        <w:jc w:val="both"/>
      </w:pPr>
      <w:r>
        <w:t>Med</w:t>
      </w:r>
      <w:r>
        <w:t xml:space="preserve"> hensyn til budgetkontrol og finanskontrol er medlemsstaterne underlagt horisontale forpligtelser (f.eks. de beføjelser, som Revisionsretten, Det Europæiske Kontor til Bekæmpelse af Svig (OLAF), EPPO og Kommissionen har), enten afledt direkte af traktaten </w:t>
      </w:r>
      <w:r>
        <w:t>eller af afledt EU-ret, herunder forordningen om fælles bestemmelser som nævnt ovenfor. Disse forpligtelser gælder ipso facto for medlemsstaterne og er derfor ikke fastsat i IGFV-forordningen. Disse forpligtelser bør derfor udvides til også at omfatte Norg</w:t>
      </w:r>
      <w:r>
        <w:t>e gennem den aftale, der er berørt af dette forslag.</w:t>
      </w:r>
      <w:bookmarkStart w:id="3" w:name="_GoBack"/>
      <w:bookmarkEnd w:id="3"/>
    </w:p>
    <w:p w:rsidR="003771FD" w:rsidRPr="00493F66" w:rsidRDefault="003771FD" w:rsidP="003771FD">
      <w:pPr>
        <w:jc w:val="both"/>
        <w:rPr>
          <w:rFonts w:ascii="Arial" w:hAnsi="Arial" w:cs="Arial"/>
          <w:color w:val="222222"/>
          <w:spacing w:val="4"/>
          <w:sz w:val="21"/>
          <w:szCs w:val="21"/>
          <w:shd w:val="clear" w:color="auto" w:fill="FFFFFF"/>
        </w:rPr>
      </w:pPr>
    </w:p>
    <w:p w:rsidR="003771FD" w:rsidRPr="00493F66" w:rsidRDefault="0039014B" w:rsidP="003771FD">
      <w:pPr>
        <w:jc w:val="both"/>
      </w:pPr>
      <w:r>
        <w:t>Ordføreren konkluderer, at det er hensigtsmæssigt at indgå en aftale om de supplerende regler, der er nødvendige for Kongeriget Norges deltagelse i instrumentet for finansiel støtte til grænseforvaltnin</w:t>
      </w:r>
      <w:r>
        <w:t>g og visumpolitik ("IGFV") som del af Fonden for Integreret Grænseforvaltning for programmeringsperioden 2021-2027, jf. artikel 7, stk. 6, i forordning (EU) 2021/1148 (IGFV-forordningen).</w:t>
      </w:r>
    </w:p>
    <w:p w:rsidR="003771FD" w:rsidRPr="00493F66" w:rsidRDefault="003771FD" w:rsidP="003771FD">
      <w:pPr>
        <w:jc w:val="both"/>
      </w:pPr>
    </w:p>
    <w:p w:rsidR="003771FD" w:rsidRPr="00493F66" w:rsidRDefault="0039014B" w:rsidP="003771FD">
      <w:pPr>
        <w:jc w:val="both"/>
      </w:pPr>
      <w:r>
        <w:t>I lyset af ovenstående anbefaler ordføreren, at Parlamentet godkend</w:t>
      </w:r>
      <w:r>
        <w:t>er udkastet til Rådets afgørelse og pålægger sin formand at sende dets holdning til Rådet, Kommissionen samt medlemsstaternes regeringer og parlamenter.</w:t>
      </w:r>
    </w:p>
    <w:p w:rsidR="003771FD" w:rsidRPr="00493F66" w:rsidRDefault="003771FD" w:rsidP="003771FD">
      <w:pPr>
        <w:jc w:val="both"/>
      </w:pPr>
    </w:p>
    <w:p w:rsidR="003771FD" w:rsidRPr="00493F66" w:rsidRDefault="003771FD" w:rsidP="003771FD"/>
    <w:p w:rsidR="00363B94" w:rsidRPr="00544D68" w:rsidRDefault="00363B94" w:rsidP="00822206"/>
    <w:sectPr w:rsidR="00363B94" w:rsidRPr="00544D68"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9014B">
      <w:r>
        <w:separator/>
      </w:r>
    </w:p>
  </w:endnote>
  <w:endnote w:type="continuationSeparator" w:id="0">
    <w:p w:rsidR="00000000" w:rsidRDefault="00390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544D68" w:rsidRDefault="0039014B" w:rsidP="00B6769C">
    <w:pPr>
      <w:pStyle w:val="EPFooter"/>
    </w:pPr>
    <w:r w:rsidRPr="00544D68">
      <w:t>PE</w:t>
    </w:r>
    <w:r w:rsidRPr="00544D68">
      <w:rPr>
        <w:rStyle w:val="HideTWBExt"/>
      </w:rPr>
      <w:t>&lt;NoPE&gt;</w:t>
    </w:r>
    <w:r w:rsidR="003771FD" w:rsidRPr="003771FD">
      <w:t>758.912</w:t>
    </w:r>
    <w:r w:rsidRPr="00544D68">
      <w:rPr>
        <w:rStyle w:val="HideTWBExt"/>
      </w:rPr>
      <w:t>&lt;/NoPE&gt;&lt;Version&gt;</w:t>
    </w:r>
    <w:r w:rsidR="00544D68" w:rsidRPr="00544D68">
      <w:t>v</w:t>
    </w:r>
    <w:r w:rsidR="003771FD" w:rsidRPr="003771FD">
      <w:t>01-00</w:t>
    </w:r>
    <w:r w:rsidRPr="00544D68">
      <w:rPr>
        <w:rStyle w:val="HideTWBExt"/>
      </w:rPr>
      <w:t>&lt;/Version&gt;</w:t>
    </w:r>
    <w:r w:rsidRPr="00544D68">
      <w:tab/>
    </w:r>
    <w:r w:rsidR="00337C92" w:rsidRPr="00544D68">
      <w:fldChar w:fldCharType="begin"/>
    </w:r>
    <w:r w:rsidR="00337C92" w:rsidRPr="00544D68">
      <w:instrText xml:space="preserve"> PAGE </w:instrText>
    </w:r>
    <w:r w:rsidR="00337C92" w:rsidRPr="00544D68">
      <w:fldChar w:fldCharType="separate"/>
    </w:r>
    <w:r>
      <w:rPr>
        <w:noProof/>
      </w:rPr>
      <w:t>4</w:t>
    </w:r>
    <w:r w:rsidR="00337C92" w:rsidRPr="00544D68">
      <w:fldChar w:fldCharType="end"/>
    </w:r>
    <w:r w:rsidR="00337C92" w:rsidRPr="00544D68">
      <w:t>/</w:t>
    </w:r>
    <w:fldSimple w:instr=" NUMPAGES ">
      <w:r>
        <w:rPr>
          <w:noProof/>
        </w:rPr>
        <w:t>6</w:t>
      </w:r>
    </w:fldSimple>
    <w:r w:rsidRPr="00544D68">
      <w:tab/>
    </w:r>
    <w:r w:rsidRPr="00544D68">
      <w:rPr>
        <w:rStyle w:val="HideTWBExt"/>
      </w:rPr>
      <w:t>&lt;PathFdR&gt;</w:t>
    </w:r>
    <w:r w:rsidR="003771FD" w:rsidRPr="003771FD">
      <w:t>PR\1296233DA.docx</w:t>
    </w:r>
    <w:r w:rsidRPr="00544D68">
      <w:rPr>
        <w:rStyle w:val="HideTWBExt"/>
      </w:rPr>
      <w:t>&lt;/PathFdR&gt;</w:t>
    </w:r>
  </w:p>
  <w:p w:rsidR="0085501C" w:rsidRPr="00544D68" w:rsidRDefault="0039014B">
    <w:pPr>
      <w:pStyle w:val="EPFooter2"/>
    </w:pPr>
    <w:r w:rsidRPr="00544D68">
      <w:fldChar w:fldCharType="begin"/>
    </w:r>
    <w:r w:rsidRPr="00544D68">
      <w:instrText xml:space="preserve"> DOCPROPERTY "&lt;Extension&gt;" </w:instrText>
    </w:r>
    <w:r w:rsidRPr="00544D68">
      <w:fldChar w:fldCharType="separate"/>
    </w:r>
    <w:r>
      <w:t>DA</w:t>
    </w:r>
    <w:r w:rsidRPr="00544D6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544D68" w:rsidRDefault="0039014B" w:rsidP="00B6769C">
    <w:pPr>
      <w:pStyle w:val="EPFooter"/>
    </w:pPr>
    <w:r w:rsidRPr="00544D68">
      <w:rPr>
        <w:rStyle w:val="HideTWBExt"/>
      </w:rPr>
      <w:t>&lt;PathFdR&gt;</w:t>
    </w:r>
    <w:r w:rsidR="003771FD" w:rsidRPr="003771FD">
      <w:t>PR\1296233DA.docx</w:t>
    </w:r>
    <w:r w:rsidRPr="00544D68">
      <w:rPr>
        <w:rStyle w:val="HideTWBExt"/>
      </w:rPr>
      <w:t>&lt;/PathFdR&gt;</w:t>
    </w:r>
    <w:r w:rsidRPr="00544D68">
      <w:tab/>
    </w:r>
    <w:r w:rsidR="00337C92" w:rsidRPr="00544D68">
      <w:fldChar w:fldCharType="begin"/>
    </w:r>
    <w:r w:rsidR="00337C92" w:rsidRPr="00544D68">
      <w:instrText xml:space="preserve"> PAGE </w:instrText>
    </w:r>
    <w:r w:rsidR="00337C92" w:rsidRPr="00544D68">
      <w:fldChar w:fldCharType="separate"/>
    </w:r>
    <w:r>
      <w:rPr>
        <w:noProof/>
      </w:rPr>
      <w:t>3</w:t>
    </w:r>
    <w:r w:rsidR="00337C92" w:rsidRPr="00544D68">
      <w:fldChar w:fldCharType="end"/>
    </w:r>
    <w:r w:rsidR="00337C92" w:rsidRPr="00544D68">
      <w:t>/</w:t>
    </w:r>
    <w:fldSimple w:instr=" NUMPAGES ">
      <w:r>
        <w:rPr>
          <w:noProof/>
        </w:rPr>
        <w:t>6</w:t>
      </w:r>
    </w:fldSimple>
    <w:r w:rsidRPr="00544D68">
      <w:tab/>
      <w:t>PE</w:t>
    </w:r>
    <w:r w:rsidRPr="00544D68">
      <w:rPr>
        <w:rStyle w:val="HideTWBExt"/>
      </w:rPr>
      <w:t>&lt;NoPE&gt;</w:t>
    </w:r>
    <w:r w:rsidR="003771FD" w:rsidRPr="003771FD">
      <w:t>758.912</w:t>
    </w:r>
    <w:r w:rsidRPr="00544D68">
      <w:rPr>
        <w:rStyle w:val="HideTWBExt"/>
      </w:rPr>
      <w:t>&lt;/NoPE&gt;&lt;Version&gt;</w:t>
    </w:r>
    <w:r w:rsidR="00544D68" w:rsidRPr="00544D68">
      <w:t>v</w:t>
    </w:r>
    <w:r w:rsidR="003771FD" w:rsidRPr="003771FD">
      <w:t>01-00</w:t>
    </w:r>
    <w:r w:rsidRPr="00544D68">
      <w:rPr>
        <w:rStyle w:val="HideTWBExt"/>
      </w:rPr>
      <w:t>&lt;/Version&gt;</w:t>
    </w:r>
  </w:p>
  <w:p w:rsidR="0085501C" w:rsidRPr="00544D68" w:rsidRDefault="0039014B">
    <w:pPr>
      <w:pStyle w:val="EPFooter2"/>
    </w:pPr>
    <w:r w:rsidRPr="00544D68">
      <w:tab/>
    </w:r>
    <w:r w:rsidRPr="00544D68">
      <w:tab/>
    </w:r>
    <w:fldSimple w:instr=" DOCPROPERTY &quot;&lt;Extension&gt;&quot; ">
      <w:r>
        <w:t>DA</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544D68" w:rsidRDefault="0039014B" w:rsidP="00B6769C">
    <w:pPr>
      <w:pStyle w:val="EPFooter"/>
    </w:pPr>
    <w:r w:rsidRPr="00544D68">
      <w:rPr>
        <w:rStyle w:val="HideTWBExt"/>
      </w:rPr>
      <w:t>&lt;PathFdR&gt;</w:t>
    </w:r>
    <w:r w:rsidR="00BB52A7" w:rsidRPr="00BB52A7">
      <w:t>PR\1296233DA.docx</w:t>
    </w:r>
    <w:r w:rsidRPr="00544D68">
      <w:rPr>
        <w:rStyle w:val="HideTWBExt"/>
      </w:rPr>
      <w:t>&lt;/PathFdR&gt;</w:t>
    </w:r>
    <w:r w:rsidRPr="00544D68">
      <w:tab/>
    </w:r>
    <w:r w:rsidRPr="00544D68">
      <w:tab/>
      <w:t>PE</w:t>
    </w:r>
    <w:r w:rsidRPr="00544D68">
      <w:rPr>
        <w:rStyle w:val="HideTWBExt"/>
      </w:rPr>
      <w:t>&lt;NoPE&gt;</w:t>
    </w:r>
    <w:r w:rsidR="00BB52A7" w:rsidRPr="00BB52A7">
      <w:t>758.912</w:t>
    </w:r>
    <w:r w:rsidRPr="00544D68">
      <w:rPr>
        <w:rStyle w:val="HideTWBExt"/>
      </w:rPr>
      <w:t>&lt;/NoPE&gt;&lt;Version&gt;</w:t>
    </w:r>
    <w:r w:rsidR="00544D68" w:rsidRPr="00544D68">
      <w:t>v</w:t>
    </w:r>
    <w:r w:rsidR="00BB52A7" w:rsidRPr="00BB52A7">
      <w:t>01-00</w:t>
    </w:r>
    <w:r w:rsidRPr="00544D68">
      <w:rPr>
        <w:rStyle w:val="HideTWBExt"/>
      </w:rPr>
      <w:t>&lt;/Version&gt;</w:t>
    </w:r>
  </w:p>
  <w:p w:rsidR="0085501C" w:rsidRPr="00544D68" w:rsidRDefault="0039014B" w:rsidP="009612AA">
    <w:pPr>
      <w:pStyle w:val="EPFooter2"/>
      <w:tabs>
        <w:tab w:val="clear" w:pos="4535"/>
        <w:tab w:val="center" w:pos="4536"/>
      </w:tabs>
    </w:pPr>
    <w:r w:rsidRPr="00544D68">
      <w:fldChar w:fldCharType="begin"/>
    </w:r>
    <w:r w:rsidRPr="00544D68">
      <w:instrText xml:space="preserve"> DOCPROPERTY "&lt;Extension&gt;" </w:instrText>
    </w:r>
    <w:r w:rsidRPr="00544D68">
      <w:fldChar w:fldCharType="separate"/>
    </w:r>
    <w:r>
      <w:t>DA</w:t>
    </w:r>
    <w:r w:rsidRPr="00544D68">
      <w:fldChar w:fldCharType="end"/>
    </w:r>
    <w:r w:rsidRPr="00544D68">
      <w:tab/>
    </w:r>
    <w:r w:rsidR="00BB52A7">
      <w:rPr>
        <w:b w:val="0"/>
        <w:i/>
        <w:color w:val="C0C0C0"/>
        <w:sz w:val="22"/>
        <w:szCs w:val="22"/>
      </w:rPr>
      <w:t>Forenet i mangfoldighed</w:t>
    </w:r>
    <w:r w:rsidRPr="00544D68">
      <w:tab/>
    </w:r>
    <w:r w:rsidRPr="00544D68">
      <w:fldChar w:fldCharType="begin"/>
    </w:r>
    <w:r w:rsidRPr="00544D68">
      <w:instrText xml:space="preserve"> DOCPROPERTY "&lt;Extension&gt;" </w:instrText>
    </w:r>
    <w:r w:rsidRPr="00544D68">
      <w:fldChar w:fldCharType="separate"/>
    </w:r>
    <w:r>
      <w:t>DA</w:t>
    </w:r>
    <w:r w:rsidRPr="00544D6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9014B">
      <w:r>
        <w:separator/>
      </w:r>
    </w:p>
  </w:footnote>
  <w:footnote w:type="continuationSeparator" w:id="0">
    <w:p w:rsidR="00000000" w:rsidRDefault="00390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FD" w:rsidRDefault="00377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FD" w:rsidRDefault="00377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FD" w:rsidRDefault="0037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LastEditedSection" w:val=" 1"/>
    <w:docVar w:name="strDocTypeID" w:val="PR_NLE-AP_Agreement"/>
    <w:docVar w:name="strSubDir" w:val="1296"/>
    <w:docVar w:name="TITLEMNU" w:val=" 2"/>
    <w:docVar w:name="TXTAUTHOR" w:val="Charlie Weimers"/>
    <w:docVar w:name="TXTLANGUE" w:val="DA"/>
    <w:docVar w:name="TXTLANGUEMIN" w:val="da"/>
    <w:docVar w:name="TXTNRC" w:val="0002/2023"/>
    <w:docVar w:name="TXTNRCOUNC" w:val="12129/2023"/>
    <w:docVar w:name="TXTNRNLE" w:val="2023/0224"/>
    <w:docVar w:name="TXTNRPE" w:val="758.912"/>
    <w:docVar w:name="TXTPEorAP" w:val="PE"/>
    <w:docVar w:name="TXTROUTE" w:val="PR\1296233DA.docx"/>
    <w:docVar w:name="TXTTITLE" w:val="XX"/>
    <w:docVar w:name="TXTVERSION" w:val="01-00"/>
  </w:docVars>
  <w:rsids>
    <w:rsidRoot w:val="00544D68"/>
    <w:rsid w:val="00001D52"/>
    <w:rsid w:val="0000443F"/>
    <w:rsid w:val="000053E3"/>
    <w:rsid w:val="00016E55"/>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771FD"/>
    <w:rsid w:val="0039014B"/>
    <w:rsid w:val="003B598C"/>
    <w:rsid w:val="004174FC"/>
    <w:rsid w:val="00460BD6"/>
    <w:rsid w:val="004859B3"/>
    <w:rsid w:val="00493F66"/>
    <w:rsid w:val="004C083C"/>
    <w:rsid w:val="004E1650"/>
    <w:rsid w:val="0053367A"/>
    <w:rsid w:val="00544D48"/>
    <w:rsid w:val="00544D68"/>
    <w:rsid w:val="005877C0"/>
    <w:rsid w:val="005A6B14"/>
    <w:rsid w:val="005D0B97"/>
    <w:rsid w:val="005F5D6C"/>
    <w:rsid w:val="006132CE"/>
    <w:rsid w:val="00613F2E"/>
    <w:rsid w:val="00620103"/>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B52A7"/>
    <w:rsid w:val="00BD67E9"/>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74CEE"/>
    <w:rsid w:val="00DA6388"/>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B4200A-80D5-4EC7-BBCD-D019FC1F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B52A7"/>
    <w:pPr>
      <w:tabs>
        <w:tab w:val="right" w:pos="454"/>
        <w:tab w:val="left" w:pos="737"/>
      </w:tabs>
      <w:ind w:left="737" w:hanging="737"/>
    </w:pPr>
    <w:rPr>
      <w:snapToGrid w:val="0"/>
      <w:sz w:val="18"/>
      <w:lang w:eastAsia="en-US"/>
    </w:rPr>
  </w:style>
  <w:style w:type="paragraph" w:customStyle="1" w:styleId="Lgendetitre">
    <w:name w:val="Légende titre"/>
    <w:basedOn w:val="Normal"/>
    <w:rsid w:val="00BB52A7"/>
    <w:pPr>
      <w:spacing w:before="240" w:after="240"/>
    </w:pPr>
    <w:rPr>
      <w:b/>
      <w:i/>
      <w:snapToGrid w:val="0"/>
      <w:lang w:eastAsia="en-US"/>
    </w:rPr>
  </w:style>
  <w:style w:type="paragraph" w:customStyle="1" w:styleId="Lgendestandard">
    <w:name w:val="Légende standard"/>
    <w:basedOn w:val="Normal"/>
    <w:rsid w:val="00BB52A7"/>
    <w:rPr>
      <w:sz w:val="18"/>
    </w:rPr>
  </w:style>
  <w:style w:type="paragraph" w:styleId="Footer">
    <w:name w:val="footer"/>
    <w:basedOn w:val="Normal"/>
    <w:link w:val="FooterChar"/>
    <w:semiHidden/>
    <w:rsid w:val="0039014B"/>
    <w:pPr>
      <w:tabs>
        <w:tab w:val="center" w:pos="4513"/>
        <w:tab w:val="right" w:pos="9026"/>
      </w:tabs>
    </w:pPr>
  </w:style>
  <w:style w:type="character" w:customStyle="1" w:styleId="FooterChar">
    <w:name w:val="Footer Char"/>
    <w:basedOn w:val="DefaultParagraphFont"/>
    <w:link w:val="Footer"/>
    <w:semiHidden/>
    <w:rsid w:val="003901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7EB40-4119-4B7B-B755-638798A89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724</Words>
  <Characters>4911</Characters>
  <Application>Microsoft Office Word</Application>
  <DocSecurity>0</DocSecurity>
  <Lines>119</Lines>
  <Paragraphs>51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THYBO Anne Fonnesbaek</dc:creator>
  <cp:lastModifiedBy>THYBO Anne Fonnesbaek</cp:lastModifiedBy>
  <cp:revision>2</cp:revision>
  <cp:lastPrinted>2002-12-11T09:25:00Z</cp:lastPrinted>
  <dcterms:created xsi:type="dcterms:W3CDTF">2024-02-28T11:54:00Z</dcterms:created>
  <dcterms:modified xsi:type="dcterms:W3CDTF">2024-02-28T11:54:00Z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1296233</vt:lpwstr>
  </property>
  <property fmtid="{D5CDD505-2E9C-101B-9397-08002B2CF9AE}" pid="4" name="&lt;Model&gt;">
    <vt:lpwstr>PR_NLE-AP_Agreement</vt:lpwstr>
  </property>
  <property fmtid="{D5CDD505-2E9C-101B-9397-08002B2CF9AE}" pid="5" name="&lt;ModelCod&gt;">
    <vt:lpwstr>\\eiciLUXpr1\pdocep$\DocEP\DOCS\General\PR\PR_Leg\NLE\PR_NLE-AP_Agreement.dotx(17/04/2020 18:28:04)</vt:lpwstr>
  </property>
  <property fmtid="{D5CDD505-2E9C-101B-9397-08002B2CF9AE}" pid="6" name="&lt;ModelTra&gt;">
    <vt:lpwstr>\\eiciLUXpr1\pdocep$\DocEP\TRANSFIL\DA\PR_NLE-AP_Agreement.DA(29/06/2022 09:21:01)</vt:lpwstr>
  </property>
  <property fmtid="{D5CDD505-2E9C-101B-9397-08002B2CF9AE}" pid="7" name="&lt;Type&gt;">
    <vt:lpwstr>PR</vt:lpwstr>
  </property>
  <property fmtid="{D5CDD505-2E9C-101B-9397-08002B2CF9AE}" pid="8" name="Created with">
    <vt:lpwstr>9.17.1 Build [20240110]</vt:lpwstr>
  </property>
  <property fmtid="{D5CDD505-2E9C-101B-9397-08002B2CF9AE}" pid="9" name="FooterPath">
    <vt:lpwstr>PR\1296233DA.docx</vt:lpwstr>
  </property>
  <property fmtid="{D5CDD505-2E9C-101B-9397-08002B2CF9AE}" pid="10" name="LastEdited with">
    <vt:lpwstr>9.17.1 Build [20240110]</vt:lpwstr>
  </property>
  <property fmtid="{D5CDD505-2E9C-101B-9397-08002B2CF9AE}" pid="11" name="PE number">
    <vt:lpwstr>758.912</vt:lpwstr>
  </property>
  <property fmtid="{D5CDD505-2E9C-101B-9397-08002B2CF9AE}" pid="12" name="SDLStudio">
    <vt:lpwstr/>
  </property>
  <property fmtid="{D5CDD505-2E9C-101B-9397-08002B2CF9AE}" pid="13" name="Bookout">
    <vt:lpwstr>OK - 2024/02/28 12:53</vt:lpwstr>
  </property>
</Properties>
</file>