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AC786B" w:rsidTr="00C85D0F">
        <w:trPr>
          <w:trHeight w:hRule="exact" w:val="1418"/>
        </w:trPr>
        <w:tc>
          <w:tcPr>
            <w:tcW w:w="6804" w:type="dxa"/>
            <w:shd w:val="clear" w:color="auto" w:fill="auto"/>
            <w:vAlign w:val="center"/>
          </w:tcPr>
          <w:p w:rsidR="00C05DD8" w:rsidRPr="00AC786B" w:rsidRDefault="00C033D3" w:rsidP="00C85D0F">
            <w:pPr>
              <w:pStyle w:val="EPName"/>
            </w:pPr>
            <w:r w:rsidRPr="00AC786B">
              <w:t>Euroopan parlamentti</w:t>
            </w:r>
          </w:p>
          <w:p w:rsidR="00C05DD8" w:rsidRPr="00AC786B" w:rsidRDefault="00FA6FD4" w:rsidP="00FA6FD4">
            <w:pPr>
              <w:pStyle w:val="EPTerm"/>
            </w:pPr>
            <w:r w:rsidRPr="00AC786B">
              <w:t>2019-2024</w:t>
            </w:r>
          </w:p>
        </w:tc>
        <w:tc>
          <w:tcPr>
            <w:tcW w:w="2268" w:type="dxa"/>
            <w:shd w:val="clear" w:color="auto" w:fill="auto"/>
          </w:tcPr>
          <w:p w:rsidR="00C05DD8" w:rsidRPr="00AC786B" w:rsidRDefault="00C05DD8" w:rsidP="00C85D0F">
            <w:pPr>
              <w:pStyle w:val="EPLogo"/>
            </w:pPr>
            <w:r w:rsidRPr="00AC786B">
              <w:rPr>
                <w:noProof/>
                <w:lang w:eastAsia="fi-FI"/>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AC786B" w:rsidRDefault="009612AA" w:rsidP="009612AA">
      <w:pPr>
        <w:pStyle w:val="LineTop"/>
      </w:pPr>
    </w:p>
    <w:p w:rsidR="009612AA" w:rsidRPr="00AC786B" w:rsidRDefault="009612AA" w:rsidP="009612AA">
      <w:pPr>
        <w:pStyle w:val="EPBody"/>
      </w:pPr>
      <w:r w:rsidRPr="00AC786B">
        <w:rPr>
          <w:rStyle w:val="HideTWBExt"/>
        </w:rPr>
        <w:t>&lt;</w:t>
      </w:r>
      <w:r w:rsidRPr="00AC786B">
        <w:rPr>
          <w:rStyle w:val="HideTWBExt"/>
          <w:i w:val="0"/>
        </w:rPr>
        <w:t>Commission</w:t>
      </w:r>
      <w:r w:rsidRPr="00AC786B">
        <w:rPr>
          <w:rStyle w:val="HideTWBExt"/>
        </w:rPr>
        <w:t>&gt;</w:t>
      </w:r>
      <w:r w:rsidRPr="00AC786B">
        <w:rPr>
          <w:rStyle w:val="HideTWBInt"/>
        </w:rPr>
        <w:t>{LIBE}</w:t>
      </w:r>
      <w:r w:rsidRPr="00AC786B">
        <w:t>Kansalaisvapauksien sekä oikeus- ja sisäasioiden valiokunta</w:t>
      </w:r>
      <w:r w:rsidRPr="00AC786B">
        <w:rPr>
          <w:rStyle w:val="HideTWBExt"/>
        </w:rPr>
        <w:t>&lt;/</w:t>
      </w:r>
      <w:r w:rsidRPr="00AC786B">
        <w:rPr>
          <w:rStyle w:val="HideTWBExt"/>
          <w:i w:val="0"/>
        </w:rPr>
        <w:t>Commission</w:t>
      </w:r>
      <w:r w:rsidRPr="00AC786B">
        <w:rPr>
          <w:rStyle w:val="HideTWBExt"/>
        </w:rPr>
        <w:t>&gt;</w:t>
      </w:r>
    </w:p>
    <w:p w:rsidR="009612AA" w:rsidRPr="00AC786B" w:rsidRDefault="009612AA" w:rsidP="009612AA">
      <w:pPr>
        <w:pStyle w:val="LineBottom"/>
      </w:pPr>
    </w:p>
    <w:p w:rsidR="00363B94" w:rsidRPr="00AC786B" w:rsidRDefault="00363B94">
      <w:pPr>
        <w:pStyle w:val="CoverReference"/>
      </w:pPr>
      <w:r w:rsidRPr="00AC786B">
        <w:rPr>
          <w:rStyle w:val="HideTWBExt"/>
          <w:b w:val="0"/>
        </w:rPr>
        <w:t>&lt;RefProc&gt;</w:t>
      </w:r>
      <w:r w:rsidRPr="00AC786B">
        <w:t>2023/0224</w:t>
      </w:r>
      <w:r w:rsidRPr="00AC786B">
        <w:rPr>
          <w:rStyle w:val="HideTWBExt"/>
          <w:b w:val="0"/>
        </w:rPr>
        <w:t>&lt;/RefProc&gt;&lt;RefTypeProc&gt;</w:t>
      </w:r>
      <w:r w:rsidRPr="00AC786B">
        <w:t>(NLE)</w:t>
      </w:r>
      <w:r w:rsidRPr="00AC786B">
        <w:rPr>
          <w:rStyle w:val="HideTWBExt"/>
          <w:b w:val="0"/>
        </w:rPr>
        <w:t>&lt;/RefTypeProc&gt;</w:t>
      </w:r>
    </w:p>
    <w:p w:rsidR="00363B94" w:rsidRPr="00AC786B" w:rsidRDefault="00363B94">
      <w:pPr>
        <w:pStyle w:val="CoverDate"/>
      </w:pPr>
      <w:r w:rsidRPr="00AC786B">
        <w:rPr>
          <w:rStyle w:val="HideTWBExt"/>
        </w:rPr>
        <w:t>&lt;Date&gt;</w:t>
      </w:r>
      <w:r w:rsidRPr="00AC786B">
        <w:rPr>
          <w:rStyle w:val="HideTWBInt"/>
        </w:rPr>
        <w:t>{16/02/2024}</w:t>
      </w:r>
      <w:r w:rsidRPr="00AC786B">
        <w:t>16.2.2024</w:t>
      </w:r>
      <w:r w:rsidRPr="00AC786B">
        <w:rPr>
          <w:rStyle w:val="HideTWBExt"/>
        </w:rPr>
        <w:t>&lt;/Date&gt;</w:t>
      </w:r>
    </w:p>
    <w:p w:rsidR="00363B94" w:rsidRPr="00AC786B" w:rsidRDefault="00363B94">
      <w:pPr>
        <w:pStyle w:val="CoverDocType"/>
      </w:pPr>
      <w:r w:rsidRPr="00AC786B">
        <w:rPr>
          <w:rStyle w:val="HideTWBExt"/>
          <w:b w:val="0"/>
        </w:rPr>
        <w:t>&lt;RefProcLect&gt;</w:t>
      </w:r>
      <w:r w:rsidRPr="00AC786B">
        <w:t>***</w:t>
      </w:r>
      <w:r w:rsidRPr="00AC786B">
        <w:rPr>
          <w:rStyle w:val="HideTWBExt"/>
          <w:b w:val="0"/>
        </w:rPr>
        <w:t>&lt;/RefProcLect&gt;</w:t>
      </w:r>
    </w:p>
    <w:p w:rsidR="00363B94" w:rsidRPr="00AC786B" w:rsidRDefault="00363B94">
      <w:pPr>
        <w:pStyle w:val="CoverDocType24a"/>
      </w:pPr>
      <w:r w:rsidRPr="00AC786B">
        <w:rPr>
          <w:rStyle w:val="HideTWBExt"/>
          <w:b w:val="0"/>
        </w:rPr>
        <w:t>&lt;TitreType&gt;</w:t>
      </w:r>
      <w:r w:rsidRPr="00AC786B">
        <w:t>SUOSITUSLUONNOS</w:t>
      </w:r>
      <w:r w:rsidRPr="00AC786B">
        <w:rPr>
          <w:rStyle w:val="HideTWBExt"/>
          <w:b w:val="0"/>
        </w:rPr>
        <w:t>&lt;/TitreType&gt;</w:t>
      </w:r>
    </w:p>
    <w:p w:rsidR="00363B94" w:rsidRPr="00AC786B" w:rsidRDefault="00363B94">
      <w:pPr>
        <w:pStyle w:val="CoverNormal"/>
      </w:pPr>
      <w:r w:rsidRPr="00AC786B">
        <w:rPr>
          <w:rStyle w:val="HideTWBExt"/>
        </w:rPr>
        <w:t>&lt;Titre&gt;</w:t>
      </w:r>
      <w:r w:rsidRPr="00AC786B">
        <w:t>esityksestä neuvoston päätökseksi rajaturvallisuuden ja viisumipolitiikan rahoitustukivälineeseen osana yhdennetyn rajaturvallisuuden rahastoa liittyviä täydentäviä sääntöjä kaudella 2021–2027 koskevan Euroopan unionin ja Norjan kuningaskunnan välisen sopimuksen tekemisestä unionin puolesta</w:t>
      </w:r>
      <w:r w:rsidRPr="00AC786B">
        <w:rPr>
          <w:rStyle w:val="HideTWBExt"/>
        </w:rPr>
        <w:t>&lt;/Titre&gt;</w:t>
      </w:r>
    </w:p>
    <w:p w:rsidR="00363B94" w:rsidRPr="00AC786B" w:rsidRDefault="00363B94">
      <w:pPr>
        <w:pStyle w:val="CoverNormal24a"/>
      </w:pPr>
      <w:r w:rsidRPr="00AC786B">
        <w:rPr>
          <w:rStyle w:val="HideTWBExt"/>
        </w:rPr>
        <w:t>&lt;DocRef&gt;</w:t>
      </w:r>
      <w:r w:rsidRPr="00AC786B">
        <w:t>(12129/2023 – C9</w:t>
      </w:r>
      <w:r w:rsidRPr="00AC786B">
        <w:noBreakHyphen/>
        <w:t>0002/2023 – 2023/0224(NLE))</w:t>
      </w:r>
      <w:r w:rsidRPr="00AC786B">
        <w:rPr>
          <w:rStyle w:val="HideTWBExt"/>
        </w:rPr>
        <w:t>&lt;/DocRef&gt;</w:t>
      </w:r>
    </w:p>
    <w:p w:rsidR="00363B94" w:rsidRPr="00AC786B" w:rsidRDefault="00363B94">
      <w:pPr>
        <w:pStyle w:val="CoverNormal24a"/>
      </w:pPr>
      <w:r w:rsidRPr="00AC786B">
        <w:rPr>
          <w:rStyle w:val="HideTWBExt"/>
        </w:rPr>
        <w:t>&lt;Commission&gt;</w:t>
      </w:r>
      <w:r w:rsidRPr="00AC786B">
        <w:rPr>
          <w:rStyle w:val="HideTWBInt"/>
        </w:rPr>
        <w:t>{LIBE}</w:t>
      </w:r>
      <w:r w:rsidRPr="00AC786B">
        <w:t>Kansalaisvapauksien sekä oikeus- ja sisäasioiden valiokunta</w:t>
      </w:r>
      <w:r w:rsidRPr="00AC786B">
        <w:rPr>
          <w:rStyle w:val="HideTWBExt"/>
        </w:rPr>
        <w:t>&lt;/Commission&gt;</w:t>
      </w:r>
    </w:p>
    <w:p w:rsidR="00363B94" w:rsidRPr="00AC786B" w:rsidRDefault="00C033D3">
      <w:pPr>
        <w:pStyle w:val="CoverNormal24a"/>
      </w:pPr>
      <w:r w:rsidRPr="00AC786B">
        <w:t xml:space="preserve">Esittelijä: </w:t>
      </w:r>
      <w:r w:rsidRPr="00AC786B">
        <w:rPr>
          <w:rStyle w:val="HideTWBExt"/>
        </w:rPr>
        <w:t>&lt;Depute&gt;</w:t>
      </w:r>
      <w:r w:rsidRPr="00AC786B">
        <w:t>Charlie Weimers</w:t>
      </w:r>
      <w:r w:rsidRPr="00AC786B">
        <w:rPr>
          <w:rStyle w:val="HideTWBExt"/>
        </w:rPr>
        <w:t>&lt;/Depute&gt;</w:t>
      </w:r>
    </w:p>
    <w:p w:rsidR="00B42885" w:rsidRPr="00AC786B" w:rsidRDefault="00B42885" w:rsidP="00B42885">
      <w:pPr>
        <w:pStyle w:val="CoverNormal"/>
      </w:pPr>
    </w:p>
    <w:p w:rsidR="00FA6FD4" w:rsidRPr="00AC786B" w:rsidRDefault="00363B94" w:rsidP="00016E55">
      <w:r w:rsidRPr="00AC786B">
        <w:br w:type="page"/>
      </w:r>
      <w:fldSimple w:instr=" TITLE  \* MERGEFORMAT ">
        <w:r w:rsidR="00316BA9">
          <w:t>PR_NLE-AP_Agreement</w:t>
        </w:r>
      </w:fldSimple>
    </w:p>
    <w:p w:rsidR="00FA6FD4" w:rsidRPr="00AC786B" w:rsidRDefault="00FA6FD4" w:rsidP="00016E55"/>
    <w:p w:rsidR="00FA6FD4" w:rsidRPr="00AC786B" w:rsidRDefault="00FA6FD4"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6FD4" w:rsidRPr="00AC786B">
        <w:tc>
          <w:tcPr>
            <w:tcW w:w="5811" w:type="dxa"/>
          </w:tcPr>
          <w:p w:rsidR="00FA6FD4" w:rsidRPr="00AC786B" w:rsidRDefault="00FA6FD4" w:rsidP="00016E55">
            <w:pPr>
              <w:pStyle w:val="Lgendetitre"/>
            </w:pPr>
            <w:r w:rsidRPr="00AC786B">
              <w:t>Menettelyjen symbolit</w:t>
            </w:r>
          </w:p>
        </w:tc>
      </w:tr>
      <w:tr w:rsidR="00FA6FD4" w:rsidRPr="00AC786B" w:rsidTr="004247A2">
        <w:trPr>
          <w:cantSplit/>
          <w:trHeight w:val="1807"/>
        </w:trPr>
        <w:tc>
          <w:tcPr>
            <w:tcW w:w="5811" w:type="dxa"/>
            <w:tcBorders>
              <w:bottom w:val="single" w:sz="4" w:space="0" w:color="auto"/>
            </w:tcBorders>
          </w:tcPr>
          <w:p w:rsidR="00FA6FD4" w:rsidRPr="00AC786B" w:rsidRDefault="00FA6FD4" w:rsidP="00717061">
            <w:pPr>
              <w:pStyle w:val="Lgendesigne"/>
            </w:pPr>
            <w:r w:rsidRPr="00AC786B">
              <w:tab/>
              <w:t>*</w:t>
            </w:r>
            <w:r w:rsidRPr="00AC786B">
              <w:tab/>
              <w:t>Kuulemismenettely</w:t>
            </w:r>
          </w:p>
          <w:p w:rsidR="00FA6FD4" w:rsidRPr="00AC786B" w:rsidRDefault="00FA6FD4" w:rsidP="00717061">
            <w:pPr>
              <w:pStyle w:val="Lgendesigne"/>
            </w:pPr>
            <w:r w:rsidRPr="00AC786B">
              <w:tab/>
              <w:t>***</w:t>
            </w:r>
            <w:r w:rsidRPr="00AC786B">
              <w:tab/>
              <w:t>Hyväksyntämenettely</w:t>
            </w:r>
          </w:p>
          <w:p w:rsidR="00FA6FD4" w:rsidRPr="00AC786B" w:rsidRDefault="00FA6FD4" w:rsidP="00717061">
            <w:pPr>
              <w:pStyle w:val="Lgendesigne"/>
            </w:pPr>
            <w:r w:rsidRPr="00AC786B">
              <w:tab/>
              <w:t>***I</w:t>
            </w:r>
            <w:r w:rsidRPr="00AC786B">
              <w:tab/>
              <w:t>Tavallinen lainsäätämisjärjestys (ensimmäinen käsittely)</w:t>
            </w:r>
          </w:p>
          <w:p w:rsidR="00FA6FD4" w:rsidRPr="00AC786B" w:rsidRDefault="00FA6FD4" w:rsidP="00717061">
            <w:pPr>
              <w:pStyle w:val="Lgendesigne"/>
            </w:pPr>
            <w:r w:rsidRPr="00AC786B">
              <w:tab/>
              <w:t>***II</w:t>
            </w:r>
            <w:r w:rsidRPr="00AC786B">
              <w:tab/>
              <w:t>Tavallinen lainsäätämisjärjestys (toinen käsittely)</w:t>
            </w:r>
          </w:p>
          <w:p w:rsidR="00FA6FD4" w:rsidRPr="00AC786B" w:rsidRDefault="00FA6FD4" w:rsidP="00717061">
            <w:pPr>
              <w:pStyle w:val="Lgendesigne"/>
            </w:pPr>
            <w:r w:rsidRPr="00AC786B">
              <w:tab/>
              <w:t>***III</w:t>
            </w:r>
            <w:r w:rsidRPr="00AC786B">
              <w:tab/>
              <w:t>Tavallinen lainsäätämisjärjestys (kolmas käsittely)</w:t>
            </w:r>
          </w:p>
          <w:p w:rsidR="00FA6FD4" w:rsidRPr="00AC786B" w:rsidRDefault="00FA6FD4" w:rsidP="00717061">
            <w:pPr>
              <w:pStyle w:val="Lgendestandard"/>
            </w:pPr>
          </w:p>
          <w:p w:rsidR="00FA6FD4" w:rsidRPr="00AC786B" w:rsidRDefault="00FA6FD4" w:rsidP="00717061">
            <w:pPr>
              <w:pStyle w:val="Lgendestandard"/>
            </w:pPr>
            <w:r w:rsidRPr="00AC786B">
              <w:t>(Menettely määräytyy säädösesityksessä ehdotetun oikeusperustan mukaan.)</w:t>
            </w:r>
          </w:p>
          <w:p w:rsidR="00FA6FD4" w:rsidRPr="00AC786B" w:rsidRDefault="00FA6FD4" w:rsidP="00B837B7">
            <w:pPr>
              <w:pStyle w:val="Lgendestandard"/>
            </w:pPr>
          </w:p>
        </w:tc>
      </w:tr>
    </w:tbl>
    <w:p w:rsidR="00FA6FD4" w:rsidRPr="00AC786B" w:rsidRDefault="00FA6FD4" w:rsidP="00016E55"/>
    <w:p w:rsidR="00363B94" w:rsidRPr="00AC786B" w:rsidRDefault="00363B94" w:rsidP="00613F2E">
      <w:pPr>
        <w:widowControl/>
        <w:tabs>
          <w:tab w:val="center" w:pos="4677"/>
        </w:tabs>
      </w:pPr>
    </w:p>
    <w:p w:rsidR="00363B94" w:rsidRPr="00AC786B" w:rsidRDefault="00363B94">
      <w:pPr>
        <w:pStyle w:val="TOCHeading"/>
      </w:pPr>
      <w:r w:rsidRPr="00AC786B">
        <w:br w:type="page"/>
      </w:r>
      <w:r w:rsidRPr="00AC786B">
        <w:lastRenderedPageBreak/>
        <w:t>SISÄLTÖ</w:t>
      </w:r>
    </w:p>
    <w:p w:rsidR="00363B94" w:rsidRPr="00AC786B" w:rsidRDefault="00C033D3">
      <w:pPr>
        <w:pStyle w:val="TOCPage"/>
      </w:pPr>
      <w:r w:rsidRPr="00AC786B">
        <w:t>Sivu</w:t>
      </w:r>
    </w:p>
    <w:p w:rsidR="00316BA9" w:rsidRDefault="00EF48F2">
      <w:pPr>
        <w:pStyle w:val="TOC1"/>
        <w:tabs>
          <w:tab w:val="right" w:leader="dot" w:pos="9060"/>
        </w:tabs>
        <w:rPr>
          <w:rFonts w:asciiTheme="minorHAnsi" w:eastAsiaTheme="minorEastAsia" w:hAnsiTheme="minorHAnsi" w:cstheme="minorBidi"/>
          <w:noProof/>
          <w:sz w:val="22"/>
          <w:szCs w:val="22"/>
          <w:lang w:eastAsia="fi-FI"/>
        </w:rPr>
      </w:pPr>
      <w:r w:rsidRPr="00AC786B">
        <w:fldChar w:fldCharType="begin"/>
      </w:r>
      <w:r w:rsidRPr="00AC786B">
        <w:instrText xml:space="preserve"> TOC \t "PageHeading</w:instrText>
      </w:r>
      <w:r w:rsidR="00B15B7C" w:rsidRPr="00AC786B">
        <w:instrText>;</w:instrText>
      </w:r>
      <w:r w:rsidRPr="00AC786B">
        <w:instrText xml:space="preserve">1" </w:instrText>
      </w:r>
      <w:r w:rsidRPr="00AC786B">
        <w:fldChar w:fldCharType="separate"/>
      </w:r>
      <w:r w:rsidR="00316BA9">
        <w:rPr>
          <w:noProof/>
        </w:rPr>
        <w:t>LUONNOS EUROOPAN PARLAMENTIN LAINSÄÄDÄNTÖPÄÄTÖSLAUSELMAKSI</w:t>
      </w:r>
      <w:r w:rsidR="00316BA9">
        <w:rPr>
          <w:noProof/>
        </w:rPr>
        <w:tab/>
      </w:r>
      <w:r w:rsidR="00316BA9">
        <w:rPr>
          <w:noProof/>
        </w:rPr>
        <w:fldChar w:fldCharType="begin"/>
      </w:r>
      <w:r w:rsidR="00316BA9">
        <w:rPr>
          <w:noProof/>
        </w:rPr>
        <w:instrText xml:space="preserve"> PAGEREF _Toc160011624 \h </w:instrText>
      </w:r>
      <w:r w:rsidR="00316BA9">
        <w:rPr>
          <w:noProof/>
        </w:rPr>
      </w:r>
      <w:r w:rsidR="00316BA9">
        <w:rPr>
          <w:noProof/>
        </w:rPr>
        <w:fldChar w:fldCharType="separate"/>
      </w:r>
      <w:r w:rsidR="00316BA9">
        <w:rPr>
          <w:noProof/>
        </w:rPr>
        <w:t>5</w:t>
      </w:r>
      <w:r w:rsidR="00316BA9">
        <w:rPr>
          <w:noProof/>
        </w:rPr>
        <w:fldChar w:fldCharType="end"/>
      </w:r>
    </w:p>
    <w:p w:rsidR="00316BA9" w:rsidRDefault="00316BA9">
      <w:pPr>
        <w:pStyle w:val="TOC1"/>
        <w:tabs>
          <w:tab w:val="right" w:leader="dot" w:pos="9060"/>
        </w:tabs>
        <w:rPr>
          <w:rFonts w:asciiTheme="minorHAnsi" w:eastAsiaTheme="minorEastAsia" w:hAnsiTheme="minorHAnsi" w:cstheme="minorBidi"/>
          <w:noProof/>
          <w:sz w:val="22"/>
          <w:szCs w:val="22"/>
          <w:lang w:eastAsia="fi-FI"/>
        </w:rPr>
      </w:pPr>
      <w:r>
        <w:rPr>
          <w:noProof/>
        </w:rPr>
        <w:t>PERUSTELUT</w:t>
      </w:r>
      <w:r>
        <w:rPr>
          <w:noProof/>
        </w:rPr>
        <w:tab/>
      </w:r>
      <w:r>
        <w:rPr>
          <w:noProof/>
        </w:rPr>
        <w:fldChar w:fldCharType="begin"/>
      </w:r>
      <w:r>
        <w:rPr>
          <w:noProof/>
        </w:rPr>
        <w:instrText xml:space="preserve"> PAGEREF _Toc160011625 \h </w:instrText>
      </w:r>
      <w:r>
        <w:rPr>
          <w:noProof/>
        </w:rPr>
      </w:r>
      <w:r>
        <w:rPr>
          <w:noProof/>
        </w:rPr>
        <w:fldChar w:fldCharType="separate"/>
      </w:r>
      <w:r>
        <w:rPr>
          <w:noProof/>
        </w:rPr>
        <w:t>6</w:t>
      </w:r>
      <w:r>
        <w:rPr>
          <w:noProof/>
        </w:rPr>
        <w:fldChar w:fldCharType="end"/>
      </w:r>
    </w:p>
    <w:p w:rsidR="004E1650" w:rsidRPr="00AC786B" w:rsidRDefault="00EF48F2" w:rsidP="00F04010">
      <w:r w:rsidRPr="00AC786B">
        <w:fldChar w:fldCharType="end"/>
      </w:r>
    </w:p>
    <w:p w:rsidR="00363B94" w:rsidRPr="00AC786B" w:rsidRDefault="00363B94" w:rsidP="0006167F">
      <w:pPr>
        <w:pStyle w:val="PageHeading"/>
      </w:pPr>
      <w:r w:rsidRPr="00AC786B">
        <w:br w:type="page"/>
      </w:r>
      <w:r w:rsidRPr="00AC786B">
        <w:br w:type="page"/>
      </w:r>
      <w:bookmarkStart w:id="0" w:name="_Toc160011624"/>
      <w:r w:rsidRPr="00AC786B">
        <w:t>LUONNOS EUROOPAN PARLAMENTIN LAINSÄÄDÄNTÖPÄÄTÖSLAUSELMAKSI</w:t>
      </w:r>
      <w:bookmarkEnd w:id="0"/>
    </w:p>
    <w:p w:rsidR="00363B94" w:rsidRPr="00AC786B" w:rsidRDefault="00C033D3">
      <w:pPr>
        <w:pStyle w:val="NormalBold"/>
      </w:pPr>
      <w:r w:rsidRPr="00AC786B">
        <w:t>esityksestä neuvoston päätökseksi rajaturvallisuuden ja viisumipolitiikan rahoitustukivälineeseen osana yhdennetyn rajaturvallisuuden rahastoa liittyviä täydentäviä sääntöjä kaudella 2021–2027 koskevan Euroopan unionin ja Norjan kuningaskunnan välisen sopimuksen tekemisestä unionin puolesta</w:t>
      </w:r>
    </w:p>
    <w:p w:rsidR="00363B94" w:rsidRPr="00AC786B" w:rsidRDefault="00C033D3">
      <w:pPr>
        <w:pStyle w:val="NormalBold12a"/>
      </w:pPr>
      <w:r w:rsidRPr="00AC786B">
        <w:t>(12129/2023 – C9</w:t>
      </w:r>
      <w:r w:rsidRPr="00AC786B">
        <w:noBreakHyphen/>
        <w:t>0002/2023 – 2023/0224(NLE))</w:t>
      </w:r>
    </w:p>
    <w:p w:rsidR="00363B94" w:rsidRPr="00AC786B" w:rsidRDefault="00C033D3" w:rsidP="00893FBD">
      <w:pPr>
        <w:pStyle w:val="NormalBold"/>
      </w:pPr>
      <w:r w:rsidRPr="00AC786B">
        <w:t>(Hyväksyntä)</w:t>
      </w:r>
    </w:p>
    <w:p w:rsidR="00363B94" w:rsidRPr="00AC786B" w:rsidRDefault="00C033D3">
      <w:pPr>
        <w:pStyle w:val="EPComma"/>
      </w:pPr>
      <w:r w:rsidRPr="00AC786B">
        <w:rPr>
          <w:i/>
          <w:iCs/>
        </w:rPr>
        <w:t>Euroopan parlamentti</w:t>
      </w:r>
      <w:r w:rsidRPr="00AC786B">
        <w:t>, joka</w:t>
      </w:r>
    </w:p>
    <w:p w:rsidR="00BF7F55" w:rsidRPr="00AC786B" w:rsidRDefault="00BF7F55" w:rsidP="00BF7F55">
      <w:pPr>
        <w:pStyle w:val="NormalHanging12a"/>
      </w:pPr>
      <w:r w:rsidRPr="00AC786B">
        <w:t>–</w:t>
      </w:r>
      <w:r w:rsidRPr="00AC786B">
        <w:tab/>
        <w:t>ottaa huomioon esityksen neuvoston päätökseksi (12129/2023),</w:t>
      </w:r>
    </w:p>
    <w:p w:rsidR="00363B94" w:rsidRPr="00AC786B" w:rsidRDefault="00363B94">
      <w:pPr>
        <w:pStyle w:val="NormalHanging12a"/>
      </w:pPr>
      <w:r w:rsidRPr="00AC786B">
        <w:t>–</w:t>
      </w:r>
      <w:r w:rsidRPr="00AC786B">
        <w:tab/>
        <w:t>ottaa huomioon luonnoksen ulkorajojen ja viisumipolitiikan rahoitusvälineeseen osana yhdennetyn rajaturvallisuuden rahastoa liittyviä täydentäviä sääntöjä kaudella 2021–2027 koskevaksi Euroopan unionin ja Norjan kuningaskunnan väliseksi sopimukseksi (12128/2023),</w:t>
      </w:r>
    </w:p>
    <w:p w:rsidR="00363B94" w:rsidRPr="00AC786B" w:rsidRDefault="005F5D6C">
      <w:pPr>
        <w:pStyle w:val="NormalHanging12a"/>
      </w:pPr>
      <w:r w:rsidRPr="00AC786B">
        <w:t>–</w:t>
      </w:r>
      <w:r w:rsidRPr="00AC786B">
        <w:tab/>
        <w:t>ottaa huomioon neuvoston Euroopan unionin toiminnasta tehdyn sopimuksen 77 artiklan 2 kohdan, 218 artiklan 6 kohdan toisen alakohdan a alakohdan ja 218 artiklan 7 kohdan mukaisesti esittämän hyväksyntää koskevan pyynnön (C9</w:t>
      </w:r>
      <w:r w:rsidRPr="00AC786B">
        <w:noBreakHyphen/>
        <w:t>0002/2023),</w:t>
      </w:r>
    </w:p>
    <w:p w:rsidR="00363B94" w:rsidRPr="00AC786B" w:rsidRDefault="00363B94">
      <w:pPr>
        <w:pStyle w:val="NormalHanging12a"/>
      </w:pPr>
      <w:r w:rsidRPr="00AC786B">
        <w:t>–</w:t>
      </w:r>
      <w:r w:rsidRPr="00AC786B">
        <w:tab/>
        <w:t>ottaa huomioon työjärjestyksen 105 artiklan 1 ja 4 kohdan sekä 114 artiklan 7 kohdan,</w:t>
      </w:r>
    </w:p>
    <w:p w:rsidR="00363B94" w:rsidRPr="00AC786B" w:rsidRDefault="00363B94">
      <w:pPr>
        <w:pStyle w:val="NormalHanging12a"/>
      </w:pPr>
      <w:r w:rsidRPr="00AC786B">
        <w:t>–</w:t>
      </w:r>
      <w:r w:rsidRPr="00AC786B">
        <w:tab/>
        <w:t>ottaa huomioon kansalaisvapauksien sekä oikeus- ja sisäasioiden valiokunnan suosituksen (A9</w:t>
      </w:r>
      <w:r w:rsidRPr="00AC786B">
        <w:noBreakHyphen/>
        <w:t>0000/2024),</w:t>
      </w:r>
    </w:p>
    <w:p w:rsidR="00363B94" w:rsidRPr="00AC786B" w:rsidRDefault="00363B94">
      <w:pPr>
        <w:pStyle w:val="NormalHanging12a"/>
      </w:pPr>
      <w:r w:rsidRPr="00AC786B">
        <w:t>1.</w:t>
      </w:r>
      <w:r w:rsidRPr="00AC786B">
        <w:tab/>
        <w:t>antaa hyväksyntänsä sopimuksen tekemiselle;</w:t>
      </w:r>
    </w:p>
    <w:p w:rsidR="001D02E3" w:rsidRPr="00AC786B" w:rsidRDefault="001D02E3">
      <w:pPr>
        <w:pStyle w:val="NormalHanging12a"/>
      </w:pPr>
      <w:r w:rsidRPr="00AC786B">
        <w:t>2.</w:t>
      </w:r>
      <w:r w:rsidRPr="00AC786B">
        <w:tab/>
        <w:t>kehottaa puhemiestä välittämään parlamentin kannan neuvostolle ja komissiolle sekä jäsenvaltioiden ja Norjan kuningaskunnan hallituksille ja parlamenteille.</w:t>
      </w:r>
    </w:p>
    <w:p w:rsidR="005B40ED" w:rsidRPr="00AC786B" w:rsidRDefault="005B40ED" w:rsidP="00822206">
      <w:pPr>
        <w:sectPr w:rsidR="005B40ED" w:rsidRPr="00AC786B" w:rsidSect="00AC78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AC786B" w:rsidRDefault="005B40ED" w:rsidP="005B40ED">
      <w:pPr>
        <w:pStyle w:val="PageHeading"/>
      </w:pPr>
      <w:bookmarkStart w:id="1" w:name="_Toc160011625"/>
      <w:r w:rsidRPr="00AC786B">
        <w:t>PERUSTELUT</w:t>
      </w:r>
      <w:bookmarkEnd w:id="1"/>
    </w:p>
    <w:p w:rsidR="00DF744E" w:rsidRPr="00AC786B" w:rsidRDefault="00DF744E" w:rsidP="00316BA9">
      <w:r w:rsidRPr="00AC786B">
        <w:t>Rajaturvallisuuden ja viisumipolitiikan rahoitustukiväline osana yhdennetyn rajaturvallisuuden rahastoa on erityinen Schengenin säännöstöön liittyvä väline, jonka tarkoituksena on varmistaa vahva ja tehokas Euroopan yhdennetty rajaturvallisuus ulkorajoilla. Sillä helpotetaan luvallista rajanylitystä samalla kun ehkäistään ja havaitaan laitonta maahanmuuttoa ja rajat ylittävää rikollisuutta, millä suojataan Schengen-aluetta noudattaen perusoikeuksia koskevia jäsenvaltioiden ja Schengenin säännöstöön osallistuvien maiden sitoumuksia ja tuetaan yhteisen viisumipolitiikan yhdenmukaista täytäntöönpanoa ja uudistamista ja varmistetaan siten osaltaan turvallisuuden korkea taso jäsenvaltioissa ja Schengenin säännöstöön osallistuvissa maissa.</w:t>
      </w:r>
    </w:p>
    <w:p w:rsidR="00DF744E" w:rsidRPr="00AC786B" w:rsidRDefault="00DF744E" w:rsidP="00316BA9"/>
    <w:p w:rsidR="00DF744E" w:rsidRPr="00AC786B" w:rsidRDefault="00DF744E" w:rsidP="00316BA9">
      <w:r w:rsidRPr="00AC786B">
        <w:t>Lisäksi esittelijä katsoo, että ottaen huomioon Schengenin säännöstön erityisluonne ja sen yhdenmukaisen soveltamisen merkitys Schengen-alueen eheydelle kaikkia ohjelmien hallinnointiin sovellettavia sääntöjä olisi sovellettava Norjassa samalla tavalla kuin jäsenvaltioissa. Näin varmistetaan ulkorajojen valvonnan korkea ja yhdenmukainen taso.</w:t>
      </w:r>
    </w:p>
    <w:p w:rsidR="00DF744E" w:rsidRPr="00AC786B" w:rsidRDefault="00DF744E" w:rsidP="00316BA9">
      <w:r w:rsidRPr="00AC786B">
        <w:br/>
        <w:t>Sopimuksilla otetaan käyttöön erityisiä mekanismeja, joilla Norjan kanssa tehtyä sopimusta voidaan mukauttaa nopeasti, jos täytäntöönpanoa koskevaan keskeiseen unionin lainsäädäntöön, kuten varainhoitoasetukseen ja yhteisiä säännöksiä koskevaan asetukseen, tehdään muutoksia. Lisäksi sopimuksella varmistetaan, että BMVI:n väliarvioinnissa otetaan huomioon Schengenin säännöstöön osallistuvien maiden viivästynyt osallistuminen. Se sisältää myös Euroopan matkustustieto- ja -lupajärjestelmää (ETIAS) koskevan määräyksen. </w:t>
      </w:r>
    </w:p>
    <w:p w:rsidR="00DF744E" w:rsidRPr="00AC786B" w:rsidRDefault="00DF744E" w:rsidP="00316BA9"/>
    <w:p w:rsidR="00DF744E" w:rsidRPr="00AC786B" w:rsidRDefault="00DF744E" w:rsidP="00316BA9">
      <w:r w:rsidRPr="00AC786B">
        <w:t>Talousarvion ja varainhoidon valvonnan osalta jäsenvaltioihin sovelletaan horisontaalisia velvoitteita (esimerkiksi tilintarkastustuomioistuimen, Euroopan petostentorjuntaviraston (OLAF), EPPOn ja komission toimivalta) joko suoraan perussopimusten tai unionin johdetun oikeuden perusteella, edellä mainittu yhteisiä säännöksiä koskeva asetus mukaan lukien. Nämä velvoitteet koskevat jäsenvaltioita ipso facto, eikä niistä sen vuoksi säädetä BMVI-asetuksessa. Näin ollen nämä velvoitteet on ulotettava Norjaan tämän ehdotuksen kohteena olevan sopimuksen kautta.</w:t>
      </w:r>
      <w:bookmarkStart w:id="2" w:name="_GoBack"/>
      <w:bookmarkEnd w:id="2"/>
    </w:p>
    <w:p w:rsidR="00DF744E" w:rsidRPr="00AC786B" w:rsidRDefault="00DF744E" w:rsidP="00316BA9">
      <w:pPr>
        <w:rPr>
          <w:rFonts w:ascii="Arial" w:hAnsi="Arial" w:cs="Arial"/>
          <w:color w:val="222222"/>
          <w:spacing w:val="4"/>
          <w:sz w:val="21"/>
          <w:szCs w:val="21"/>
          <w:shd w:val="clear" w:color="auto" w:fill="FFFFFF"/>
        </w:rPr>
      </w:pPr>
    </w:p>
    <w:p w:rsidR="00DF744E" w:rsidRPr="00AC786B" w:rsidRDefault="00DF744E" w:rsidP="00316BA9">
      <w:r w:rsidRPr="00AC786B">
        <w:t>Kaiken kaikkiaan esittelijä pitää asianmukaisena Norjan kuningaskunnan osallistumiseen rajaturvallisuuden ja viisumipolitiikan rahoitustukivälineeseen (BMVI) osana yhdennetyn rajaturvallisuuden rahastoa liittyviä täydentäviä sääntöjä kaudella 2021–2027 koskevan sopimuksen tekemistä asetuksen (EU) 2021/1148 (BMVI-asetus) 7 artiklan 6 kohdan mukaisesti.</w:t>
      </w:r>
    </w:p>
    <w:p w:rsidR="00DF744E" w:rsidRPr="00AC786B" w:rsidRDefault="00DF744E" w:rsidP="00316BA9"/>
    <w:p w:rsidR="00DF744E" w:rsidRPr="00AC786B" w:rsidRDefault="00DF744E" w:rsidP="00316BA9">
      <w:r w:rsidRPr="00AC786B">
        <w:t>Edellä esitetyn perusteella esittelijä suosittelee, että parlamentti antaa hyväksyntänsä esitykselle neuvoston päätökseksi ja kehottaa puhemiestä välittämään parlamentin kannan neuvostolle ja komissiolle sekä jäsenvaltioiden hallituksille ja parlamenteille.</w:t>
      </w:r>
    </w:p>
    <w:p w:rsidR="00DF744E" w:rsidRPr="00AC786B" w:rsidRDefault="00DF744E" w:rsidP="00DF744E">
      <w:pPr>
        <w:jc w:val="both"/>
      </w:pPr>
    </w:p>
    <w:p w:rsidR="00DF744E" w:rsidRPr="00AC786B" w:rsidRDefault="00DF744E" w:rsidP="00DF744E"/>
    <w:sectPr w:rsidR="00DF744E" w:rsidRPr="00AC786B" w:rsidSect="005B40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3D3" w:rsidRPr="00AC786B" w:rsidRDefault="00C033D3">
      <w:r w:rsidRPr="00AC786B">
        <w:separator/>
      </w:r>
    </w:p>
  </w:endnote>
  <w:endnote w:type="continuationSeparator" w:id="0">
    <w:p w:rsidR="00C033D3" w:rsidRPr="00AC786B" w:rsidRDefault="00C033D3">
      <w:r w:rsidRPr="00AC7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86B" w:rsidRPr="00AC786B" w:rsidRDefault="00AC786B" w:rsidP="00AC786B">
    <w:pPr>
      <w:pStyle w:val="EPFooter"/>
    </w:pPr>
    <w:r w:rsidRPr="00AC786B">
      <w:t>PE</w:t>
    </w:r>
    <w:r w:rsidRPr="00AC786B">
      <w:rPr>
        <w:rStyle w:val="HideTWBExt"/>
      </w:rPr>
      <w:t>&lt;NoPE&gt;</w:t>
    </w:r>
    <w:r w:rsidRPr="00AC786B">
      <w:t>758.912</w:t>
    </w:r>
    <w:r w:rsidRPr="00AC786B">
      <w:rPr>
        <w:rStyle w:val="HideTWBExt"/>
      </w:rPr>
      <w:t>&lt;/NoPE&gt;&lt;Version&gt;</w:t>
    </w:r>
    <w:r w:rsidRPr="00AC786B">
      <w:t>v01-00</w:t>
    </w:r>
    <w:r w:rsidRPr="00AC786B">
      <w:rPr>
        <w:rStyle w:val="HideTWBExt"/>
      </w:rPr>
      <w:t>&lt;/Version&gt;</w:t>
    </w:r>
    <w:r w:rsidRPr="00AC786B">
      <w:tab/>
    </w:r>
    <w:r w:rsidRPr="00AC786B">
      <w:fldChar w:fldCharType="begin"/>
    </w:r>
    <w:r w:rsidRPr="00AC786B">
      <w:instrText xml:space="preserve"> PAGE  \* MERGEFORMAT </w:instrText>
    </w:r>
    <w:r w:rsidRPr="00AC786B">
      <w:fldChar w:fldCharType="separate"/>
    </w:r>
    <w:r w:rsidR="00316BA9">
      <w:rPr>
        <w:noProof/>
      </w:rPr>
      <w:t>6</w:t>
    </w:r>
    <w:r w:rsidRPr="00AC786B">
      <w:fldChar w:fldCharType="end"/>
    </w:r>
    <w:r w:rsidRPr="00AC786B">
      <w:t>/</w:t>
    </w:r>
    <w:fldSimple w:instr=" NUMPAGES  \* MERGEFORMAT ">
      <w:r w:rsidR="00316BA9">
        <w:rPr>
          <w:noProof/>
        </w:rPr>
        <w:t>6</w:t>
      </w:r>
    </w:fldSimple>
    <w:r w:rsidRPr="00AC786B">
      <w:tab/>
    </w:r>
    <w:r w:rsidRPr="00AC786B">
      <w:rPr>
        <w:rStyle w:val="HideTWBExt"/>
      </w:rPr>
      <w:t>&lt;PathFdR&gt;</w:t>
    </w:r>
    <w:r w:rsidRPr="00AC786B">
      <w:t>PR\1296233FI.docx</w:t>
    </w:r>
    <w:r w:rsidRPr="00AC786B">
      <w:rPr>
        <w:rStyle w:val="HideTWBExt"/>
      </w:rPr>
      <w:t>&lt;/PathFdR&gt;</w:t>
    </w:r>
  </w:p>
  <w:p w:rsidR="0085501C" w:rsidRPr="00AC786B" w:rsidRDefault="00AC786B" w:rsidP="00AC786B">
    <w:pPr>
      <w:pStyle w:val="EPFooter2"/>
    </w:pPr>
    <w:r w:rsidRPr="00AC786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86B" w:rsidRPr="00AC786B" w:rsidRDefault="00AC786B" w:rsidP="00AC786B">
    <w:pPr>
      <w:pStyle w:val="EPFooter"/>
    </w:pPr>
    <w:r w:rsidRPr="00AC786B">
      <w:rPr>
        <w:rStyle w:val="HideTWBExt"/>
      </w:rPr>
      <w:t>&lt;PathFdR&gt;</w:t>
    </w:r>
    <w:r w:rsidRPr="00AC786B">
      <w:t>PR\1296233FI.docx</w:t>
    </w:r>
    <w:r w:rsidRPr="00AC786B">
      <w:rPr>
        <w:rStyle w:val="HideTWBExt"/>
      </w:rPr>
      <w:t>&lt;/PathFdR&gt;</w:t>
    </w:r>
    <w:r w:rsidRPr="00AC786B">
      <w:tab/>
    </w:r>
    <w:r w:rsidRPr="00AC786B">
      <w:fldChar w:fldCharType="begin"/>
    </w:r>
    <w:r w:rsidRPr="00AC786B">
      <w:instrText xml:space="preserve"> PAGE  \* MERGEFORMAT </w:instrText>
    </w:r>
    <w:r w:rsidRPr="00AC786B">
      <w:fldChar w:fldCharType="separate"/>
    </w:r>
    <w:r w:rsidR="00316BA9">
      <w:rPr>
        <w:noProof/>
      </w:rPr>
      <w:t>5</w:t>
    </w:r>
    <w:r w:rsidRPr="00AC786B">
      <w:fldChar w:fldCharType="end"/>
    </w:r>
    <w:r w:rsidRPr="00AC786B">
      <w:t>/</w:t>
    </w:r>
    <w:fldSimple w:instr=" NUMPAGES  \* MERGEFORMAT ">
      <w:r w:rsidR="00316BA9">
        <w:rPr>
          <w:noProof/>
        </w:rPr>
        <w:t>6</w:t>
      </w:r>
    </w:fldSimple>
    <w:r w:rsidRPr="00AC786B">
      <w:tab/>
      <w:t>PE</w:t>
    </w:r>
    <w:r w:rsidRPr="00AC786B">
      <w:rPr>
        <w:rStyle w:val="HideTWBExt"/>
      </w:rPr>
      <w:t>&lt;NoPE&gt;</w:t>
    </w:r>
    <w:r w:rsidRPr="00AC786B">
      <w:t>758.912</w:t>
    </w:r>
    <w:r w:rsidRPr="00AC786B">
      <w:rPr>
        <w:rStyle w:val="HideTWBExt"/>
      </w:rPr>
      <w:t>&lt;/NoPE&gt;&lt;Version&gt;</w:t>
    </w:r>
    <w:r w:rsidRPr="00AC786B">
      <w:t>v01-00</w:t>
    </w:r>
    <w:r w:rsidRPr="00AC786B">
      <w:rPr>
        <w:rStyle w:val="HideTWBExt"/>
      </w:rPr>
      <w:t>&lt;/Version&gt;</w:t>
    </w:r>
  </w:p>
  <w:p w:rsidR="0085501C" w:rsidRPr="00AC786B" w:rsidRDefault="00AC786B" w:rsidP="00AC786B">
    <w:pPr>
      <w:pStyle w:val="EPFooter2"/>
    </w:pPr>
    <w:r w:rsidRPr="00AC786B">
      <w:tab/>
    </w:r>
    <w:r w:rsidRPr="00AC786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86B" w:rsidRPr="00AC786B" w:rsidRDefault="00AC786B" w:rsidP="00AC786B">
    <w:pPr>
      <w:pStyle w:val="EPFooter"/>
    </w:pPr>
    <w:r w:rsidRPr="00AC786B">
      <w:rPr>
        <w:rStyle w:val="HideTWBExt"/>
      </w:rPr>
      <w:t>&lt;PathFdR&gt;</w:t>
    </w:r>
    <w:r w:rsidRPr="00AC786B">
      <w:t>PR\1296233FI.docx</w:t>
    </w:r>
    <w:r w:rsidRPr="00AC786B">
      <w:rPr>
        <w:rStyle w:val="HideTWBExt"/>
      </w:rPr>
      <w:t>&lt;/PathFdR&gt;</w:t>
    </w:r>
    <w:r w:rsidRPr="00AC786B">
      <w:tab/>
    </w:r>
    <w:r w:rsidRPr="00AC786B">
      <w:tab/>
      <w:t>PE</w:t>
    </w:r>
    <w:r w:rsidRPr="00AC786B">
      <w:rPr>
        <w:rStyle w:val="HideTWBExt"/>
      </w:rPr>
      <w:t>&lt;NoPE&gt;</w:t>
    </w:r>
    <w:r w:rsidRPr="00AC786B">
      <w:t>758.912</w:t>
    </w:r>
    <w:r w:rsidRPr="00AC786B">
      <w:rPr>
        <w:rStyle w:val="HideTWBExt"/>
      </w:rPr>
      <w:t>&lt;/NoPE&gt;&lt;Version&gt;</w:t>
    </w:r>
    <w:r w:rsidRPr="00AC786B">
      <w:t>v01-00</w:t>
    </w:r>
    <w:r w:rsidRPr="00AC786B">
      <w:rPr>
        <w:rStyle w:val="HideTWBExt"/>
      </w:rPr>
      <w:t>&lt;/Version&gt;</w:t>
    </w:r>
  </w:p>
  <w:p w:rsidR="0085501C" w:rsidRPr="00AC786B" w:rsidRDefault="00AC786B" w:rsidP="00AC786B">
    <w:pPr>
      <w:pStyle w:val="EPFooter2"/>
    </w:pPr>
    <w:r w:rsidRPr="00AC786B">
      <w:t>FI</w:t>
    </w:r>
    <w:r w:rsidRPr="00AC786B">
      <w:tab/>
    </w:r>
    <w:r w:rsidRPr="00AC786B">
      <w:rPr>
        <w:b w:val="0"/>
        <w:i/>
        <w:color w:val="C0C0C0"/>
        <w:sz w:val="22"/>
      </w:rPr>
      <w:t>Moninaisuudessaan yhtenäinen</w:t>
    </w:r>
    <w:r w:rsidRPr="00AC786B">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3D3" w:rsidRPr="00AC786B" w:rsidRDefault="00C033D3">
      <w:r w:rsidRPr="00AC786B">
        <w:separator/>
      </w:r>
    </w:p>
  </w:footnote>
  <w:footnote w:type="continuationSeparator" w:id="0">
    <w:p w:rsidR="00C033D3" w:rsidRPr="00AC786B" w:rsidRDefault="00C033D3">
      <w:r w:rsidRPr="00AC78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BA9" w:rsidRDefault="00316B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BA9" w:rsidRDefault="00316B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BA9" w:rsidRDefault="00316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Charlie Weimers"/>
    <w:docVar w:name="TXTLANGUE" w:val="EN"/>
    <w:docVar w:name="TXTLANGUEMIN" w:val="en"/>
    <w:docVar w:name="TXTNRC" w:val="0002/2023"/>
    <w:docVar w:name="TXTNRCOUNC" w:val="12129/2023"/>
    <w:docVar w:name="TXTNRNLE" w:val="2023/0224"/>
    <w:docVar w:name="TXTNRPE" w:val="758.912"/>
    <w:docVar w:name="TXTPEorAP" w:val="PE"/>
    <w:docVar w:name="TXTROUTE" w:val="PR\1296233EN.docx"/>
    <w:docVar w:name="TXTTITLE" w:val="on the conclusion, on behalf of the Union, of the Agreement between the European Union and the Kingdom of Norway on supplementary rules in relation to the Instrument for Financial Support for Border Management and Visa Policy, as part of the Integrated Border Management Fund, for the period 2021 to 2027"/>
    <w:docVar w:name="TXTVERSION" w:val="01-00"/>
  </w:docVars>
  <w:rsids>
    <w:rsidRoot w:val="00C033D3"/>
    <w:rsid w:val="00001D52"/>
    <w:rsid w:val="0000443F"/>
    <w:rsid w:val="000053E3"/>
    <w:rsid w:val="0006167F"/>
    <w:rsid w:val="00061EFE"/>
    <w:rsid w:val="00095D8B"/>
    <w:rsid w:val="000A2F73"/>
    <w:rsid w:val="000C123D"/>
    <w:rsid w:val="000D78AF"/>
    <w:rsid w:val="0017577E"/>
    <w:rsid w:val="00180664"/>
    <w:rsid w:val="001874D8"/>
    <w:rsid w:val="001D02E3"/>
    <w:rsid w:val="001F7BBE"/>
    <w:rsid w:val="0021049A"/>
    <w:rsid w:val="0022685A"/>
    <w:rsid w:val="002D7E87"/>
    <w:rsid w:val="002E2E20"/>
    <w:rsid w:val="002F5A83"/>
    <w:rsid w:val="003072BE"/>
    <w:rsid w:val="00316BA9"/>
    <w:rsid w:val="00337C92"/>
    <w:rsid w:val="00363B94"/>
    <w:rsid w:val="003B598C"/>
    <w:rsid w:val="003D7C1A"/>
    <w:rsid w:val="004174FC"/>
    <w:rsid w:val="00434884"/>
    <w:rsid w:val="00460BD6"/>
    <w:rsid w:val="00480A7C"/>
    <w:rsid w:val="004859B3"/>
    <w:rsid w:val="00493F66"/>
    <w:rsid w:val="004C083C"/>
    <w:rsid w:val="004E1650"/>
    <w:rsid w:val="0053367A"/>
    <w:rsid w:val="00544D48"/>
    <w:rsid w:val="005656F0"/>
    <w:rsid w:val="005877C0"/>
    <w:rsid w:val="005A6B14"/>
    <w:rsid w:val="005B40ED"/>
    <w:rsid w:val="005D0B97"/>
    <w:rsid w:val="005F5D6C"/>
    <w:rsid w:val="006132CE"/>
    <w:rsid w:val="00613F2E"/>
    <w:rsid w:val="00617C4E"/>
    <w:rsid w:val="006863DC"/>
    <w:rsid w:val="006A1A75"/>
    <w:rsid w:val="006A2CF5"/>
    <w:rsid w:val="006F1B6F"/>
    <w:rsid w:val="00791637"/>
    <w:rsid w:val="007A017D"/>
    <w:rsid w:val="0080122F"/>
    <w:rsid w:val="00822206"/>
    <w:rsid w:val="00830B82"/>
    <w:rsid w:val="008368CB"/>
    <w:rsid w:val="0085501C"/>
    <w:rsid w:val="0086493B"/>
    <w:rsid w:val="00893FBD"/>
    <w:rsid w:val="008B75A4"/>
    <w:rsid w:val="008D23C6"/>
    <w:rsid w:val="008D3030"/>
    <w:rsid w:val="008E3848"/>
    <w:rsid w:val="00924EE0"/>
    <w:rsid w:val="009612AA"/>
    <w:rsid w:val="009E39A7"/>
    <w:rsid w:val="00A0058E"/>
    <w:rsid w:val="00A10EA0"/>
    <w:rsid w:val="00A34FBE"/>
    <w:rsid w:val="00A415B7"/>
    <w:rsid w:val="00A9084C"/>
    <w:rsid w:val="00A93B1D"/>
    <w:rsid w:val="00AC786B"/>
    <w:rsid w:val="00AD5D0C"/>
    <w:rsid w:val="00B15B7C"/>
    <w:rsid w:val="00B31D18"/>
    <w:rsid w:val="00B42885"/>
    <w:rsid w:val="00B50C20"/>
    <w:rsid w:val="00B6769C"/>
    <w:rsid w:val="00BB22CC"/>
    <w:rsid w:val="00BB41C8"/>
    <w:rsid w:val="00BE5E72"/>
    <w:rsid w:val="00BF0A0F"/>
    <w:rsid w:val="00BF2E15"/>
    <w:rsid w:val="00BF7F55"/>
    <w:rsid w:val="00C033D3"/>
    <w:rsid w:val="00C05DD8"/>
    <w:rsid w:val="00C15447"/>
    <w:rsid w:val="00C35D01"/>
    <w:rsid w:val="00CB5651"/>
    <w:rsid w:val="00CC20CB"/>
    <w:rsid w:val="00CF44DF"/>
    <w:rsid w:val="00D04E0B"/>
    <w:rsid w:val="00D62DA0"/>
    <w:rsid w:val="00D6543C"/>
    <w:rsid w:val="00D804D3"/>
    <w:rsid w:val="00DF594D"/>
    <w:rsid w:val="00DF744E"/>
    <w:rsid w:val="00E14FEE"/>
    <w:rsid w:val="00E565D6"/>
    <w:rsid w:val="00E71368"/>
    <w:rsid w:val="00E90FB8"/>
    <w:rsid w:val="00E93816"/>
    <w:rsid w:val="00EA59ED"/>
    <w:rsid w:val="00ED3987"/>
    <w:rsid w:val="00EE0D2F"/>
    <w:rsid w:val="00EF25A2"/>
    <w:rsid w:val="00EF48F2"/>
    <w:rsid w:val="00F04010"/>
    <w:rsid w:val="00F901A1"/>
    <w:rsid w:val="00FA6FD4"/>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CFEDF9-3C62-4CB5-A940-8D2F05A7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A6FD4"/>
    <w:pPr>
      <w:tabs>
        <w:tab w:val="right" w:pos="454"/>
        <w:tab w:val="left" w:pos="737"/>
      </w:tabs>
      <w:ind w:left="737" w:hanging="737"/>
    </w:pPr>
    <w:rPr>
      <w:snapToGrid w:val="0"/>
      <w:sz w:val="18"/>
      <w:lang w:eastAsia="en-US"/>
    </w:rPr>
  </w:style>
  <w:style w:type="paragraph" w:customStyle="1" w:styleId="Lgendetitre">
    <w:name w:val="Légende titre"/>
    <w:basedOn w:val="Normal"/>
    <w:rsid w:val="00FA6FD4"/>
    <w:pPr>
      <w:spacing w:before="240" w:after="240"/>
    </w:pPr>
    <w:rPr>
      <w:b/>
      <w:i/>
      <w:snapToGrid w:val="0"/>
      <w:lang w:eastAsia="en-US"/>
    </w:rPr>
  </w:style>
  <w:style w:type="paragraph" w:customStyle="1" w:styleId="Lgendestandard">
    <w:name w:val="Légende standard"/>
    <w:basedOn w:val="Normal"/>
    <w:rsid w:val="00FA6FD4"/>
    <w:rPr>
      <w:sz w:val="18"/>
    </w:rPr>
  </w:style>
  <w:style w:type="paragraph" w:styleId="FootnoteText">
    <w:name w:val="footnote text"/>
    <w:basedOn w:val="Normal"/>
    <w:link w:val="FootnoteTextChar"/>
    <w:uiPriority w:val="99"/>
    <w:unhideWhenUsed/>
    <w:rsid w:val="005B40ED"/>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5B40ED"/>
    <w:rPr>
      <w:rFonts w:eastAsiaTheme="minorHAnsi"/>
      <w:sz w:val="24"/>
      <w:lang w:eastAsia="en-US"/>
    </w:rPr>
  </w:style>
  <w:style w:type="character" w:styleId="FootnoteReference">
    <w:name w:val="footnote reference"/>
    <w:basedOn w:val="DefaultParagraphFont"/>
    <w:uiPriority w:val="99"/>
    <w:unhideWhenUsed/>
    <w:rsid w:val="005B40ED"/>
    <w:rPr>
      <w:b/>
      <w:bdr w:val="none" w:sz="0" w:space="0" w:color="auto"/>
      <w:shd w:val="clear" w:color="auto" w:fill="auto"/>
      <w:vertAlign w:val="superscript"/>
    </w:rPr>
  </w:style>
  <w:style w:type="paragraph" w:styleId="Footer">
    <w:name w:val="footer"/>
    <w:basedOn w:val="Normal"/>
    <w:link w:val="FooterChar"/>
    <w:semiHidden/>
    <w:rsid w:val="007A017D"/>
    <w:pPr>
      <w:tabs>
        <w:tab w:val="center" w:pos="4513"/>
        <w:tab w:val="right" w:pos="9026"/>
      </w:tabs>
    </w:pPr>
  </w:style>
  <w:style w:type="character" w:customStyle="1" w:styleId="FooterChar">
    <w:name w:val="Footer Char"/>
    <w:basedOn w:val="DefaultParagraphFont"/>
    <w:link w:val="Footer"/>
    <w:semiHidden/>
    <w:rsid w:val="007A017D"/>
    <w:rPr>
      <w:sz w:val="24"/>
    </w:rPr>
  </w:style>
  <w:style w:type="paragraph" w:styleId="BalloonText">
    <w:name w:val="Balloon Text"/>
    <w:basedOn w:val="Normal"/>
    <w:link w:val="BalloonTextChar"/>
    <w:semiHidden/>
    <w:unhideWhenUsed/>
    <w:rsid w:val="00A9084C"/>
    <w:rPr>
      <w:rFonts w:ascii="Segoe UI" w:hAnsi="Segoe UI" w:cs="Segoe UI"/>
      <w:sz w:val="18"/>
      <w:szCs w:val="18"/>
    </w:rPr>
  </w:style>
  <w:style w:type="character" w:customStyle="1" w:styleId="BalloonTextChar">
    <w:name w:val="Balloon Text Char"/>
    <w:basedOn w:val="DefaultParagraphFont"/>
    <w:link w:val="BalloonText"/>
    <w:semiHidden/>
    <w:rsid w:val="00A908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B85D7-9689-4BF8-A221-DBA7B35EA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559</Words>
  <Characters>5003</Characters>
  <Application>Microsoft Office Word</Application>
  <DocSecurity>0</DocSecurity>
  <Lines>116</Lines>
  <Paragraphs>50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LAAKSO-JOKI Sari</cp:lastModifiedBy>
  <cp:revision>2</cp:revision>
  <cp:lastPrinted>2024-02-06T15:56:00Z</cp:lastPrinted>
  <dcterms:created xsi:type="dcterms:W3CDTF">2024-02-28T10:20:00Z</dcterms:created>
  <dcterms:modified xsi:type="dcterms:W3CDTF">2024-02-28T10:20:00Z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9.17.1 Build [20240111]</vt:lpwstr>
  </property>
  <property fmtid="{D5CDD505-2E9C-101B-9397-08002B2CF9AE}" pid="4" name="LastEdited with">
    <vt:lpwstr>9.17.1 Build [20240120]</vt:lpwstr>
  </property>
  <property fmtid="{D5CDD505-2E9C-101B-9397-08002B2CF9AE}" pid="5" name="&lt;FdR&gt;">
    <vt:lpwstr>1296233</vt:lpwstr>
  </property>
  <property fmtid="{D5CDD505-2E9C-101B-9397-08002B2CF9AE}" pid="6" name="&lt;Type&gt;">
    <vt:lpwstr>PR</vt:lpwstr>
  </property>
  <property fmtid="{D5CDD505-2E9C-101B-9397-08002B2CF9AE}" pid="7" name="&lt;ModelCod&gt;">
    <vt:lpwstr>\\eiciBRUpr1\pdocep$\DocEP\DOCS\General\PR\PR_Leg\NLE\PR_NLE-AP_Agreement.dotx(17/04/2020 18:28:04)</vt:lpwstr>
  </property>
  <property fmtid="{D5CDD505-2E9C-101B-9397-08002B2CF9AE}" pid="8" name="&lt;ModelTra&gt;">
    <vt:lpwstr>\\eiciBRUpr1\pdocep$\DocEP\TRANSFIL\EN\PR_NLE-AP_Agreement.EN(29/06/2022 09:21:42)</vt:lpwstr>
  </property>
  <property fmtid="{D5CDD505-2E9C-101B-9397-08002B2CF9AE}" pid="9" name="&lt;Model&gt;">
    <vt:lpwstr>PR_NLE-AP_Agreement</vt:lpwstr>
  </property>
  <property fmtid="{D5CDD505-2E9C-101B-9397-08002B2CF9AE}" pid="10" name="FooterPath">
    <vt:lpwstr>PR\1296233FI.docx</vt:lpwstr>
  </property>
  <property fmtid="{D5CDD505-2E9C-101B-9397-08002B2CF9AE}" pid="11" name="PE number">
    <vt:lpwstr>758.912</vt:lpwstr>
  </property>
  <property fmtid="{D5CDD505-2E9C-101B-9397-08002B2CF9AE}" pid="12" name="SendToEpades">
    <vt:lpwstr>OK - 2024/02/16 10:43</vt:lpwstr>
  </property>
  <property fmtid="{D5CDD505-2E9C-101B-9397-08002B2CF9AE}" pid="13" name="SDLStudio">
    <vt:lpwstr/>
  </property>
  <property fmtid="{D5CDD505-2E9C-101B-9397-08002B2CF9AE}" pid="14" name="Bookout">
    <vt:lpwstr>OK - 2024/02/28 11:20</vt:lpwstr>
  </property>
</Properties>
</file>