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44640E" w:rsidTr="00C85D0F">
        <w:trPr>
          <w:trHeight w:hRule="exact" w:val="1418"/>
        </w:trPr>
        <w:tc>
          <w:tcPr>
            <w:tcW w:w="6804" w:type="dxa"/>
            <w:shd w:val="clear" w:color="auto" w:fill="auto"/>
            <w:vAlign w:val="center"/>
          </w:tcPr>
          <w:p w:rsidR="00C05DD8" w:rsidRPr="0044640E" w:rsidRDefault="00C033D3" w:rsidP="00C85D0F">
            <w:pPr>
              <w:pStyle w:val="EPName"/>
            </w:pPr>
            <w:bookmarkStart w:id="0" w:name="_GoBack"/>
            <w:bookmarkEnd w:id="0"/>
            <w:r>
              <w:t>Parlamento europeo</w:t>
            </w:r>
          </w:p>
          <w:p w:rsidR="00C05DD8" w:rsidRPr="0044640E" w:rsidRDefault="00FA6FD4" w:rsidP="00FA6FD4">
            <w:pPr>
              <w:pStyle w:val="EPTerm"/>
            </w:pPr>
            <w:r>
              <w:t>2019-2024</w:t>
            </w:r>
          </w:p>
        </w:tc>
        <w:tc>
          <w:tcPr>
            <w:tcW w:w="2268" w:type="dxa"/>
            <w:shd w:val="clear" w:color="auto" w:fill="auto"/>
          </w:tcPr>
          <w:p w:rsidR="00C05DD8" w:rsidRPr="0044640E" w:rsidRDefault="00C05DD8" w:rsidP="00C85D0F">
            <w:pPr>
              <w:pStyle w:val="EPLogo"/>
            </w:pPr>
            <w:r w:rsidRPr="0044640E">
              <w:rPr>
                <w:noProof/>
                <w:lang w:eastAsia="it-IT"/>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44640E" w:rsidRDefault="009612AA" w:rsidP="009612AA">
      <w:pPr>
        <w:pStyle w:val="LineTop"/>
      </w:pPr>
    </w:p>
    <w:p w:rsidR="009612AA" w:rsidRPr="0044640E" w:rsidRDefault="009612AA" w:rsidP="009612AA">
      <w:pPr>
        <w:pStyle w:val="EPBody"/>
      </w:pPr>
      <w:r>
        <w:rPr>
          <w:rStyle w:val="HideTWBExt"/>
        </w:rPr>
        <w:t>&lt;</w:t>
      </w:r>
      <w:r>
        <w:rPr>
          <w:rStyle w:val="HideTWBExt"/>
          <w:i w:val="0"/>
        </w:rPr>
        <w:t>Commission</w:t>
      </w:r>
      <w:r>
        <w:rPr>
          <w:rStyle w:val="HideTWBExt"/>
        </w:rPr>
        <w:t>&gt;</w:t>
      </w:r>
      <w:r>
        <w:rPr>
          <w:rStyle w:val="HideTWBInt"/>
        </w:rPr>
        <w:t>{LIBE}</w:t>
      </w:r>
      <w:r>
        <w:t>Commissione per le libertà civili, la giustizia e gli affari interni</w:t>
      </w:r>
      <w:r>
        <w:rPr>
          <w:rStyle w:val="HideTWBExt"/>
        </w:rPr>
        <w:t>&lt;/</w:t>
      </w:r>
      <w:r>
        <w:rPr>
          <w:rStyle w:val="HideTWBExt"/>
          <w:i w:val="0"/>
        </w:rPr>
        <w:t>Commission</w:t>
      </w:r>
      <w:r>
        <w:rPr>
          <w:rStyle w:val="HideTWBExt"/>
        </w:rPr>
        <w:t>&gt;</w:t>
      </w:r>
    </w:p>
    <w:p w:rsidR="009612AA" w:rsidRPr="0044640E" w:rsidRDefault="009612AA" w:rsidP="009612AA">
      <w:pPr>
        <w:pStyle w:val="LineBottom"/>
      </w:pPr>
    </w:p>
    <w:p w:rsidR="00363B94" w:rsidRPr="0044640E" w:rsidRDefault="00363B94">
      <w:pPr>
        <w:pStyle w:val="CoverReference"/>
      </w:pPr>
      <w:r>
        <w:rPr>
          <w:rStyle w:val="HideTWBExt"/>
          <w:b w:val="0"/>
        </w:rPr>
        <w:t>&lt;RefProc&gt;</w:t>
      </w:r>
      <w:r>
        <w:t>2023/0224</w:t>
      </w:r>
      <w:r>
        <w:rPr>
          <w:rStyle w:val="HideTWBExt"/>
          <w:b w:val="0"/>
        </w:rPr>
        <w:t>&lt;/RefProc&gt;&lt;RefTypeProc&gt;</w:t>
      </w:r>
      <w:r>
        <w:t>(NLE)</w:t>
      </w:r>
      <w:r>
        <w:rPr>
          <w:rStyle w:val="HideTWBExt"/>
          <w:b w:val="0"/>
        </w:rPr>
        <w:t>&lt;/RefTypeProc&gt;</w:t>
      </w:r>
    </w:p>
    <w:p w:rsidR="00363B94" w:rsidRPr="0044640E" w:rsidRDefault="00363B94">
      <w:pPr>
        <w:pStyle w:val="CoverDate"/>
      </w:pPr>
      <w:r>
        <w:rPr>
          <w:rStyle w:val="HideTWBExt"/>
        </w:rPr>
        <w:t>&lt;Date&gt;</w:t>
      </w:r>
      <w:r>
        <w:rPr>
          <w:rStyle w:val="HideTWBInt"/>
        </w:rPr>
        <w:t>{16/02/2024}</w:t>
      </w:r>
      <w:r>
        <w:t>16.2.2024</w:t>
      </w:r>
      <w:r>
        <w:rPr>
          <w:rStyle w:val="HideTWBExt"/>
        </w:rPr>
        <w:t>&lt;/Date&gt;</w:t>
      </w:r>
    </w:p>
    <w:p w:rsidR="00363B94" w:rsidRPr="0044640E" w:rsidRDefault="00363B94">
      <w:pPr>
        <w:pStyle w:val="CoverDocType"/>
      </w:pPr>
      <w:r>
        <w:rPr>
          <w:rStyle w:val="HideTWBExt"/>
          <w:b w:val="0"/>
        </w:rPr>
        <w:t>&lt;RefProcLect&gt;</w:t>
      </w:r>
      <w:r>
        <w:t>***</w:t>
      </w:r>
      <w:r>
        <w:rPr>
          <w:rStyle w:val="HideTWBExt"/>
          <w:b w:val="0"/>
        </w:rPr>
        <w:t>&lt;/RefProcLect&gt;</w:t>
      </w:r>
    </w:p>
    <w:p w:rsidR="00363B94" w:rsidRPr="0044640E" w:rsidRDefault="00363B94">
      <w:pPr>
        <w:pStyle w:val="CoverDocType24a"/>
      </w:pPr>
      <w:r>
        <w:rPr>
          <w:rStyle w:val="HideTWBExt"/>
          <w:b w:val="0"/>
        </w:rPr>
        <w:t>&lt;TitreType&gt;</w:t>
      </w:r>
      <w:r>
        <w:t>PROGETTO DI RACCOMANDAZIONE</w:t>
      </w:r>
      <w:r>
        <w:rPr>
          <w:rStyle w:val="HideTWBExt"/>
          <w:b w:val="0"/>
        </w:rPr>
        <w:t>&lt;/TitreType&gt;</w:t>
      </w:r>
    </w:p>
    <w:p w:rsidR="00363B94" w:rsidRPr="0044640E" w:rsidRDefault="00363B94">
      <w:pPr>
        <w:pStyle w:val="CoverNormal"/>
      </w:pPr>
      <w:r>
        <w:rPr>
          <w:rStyle w:val="HideTWBExt"/>
        </w:rPr>
        <w:t>&lt;Titre&gt;</w:t>
      </w:r>
      <w:r>
        <w:t>concernente il progetto di decisione del Consiglio relativa alla conclusione, a nome dell'Unione, dell'accordo tra l'Unione europea e il Regno di Norvegia su disposizioni complementari in relazione allo Strumento di sostegno finanziario per la gestione delle frontiere e la politica dei visti, nell'ambito del Fondo per la gestione integrata delle frontiere, per il periodo 2021-2027</w:t>
      </w:r>
      <w:r>
        <w:rPr>
          <w:rStyle w:val="HideTWBExt"/>
        </w:rPr>
        <w:t>&lt;/Titre&gt;</w:t>
      </w:r>
    </w:p>
    <w:p w:rsidR="00363B94" w:rsidRPr="0044640E" w:rsidRDefault="00363B94">
      <w:pPr>
        <w:pStyle w:val="CoverNormal24a"/>
      </w:pPr>
      <w:r>
        <w:rPr>
          <w:rStyle w:val="HideTWBExt"/>
        </w:rPr>
        <w:t>&lt;DocRef&gt;</w:t>
      </w:r>
      <w:r>
        <w:t>(12129/2023 – C9</w:t>
      </w:r>
      <w:r>
        <w:noBreakHyphen/>
        <w:t>0002/2023 – 2023/0224(NLE))</w:t>
      </w:r>
      <w:r>
        <w:rPr>
          <w:rStyle w:val="HideTWBExt"/>
        </w:rPr>
        <w:t>&lt;/DocRef&gt;</w:t>
      </w:r>
    </w:p>
    <w:p w:rsidR="00363B94" w:rsidRPr="0044640E" w:rsidRDefault="00363B94">
      <w:pPr>
        <w:pStyle w:val="CoverNormal24a"/>
      </w:pPr>
      <w:r>
        <w:rPr>
          <w:rStyle w:val="HideTWBExt"/>
        </w:rPr>
        <w:t>&lt;Commission&gt;</w:t>
      </w:r>
      <w:r>
        <w:rPr>
          <w:rStyle w:val="HideTWBInt"/>
        </w:rPr>
        <w:t>{LIBE}</w:t>
      </w:r>
      <w:r>
        <w:t>Commissione per le libertà civili, la giustizia e gli affari interni</w:t>
      </w:r>
      <w:r>
        <w:rPr>
          <w:rStyle w:val="HideTWBExt"/>
        </w:rPr>
        <w:t>&lt;/Commission&gt;</w:t>
      </w:r>
    </w:p>
    <w:p w:rsidR="00363B94" w:rsidRPr="0044640E" w:rsidRDefault="00C033D3">
      <w:pPr>
        <w:pStyle w:val="CoverNormal24a"/>
      </w:pPr>
      <w:r>
        <w:t xml:space="preserve">Relatore: </w:t>
      </w:r>
      <w:r>
        <w:rPr>
          <w:rStyle w:val="HideTWBExt"/>
        </w:rPr>
        <w:t>&lt;Depute&gt;</w:t>
      </w:r>
      <w:r>
        <w:t>Charlie Weimers</w:t>
      </w:r>
      <w:r>
        <w:rPr>
          <w:rStyle w:val="HideTWBExt"/>
        </w:rPr>
        <w:t>&lt;/Depute&gt;</w:t>
      </w:r>
    </w:p>
    <w:p w:rsidR="00B42885" w:rsidRPr="0044640E" w:rsidRDefault="00B42885" w:rsidP="00B42885">
      <w:pPr>
        <w:pStyle w:val="CoverNormal"/>
      </w:pPr>
    </w:p>
    <w:p w:rsidR="00FA6FD4" w:rsidRPr="0044640E" w:rsidRDefault="00363B94" w:rsidP="00016E55">
      <w:r>
        <w:br w:type="page"/>
      </w:r>
      <w:r w:rsidR="00D07FF7">
        <w:lastRenderedPageBreak/>
        <w:fldChar w:fldCharType="begin"/>
      </w:r>
      <w:r w:rsidR="00D07FF7">
        <w:instrText xml:space="preserve"> TITLE  \* MERGEFORMAT </w:instrText>
      </w:r>
      <w:r w:rsidR="00D07FF7">
        <w:fldChar w:fldCharType="separate"/>
      </w:r>
      <w:r w:rsidR="00D07FF7">
        <w:t>PR_NLE-AP_Agreement</w:t>
      </w:r>
      <w:r w:rsidR="00D07FF7">
        <w:fldChar w:fldCharType="end"/>
      </w:r>
    </w:p>
    <w:p w:rsidR="00FA6FD4" w:rsidRPr="0044640E" w:rsidRDefault="00FA6FD4" w:rsidP="00016E55"/>
    <w:p w:rsidR="00FA6FD4" w:rsidRPr="0044640E" w:rsidRDefault="00FA6FD4"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A6FD4" w:rsidRPr="0044640E">
        <w:tc>
          <w:tcPr>
            <w:tcW w:w="5811" w:type="dxa"/>
          </w:tcPr>
          <w:p w:rsidR="00FA6FD4" w:rsidRPr="0044640E" w:rsidRDefault="00FA6FD4" w:rsidP="00016E55">
            <w:pPr>
              <w:pStyle w:val="Lgendetitre"/>
            </w:pPr>
            <w:r>
              <w:t>Significato dei simboli utilizzati</w:t>
            </w:r>
          </w:p>
        </w:tc>
      </w:tr>
      <w:tr w:rsidR="00FA6FD4" w:rsidRPr="0044640E" w:rsidTr="004247A2">
        <w:trPr>
          <w:cantSplit/>
          <w:trHeight w:val="1807"/>
        </w:trPr>
        <w:tc>
          <w:tcPr>
            <w:tcW w:w="5811" w:type="dxa"/>
            <w:tcBorders>
              <w:bottom w:val="single" w:sz="4" w:space="0" w:color="auto"/>
            </w:tcBorders>
          </w:tcPr>
          <w:p w:rsidR="00FA6FD4" w:rsidRPr="0044640E" w:rsidRDefault="00FA6FD4" w:rsidP="00717061">
            <w:pPr>
              <w:pStyle w:val="Lgendesigne"/>
            </w:pPr>
            <w:r>
              <w:tab/>
              <w:t>*</w:t>
            </w:r>
            <w:r>
              <w:tab/>
              <w:t>Procedura di consultazione</w:t>
            </w:r>
          </w:p>
          <w:p w:rsidR="00FA6FD4" w:rsidRPr="0044640E" w:rsidRDefault="00FA6FD4" w:rsidP="00717061">
            <w:pPr>
              <w:pStyle w:val="Lgendesigne"/>
            </w:pPr>
            <w:r>
              <w:tab/>
              <w:t>***</w:t>
            </w:r>
            <w:r>
              <w:tab/>
              <w:t>Procedura di approvazione</w:t>
            </w:r>
          </w:p>
          <w:p w:rsidR="00FA6FD4" w:rsidRPr="0044640E" w:rsidRDefault="00FA6FD4" w:rsidP="00717061">
            <w:pPr>
              <w:pStyle w:val="Lgendesigne"/>
            </w:pPr>
            <w:r>
              <w:tab/>
              <w:t>***I</w:t>
            </w:r>
            <w:r>
              <w:tab/>
              <w:t>Procedura legislativa ordinaria (prima lettura)</w:t>
            </w:r>
          </w:p>
          <w:p w:rsidR="00FA6FD4" w:rsidRPr="0044640E" w:rsidRDefault="00FA6FD4" w:rsidP="00717061">
            <w:pPr>
              <w:pStyle w:val="Lgendesigne"/>
            </w:pPr>
            <w:r>
              <w:tab/>
              <w:t>***II</w:t>
            </w:r>
            <w:r>
              <w:tab/>
              <w:t>Procedura legislativa ordinaria (seconda lettura)</w:t>
            </w:r>
          </w:p>
          <w:p w:rsidR="00FA6FD4" w:rsidRPr="0044640E" w:rsidRDefault="00FA6FD4" w:rsidP="00717061">
            <w:pPr>
              <w:pStyle w:val="Lgendesigne"/>
            </w:pPr>
            <w:r>
              <w:tab/>
              <w:t>***III</w:t>
            </w:r>
            <w:r>
              <w:tab/>
              <w:t>Procedura legislativa ordinaria (terza lettura)</w:t>
            </w:r>
          </w:p>
          <w:p w:rsidR="00FA6FD4" w:rsidRPr="0044640E" w:rsidRDefault="00FA6FD4" w:rsidP="00717061">
            <w:pPr>
              <w:pStyle w:val="Lgendestandard"/>
            </w:pPr>
          </w:p>
          <w:p w:rsidR="00FA6FD4" w:rsidRPr="0044640E" w:rsidRDefault="00FA6FD4" w:rsidP="00717061">
            <w:pPr>
              <w:pStyle w:val="Lgendestandard"/>
            </w:pPr>
            <w:r>
              <w:t>(La procedura indicata dipende dalla base giuridica proposta nel progetto di atto)</w:t>
            </w:r>
          </w:p>
          <w:p w:rsidR="00FA6FD4" w:rsidRPr="0044640E" w:rsidRDefault="00FA6FD4" w:rsidP="00B837B7">
            <w:pPr>
              <w:pStyle w:val="Lgendestandard"/>
            </w:pPr>
          </w:p>
        </w:tc>
      </w:tr>
    </w:tbl>
    <w:p w:rsidR="00FA6FD4" w:rsidRPr="0044640E" w:rsidRDefault="00FA6FD4" w:rsidP="00016E55"/>
    <w:p w:rsidR="00363B94" w:rsidRPr="0044640E" w:rsidRDefault="00363B94" w:rsidP="00613F2E">
      <w:pPr>
        <w:widowControl/>
        <w:tabs>
          <w:tab w:val="center" w:pos="4677"/>
        </w:tabs>
      </w:pPr>
    </w:p>
    <w:p w:rsidR="00363B94" w:rsidRPr="0044640E" w:rsidRDefault="00363B94">
      <w:pPr>
        <w:pStyle w:val="TOCHeading"/>
      </w:pPr>
      <w:r>
        <w:br w:type="page"/>
      </w:r>
      <w:r>
        <w:lastRenderedPageBreak/>
        <w:t>INDICE</w:t>
      </w:r>
    </w:p>
    <w:p w:rsidR="00363B94" w:rsidRPr="0044640E" w:rsidRDefault="00C033D3">
      <w:pPr>
        <w:pStyle w:val="TOCPage"/>
      </w:pPr>
      <w:r>
        <w:t>Pagina</w:t>
      </w:r>
    </w:p>
    <w:p w:rsidR="00D07FF7" w:rsidRDefault="00EF48F2">
      <w:pPr>
        <w:pStyle w:val="TOC1"/>
        <w:tabs>
          <w:tab w:val="right" w:leader="dot" w:pos="9060"/>
        </w:tabs>
        <w:rPr>
          <w:rFonts w:asciiTheme="minorHAnsi" w:eastAsiaTheme="minorEastAsia" w:hAnsiTheme="minorHAnsi" w:cstheme="minorBidi"/>
          <w:noProof/>
          <w:sz w:val="22"/>
          <w:szCs w:val="22"/>
          <w:lang w:eastAsia="it-IT"/>
        </w:rPr>
      </w:pPr>
      <w:r w:rsidRPr="0044640E">
        <w:fldChar w:fldCharType="begin"/>
      </w:r>
      <w:r w:rsidRPr="0044640E">
        <w:instrText xml:space="preserve"> TOC \t "PageHeading</w:instrText>
      </w:r>
      <w:r w:rsidR="00B15B7C" w:rsidRPr="0044640E">
        <w:instrText>;</w:instrText>
      </w:r>
      <w:r w:rsidRPr="0044640E">
        <w:instrText xml:space="preserve">1" </w:instrText>
      </w:r>
      <w:r w:rsidRPr="0044640E">
        <w:fldChar w:fldCharType="separate"/>
      </w:r>
      <w:r w:rsidR="00D07FF7">
        <w:rPr>
          <w:noProof/>
        </w:rPr>
        <w:t>PROGETTO DI RISOLUZIONE LEGISLATIVA DEL PARLAMENTO EUROPEO</w:t>
      </w:r>
      <w:r w:rsidR="00D07FF7">
        <w:rPr>
          <w:noProof/>
        </w:rPr>
        <w:tab/>
      </w:r>
      <w:r w:rsidR="00D07FF7">
        <w:rPr>
          <w:noProof/>
        </w:rPr>
        <w:fldChar w:fldCharType="begin"/>
      </w:r>
      <w:r w:rsidR="00D07FF7">
        <w:rPr>
          <w:noProof/>
        </w:rPr>
        <w:instrText xml:space="preserve"> PAGEREF _Toc160181375 \h </w:instrText>
      </w:r>
      <w:r w:rsidR="00D07FF7">
        <w:rPr>
          <w:noProof/>
        </w:rPr>
      </w:r>
      <w:r w:rsidR="00D07FF7">
        <w:rPr>
          <w:noProof/>
        </w:rPr>
        <w:fldChar w:fldCharType="separate"/>
      </w:r>
      <w:r w:rsidR="00D07FF7">
        <w:rPr>
          <w:noProof/>
        </w:rPr>
        <w:t>5</w:t>
      </w:r>
      <w:r w:rsidR="00D07FF7">
        <w:rPr>
          <w:noProof/>
        </w:rPr>
        <w:fldChar w:fldCharType="end"/>
      </w:r>
    </w:p>
    <w:p w:rsidR="00D07FF7" w:rsidRDefault="00D07FF7">
      <w:pPr>
        <w:pStyle w:val="TOC1"/>
        <w:tabs>
          <w:tab w:val="right" w:leader="dot" w:pos="9060"/>
        </w:tabs>
        <w:rPr>
          <w:rFonts w:asciiTheme="minorHAnsi" w:eastAsiaTheme="minorEastAsia" w:hAnsiTheme="minorHAnsi" w:cstheme="minorBidi"/>
          <w:noProof/>
          <w:sz w:val="22"/>
          <w:szCs w:val="22"/>
          <w:lang w:eastAsia="it-IT"/>
        </w:rPr>
      </w:pPr>
      <w:r>
        <w:rPr>
          <w:noProof/>
        </w:rPr>
        <w:t>MOTIVAZIONE</w:t>
      </w:r>
      <w:r>
        <w:rPr>
          <w:noProof/>
        </w:rPr>
        <w:tab/>
      </w:r>
      <w:r>
        <w:rPr>
          <w:noProof/>
        </w:rPr>
        <w:fldChar w:fldCharType="begin"/>
      </w:r>
      <w:r>
        <w:rPr>
          <w:noProof/>
        </w:rPr>
        <w:instrText xml:space="preserve"> PAGEREF _Toc160181376 \h </w:instrText>
      </w:r>
      <w:r>
        <w:rPr>
          <w:noProof/>
        </w:rPr>
      </w:r>
      <w:r>
        <w:rPr>
          <w:noProof/>
        </w:rPr>
        <w:fldChar w:fldCharType="separate"/>
      </w:r>
      <w:r>
        <w:rPr>
          <w:noProof/>
        </w:rPr>
        <w:t>6</w:t>
      </w:r>
      <w:r>
        <w:rPr>
          <w:noProof/>
        </w:rPr>
        <w:fldChar w:fldCharType="end"/>
      </w:r>
    </w:p>
    <w:p w:rsidR="004E1650" w:rsidRPr="0044640E" w:rsidRDefault="00EF48F2" w:rsidP="00F04010">
      <w:r w:rsidRPr="0044640E">
        <w:fldChar w:fldCharType="end"/>
      </w:r>
    </w:p>
    <w:p w:rsidR="00363B94" w:rsidRPr="0044640E" w:rsidRDefault="00363B94" w:rsidP="0006167F">
      <w:pPr>
        <w:pStyle w:val="PageHeading"/>
      </w:pPr>
      <w:r>
        <w:br w:type="page"/>
      </w:r>
      <w:r>
        <w:lastRenderedPageBreak/>
        <w:br w:type="page"/>
      </w:r>
      <w:bookmarkStart w:id="1" w:name="_Toc160181375"/>
      <w:r>
        <w:lastRenderedPageBreak/>
        <w:t>PROGETTO DI RISOLUZIONE LEGISLATIVA DEL PARLAMENTO EUROPEO</w:t>
      </w:r>
      <w:bookmarkEnd w:id="1"/>
    </w:p>
    <w:p w:rsidR="00363B94" w:rsidRPr="0044640E" w:rsidRDefault="00C033D3">
      <w:pPr>
        <w:pStyle w:val="NormalBold"/>
      </w:pPr>
      <w:r>
        <w:t>sul progetto di decisione del Consiglio relativa alla conclusione, a nome dell'Unione, dell'accordo tra l'Unione europea e il Regno di Norvegia su disposizioni complementari in relazione allo Strumento di sostegno finanziario per la gestione delle frontiere e la politica dei visti, nell'ambito del Fondo per la gestione integrata delle frontiere, per il periodo 2021-2027</w:t>
      </w:r>
    </w:p>
    <w:p w:rsidR="00363B94" w:rsidRPr="0044640E" w:rsidRDefault="00C033D3">
      <w:pPr>
        <w:pStyle w:val="NormalBold12a"/>
      </w:pPr>
      <w:r>
        <w:t>(12129/2023 – C9</w:t>
      </w:r>
      <w:r>
        <w:noBreakHyphen/>
        <w:t>0002/2023 – 2023/0224(NLE))</w:t>
      </w:r>
    </w:p>
    <w:p w:rsidR="00363B94" w:rsidRPr="0044640E" w:rsidRDefault="00C033D3" w:rsidP="00893FBD">
      <w:pPr>
        <w:pStyle w:val="NormalBold"/>
      </w:pPr>
      <w:r>
        <w:t>(Approvazione)</w:t>
      </w:r>
    </w:p>
    <w:p w:rsidR="00363B94" w:rsidRPr="0044640E" w:rsidRDefault="00C033D3">
      <w:pPr>
        <w:pStyle w:val="EPComma"/>
      </w:pPr>
      <w:r>
        <w:rPr>
          <w:i/>
          <w:iCs/>
        </w:rPr>
        <w:t>Il Parlamento europeo</w:t>
      </w:r>
      <w:r>
        <w:t>,</w:t>
      </w:r>
    </w:p>
    <w:p w:rsidR="00BF7F55" w:rsidRPr="0044640E" w:rsidRDefault="00BF7F55" w:rsidP="00BF7F55">
      <w:pPr>
        <w:pStyle w:val="NormalHanging12a"/>
      </w:pPr>
      <w:r>
        <w:t>–</w:t>
      </w:r>
      <w:r>
        <w:tab/>
        <w:t>visto il progetto di decisione del Consiglio (12129/2023),</w:t>
      </w:r>
    </w:p>
    <w:p w:rsidR="00363B94" w:rsidRPr="0044640E" w:rsidRDefault="00363B94">
      <w:pPr>
        <w:pStyle w:val="NormalHanging12a"/>
      </w:pPr>
      <w:r>
        <w:t>–</w:t>
      </w:r>
      <w:r>
        <w:tab/>
        <w:t>visto il progetto di accordo tra l'Unione europea e il Regno di Norvegia su disposizioni complementari in relazione allo Strumento di sostegno finanziario per la gestione delle frontiere e la politica dei visti, nell'ambito del Fondo per la gestione integrata delle frontiere, per il periodo 2021-2027 (12128/2023),</w:t>
      </w:r>
    </w:p>
    <w:p w:rsidR="00363B94" w:rsidRPr="0044640E" w:rsidRDefault="005F5D6C">
      <w:pPr>
        <w:pStyle w:val="NormalHanging12a"/>
      </w:pPr>
      <w:r>
        <w:t>–</w:t>
      </w:r>
      <w:r>
        <w:tab/>
        <w:t>vista la richiesta di approvazione presentata dal Consiglio a norma dell'articolo 77, paragrafo 2, dell'articolo 218, paragrafo 6, secondo comma, lettera a), e dell'articolo 218, paragrafo 7, del trattato sul funzionamento dell'Unione europea (C9</w:t>
      </w:r>
      <w:r>
        <w:noBreakHyphen/>
        <w:t>0002/2023),</w:t>
      </w:r>
    </w:p>
    <w:p w:rsidR="00363B94" w:rsidRPr="0044640E" w:rsidRDefault="00363B94">
      <w:pPr>
        <w:pStyle w:val="NormalHanging12a"/>
      </w:pPr>
      <w:r>
        <w:t>–</w:t>
      </w:r>
      <w:r>
        <w:tab/>
        <w:t>visti l'articolo 105, paragrafi 1 e 4, e l'articolo 114, paragrafo 7, del suo regolamento,</w:t>
      </w:r>
    </w:p>
    <w:p w:rsidR="00363B94" w:rsidRPr="0044640E" w:rsidRDefault="00363B94">
      <w:pPr>
        <w:pStyle w:val="NormalHanging12a"/>
      </w:pPr>
      <w:r>
        <w:t>–</w:t>
      </w:r>
      <w:r>
        <w:tab/>
        <w:t>vista la raccomandazione della commissione per le libertà civili, la giustizia e gli affari interni (A9</w:t>
      </w:r>
      <w:r>
        <w:noBreakHyphen/>
        <w:t>0000/2024),</w:t>
      </w:r>
    </w:p>
    <w:p w:rsidR="00363B94" w:rsidRPr="0044640E" w:rsidRDefault="00363B94">
      <w:pPr>
        <w:pStyle w:val="NormalHanging12a"/>
      </w:pPr>
      <w:r>
        <w:t>1.</w:t>
      </w:r>
      <w:r>
        <w:tab/>
        <w:t>dà la sua approvazione alla conclusione dell'accordo;</w:t>
      </w:r>
    </w:p>
    <w:p w:rsidR="001D02E3" w:rsidRPr="0044640E" w:rsidRDefault="001D02E3">
      <w:pPr>
        <w:pStyle w:val="NormalHanging12a"/>
      </w:pPr>
      <w:r>
        <w:t>2.</w:t>
      </w:r>
      <w:r>
        <w:tab/>
        <w:t>incarica la sua Presidente di trasmettere la posizione del Parlamento al Consiglio e alla Commissione nonché ai governi e ai parlamenti degli Stati membri e del Regno di Norvegia.</w:t>
      </w:r>
    </w:p>
    <w:p w:rsidR="005B40ED" w:rsidRPr="0044640E" w:rsidRDefault="005B40ED" w:rsidP="00822206">
      <w:pPr>
        <w:sectPr w:rsidR="005B40ED" w:rsidRPr="0044640E" w:rsidSect="00D73F5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44640E" w:rsidRDefault="005B40ED" w:rsidP="005B40ED">
      <w:pPr>
        <w:pStyle w:val="PageHeading"/>
      </w:pPr>
      <w:bookmarkStart w:id="2" w:name="_Toc160181376"/>
      <w:r>
        <w:lastRenderedPageBreak/>
        <w:t>MOTIVAZIONE</w:t>
      </w:r>
      <w:bookmarkEnd w:id="2"/>
    </w:p>
    <w:p w:rsidR="00DF744E" w:rsidRPr="0044640E" w:rsidRDefault="00DF744E" w:rsidP="00DF744E">
      <w:pPr>
        <w:jc w:val="both"/>
      </w:pPr>
      <w:r>
        <w:t>Lo Strumento di sostegno finanziario per la gestione delle frontiere e la politica dei visti, nell'ambito del Fondo per la gestione integrata delle frontiere, costituisce uno strumento specifico nel contesto dell'</w:t>
      </w:r>
      <w:r>
        <w:rPr>
          <w:i/>
          <w:iCs/>
        </w:rPr>
        <w:t>acquis</w:t>
      </w:r>
      <w:r>
        <w:t xml:space="preserve"> di Schengen volto a garantire una gestione europea integrata delle frontiere solida ed efficace alle frontiere esterne. Esso agevola gli attraversamenti autorizzati delle frontiere, prevenendo e individuando al contempo l'immigrazione illegale e la criminalità transfrontaliera e salvaguardando così lo spazio Schengen, conformemente agli impegni assunti dagli Stati membri e dai paesi associati riguardo ai diritti fondamentali, e sostiene l'attuazione uniforme e la modernizzazione della politica comune in materia di visti, contribuendo in tal modo ad assicurare un livello elevato di sicurezza negli Stati membri e nei paesi associati.</w:t>
      </w:r>
    </w:p>
    <w:p w:rsidR="00DF744E" w:rsidRPr="0044640E" w:rsidRDefault="00DF744E" w:rsidP="00DF744E">
      <w:pPr>
        <w:jc w:val="both"/>
      </w:pPr>
    </w:p>
    <w:p w:rsidR="00DF744E" w:rsidRPr="0044640E" w:rsidRDefault="00DF744E" w:rsidP="00DF744E">
      <w:pPr>
        <w:jc w:val="both"/>
      </w:pPr>
      <w:r>
        <w:t>Il relatore ritiene altresì che, date la natura specifica dell'</w:t>
      </w:r>
      <w:r>
        <w:rPr>
          <w:i/>
          <w:iCs/>
        </w:rPr>
        <w:t>acquis</w:t>
      </w:r>
      <w:r>
        <w:t xml:space="preserve"> di Schengen e l'importanza della sua applicazione uniforme per l'integrità dello spazio Schengen, tutte le norme applicabili alla gestione dei programmi dovrebbero applicarsi per la Norvegia allo stesso modo che per gli Stati membri. Ciò garantisce un livello elevato e uniforme di controllo alle frontiere esterne.</w:t>
      </w:r>
    </w:p>
    <w:p w:rsidR="00DF744E" w:rsidRPr="0044640E" w:rsidRDefault="00DF744E" w:rsidP="00DF744E">
      <w:pPr>
        <w:jc w:val="both"/>
      </w:pPr>
      <w:r>
        <w:br/>
        <w:t>Gli accordi introducono meccanismi specifici che consentono di adeguare rapidamente l'accordo con la Norvegia in caso di modifiche della legislazione chiave dell'Unione rilevanti ai fini dell'attuazione, quali il regolamento finanziario e il regolamento recante disposizioni comuni. L'accordo garantisce inoltre che la revisione intermedia dello Strumento di sostegno finanziario per la gestione delle frontiere e la politica dei visti (BMVI) tenga conto di eventuali ritardi nella partecipazione dei paesi associati Schengen. Esso contiene anche una disposizione sul sistema europeo di informazione e autorizzazione ai viaggi (ETIAS). </w:t>
      </w:r>
    </w:p>
    <w:p w:rsidR="00DF744E" w:rsidRPr="0044640E" w:rsidRDefault="00DF744E" w:rsidP="00DF744E">
      <w:pPr>
        <w:jc w:val="both"/>
      </w:pPr>
    </w:p>
    <w:p w:rsidR="00DF744E" w:rsidRPr="0044640E" w:rsidRDefault="00DF744E" w:rsidP="00DF744E">
      <w:pPr>
        <w:jc w:val="both"/>
      </w:pPr>
      <w:r>
        <w:t>Per i controlli finanziari e di bilancio, gli Stati membri sono soggetti a obblighi orizzontali (ad esempio, la competenza della Corte dei conti, dell'Ufficio europeo per la lotta antifrode (OLAF), dell'EPPO e della Commissione) derivanti direttamente dai trattati o dal diritto derivato dell'Unione, compreso il regolamento recante disposizioni comuni di cui sopra. Questi obblighi si applicano agli Stati membri ipso facto e quindi non sono prescritti dal regolamento BMVI. Di conseguenza, essi devono essere estesi alla Norvegia attraverso l'accordo di cui nella proposta in esame.</w:t>
      </w:r>
    </w:p>
    <w:p w:rsidR="00DF744E" w:rsidRPr="0044640E" w:rsidRDefault="00DF744E" w:rsidP="00DF744E">
      <w:pPr>
        <w:jc w:val="both"/>
        <w:rPr>
          <w:rFonts w:ascii="Arial" w:hAnsi="Arial" w:cs="Arial"/>
          <w:color w:val="222222"/>
          <w:spacing w:val="4"/>
          <w:sz w:val="21"/>
          <w:szCs w:val="21"/>
          <w:shd w:val="clear" w:color="auto" w:fill="FFFFFF"/>
        </w:rPr>
      </w:pPr>
    </w:p>
    <w:p w:rsidR="00DF744E" w:rsidRPr="0044640E" w:rsidRDefault="00DF744E" w:rsidP="00DF744E">
      <w:pPr>
        <w:jc w:val="both"/>
      </w:pPr>
      <w:r>
        <w:t>In conclusione, il vostro relatore ritiene che sia opportuno definire un accordo che stabilisca le disposizioni complementari necessarie per la partecipazione del Regno di Norvegia al BMVI nell'ambito del Fondo per la gestione integrata delle frontiere per il periodo di programmazione 2021-2027 conformemente all'articolo 7, paragrafo 6, del regolamento (UE) 2021/1148 (il "regolamento BMVI").</w:t>
      </w:r>
    </w:p>
    <w:p w:rsidR="00DF744E" w:rsidRPr="0044640E" w:rsidRDefault="00DF744E" w:rsidP="00DF744E">
      <w:pPr>
        <w:jc w:val="both"/>
      </w:pPr>
    </w:p>
    <w:p w:rsidR="00DF744E" w:rsidRPr="0044640E" w:rsidRDefault="00DF744E" w:rsidP="00DF744E">
      <w:pPr>
        <w:jc w:val="both"/>
      </w:pPr>
      <w:r>
        <w:t>Alla luce di quanto precede, il relatore raccomanda che il Parlamento dia la sua approvazione al progetto di decisione del Consiglio e incarichi la sua Presidente di trasmettere la posizione del Parlamento al Consiglio e alla Commissione nonché ai governi e ai parlamenti degli Stati membri.</w:t>
      </w:r>
    </w:p>
    <w:p w:rsidR="00DF744E" w:rsidRPr="0044640E" w:rsidRDefault="00DF744E" w:rsidP="00DF744E">
      <w:pPr>
        <w:jc w:val="both"/>
      </w:pPr>
    </w:p>
    <w:p w:rsidR="00DF744E" w:rsidRPr="0044640E" w:rsidRDefault="00DF744E" w:rsidP="00DF744E"/>
    <w:sectPr w:rsidR="00DF744E" w:rsidRPr="0044640E" w:rsidSect="005B40E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3D3" w:rsidRPr="0044640E" w:rsidRDefault="00C033D3">
      <w:r w:rsidRPr="0044640E">
        <w:separator/>
      </w:r>
    </w:p>
  </w:endnote>
  <w:endnote w:type="continuationSeparator" w:id="0">
    <w:p w:rsidR="00C033D3" w:rsidRPr="0044640E" w:rsidRDefault="00C033D3">
      <w:r w:rsidRPr="004464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F58" w:rsidRPr="0044640E" w:rsidRDefault="00D73F58" w:rsidP="00D73F58">
    <w:pPr>
      <w:pStyle w:val="EPFooter"/>
    </w:pPr>
    <w:r w:rsidRPr="0044640E">
      <w:t>PE</w:t>
    </w:r>
    <w:r w:rsidRPr="0044640E">
      <w:rPr>
        <w:rStyle w:val="HideTWBExt"/>
      </w:rPr>
      <w:t>&lt;NoPE&gt;</w:t>
    </w:r>
    <w:r w:rsidRPr="0044640E">
      <w:t>758.912</w:t>
    </w:r>
    <w:r w:rsidRPr="0044640E">
      <w:rPr>
        <w:rStyle w:val="HideTWBExt"/>
      </w:rPr>
      <w:t>&lt;/NoPE&gt;&lt;Version&gt;</w:t>
    </w:r>
    <w:r w:rsidRPr="0044640E">
      <w:t>v01-00</w:t>
    </w:r>
    <w:r w:rsidRPr="0044640E">
      <w:rPr>
        <w:rStyle w:val="HideTWBExt"/>
      </w:rPr>
      <w:t>&lt;/Version&gt;</w:t>
    </w:r>
    <w:r w:rsidRPr="0044640E">
      <w:tab/>
    </w:r>
    <w:r w:rsidRPr="0044640E">
      <w:fldChar w:fldCharType="begin"/>
    </w:r>
    <w:r w:rsidRPr="0044640E">
      <w:instrText xml:space="preserve"> PAGE  \* MERGEFORMAT </w:instrText>
    </w:r>
    <w:r w:rsidRPr="0044640E">
      <w:fldChar w:fldCharType="separate"/>
    </w:r>
    <w:r w:rsidR="00D07FF7">
      <w:rPr>
        <w:noProof/>
      </w:rPr>
      <w:t>6</w:t>
    </w:r>
    <w:r w:rsidRPr="0044640E">
      <w:fldChar w:fldCharType="end"/>
    </w:r>
    <w:r w:rsidRPr="0044640E">
      <w:t>/</w:t>
    </w:r>
    <w:r w:rsidR="00D07FF7">
      <w:fldChar w:fldCharType="begin"/>
    </w:r>
    <w:r w:rsidR="00D07FF7">
      <w:instrText xml:space="preserve"> NUMPAGES  \* MERGEFORMAT </w:instrText>
    </w:r>
    <w:r w:rsidR="00D07FF7">
      <w:fldChar w:fldCharType="separate"/>
    </w:r>
    <w:r w:rsidR="00D07FF7">
      <w:rPr>
        <w:noProof/>
      </w:rPr>
      <w:t>6</w:t>
    </w:r>
    <w:r w:rsidR="00D07FF7">
      <w:rPr>
        <w:noProof/>
      </w:rPr>
      <w:fldChar w:fldCharType="end"/>
    </w:r>
    <w:r w:rsidRPr="0044640E">
      <w:tab/>
    </w:r>
    <w:r w:rsidRPr="0044640E">
      <w:rPr>
        <w:rStyle w:val="HideTWBExt"/>
      </w:rPr>
      <w:t>&lt;PathFdR&gt;</w:t>
    </w:r>
    <w:r w:rsidRPr="0044640E">
      <w:t>PR\1296233IT.docx</w:t>
    </w:r>
    <w:r w:rsidRPr="0044640E">
      <w:rPr>
        <w:rStyle w:val="HideTWBExt"/>
      </w:rPr>
      <w:t>&lt;/PathFdR&gt;</w:t>
    </w:r>
  </w:p>
  <w:p w:rsidR="0085501C" w:rsidRPr="0044640E" w:rsidRDefault="00D73F58" w:rsidP="00D73F58">
    <w:pPr>
      <w:pStyle w:val="EPFooter2"/>
    </w:pPr>
    <w:r w:rsidRPr="0044640E">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F58" w:rsidRPr="0044640E" w:rsidRDefault="00D73F58" w:rsidP="00D73F58">
    <w:pPr>
      <w:pStyle w:val="EPFooter"/>
    </w:pPr>
    <w:r w:rsidRPr="0044640E">
      <w:rPr>
        <w:rStyle w:val="HideTWBExt"/>
      </w:rPr>
      <w:t>&lt;PathFdR&gt;</w:t>
    </w:r>
    <w:r w:rsidRPr="0044640E">
      <w:t>PR\1296233IT.docx</w:t>
    </w:r>
    <w:r w:rsidRPr="0044640E">
      <w:rPr>
        <w:rStyle w:val="HideTWBExt"/>
      </w:rPr>
      <w:t>&lt;/PathFdR&gt;</w:t>
    </w:r>
    <w:r w:rsidRPr="0044640E">
      <w:tab/>
    </w:r>
    <w:r w:rsidRPr="0044640E">
      <w:fldChar w:fldCharType="begin"/>
    </w:r>
    <w:r w:rsidRPr="0044640E">
      <w:instrText xml:space="preserve"> PAGE  \* MERGEFORMAT </w:instrText>
    </w:r>
    <w:r w:rsidRPr="0044640E">
      <w:fldChar w:fldCharType="separate"/>
    </w:r>
    <w:r w:rsidR="00D07FF7">
      <w:rPr>
        <w:noProof/>
      </w:rPr>
      <w:t>6</w:t>
    </w:r>
    <w:r w:rsidRPr="0044640E">
      <w:fldChar w:fldCharType="end"/>
    </w:r>
    <w:r w:rsidRPr="0044640E">
      <w:t>/</w:t>
    </w:r>
    <w:r w:rsidR="00D07FF7">
      <w:fldChar w:fldCharType="begin"/>
    </w:r>
    <w:r w:rsidR="00D07FF7">
      <w:instrText xml:space="preserve"> NUMPAGES  \* MERGEFORMAT </w:instrText>
    </w:r>
    <w:r w:rsidR="00D07FF7">
      <w:fldChar w:fldCharType="separate"/>
    </w:r>
    <w:r w:rsidR="00D07FF7">
      <w:rPr>
        <w:noProof/>
      </w:rPr>
      <w:t>6</w:t>
    </w:r>
    <w:r w:rsidR="00D07FF7">
      <w:rPr>
        <w:noProof/>
      </w:rPr>
      <w:fldChar w:fldCharType="end"/>
    </w:r>
    <w:r w:rsidRPr="0044640E">
      <w:tab/>
      <w:t>PE</w:t>
    </w:r>
    <w:r w:rsidRPr="0044640E">
      <w:rPr>
        <w:rStyle w:val="HideTWBExt"/>
      </w:rPr>
      <w:t>&lt;NoPE&gt;</w:t>
    </w:r>
    <w:r w:rsidRPr="0044640E">
      <w:t>758.912</w:t>
    </w:r>
    <w:r w:rsidRPr="0044640E">
      <w:rPr>
        <w:rStyle w:val="HideTWBExt"/>
      </w:rPr>
      <w:t>&lt;/NoPE&gt;&lt;Version&gt;</w:t>
    </w:r>
    <w:r w:rsidRPr="0044640E">
      <w:t>v01-00</w:t>
    </w:r>
    <w:r w:rsidRPr="0044640E">
      <w:rPr>
        <w:rStyle w:val="HideTWBExt"/>
      </w:rPr>
      <w:t>&lt;/Version&gt;</w:t>
    </w:r>
  </w:p>
  <w:p w:rsidR="0085501C" w:rsidRPr="0044640E" w:rsidRDefault="00D73F58" w:rsidP="00D73F58">
    <w:pPr>
      <w:pStyle w:val="EPFooter2"/>
    </w:pPr>
    <w:r w:rsidRPr="0044640E">
      <w:tab/>
    </w:r>
    <w:r w:rsidRPr="0044640E">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F58" w:rsidRPr="0044640E" w:rsidRDefault="00D73F58" w:rsidP="00D73F58">
    <w:pPr>
      <w:pStyle w:val="EPFooter"/>
    </w:pPr>
    <w:r w:rsidRPr="0044640E">
      <w:rPr>
        <w:rStyle w:val="HideTWBExt"/>
      </w:rPr>
      <w:t>&lt;PathFdR&gt;</w:t>
    </w:r>
    <w:r w:rsidRPr="0044640E">
      <w:t>PR\1296233IT.docx</w:t>
    </w:r>
    <w:r w:rsidRPr="0044640E">
      <w:rPr>
        <w:rStyle w:val="HideTWBExt"/>
      </w:rPr>
      <w:t>&lt;/PathFdR&gt;</w:t>
    </w:r>
    <w:r w:rsidRPr="0044640E">
      <w:tab/>
    </w:r>
    <w:r w:rsidRPr="0044640E">
      <w:tab/>
      <w:t>PE</w:t>
    </w:r>
    <w:r w:rsidRPr="0044640E">
      <w:rPr>
        <w:rStyle w:val="HideTWBExt"/>
      </w:rPr>
      <w:t>&lt;NoPE&gt;</w:t>
    </w:r>
    <w:r w:rsidRPr="0044640E">
      <w:t>758.912</w:t>
    </w:r>
    <w:r w:rsidRPr="0044640E">
      <w:rPr>
        <w:rStyle w:val="HideTWBExt"/>
      </w:rPr>
      <w:t>&lt;/NoPE&gt;&lt;Version&gt;</w:t>
    </w:r>
    <w:r w:rsidRPr="0044640E">
      <w:t>v01-00</w:t>
    </w:r>
    <w:r w:rsidRPr="0044640E">
      <w:rPr>
        <w:rStyle w:val="HideTWBExt"/>
      </w:rPr>
      <w:t>&lt;/Version&gt;</w:t>
    </w:r>
  </w:p>
  <w:p w:rsidR="0085501C" w:rsidRPr="0044640E" w:rsidRDefault="00D73F58" w:rsidP="00D73F58">
    <w:pPr>
      <w:pStyle w:val="EPFooter2"/>
    </w:pPr>
    <w:r w:rsidRPr="0044640E">
      <w:t>IT</w:t>
    </w:r>
    <w:r w:rsidRPr="0044640E">
      <w:tab/>
    </w:r>
    <w:r w:rsidRPr="0044640E">
      <w:rPr>
        <w:b w:val="0"/>
        <w:i/>
        <w:color w:val="C0C0C0"/>
        <w:sz w:val="22"/>
      </w:rPr>
      <w:t>Unita nella diversità</w:t>
    </w:r>
    <w:r w:rsidRPr="0044640E">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3D3" w:rsidRPr="0044640E" w:rsidRDefault="00C033D3">
      <w:r w:rsidRPr="0044640E">
        <w:separator/>
      </w:r>
    </w:p>
  </w:footnote>
  <w:footnote w:type="continuationSeparator" w:id="0">
    <w:p w:rsidR="00C033D3" w:rsidRPr="0044640E" w:rsidRDefault="00C033D3">
      <w:r w:rsidRPr="0044640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0DF" w:rsidRDefault="008900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0DF" w:rsidRDefault="008900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0DF" w:rsidRDefault="008900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SubDir" w:val="1296"/>
    <w:docVar w:name="TITLEMNU" w:val=" 2"/>
    <w:docVar w:name="TXTAUTHOR" w:val="Charlie Weimers"/>
    <w:docVar w:name="TXTLANGUE" w:val="IT"/>
    <w:docVar w:name="TXTLANGUEMIN" w:val="it"/>
    <w:docVar w:name="TXTNRC" w:val="0002/2023"/>
    <w:docVar w:name="TXTNRCOUNC" w:val="12129/2023"/>
    <w:docVar w:name="TXTNRNLE" w:val="2023/0224"/>
    <w:docVar w:name="TXTNRPE" w:val="758.912"/>
    <w:docVar w:name="TXTPEorAP" w:val="PE"/>
    <w:docVar w:name="TXTROUTE" w:val="PR\1296233IT.docx"/>
    <w:docVar w:name="TXTTITLE" w:val="on the conclusion, on behalf of the Union, of the Agreement between the European Union and the Kingdom of Norway on supplementary rules in relation to the Instrument for Financial Support for Border Management and Visa Policy, as part of the Integrated Border Management Fund, for the period 2021 to 2027"/>
    <w:docVar w:name="TXTVERSION" w:val="01-00"/>
  </w:docVars>
  <w:rsids>
    <w:rsidRoot w:val="00C033D3"/>
    <w:rsid w:val="00001D52"/>
    <w:rsid w:val="0000443F"/>
    <w:rsid w:val="000053E3"/>
    <w:rsid w:val="0006167F"/>
    <w:rsid w:val="00061EFE"/>
    <w:rsid w:val="00095D8B"/>
    <w:rsid w:val="000A2F73"/>
    <w:rsid w:val="000C123D"/>
    <w:rsid w:val="000D78AF"/>
    <w:rsid w:val="0017577E"/>
    <w:rsid w:val="00180664"/>
    <w:rsid w:val="001874D8"/>
    <w:rsid w:val="001D02E3"/>
    <w:rsid w:val="001F7BBE"/>
    <w:rsid w:val="0021049A"/>
    <w:rsid w:val="0022685A"/>
    <w:rsid w:val="002D7E87"/>
    <w:rsid w:val="002E2E20"/>
    <w:rsid w:val="002F5A83"/>
    <w:rsid w:val="003072BE"/>
    <w:rsid w:val="00337C92"/>
    <w:rsid w:val="00363B94"/>
    <w:rsid w:val="003B598C"/>
    <w:rsid w:val="003D7C1A"/>
    <w:rsid w:val="004174FC"/>
    <w:rsid w:val="00434884"/>
    <w:rsid w:val="0044640E"/>
    <w:rsid w:val="00460BD6"/>
    <w:rsid w:val="00480A7C"/>
    <w:rsid w:val="004859B3"/>
    <w:rsid w:val="00493F66"/>
    <w:rsid w:val="004C083C"/>
    <w:rsid w:val="004E1650"/>
    <w:rsid w:val="0053367A"/>
    <w:rsid w:val="00544D48"/>
    <w:rsid w:val="005656F0"/>
    <w:rsid w:val="005877C0"/>
    <w:rsid w:val="005A6B14"/>
    <w:rsid w:val="005B40ED"/>
    <w:rsid w:val="005D0B97"/>
    <w:rsid w:val="005F5D6C"/>
    <w:rsid w:val="006132CE"/>
    <w:rsid w:val="00613F2E"/>
    <w:rsid w:val="00617C4E"/>
    <w:rsid w:val="006863DC"/>
    <w:rsid w:val="006A1A75"/>
    <w:rsid w:val="006A2CF5"/>
    <w:rsid w:val="006F1B6F"/>
    <w:rsid w:val="00791637"/>
    <w:rsid w:val="007A017D"/>
    <w:rsid w:val="0080122F"/>
    <w:rsid w:val="00822206"/>
    <w:rsid w:val="00830B82"/>
    <w:rsid w:val="008368CB"/>
    <w:rsid w:val="0085501C"/>
    <w:rsid w:val="0086493B"/>
    <w:rsid w:val="008900DF"/>
    <w:rsid w:val="00893FBD"/>
    <w:rsid w:val="008B75A4"/>
    <w:rsid w:val="008D23C6"/>
    <w:rsid w:val="008D3030"/>
    <w:rsid w:val="008E3848"/>
    <w:rsid w:val="00924EE0"/>
    <w:rsid w:val="009612AA"/>
    <w:rsid w:val="009E39A7"/>
    <w:rsid w:val="00A0058E"/>
    <w:rsid w:val="00A10EA0"/>
    <w:rsid w:val="00A34FBE"/>
    <w:rsid w:val="00A415B7"/>
    <w:rsid w:val="00A9084C"/>
    <w:rsid w:val="00A93B1D"/>
    <w:rsid w:val="00AD5D0C"/>
    <w:rsid w:val="00B15B7C"/>
    <w:rsid w:val="00B31D18"/>
    <w:rsid w:val="00B42885"/>
    <w:rsid w:val="00B50C20"/>
    <w:rsid w:val="00B6769C"/>
    <w:rsid w:val="00BB22CC"/>
    <w:rsid w:val="00BB41C8"/>
    <w:rsid w:val="00BE5E72"/>
    <w:rsid w:val="00BF0A0F"/>
    <w:rsid w:val="00BF2E15"/>
    <w:rsid w:val="00BF7F55"/>
    <w:rsid w:val="00C033D3"/>
    <w:rsid w:val="00C05DD8"/>
    <w:rsid w:val="00C15447"/>
    <w:rsid w:val="00C35D01"/>
    <w:rsid w:val="00CB5651"/>
    <w:rsid w:val="00CC20CB"/>
    <w:rsid w:val="00CF44DF"/>
    <w:rsid w:val="00D04E0B"/>
    <w:rsid w:val="00D07FF7"/>
    <w:rsid w:val="00D62DA0"/>
    <w:rsid w:val="00D6543C"/>
    <w:rsid w:val="00D73F58"/>
    <w:rsid w:val="00D804D3"/>
    <w:rsid w:val="00DF594D"/>
    <w:rsid w:val="00DF744E"/>
    <w:rsid w:val="00E14FEE"/>
    <w:rsid w:val="00E565D6"/>
    <w:rsid w:val="00E71368"/>
    <w:rsid w:val="00E90FB8"/>
    <w:rsid w:val="00E93816"/>
    <w:rsid w:val="00EA59ED"/>
    <w:rsid w:val="00ED3987"/>
    <w:rsid w:val="00EE0D2F"/>
    <w:rsid w:val="00EF25A2"/>
    <w:rsid w:val="00EF48F2"/>
    <w:rsid w:val="00F04010"/>
    <w:rsid w:val="00F901A1"/>
    <w:rsid w:val="00FA6FD4"/>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CFEDF9-3C62-4CB5-A940-8D2F05A75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FA6FD4"/>
    <w:pPr>
      <w:tabs>
        <w:tab w:val="right" w:pos="454"/>
        <w:tab w:val="left" w:pos="737"/>
      </w:tabs>
      <w:ind w:left="737" w:hanging="737"/>
    </w:pPr>
    <w:rPr>
      <w:snapToGrid w:val="0"/>
      <w:sz w:val="18"/>
      <w:lang w:eastAsia="en-US"/>
    </w:rPr>
  </w:style>
  <w:style w:type="paragraph" w:customStyle="1" w:styleId="Lgendetitre">
    <w:name w:val="Légende titre"/>
    <w:basedOn w:val="Normal"/>
    <w:rsid w:val="00FA6FD4"/>
    <w:pPr>
      <w:spacing w:before="240" w:after="240"/>
    </w:pPr>
    <w:rPr>
      <w:b/>
      <w:i/>
      <w:snapToGrid w:val="0"/>
      <w:lang w:eastAsia="en-US"/>
    </w:rPr>
  </w:style>
  <w:style w:type="paragraph" w:customStyle="1" w:styleId="Lgendestandard">
    <w:name w:val="Légende standard"/>
    <w:basedOn w:val="Normal"/>
    <w:rsid w:val="00FA6FD4"/>
    <w:rPr>
      <w:sz w:val="18"/>
    </w:rPr>
  </w:style>
  <w:style w:type="paragraph" w:styleId="FootnoteText">
    <w:name w:val="footnote text"/>
    <w:basedOn w:val="Normal"/>
    <w:link w:val="FootnoteTextChar"/>
    <w:uiPriority w:val="99"/>
    <w:unhideWhenUsed/>
    <w:rsid w:val="005B40ED"/>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5B40ED"/>
    <w:rPr>
      <w:rFonts w:eastAsiaTheme="minorHAnsi"/>
      <w:sz w:val="24"/>
      <w:lang w:eastAsia="en-US"/>
    </w:rPr>
  </w:style>
  <w:style w:type="character" w:styleId="FootnoteReference">
    <w:name w:val="footnote reference"/>
    <w:basedOn w:val="DefaultParagraphFont"/>
    <w:uiPriority w:val="99"/>
    <w:unhideWhenUsed/>
    <w:rsid w:val="005B40ED"/>
    <w:rPr>
      <w:b/>
      <w:bdr w:val="none" w:sz="0" w:space="0" w:color="auto"/>
      <w:shd w:val="clear" w:color="auto" w:fill="auto"/>
      <w:vertAlign w:val="superscript"/>
    </w:rPr>
  </w:style>
  <w:style w:type="paragraph" w:styleId="Footer">
    <w:name w:val="footer"/>
    <w:basedOn w:val="Normal"/>
    <w:link w:val="FooterChar"/>
    <w:semiHidden/>
    <w:rsid w:val="007A017D"/>
    <w:pPr>
      <w:tabs>
        <w:tab w:val="center" w:pos="4513"/>
        <w:tab w:val="right" w:pos="9026"/>
      </w:tabs>
    </w:pPr>
  </w:style>
  <w:style w:type="character" w:customStyle="1" w:styleId="FooterChar">
    <w:name w:val="Footer Char"/>
    <w:basedOn w:val="DefaultParagraphFont"/>
    <w:link w:val="Footer"/>
    <w:semiHidden/>
    <w:rsid w:val="007A017D"/>
    <w:rPr>
      <w:sz w:val="24"/>
    </w:rPr>
  </w:style>
  <w:style w:type="paragraph" w:styleId="BalloonText">
    <w:name w:val="Balloon Text"/>
    <w:basedOn w:val="Normal"/>
    <w:link w:val="BalloonTextChar"/>
    <w:semiHidden/>
    <w:unhideWhenUsed/>
    <w:rsid w:val="00A9084C"/>
    <w:rPr>
      <w:rFonts w:ascii="Segoe UI" w:hAnsi="Segoe UI" w:cs="Segoe UI"/>
      <w:sz w:val="18"/>
      <w:szCs w:val="18"/>
    </w:rPr>
  </w:style>
  <w:style w:type="character" w:customStyle="1" w:styleId="BalloonTextChar">
    <w:name w:val="Balloon Text Char"/>
    <w:basedOn w:val="DefaultParagraphFont"/>
    <w:link w:val="BalloonText"/>
    <w:semiHidden/>
    <w:rsid w:val="00A908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BD5C1-20A7-4769-B2EB-C4E514CB9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873</Words>
  <Characters>5406</Characters>
  <Application>Microsoft Office Word</Application>
  <DocSecurity>0</DocSecurity>
  <Lines>122</Lines>
  <Paragraphs>51</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TOADER Maria</dc:creator>
  <cp:keywords/>
  <cp:lastModifiedBy>ZANARDI Irene</cp:lastModifiedBy>
  <cp:revision>2</cp:revision>
  <cp:lastPrinted>2024-02-06T15:56:00Z</cp:lastPrinted>
  <dcterms:created xsi:type="dcterms:W3CDTF">2024-03-01T09:29:00Z</dcterms:created>
  <dcterms:modified xsi:type="dcterms:W3CDTF">2024-03-01T09:29:00Z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9.17.1 Build [20240111]</vt:lpwstr>
  </property>
  <property fmtid="{D5CDD505-2E9C-101B-9397-08002B2CF9AE}" pid="4" name="LastEdited with">
    <vt:lpwstr>9.17.1 Build [20240201]</vt:lpwstr>
  </property>
  <property fmtid="{D5CDD505-2E9C-101B-9397-08002B2CF9AE}" pid="5" name="&lt;FdR&gt;">
    <vt:lpwstr>1296233</vt:lpwstr>
  </property>
  <property fmtid="{D5CDD505-2E9C-101B-9397-08002B2CF9AE}" pid="6" name="&lt;Type&gt;">
    <vt:lpwstr>PR</vt:lpwstr>
  </property>
  <property fmtid="{D5CDD505-2E9C-101B-9397-08002B2CF9AE}" pid="7" name="&lt;ModelCod&gt;">
    <vt:lpwstr>\\eiciBRUpr1\pdocep$\DocEP\DOCS\General\PR\PR_Leg\NLE\PR_NLE-AP_Agreement.dotx(17/04/2020 18:28:04)</vt:lpwstr>
  </property>
  <property fmtid="{D5CDD505-2E9C-101B-9397-08002B2CF9AE}" pid="8" name="&lt;ModelTra&gt;">
    <vt:lpwstr>\\eiciBRUpr1\pdocep$\DocEP\TRANSFIL\EN\PR_NLE-AP_Agreement.EN(29/06/2022 09:21:42)</vt:lpwstr>
  </property>
  <property fmtid="{D5CDD505-2E9C-101B-9397-08002B2CF9AE}" pid="9" name="&lt;Model&gt;">
    <vt:lpwstr>PR_NLE-AP_Agreement</vt:lpwstr>
  </property>
  <property fmtid="{D5CDD505-2E9C-101B-9397-08002B2CF9AE}" pid="10" name="FooterPath">
    <vt:lpwstr>PR\1296233IT.docx</vt:lpwstr>
  </property>
  <property fmtid="{D5CDD505-2E9C-101B-9397-08002B2CF9AE}" pid="11" name="PE number">
    <vt:lpwstr>758.912</vt:lpwstr>
  </property>
  <property fmtid="{D5CDD505-2E9C-101B-9397-08002B2CF9AE}" pid="12" name="SendToEpades">
    <vt:lpwstr>OK - 2024/02/16 10:43</vt:lpwstr>
  </property>
  <property fmtid="{D5CDD505-2E9C-101B-9397-08002B2CF9AE}" pid="13" name="Bookout">
    <vt:lpwstr>OK - 2024/03/01 10:29</vt:lpwstr>
  </property>
  <property fmtid="{D5CDD505-2E9C-101B-9397-08002B2CF9AE}" pid="14" name="SDLStudio">
    <vt:lpwstr/>
  </property>
</Properties>
</file>