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2F0FB6" w:rsidTr="00C85D0F">
        <w:trPr>
          <w:trHeight w:hRule="exact" w:val="1418"/>
        </w:trPr>
        <w:tc>
          <w:tcPr>
            <w:tcW w:w="6804" w:type="dxa"/>
            <w:shd w:val="clear" w:color="auto" w:fill="auto"/>
            <w:vAlign w:val="center"/>
          </w:tcPr>
          <w:p w:rsidR="00C05DD8" w:rsidRPr="002F0FB6" w:rsidRDefault="00C033D3" w:rsidP="00C85D0F">
            <w:pPr>
              <w:pStyle w:val="EPName"/>
            </w:pPr>
            <w:bookmarkStart w:id="0" w:name="_GoBack"/>
            <w:bookmarkEnd w:id="0"/>
            <w:r w:rsidRPr="002F0FB6">
              <w:t>Parlament Europejski</w:t>
            </w:r>
          </w:p>
          <w:p w:rsidR="00C05DD8" w:rsidRPr="002F0FB6" w:rsidRDefault="00FA6FD4" w:rsidP="00FA6FD4">
            <w:pPr>
              <w:pStyle w:val="EPTerm"/>
            </w:pPr>
            <w:r w:rsidRPr="002F0FB6">
              <w:t>2019-2024</w:t>
            </w:r>
          </w:p>
        </w:tc>
        <w:tc>
          <w:tcPr>
            <w:tcW w:w="2268" w:type="dxa"/>
            <w:shd w:val="clear" w:color="auto" w:fill="auto"/>
          </w:tcPr>
          <w:p w:rsidR="00C05DD8" w:rsidRPr="002F0FB6" w:rsidRDefault="00C05DD8" w:rsidP="00C85D0F">
            <w:pPr>
              <w:pStyle w:val="EPLogo"/>
            </w:pPr>
            <w:r w:rsidRPr="002F0FB6">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9612AA" w:rsidRPr="002F0FB6" w:rsidRDefault="009612AA" w:rsidP="009612AA">
      <w:pPr>
        <w:pStyle w:val="LineTop"/>
      </w:pPr>
    </w:p>
    <w:p w:rsidR="009612AA" w:rsidRPr="002F0FB6" w:rsidRDefault="009612AA" w:rsidP="009612AA">
      <w:pPr>
        <w:pStyle w:val="EPBody"/>
      </w:pPr>
      <w:r w:rsidRPr="002F0FB6">
        <w:rPr>
          <w:rStyle w:val="HideTWBExt"/>
        </w:rPr>
        <w:t>&lt;</w:t>
      </w:r>
      <w:r w:rsidRPr="002F0FB6">
        <w:rPr>
          <w:rStyle w:val="HideTWBExt"/>
          <w:i w:val="0"/>
        </w:rPr>
        <w:t>Commission</w:t>
      </w:r>
      <w:r w:rsidRPr="002F0FB6">
        <w:rPr>
          <w:rStyle w:val="HideTWBExt"/>
        </w:rPr>
        <w:t>&gt;</w:t>
      </w:r>
      <w:r w:rsidRPr="002F0FB6">
        <w:rPr>
          <w:rStyle w:val="HideTWBInt"/>
        </w:rPr>
        <w:t>{LIBE}</w:t>
      </w:r>
      <w:r w:rsidRPr="002F0FB6">
        <w:t>Komisja Wolności Obywatelskich, Sprawiedliwości i Spraw Wewnętrznych</w:t>
      </w:r>
      <w:r w:rsidRPr="002F0FB6">
        <w:rPr>
          <w:rStyle w:val="HideTWBExt"/>
        </w:rPr>
        <w:t>&lt;/</w:t>
      </w:r>
      <w:r w:rsidRPr="002F0FB6">
        <w:rPr>
          <w:rStyle w:val="HideTWBExt"/>
          <w:i w:val="0"/>
        </w:rPr>
        <w:t>Commission</w:t>
      </w:r>
      <w:r w:rsidRPr="002F0FB6">
        <w:rPr>
          <w:rStyle w:val="HideTWBExt"/>
        </w:rPr>
        <w:t>&gt;</w:t>
      </w:r>
    </w:p>
    <w:p w:rsidR="009612AA" w:rsidRPr="002F0FB6" w:rsidRDefault="009612AA" w:rsidP="009612AA">
      <w:pPr>
        <w:pStyle w:val="LineBottom"/>
      </w:pPr>
    </w:p>
    <w:p w:rsidR="00363B94" w:rsidRPr="002F0FB6" w:rsidRDefault="00363B94">
      <w:pPr>
        <w:pStyle w:val="CoverReference"/>
      </w:pPr>
      <w:r w:rsidRPr="002F0FB6">
        <w:rPr>
          <w:rStyle w:val="HideTWBExt"/>
          <w:b w:val="0"/>
        </w:rPr>
        <w:t>&lt;RefProc&gt;</w:t>
      </w:r>
      <w:r w:rsidRPr="002F0FB6">
        <w:t>2023/0224</w:t>
      </w:r>
      <w:r w:rsidRPr="002F0FB6">
        <w:rPr>
          <w:rStyle w:val="HideTWBExt"/>
          <w:b w:val="0"/>
        </w:rPr>
        <w:t>&lt;/RefProc&gt;&lt;RefTypeProc&gt;</w:t>
      </w:r>
      <w:r w:rsidRPr="002F0FB6">
        <w:t>(NLE)</w:t>
      </w:r>
      <w:r w:rsidRPr="002F0FB6">
        <w:rPr>
          <w:rStyle w:val="HideTWBExt"/>
          <w:b w:val="0"/>
        </w:rPr>
        <w:t>&lt;/RefTypeProc&gt;</w:t>
      </w:r>
    </w:p>
    <w:p w:rsidR="00363B94" w:rsidRPr="002F0FB6" w:rsidRDefault="00363B94">
      <w:pPr>
        <w:pStyle w:val="CoverDate"/>
      </w:pPr>
      <w:r w:rsidRPr="002F0FB6">
        <w:rPr>
          <w:rStyle w:val="HideTWBExt"/>
        </w:rPr>
        <w:t>&lt;Date&gt;</w:t>
      </w:r>
      <w:r w:rsidRPr="002F0FB6">
        <w:rPr>
          <w:rStyle w:val="HideTWBInt"/>
        </w:rPr>
        <w:t>{16/02/2024}</w:t>
      </w:r>
      <w:r w:rsidRPr="002F0FB6">
        <w:t>16.2.2024</w:t>
      </w:r>
      <w:r w:rsidRPr="002F0FB6">
        <w:rPr>
          <w:rStyle w:val="HideTWBExt"/>
        </w:rPr>
        <w:t>&lt;/Date&gt;</w:t>
      </w:r>
    </w:p>
    <w:p w:rsidR="00363B94" w:rsidRPr="002F0FB6" w:rsidRDefault="00363B94">
      <w:pPr>
        <w:pStyle w:val="CoverDocType"/>
      </w:pPr>
      <w:r w:rsidRPr="002F0FB6">
        <w:rPr>
          <w:rStyle w:val="HideTWBExt"/>
          <w:b w:val="0"/>
        </w:rPr>
        <w:t>&lt;RefProcLect&gt;</w:t>
      </w:r>
      <w:r w:rsidRPr="002F0FB6">
        <w:t>***</w:t>
      </w:r>
      <w:r w:rsidRPr="002F0FB6">
        <w:rPr>
          <w:rStyle w:val="HideTWBExt"/>
          <w:b w:val="0"/>
        </w:rPr>
        <w:t>&lt;/RefProcLect&gt;</w:t>
      </w:r>
    </w:p>
    <w:p w:rsidR="00363B94" w:rsidRPr="002F0FB6" w:rsidRDefault="00363B94">
      <w:pPr>
        <w:pStyle w:val="CoverDocType24a"/>
      </w:pPr>
      <w:r w:rsidRPr="002F0FB6">
        <w:rPr>
          <w:rStyle w:val="HideTWBExt"/>
          <w:b w:val="0"/>
        </w:rPr>
        <w:t>&lt;TitreType&gt;</w:t>
      </w:r>
      <w:r w:rsidRPr="002F0FB6">
        <w:t>PROJEKT ZALECENIA</w:t>
      </w:r>
      <w:r w:rsidRPr="002F0FB6">
        <w:rPr>
          <w:rStyle w:val="HideTWBExt"/>
          <w:b w:val="0"/>
        </w:rPr>
        <w:t>&lt;/TitreType&gt;</w:t>
      </w:r>
    </w:p>
    <w:p w:rsidR="00363B94" w:rsidRPr="002F0FB6" w:rsidRDefault="00363B94">
      <w:pPr>
        <w:pStyle w:val="CoverNormal"/>
      </w:pPr>
      <w:r w:rsidRPr="002F0FB6">
        <w:rPr>
          <w:rStyle w:val="HideTWBExt"/>
        </w:rPr>
        <w:t>&lt;Titre&gt;</w:t>
      </w:r>
      <w:proofErr w:type="gramStart"/>
      <w:r w:rsidRPr="002F0FB6">
        <w:t>w</w:t>
      </w:r>
      <w:proofErr w:type="gramEnd"/>
      <w:r w:rsidRPr="002F0FB6">
        <w:t xml:space="preserve"> sprawie projektu decyzji Rady dotyczącej zawarcia, w imieniu Unii, Umowy między Unią Europejską a Królestwem Norwegii w sprawie przepisów uzupełniających dotyczących Instrumentu Wsparcia Finansowego na rzecz Zarządzania Granicami i Polityki Wizowej, w ramach Funduszu Zintegrowanego Zarządzania Granicami, na lata 2021–2027</w:t>
      </w:r>
      <w:r w:rsidRPr="002F0FB6">
        <w:rPr>
          <w:rStyle w:val="HideTWBExt"/>
        </w:rPr>
        <w:t>&lt;/Titre&gt;</w:t>
      </w:r>
    </w:p>
    <w:p w:rsidR="00363B94" w:rsidRPr="002F0FB6" w:rsidRDefault="00363B94">
      <w:pPr>
        <w:pStyle w:val="CoverNormal24a"/>
      </w:pPr>
      <w:r w:rsidRPr="002F0FB6">
        <w:rPr>
          <w:rStyle w:val="HideTWBExt"/>
        </w:rPr>
        <w:t>&lt;DocRef&gt;</w:t>
      </w:r>
      <w:r w:rsidRPr="002F0FB6">
        <w:t>(12129/2023 – C9</w:t>
      </w:r>
      <w:r w:rsidRPr="002F0FB6">
        <w:noBreakHyphen/>
        <w:t>0002/2023 – 2023/0224(NLE))</w:t>
      </w:r>
      <w:r w:rsidRPr="002F0FB6">
        <w:rPr>
          <w:rStyle w:val="HideTWBExt"/>
        </w:rPr>
        <w:t>&lt;/DocRef&gt;</w:t>
      </w:r>
    </w:p>
    <w:p w:rsidR="00363B94" w:rsidRPr="002F0FB6" w:rsidRDefault="00363B94">
      <w:pPr>
        <w:pStyle w:val="CoverNormal24a"/>
      </w:pPr>
      <w:r w:rsidRPr="002F0FB6">
        <w:rPr>
          <w:rStyle w:val="HideTWBExt"/>
        </w:rPr>
        <w:t>&lt;Commission&gt;</w:t>
      </w:r>
      <w:r w:rsidRPr="002F0FB6">
        <w:rPr>
          <w:rStyle w:val="HideTWBInt"/>
        </w:rPr>
        <w:t>{LIBE}</w:t>
      </w:r>
      <w:r w:rsidRPr="002F0FB6">
        <w:t>Komisja Wolności Obywatelskich, Sprawiedliwości i Spraw Wewnętrznych</w:t>
      </w:r>
      <w:r w:rsidRPr="002F0FB6">
        <w:rPr>
          <w:rStyle w:val="HideTWBExt"/>
        </w:rPr>
        <w:t>&lt;/Commission&gt;</w:t>
      </w:r>
    </w:p>
    <w:p w:rsidR="00363B94" w:rsidRPr="009F08C7" w:rsidRDefault="00C033D3">
      <w:pPr>
        <w:pStyle w:val="CoverNormal24a"/>
        <w:rPr>
          <w:lang w:val="en-GB"/>
        </w:rPr>
      </w:pPr>
      <w:proofErr w:type="spellStart"/>
      <w:r w:rsidRPr="009F08C7">
        <w:rPr>
          <w:lang w:val="en-GB"/>
        </w:rPr>
        <w:t>Sprawozdawca</w:t>
      </w:r>
      <w:proofErr w:type="spellEnd"/>
      <w:r w:rsidRPr="009F08C7">
        <w:rPr>
          <w:lang w:val="en-GB"/>
        </w:rPr>
        <w:t xml:space="preserve">: </w:t>
      </w:r>
      <w:r w:rsidRPr="009F08C7">
        <w:rPr>
          <w:rStyle w:val="HideTWBExt"/>
          <w:lang w:val="en-GB"/>
        </w:rPr>
        <w:t>&lt;Depute&gt;</w:t>
      </w:r>
      <w:r w:rsidRPr="009F08C7">
        <w:rPr>
          <w:lang w:val="en-GB"/>
        </w:rPr>
        <w:t xml:space="preserve">Charlie </w:t>
      </w:r>
      <w:proofErr w:type="spellStart"/>
      <w:r w:rsidRPr="009F08C7">
        <w:rPr>
          <w:lang w:val="en-GB"/>
        </w:rPr>
        <w:t>Weimers</w:t>
      </w:r>
      <w:proofErr w:type="spellEnd"/>
      <w:r w:rsidRPr="009F08C7">
        <w:rPr>
          <w:rStyle w:val="HideTWBExt"/>
          <w:lang w:val="en-GB"/>
        </w:rPr>
        <w:t>&lt;/Depute&gt;</w:t>
      </w:r>
    </w:p>
    <w:p w:rsidR="00B42885" w:rsidRPr="009F08C7" w:rsidRDefault="00B42885" w:rsidP="00B42885">
      <w:pPr>
        <w:pStyle w:val="CoverNormal"/>
        <w:rPr>
          <w:lang w:val="en-GB"/>
        </w:rPr>
      </w:pPr>
    </w:p>
    <w:p w:rsidR="00FA6FD4" w:rsidRPr="009F08C7" w:rsidRDefault="00363B94" w:rsidP="00016E55">
      <w:pPr>
        <w:rPr>
          <w:lang w:val="en-GB"/>
        </w:rPr>
      </w:pPr>
      <w:r w:rsidRPr="009F08C7">
        <w:rPr>
          <w:lang w:val="en-GB"/>
        </w:rPr>
        <w:br w:type="page"/>
      </w:r>
      <w:r w:rsidR="00FA6FD4" w:rsidRPr="002F0FB6">
        <w:lastRenderedPageBreak/>
        <w:fldChar w:fldCharType="begin"/>
      </w:r>
      <w:r w:rsidR="00FA6FD4" w:rsidRPr="009F08C7">
        <w:rPr>
          <w:lang w:val="en-GB"/>
        </w:rPr>
        <w:instrText xml:space="preserve"> TITLE  \* MERGEFORMAT </w:instrText>
      </w:r>
      <w:r w:rsidR="00FA6FD4" w:rsidRPr="002F0FB6">
        <w:fldChar w:fldCharType="separate"/>
      </w:r>
      <w:r w:rsidR="009F08C7">
        <w:rPr>
          <w:lang w:val="en-GB"/>
        </w:rPr>
        <w:t>PR_NLE-</w:t>
      </w:r>
      <w:proofErr w:type="spellStart"/>
      <w:r w:rsidR="009F08C7">
        <w:rPr>
          <w:lang w:val="en-GB"/>
        </w:rPr>
        <w:t>AP_Agreement</w:t>
      </w:r>
      <w:proofErr w:type="spellEnd"/>
      <w:r w:rsidR="00FA6FD4" w:rsidRPr="002F0FB6">
        <w:fldChar w:fldCharType="end"/>
      </w:r>
    </w:p>
    <w:p w:rsidR="00FA6FD4" w:rsidRPr="009F08C7" w:rsidRDefault="00FA6FD4" w:rsidP="00016E55">
      <w:pPr>
        <w:rPr>
          <w:lang w:val="en-GB"/>
        </w:rPr>
      </w:pPr>
    </w:p>
    <w:p w:rsidR="00FA6FD4" w:rsidRPr="009F08C7" w:rsidRDefault="00FA6FD4" w:rsidP="00016E55">
      <w:pPr>
        <w:rPr>
          <w:lang w:val="en-GB"/>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FA6FD4" w:rsidRPr="002F0FB6">
        <w:tc>
          <w:tcPr>
            <w:tcW w:w="5811" w:type="dxa"/>
          </w:tcPr>
          <w:p w:rsidR="00FA6FD4" w:rsidRPr="002F0FB6" w:rsidRDefault="00FA6FD4" w:rsidP="00016E55">
            <w:pPr>
              <w:pStyle w:val="Lgendetitre"/>
            </w:pPr>
            <w:r w:rsidRPr="002F0FB6">
              <w:t>Objaśnienie używanych znaków</w:t>
            </w:r>
          </w:p>
        </w:tc>
      </w:tr>
      <w:tr w:rsidR="00FA6FD4" w:rsidRPr="002F0FB6" w:rsidTr="004247A2">
        <w:trPr>
          <w:cantSplit/>
          <w:trHeight w:val="1807"/>
        </w:trPr>
        <w:tc>
          <w:tcPr>
            <w:tcW w:w="5811" w:type="dxa"/>
            <w:tcBorders>
              <w:bottom w:val="single" w:sz="4" w:space="0" w:color="auto"/>
            </w:tcBorders>
          </w:tcPr>
          <w:p w:rsidR="00FA6FD4" w:rsidRPr="002F0FB6" w:rsidRDefault="00FA6FD4" w:rsidP="00717061">
            <w:pPr>
              <w:pStyle w:val="Lgendesigne"/>
            </w:pPr>
            <w:r w:rsidRPr="002F0FB6">
              <w:tab/>
              <w:t>*</w:t>
            </w:r>
            <w:r w:rsidRPr="002F0FB6">
              <w:tab/>
              <w:t>Procedura konsultacji</w:t>
            </w:r>
          </w:p>
          <w:p w:rsidR="00FA6FD4" w:rsidRPr="002F0FB6" w:rsidRDefault="00FA6FD4" w:rsidP="00717061">
            <w:pPr>
              <w:pStyle w:val="Lgendesigne"/>
            </w:pPr>
            <w:r w:rsidRPr="002F0FB6">
              <w:tab/>
              <w:t>***</w:t>
            </w:r>
            <w:r w:rsidRPr="002F0FB6">
              <w:tab/>
              <w:t>Procedura zgody</w:t>
            </w:r>
          </w:p>
          <w:p w:rsidR="00FA6FD4" w:rsidRPr="002F0FB6" w:rsidRDefault="00FA6FD4" w:rsidP="00717061">
            <w:pPr>
              <w:pStyle w:val="Lgendesigne"/>
            </w:pPr>
            <w:r w:rsidRPr="002F0FB6">
              <w:tab/>
              <w:t>***I</w:t>
            </w:r>
            <w:r w:rsidRPr="002F0FB6">
              <w:tab/>
              <w:t>Zwykła procedura ustawodawcza (pierwsze czytanie)</w:t>
            </w:r>
          </w:p>
          <w:p w:rsidR="00FA6FD4" w:rsidRPr="002F0FB6" w:rsidRDefault="00FA6FD4" w:rsidP="00717061">
            <w:pPr>
              <w:pStyle w:val="Lgendesigne"/>
            </w:pPr>
            <w:r w:rsidRPr="002F0FB6">
              <w:tab/>
              <w:t>***II</w:t>
            </w:r>
            <w:r w:rsidRPr="002F0FB6">
              <w:tab/>
              <w:t>Zwykła procedura ustawodawcza (drugie czytanie)</w:t>
            </w:r>
          </w:p>
          <w:p w:rsidR="00FA6FD4" w:rsidRPr="002F0FB6" w:rsidRDefault="00FA6FD4" w:rsidP="00717061">
            <w:pPr>
              <w:pStyle w:val="Lgendesigne"/>
            </w:pPr>
            <w:r w:rsidRPr="002F0FB6">
              <w:tab/>
              <w:t>***III</w:t>
            </w:r>
            <w:r w:rsidRPr="002F0FB6">
              <w:tab/>
              <w:t>Zwykła procedura ustawodawcza (trzecie czytanie)</w:t>
            </w:r>
          </w:p>
          <w:p w:rsidR="00FA6FD4" w:rsidRPr="002F0FB6" w:rsidRDefault="00FA6FD4" w:rsidP="00717061">
            <w:pPr>
              <w:pStyle w:val="Lgendestandard"/>
            </w:pPr>
          </w:p>
          <w:p w:rsidR="00FA6FD4" w:rsidRPr="002F0FB6" w:rsidRDefault="00FA6FD4" w:rsidP="00717061">
            <w:pPr>
              <w:pStyle w:val="Lgendestandard"/>
            </w:pPr>
            <w:r w:rsidRPr="002F0FB6">
              <w:t>(Wskazana procedura opiera się na podstawie prawnej zaproponowanej w projekcie aktu.)</w:t>
            </w:r>
          </w:p>
          <w:p w:rsidR="00FA6FD4" w:rsidRPr="002F0FB6" w:rsidRDefault="00FA6FD4" w:rsidP="00B837B7">
            <w:pPr>
              <w:pStyle w:val="Lgendestandard"/>
            </w:pPr>
          </w:p>
        </w:tc>
      </w:tr>
    </w:tbl>
    <w:p w:rsidR="00FA6FD4" w:rsidRPr="002F0FB6" w:rsidRDefault="00FA6FD4" w:rsidP="00016E55"/>
    <w:p w:rsidR="00363B94" w:rsidRPr="002F0FB6" w:rsidRDefault="00363B94" w:rsidP="00613F2E">
      <w:pPr>
        <w:widowControl/>
        <w:tabs>
          <w:tab w:val="center" w:pos="4677"/>
        </w:tabs>
      </w:pPr>
    </w:p>
    <w:p w:rsidR="00363B94" w:rsidRPr="002F0FB6" w:rsidRDefault="00363B94">
      <w:pPr>
        <w:pStyle w:val="TOCHeading"/>
      </w:pPr>
      <w:r w:rsidRPr="002F0FB6">
        <w:br w:type="page"/>
      </w:r>
      <w:r w:rsidRPr="002F0FB6">
        <w:lastRenderedPageBreak/>
        <w:t>SPIS TREŚCI</w:t>
      </w:r>
    </w:p>
    <w:p w:rsidR="00363B94" w:rsidRPr="002F0FB6" w:rsidRDefault="00C033D3">
      <w:pPr>
        <w:pStyle w:val="TOCPage"/>
      </w:pPr>
      <w:r w:rsidRPr="002F0FB6">
        <w:t>Strona</w:t>
      </w:r>
    </w:p>
    <w:p w:rsidR="009F08C7" w:rsidRPr="009F08C7" w:rsidRDefault="00EF48F2">
      <w:pPr>
        <w:pStyle w:val="TOC1"/>
        <w:tabs>
          <w:tab w:val="right" w:leader="dot" w:pos="9060"/>
        </w:tabs>
        <w:rPr>
          <w:rFonts w:asciiTheme="minorHAnsi" w:eastAsiaTheme="minorEastAsia" w:hAnsiTheme="minorHAnsi" w:cstheme="minorBidi"/>
          <w:noProof/>
          <w:sz w:val="22"/>
          <w:szCs w:val="22"/>
        </w:rPr>
      </w:pPr>
      <w:r w:rsidRPr="002F0FB6">
        <w:fldChar w:fldCharType="begin"/>
      </w:r>
      <w:r w:rsidRPr="002F0FB6">
        <w:instrText xml:space="preserve"> TOC \t "PageHeading</w:instrText>
      </w:r>
      <w:r w:rsidR="009F08C7">
        <w:instrText>;</w:instrText>
      </w:r>
      <w:r w:rsidRPr="002F0FB6">
        <w:instrText xml:space="preserve">1" </w:instrText>
      </w:r>
      <w:r w:rsidRPr="002F0FB6">
        <w:fldChar w:fldCharType="separate"/>
      </w:r>
      <w:r w:rsidR="009F08C7">
        <w:rPr>
          <w:noProof/>
        </w:rPr>
        <w:t>PROJEKT REZOLUCJI USTAWODAWCZEJ PARLAMENTU EUROPEJSKIEGO</w:t>
      </w:r>
      <w:r w:rsidR="009F08C7">
        <w:rPr>
          <w:noProof/>
        </w:rPr>
        <w:tab/>
      </w:r>
      <w:r w:rsidR="009F08C7">
        <w:rPr>
          <w:noProof/>
        </w:rPr>
        <w:fldChar w:fldCharType="begin"/>
      </w:r>
      <w:r w:rsidR="009F08C7">
        <w:rPr>
          <w:noProof/>
        </w:rPr>
        <w:instrText xml:space="preserve"> PAGEREF _Toc160184505 \h </w:instrText>
      </w:r>
      <w:r w:rsidR="009F08C7">
        <w:rPr>
          <w:noProof/>
        </w:rPr>
      </w:r>
      <w:r w:rsidR="009F08C7">
        <w:rPr>
          <w:noProof/>
        </w:rPr>
        <w:fldChar w:fldCharType="separate"/>
      </w:r>
      <w:r w:rsidR="009F08C7">
        <w:rPr>
          <w:noProof/>
        </w:rPr>
        <w:t>5</w:t>
      </w:r>
      <w:r w:rsidR="009F08C7">
        <w:rPr>
          <w:noProof/>
        </w:rPr>
        <w:fldChar w:fldCharType="end"/>
      </w:r>
    </w:p>
    <w:p w:rsidR="009F08C7" w:rsidRDefault="009F08C7">
      <w:pPr>
        <w:pStyle w:val="TOC1"/>
        <w:tabs>
          <w:tab w:val="right" w:leader="dot" w:pos="9060"/>
        </w:tabs>
        <w:rPr>
          <w:rFonts w:asciiTheme="minorHAnsi" w:eastAsiaTheme="minorEastAsia" w:hAnsiTheme="minorHAnsi" w:cstheme="minorBidi"/>
          <w:noProof/>
          <w:sz w:val="22"/>
          <w:szCs w:val="22"/>
          <w:lang w:val="en-GB"/>
        </w:rPr>
      </w:pPr>
      <w:r>
        <w:rPr>
          <w:noProof/>
        </w:rPr>
        <w:t>UZASADNIENIE</w:t>
      </w:r>
      <w:r>
        <w:rPr>
          <w:noProof/>
        </w:rPr>
        <w:tab/>
      </w:r>
      <w:r>
        <w:rPr>
          <w:noProof/>
        </w:rPr>
        <w:fldChar w:fldCharType="begin"/>
      </w:r>
      <w:r>
        <w:rPr>
          <w:noProof/>
        </w:rPr>
        <w:instrText xml:space="preserve"> PAGEREF _Toc160184506 \h </w:instrText>
      </w:r>
      <w:r>
        <w:rPr>
          <w:noProof/>
        </w:rPr>
      </w:r>
      <w:r>
        <w:rPr>
          <w:noProof/>
        </w:rPr>
        <w:fldChar w:fldCharType="separate"/>
      </w:r>
      <w:r>
        <w:rPr>
          <w:noProof/>
        </w:rPr>
        <w:t>6</w:t>
      </w:r>
      <w:r>
        <w:rPr>
          <w:noProof/>
        </w:rPr>
        <w:fldChar w:fldCharType="end"/>
      </w:r>
    </w:p>
    <w:p w:rsidR="004E1650" w:rsidRPr="002F0FB6" w:rsidRDefault="00EF48F2" w:rsidP="00F04010">
      <w:r w:rsidRPr="002F0FB6">
        <w:fldChar w:fldCharType="end"/>
      </w:r>
    </w:p>
    <w:p w:rsidR="00363B94" w:rsidRPr="002F0FB6" w:rsidRDefault="00363B94" w:rsidP="0006167F">
      <w:pPr>
        <w:pStyle w:val="PageHeading"/>
      </w:pPr>
      <w:r w:rsidRPr="002F0FB6">
        <w:br w:type="page"/>
      </w:r>
      <w:r w:rsidRPr="002F0FB6">
        <w:lastRenderedPageBreak/>
        <w:br w:type="page"/>
      </w:r>
      <w:bookmarkStart w:id="1" w:name="_Toc160184505"/>
      <w:r w:rsidRPr="002F0FB6">
        <w:lastRenderedPageBreak/>
        <w:t>PROJEKT REZOLUCJI USTAWODAWCZEJ PARLAMENTU EUROPEJSKIEGO</w:t>
      </w:r>
      <w:bookmarkEnd w:id="1"/>
    </w:p>
    <w:p w:rsidR="00363B94" w:rsidRPr="002F0FB6" w:rsidRDefault="00C033D3">
      <w:pPr>
        <w:pStyle w:val="NormalBold"/>
      </w:pPr>
      <w:proofErr w:type="gramStart"/>
      <w:r w:rsidRPr="002F0FB6">
        <w:t>w</w:t>
      </w:r>
      <w:proofErr w:type="gramEnd"/>
      <w:r w:rsidRPr="002F0FB6">
        <w:t xml:space="preserve"> sprawie projektu decyzji Rady dotyczącej zawarcia, w imieniu Unii, Umowy między Unią Europejską a Królestwem Norwegii w sprawie przepisów uzupełniających dotyczących Instrumentu Wsparcia Finansowego na rzecz Zarządzania Granicami i Polityki Wizowej, w ramach Funduszu Zintegrowanego Zarządzania Granicami, na lata 2021–2027</w:t>
      </w:r>
    </w:p>
    <w:p w:rsidR="00363B94" w:rsidRPr="002F0FB6" w:rsidRDefault="00C033D3">
      <w:pPr>
        <w:pStyle w:val="NormalBold12a"/>
      </w:pPr>
      <w:r w:rsidRPr="002F0FB6">
        <w:t>(12129/2023 – C9</w:t>
      </w:r>
      <w:r w:rsidRPr="002F0FB6">
        <w:noBreakHyphen/>
        <w:t>0002/2023 – 2023/0224(NLE))</w:t>
      </w:r>
    </w:p>
    <w:p w:rsidR="00363B94" w:rsidRPr="002F0FB6" w:rsidRDefault="00C033D3" w:rsidP="00893FBD">
      <w:pPr>
        <w:pStyle w:val="NormalBold"/>
      </w:pPr>
      <w:r w:rsidRPr="002F0FB6">
        <w:t>(Zgoda)</w:t>
      </w:r>
    </w:p>
    <w:p w:rsidR="00363B94" w:rsidRPr="002F0FB6" w:rsidRDefault="00C033D3">
      <w:pPr>
        <w:pStyle w:val="EPComma"/>
      </w:pPr>
      <w:r w:rsidRPr="002F0FB6">
        <w:rPr>
          <w:i/>
          <w:iCs/>
        </w:rPr>
        <w:t>Parlament Europejski</w:t>
      </w:r>
      <w:r w:rsidRPr="002F0FB6">
        <w:t>,</w:t>
      </w:r>
    </w:p>
    <w:p w:rsidR="00BF7F55" w:rsidRPr="002F0FB6" w:rsidRDefault="00BF7F55" w:rsidP="00BF7F55">
      <w:pPr>
        <w:pStyle w:val="NormalHanging12a"/>
      </w:pPr>
      <w:r w:rsidRPr="002F0FB6">
        <w:t>–</w:t>
      </w:r>
      <w:r w:rsidRPr="002F0FB6">
        <w:tab/>
        <w:t>uwzględniając projekt decyzji Rady (12129/2023),</w:t>
      </w:r>
    </w:p>
    <w:p w:rsidR="00363B94" w:rsidRPr="002F0FB6" w:rsidRDefault="00363B94">
      <w:pPr>
        <w:pStyle w:val="NormalHanging12a"/>
      </w:pPr>
      <w:r w:rsidRPr="002F0FB6">
        <w:t>–</w:t>
      </w:r>
      <w:r w:rsidRPr="002F0FB6">
        <w:tab/>
        <w:t>uwzględniając projekt umowy między Unią Europejską a Królestwem Norwegii w sprawie przepisów uzupełniających dotyczących Instrumentu Wsparcia Finansowego na rzecz Zarządzania Granicami i Polityki Wizowej, w ramach Funduszu Zintegrowanego Zarządzania Granicami, na lata 2021–2027 (12128/2023),</w:t>
      </w:r>
    </w:p>
    <w:p w:rsidR="00363B94" w:rsidRPr="002F0FB6" w:rsidRDefault="005F5D6C">
      <w:pPr>
        <w:pStyle w:val="NormalHanging12a"/>
      </w:pPr>
      <w:r w:rsidRPr="002F0FB6">
        <w:t>–</w:t>
      </w:r>
      <w:r w:rsidRPr="002F0FB6">
        <w:tab/>
        <w:t>uwzględniając wniosek o wyrażenie zgody przedstawiony przez Radę na mocy art. 77 ust. 2, art. 218 ust. 6 akapit drugi lit. a) i art. 218 ust. 7 Traktatu o funkcjonowaniu Unii Europejskiej (C9</w:t>
      </w:r>
      <w:r w:rsidRPr="002F0FB6">
        <w:noBreakHyphen/>
        <w:t>0002/2023),</w:t>
      </w:r>
    </w:p>
    <w:p w:rsidR="00363B94" w:rsidRPr="002F0FB6" w:rsidRDefault="00363B94">
      <w:pPr>
        <w:pStyle w:val="NormalHanging12a"/>
      </w:pPr>
      <w:r w:rsidRPr="002F0FB6">
        <w:t>–</w:t>
      </w:r>
      <w:r w:rsidRPr="002F0FB6">
        <w:tab/>
        <w:t>uwzględniając art. 105 ust. 1 i 4 oraz art. 114 ust. 7 Regulaminu,</w:t>
      </w:r>
    </w:p>
    <w:p w:rsidR="00363B94" w:rsidRPr="002F0FB6" w:rsidRDefault="00363B94">
      <w:pPr>
        <w:pStyle w:val="NormalHanging12a"/>
      </w:pPr>
      <w:r w:rsidRPr="002F0FB6">
        <w:t>–</w:t>
      </w:r>
      <w:r w:rsidRPr="002F0FB6">
        <w:tab/>
        <w:t>uwzględniając zalecenie Komisji Wolności Obywatelskich, Sprawiedliwości i Spraw Wewnętrznych (A9</w:t>
      </w:r>
      <w:r w:rsidRPr="002F0FB6">
        <w:noBreakHyphen/>
        <w:t>0000/2024),</w:t>
      </w:r>
    </w:p>
    <w:p w:rsidR="00363B94" w:rsidRPr="002F0FB6" w:rsidRDefault="00363B94">
      <w:pPr>
        <w:pStyle w:val="NormalHanging12a"/>
      </w:pPr>
      <w:r w:rsidRPr="002F0FB6">
        <w:t>1.</w:t>
      </w:r>
      <w:r w:rsidRPr="002F0FB6">
        <w:tab/>
      </w:r>
      <w:proofErr w:type="gramStart"/>
      <w:r w:rsidRPr="002F0FB6">
        <w:t>wyraża</w:t>
      </w:r>
      <w:proofErr w:type="gramEnd"/>
      <w:r w:rsidRPr="002F0FB6">
        <w:t xml:space="preserve"> zgodę na zawarcie umowy;</w:t>
      </w:r>
    </w:p>
    <w:p w:rsidR="001D02E3" w:rsidRPr="002F0FB6" w:rsidRDefault="001D02E3">
      <w:pPr>
        <w:pStyle w:val="NormalHanging12a"/>
      </w:pPr>
      <w:r w:rsidRPr="002F0FB6">
        <w:t>2.</w:t>
      </w:r>
      <w:r w:rsidRPr="002F0FB6">
        <w:tab/>
      </w:r>
      <w:proofErr w:type="gramStart"/>
      <w:r w:rsidRPr="002F0FB6">
        <w:t>zobowiązuje</w:t>
      </w:r>
      <w:proofErr w:type="gramEnd"/>
      <w:r w:rsidRPr="002F0FB6">
        <w:t xml:space="preserve"> swoją przewodniczącą do przekazania stanowiska Parlamentu Radzie i Komisji, jak również rządom i parlamentom państw członkowskich oraz Królestwa Norwegii.</w:t>
      </w:r>
    </w:p>
    <w:p w:rsidR="005B40ED" w:rsidRPr="002F0FB6" w:rsidRDefault="005B40ED" w:rsidP="00822206">
      <w:pPr>
        <w:sectPr w:rsidR="005B40ED" w:rsidRPr="002F0FB6" w:rsidSect="002F0FB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363B94" w:rsidRPr="002F0FB6" w:rsidRDefault="005B40ED" w:rsidP="005B40ED">
      <w:pPr>
        <w:pStyle w:val="PageHeading"/>
      </w:pPr>
      <w:bookmarkStart w:id="2" w:name="_Toc160184506"/>
      <w:r w:rsidRPr="002F0FB6">
        <w:lastRenderedPageBreak/>
        <w:t>UZASADNIENIE</w:t>
      </w:r>
      <w:bookmarkEnd w:id="2"/>
    </w:p>
    <w:p w:rsidR="00DF744E" w:rsidRPr="002F0FB6" w:rsidRDefault="00DF744E" w:rsidP="00DF744E">
      <w:pPr>
        <w:jc w:val="both"/>
      </w:pPr>
      <w:r w:rsidRPr="002F0FB6">
        <w:t xml:space="preserve">Instrument Wsparcia Finansowego na rzecz Zarządzania Granicami i Polityki Wizowej, w ramach Funduszu Zintegrowanego Zarządzania Granicami, stanowi szczególny instrument w kontekście dorobku </w:t>
      </w:r>
      <w:proofErr w:type="spellStart"/>
      <w:r w:rsidRPr="002F0FB6">
        <w:t>Schengen</w:t>
      </w:r>
      <w:proofErr w:type="spellEnd"/>
      <w:r w:rsidRPr="002F0FB6">
        <w:t xml:space="preserve">, którego celem jest zapewnienie silnego i skutecznego europejskiego zintegrowanego zarządzania granicami na granicach zewnętrznych. Ułatwia on dozwolone przekraczanie granic przy jednoczesnym zapobieganiu nielegalnej imigracji i przestępczości transgranicznej oraz wykrywaniu tych zjawisk, chroniąc tym samym strefę </w:t>
      </w:r>
      <w:proofErr w:type="spellStart"/>
      <w:r w:rsidRPr="002F0FB6">
        <w:t>Schengen</w:t>
      </w:r>
      <w:proofErr w:type="spellEnd"/>
      <w:r w:rsidRPr="002F0FB6">
        <w:t>, zgodnie ze zobowiązaniami państw członkowskich i państw stowarzyszonych w zakresie praw podstawowych. Wspiera także jednolite wdrażanie i modernizację wspólnej polityki wizowej, przyczyniając się tym samym do zagwarantowania wysokiego poziomu bezpieczeństwa w państwach członkowskich i państwach stowarzyszonych.</w:t>
      </w:r>
    </w:p>
    <w:p w:rsidR="00DF744E" w:rsidRPr="002F0FB6" w:rsidRDefault="00DF744E" w:rsidP="00DF744E">
      <w:pPr>
        <w:jc w:val="both"/>
      </w:pPr>
    </w:p>
    <w:p w:rsidR="00DF744E" w:rsidRPr="002F0FB6" w:rsidRDefault="00DF744E" w:rsidP="00DF744E">
      <w:pPr>
        <w:jc w:val="both"/>
      </w:pPr>
      <w:r w:rsidRPr="002F0FB6">
        <w:t xml:space="preserve">Sprawozdawca uważa również, że z uwagi na szczególny charakter dorobku </w:t>
      </w:r>
      <w:proofErr w:type="spellStart"/>
      <w:r w:rsidRPr="002F0FB6">
        <w:t>Schengen</w:t>
      </w:r>
      <w:proofErr w:type="spellEnd"/>
      <w:r w:rsidRPr="002F0FB6">
        <w:t xml:space="preserve"> i znaczenie jego jednolitego stosowania dla integralności strefy </w:t>
      </w:r>
      <w:proofErr w:type="spellStart"/>
      <w:r w:rsidRPr="002F0FB6">
        <w:t>Schengen</w:t>
      </w:r>
      <w:proofErr w:type="spellEnd"/>
      <w:r w:rsidRPr="002F0FB6">
        <w:t xml:space="preserve"> wszystkie przepisy mające zastosowanie do zarządzania programami powinny być stosowane w przypadku Norwegii w taki sam sposób jak w przypadku państw członkowskich. Zapewnia to wysoki i jednolity poziom kontroli na granicach zewnętrznych.</w:t>
      </w:r>
    </w:p>
    <w:p w:rsidR="00DF744E" w:rsidRPr="002F0FB6" w:rsidRDefault="00DF744E" w:rsidP="00DF744E">
      <w:pPr>
        <w:jc w:val="both"/>
      </w:pPr>
      <w:r w:rsidRPr="002F0FB6">
        <w:br/>
        <w:t xml:space="preserve">W umowach tych wprowadza się szczególne mechanizmy ich szybkiego dostosowania do umowy z Norwegią w przypadku zmian kluczowych przepisów Unii mających znaczenie dla wykonania tychże umów, takich jak przepisy rozporządzenia finansowego i rozporządzenia w sprawie wspólnych przepisów. Umowa zapewnia także uwzględnienie w przeglądzie śródokresowym IZGW faktu, że udział państw stowarzyszonych w ramach </w:t>
      </w:r>
      <w:proofErr w:type="spellStart"/>
      <w:r w:rsidRPr="002F0FB6">
        <w:t>Schengen</w:t>
      </w:r>
      <w:proofErr w:type="spellEnd"/>
      <w:r w:rsidRPr="002F0FB6">
        <w:t xml:space="preserve"> w tym instrumencie nastąpił z opóźnieniem. Zawiera również przepis dotyczący europejskiego systemu informacji o podróży oraz zezwoleń na podróż (ETIAS). </w:t>
      </w:r>
    </w:p>
    <w:p w:rsidR="00DF744E" w:rsidRPr="002F0FB6" w:rsidRDefault="00DF744E" w:rsidP="00DF744E">
      <w:pPr>
        <w:jc w:val="both"/>
      </w:pPr>
    </w:p>
    <w:p w:rsidR="00DF744E" w:rsidRPr="002F0FB6" w:rsidRDefault="00DF744E" w:rsidP="00DF744E">
      <w:pPr>
        <w:jc w:val="both"/>
      </w:pPr>
      <w:r w:rsidRPr="002F0FB6">
        <w:t>W kwestii nadzoru budżetowego i kontroli finansowej państwa członkowskie są objęte zobowiązaniami horyzontalnymi (np. kompetencjami Trybunału Obrachunkowego, Europejskiego Urzędu ds. Zwalczania Nadużyć Finansowych (OLAF) i Prokuratury Europejskiej i Komisji) wynikającymi bezpośrednio z Traktatu lub prawodawstwa wtórnego Unii, w tym z rozporządzenia w sprawie wspólnych przepisów, jak wspomniano powyżej. Zobowiązania te mają zastosowanie do państw członkowskich ipso facto, a zatem nie są one ustanowione w rozporządzeniu IZGW. W związku z tym zobowiązania te należy rozszerzyć na Norwegię w drodze umowy, której dotyczy przedmiotowy projekt.</w:t>
      </w:r>
    </w:p>
    <w:p w:rsidR="00DF744E" w:rsidRPr="002F0FB6" w:rsidRDefault="00DF744E" w:rsidP="00DF744E">
      <w:pPr>
        <w:jc w:val="both"/>
        <w:rPr>
          <w:rFonts w:ascii="Arial" w:hAnsi="Arial" w:cs="Arial"/>
          <w:color w:val="222222"/>
          <w:spacing w:val="4"/>
          <w:sz w:val="21"/>
          <w:szCs w:val="21"/>
          <w:shd w:val="clear" w:color="auto" w:fill="FFFFFF"/>
        </w:rPr>
      </w:pPr>
    </w:p>
    <w:p w:rsidR="00DF744E" w:rsidRPr="002F0FB6" w:rsidRDefault="00DF744E" w:rsidP="00DF744E">
      <w:pPr>
        <w:jc w:val="both"/>
      </w:pPr>
      <w:r w:rsidRPr="002F0FB6">
        <w:t>Podsumowując, sprawozdawca uważa, że należy zawrzeć umowę ustanawiającą przepisy dodatkowe niezbędne do udziału Królestwa Norwegii w Instrumencie Wsparcia Finansowego na rzecz Zarządzania Granicami i Polityki Wizowej („IZGW”) w ramach Funduszu Zintegrowanego Zarządzania Granicami w okresie programowania 2021–2027 zgodnie z art. 7 ust. 6 rozporządzenia (UE) 2021/1148 („rozporządzenie w sprawie IZGW”).</w:t>
      </w:r>
    </w:p>
    <w:p w:rsidR="00DF744E" w:rsidRPr="002F0FB6" w:rsidRDefault="00DF744E" w:rsidP="00DF744E">
      <w:pPr>
        <w:jc w:val="both"/>
      </w:pPr>
    </w:p>
    <w:p w:rsidR="00DF744E" w:rsidRPr="002F0FB6" w:rsidRDefault="00DF744E" w:rsidP="00DF744E">
      <w:pPr>
        <w:jc w:val="both"/>
      </w:pPr>
      <w:r w:rsidRPr="002F0FB6">
        <w:t>W związku z powyższym sprawozdawca zaleca, by Parlament Europejski wydał zgodę na przyjęcie projektu decyzji Rady i zobowiązał przewodniczącą Parlamentu do przekazania jego stanowisko Radzie, Komisji oraz rządom i parlamentom państw członkowskich.</w:t>
      </w:r>
    </w:p>
    <w:p w:rsidR="00DF744E" w:rsidRPr="002F0FB6" w:rsidRDefault="00DF744E" w:rsidP="00DF744E">
      <w:pPr>
        <w:jc w:val="both"/>
      </w:pPr>
    </w:p>
    <w:p w:rsidR="00DF744E" w:rsidRPr="002F0FB6" w:rsidRDefault="00DF744E" w:rsidP="00DF744E"/>
    <w:sectPr w:rsidR="00DF744E" w:rsidRPr="002F0FB6" w:rsidSect="005B40E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33D3" w:rsidRPr="002F0FB6" w:rsidRDefault="00C033D3">
      <w:r w:rsidRPr="002F0FB6">
        <w:separator/>
      </w:r>
    </w:p>
  </w:endnote>
  <w:endnote w:type="continuationSeparator" w:id="0">
    <w:p w:rsidR="00C033D3" w:rsidRPr="002F0FB6" w:rsidRDefault="00C033D3">
      <w:r w:rsidRPr="002F0FB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FB6" w:rsidRPr="002F0FB6" w:rsidRDefault="002F0FB6" w:rsidP="002F0FB6">
    <w:pPr>
      <w:pStyle w:val="EPFooter"/>
    </w:pPr>
    <w:r w:rsidRPr="002F0FB6">
      <w:t>PE</w:t>
    </w:r>
    <w:r w:rsidRPr="002F0FB6">
      <w:rPr>
        <w:rStyle w:val="HideTWBExt"/>
      </w:rPr>
      <w:t>&lt;NoPE&gt;</w:t>
    </w:r>
    <w:r w:rsidRPr="002F0FB6">
      <w:t>758.912</w:t>
    </w:r>
    <w:r w:rsidRPr="002F0FB6">
      <w:rPr>
        <w:rStyle w:val="HideTWBExt"/>
      </w:rPr>
      <w:t>&lt;/NoPE&gt;&lt;Version&gt;</w:t>
    </w:r>
    <w:proofErr w:type="gramStart"/>
    <w:r w:rsidRPr="002F0FB6">
      <w:t>v</w:t>
    </w:r>
    <w:proofErr w:type="gramEnd"/>
    <w:r w:rsidRPr="002F0FB6">
      <w:t>01-00</w:t>
    </w:r>
    <w:r w:rsidRPr="002F0FB6">
      <w:rPr>
        <w:rStyle w:val="HideTWBExt"/>
      </w:rPr>
      <w:t>&lt;/Version&gt;</w:t>
    </w:r>
    <w:r w:rsidRPr="002F0FB6">
      <w:tab/>
    </w:r>
    <w:r w:rsidRPr="002F0FB6">
      <w:fldChar w:fldCharType="begin"/>
    </w:r>
    <w:r w:rsidRPr="002F0FB6">
      <w:instrText xml:space="preserve"> PAGE  \* MERGEFORMAT </w:instrText>
    </w:r>
    <w:r w:rsidRPr="002F0FB6">
      <w:fldChar w:fldCharType="separate"/>
    </w:r>
    <w:r w:rsidR="009F08C7">
      <w:rPr>
        <w:noProof/>
      </w:rPr>
      <w:t>4</w:t>
    </w:r>
    <w:r w:rsidRPr="002F0FB6">
      <w:fldChar w:fldCharType="end"/>
    </w:r>
    <w:r w:rsidRPr="002F0FB6">
      <w:t>/</w:t>
    </w:r>
    <w:fldSimple w:instr=" NUMPAGES  \* MERGEFORMAT ">
      <w:r w:rsidR="009F08C7">
        <w:rPr>
          <w:noProof/>
        </w:rPr>
        <w:t>4</w:t>
      </w:r>
    </w:fldSimple>
    <w:r w:rsidRPr="002F0FB6">
      <w:tab/>
    </w:r>
    <w:r w:rsidRPr="002F0FB6">
      <w:rPr>
        <w:rStyle w:val="HideTWBExt"/>
      </w:rPr>
      <w:t>&lt;PathFdR&gt;</w:t>
    </w:r>
    <w:r w:rsidRPr="002F0FB6">
      <w:t>PR\1296233PL.docx</w:t>
    </w:r>
    <w:r w:rsidRPr="002F0FB6">
      <w:rPr>
        <w:rStyle w:val="HideTWBExt"/>
      </w:rPr>
      <w:t>&lt;/PathFdR&gt;</w:t>
    </w:r>
  </w:p>
  <w:p w:rsidR="0085501C" w:rsidRPr="002F0FB6" w:rsidRDefault="002F0FB6" w:rsidP="002F0FB6">
    <w:pPr>
      <w:pStyle w:val="EPFooter2"/>
    </w:pPr>
    <w:r w:rsidRPr="002F0FB6">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FB6" w:rsidRPr="002F0FB6" w:rsidRDefault="002F0FB6" w:rsidP="002F0FB6">
    <w:pPr>
      <w:pStyle w:val="EPFooter"/>
    </w:pPr>
    <w:r w:rsidRPr="002F0FB6">
      <w:rPr>
        <w:rStyle w:val="HideTWBExt"/>
      </w:rPr>
      <w:t>&lt;PathFdR&gt;</w:t>
    </w:r>
    <w:r w:rsidRPr="002F0FB6">
      <w:t>PR\1296233PL.docx</w:t>
    </w:r>
    <w:r w:rsidRPr="002F0FB6">
      <w:rPr>
        <w:rStyle w:val="HideTWBExt"/>
      </w:rPr>
      <w:t>&lt;/PathFdR&gt;</w:t>
    </w:r>
    <w:r w:rsidRPr="002F0FB6">
      <w:tab/>
    </w:r>
    <w:r w:rsidRPr="002F0FB6">
      <w:fldChar w:fldCharType="begin"/>
    </w:r>
    <w:r w:rsidRPr="002F0FB6">
      <w:instrText xml:space="preserve"> PAGE  \* MERGEFORMAT </w:instrText>
    </w:r>
    <w:r w:rsidRPr="002F0FB6">
      <w:fldChar w:fldCharType="separate"/>
    </w:r>
    <w:r w:rsidR="009F08C7">
      <w:rPr>
        <w:noProof/>
      </w:rPr>
      <w:t>5</w:t>
    </w:r>
    <w:r w:rsidRPr="002F0FB6">
      <w:fldChar w:fldCharType="end"/>
    </w:r>
    <w:r w:rsidRPr="002F0FB6">
      <w:t>/</w:t>
    </w:r>
    <w:fldSimple w:instr=" NUMPAGES  \* MERGEFORMAT ">
      <w:r w:rsidR="009F08C7">
        <w:rPr>
          <w:noProof/>
        </w:rPr>
        <w:t>5</w:t>
      </w:r>
    </w:fldSimple>
    <w:r w:rsidRPr="002F0FB6">
      <w:tab/>
      <w:t>PE</w:t>
    </w:r>
    <w:r w:rsidRPr="002F0FB6">
      <w:rPr>
        <w:rStyle w:val="HideTWBExt"/>
      </w:rPr>
      <w:t>&lt;NoPE&gt;</w:t>
    </w:r>
    <w:r w:rsidRPr="002F0FB6">
      <w:t>758.912</w:t>
    </w:r>
    <w:r w:rsidRPr="002F0FB6">
      <w:rPr>
        <w:rStyle w:val="HideTWBExt"/>
      </w:rPr>
      <w:t>&lt;/NoPE&gt;&lt;Version&gt;</w:t>
    </w:r>
    <w:proofErr w:type="gramStart"/>
    <w:r w:rsidRPr="002F0FB6">
      <w:t>v</w:t>
    </w:r>
    <w:proofErr w:type="gramEnd"/>
    <w:r w:rsidRPr="002F0FB6">
      <w:t>01-00</w:t>
    </w:r>
    <w:r w:rsidRPr="002F0FB6">
      <w:rPr>
        <w:rStyle w:val="HideTWBExt"/>
      </w:rPr>
      <w:t>&lt;/Version&gt;</w:t>
    </w:r>
  </w:p>
  <w:p w:rsidR="0085501C" w:rsidRPr="002F0FB6" w:rsidRDefault="002F0FB6" w:rsidP="002F0FB6">
    <w:pPr>
      <w:pStyle w:val="EPFooter2"/>
    </w:pPr>
    <w:r w:rsidRPr="002F0FB6">
      <w:tab/>
    </w:r>
    <w:r w:rsidRPr="002F0FB6">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FB6" w:rsidRPr="002F0FB6" w:rsidRDefault="002F0FB6" w:rsidP="002F0FB6">
    <w:pPr>
      <w:pStyle w:val="EPFooter"/>
    </w:pPr>
    <w:r w:rsidRPr="002F0FB6">
      <w:rPr>
        <w:rStyle w:val="HideTWBExt"/>
      </w:rPr>
      <w:t>&lt;PathFdR&gt;</w:t>
    </w:r>
    <w:r w:rsidRPr="002F0FB6">
      <w:t>PR\1296233PL.docx</w:t>
    </w:r>
    <w:r w:rsidRPr="002F0FB6">
      <w:rPr>
        <w:rStyle w:val="HideTWBExt"/>
      </w:rPr>
      <w:t>&lt;/PathFdR&gt;</w:t>
    </w:r>
    <w:r w:rsidRPr="002F0FB6">
      <w:tab/>
    </w:r>
    <w:r w:rsidRPr="002F0FB6">
      <w:tab/>
      <w:t>PE</w:t>
    </w:r>
    <w:r w:rsidRPr="002F0FB6">
      <w:rPr>
        <w:rStyle w:val="HideTWBExt"/>
      </w:rPr>
      <w:t>&lt;NoPE&gt;</w:t>
    </w:r>
    <w:r w:rsidRPr="002F0FB6">
      <w:t>758.912</w:t>
    </w:r>
    <w:r w:rsidRPr="002F0FB6">
      <w:rPr>
        <w:rStyle w:val="HideTWBExt"/>
      </w:rPr>
      <w:t>&lt;/NoPE&gt;&lt;Version&gt;</w:t>
    </w:r>
    <w:proofErr w:type="gramStart"/>
    <w:r w:rsidRPr="002F0FB6">
      <w:t>v</w:t>
    </w:r>
    <w:proofErr w:type="gramEnd"/>
    <w:r w:rsidRPr="002F0FB6">
      <w:t>01-00</w:t>
    </w:r>
    <w:r w:rsidRPr="002F0FB6">
      <w:rPr>
        <w:rStyle w:val="HideTWBExt"/>
      </w:rPr>
      <w:t>&lt;/Version&gt;</w:t>
    </w:r>
  </w:p>
  <w:p w:rsidR="0085501C" w:rsidRPr="002F0FB6" w:rsidRDefault="002F0FB6" w:rsidP="002F0FB6">
    <w:pPr>
      <w:pStyle w:val="EPFooter2"/>
    </w:pPr>
    <w:r w:rsidRPr="002F0FB6">
      <w:t>PL</w:t>
    </w:r>
    <w:r w:rsidRPr="002F0FB6">
      <w:tab/>
    </w:r>
    <w:r w:rsidRPr="002F0FB6">
      <w:rPr>
        <w:b w:val="0"/>
        <w:i/>
        <w:color w:val="C0C0C0"/>
        <w:sz w:val="22"/>
      </w:rPr>
      <w:t>Zjednoczona w różnorodności</w:t>
    </w:r>
    <w:r w:rsidRPr="002F0FB6">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33D3" w:rsidRPr="002F0FB6" w:rsidRDefault="00C033D3">
      <w:r w:rsidRPr="002F0FB6">
        <w:separator/>
      </w:r>
    </w:p>
  </w:footnote>
  <w:footnote w:type="continuationSeparator" w:id="0">
    <w:p w:rsidR="00C033D3" w:rsidRPr="002F0FB6" w:rsidRDefault="00C033D3">
      <w:r w:rsidRPr="002F0FB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08C7" w:rsidRDefault="009F08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08C7" w:rsidRDefault="009F08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08C7" w:rsidRDefault="009F08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GREEMENTMNU" w:val=" 1"/>
    <w:docVar w:name="CIT1MNU" w:val=" 4"/>
    <w:docVar w:name="CIT2MNU" w:val=" 4"/>
    <w:docVar w:name="CIT3MNU" w:val=" 4"/>
    <w:docVar w:name="COMKEY" w:val="LIBE"/>
    <w:docVar w:name="CONSENTMNU" w:val=" 1"/>
    <w:docVar w:name="CopyToNetwork" w:val="-1"/>
    <w:docVar w:name="LastEditedSection" w:val=" 1"/>
    <w:docVar w:name="strDocTypeID" w:val="PR_NLE-AP_Agreement"/>
    <w:docVar w:name="strSubDir" w:val="1296"/>
    <w:docVar w:name="TITLEMNU" w:val=" 2"/>
    <w:docVar w:name="TXTAUTHOR" w:val="Charlie Weimers"/>
    <w:docVar w:name="TXTLANGUE" w:val="PL"/>
    <w:docVar w:name="TXTLANGUEMIN" w:val="pl"/>
    <w:docVar w:name="TXTNRC" w:val="0002/2023"/>
    <w:docVar w:name="TXTNRCOUNC" w:val="12129/2023"/>
    <w:docVar w:name="TXTNRNLE" w:val="2023/0224"/>
    <w:docVar w:name="TXTNRPE" w:val="758.912"/>
    <w:docVar w:name="TXTPEorAP" w:val="PE"/>
    <w:docVar w:name="TXTROUTE" w:val="PR\1296233PL.docx"/>
    <w:docVar w:name="TXTTITLE" w:val="on the conclusion, on behalf of the Union, of the Agreement between the European Union and the Kingdom of Norway on supplementary rules in relation to the Instrument for Financial Support for Border Management and Visa Policy, as part of the Integrated Border Management Fund, for the period 2021 to 2027"/>
    <w:docVar w:name="TXTVERSION" w:val="01-00"/>
  </w:docVars>
  <w:rsids>
    <w:rsidRoot w:val="00C033D3"/>
    <w:rsid w:val="00001D52"/>
    <w:rsid w:val="0000443F"/>
    <w:rsid w:val="000053E3"/>
    <w:rsid w:val="0006167F"/>
    <w:rsid w:val="00061EFE"/>
    <w:rsid w:val="00095D8B"/>
    <w:rsid w:val="000A2F73"/>
    <w:rsid w:val="000C123D"/>
    <w:rsid w:val="000D78AF"/>
    <w:rsid w:val="0017577E"/>
    <w:rsid w:val="00180664"/>
    <w:rsid w:val="001874D8"/>
    <w:rsid w:val="001D02E3"/>
    <w:rsid w:val="001F7BBE"/>
    <w:rsid w:val="0021049A"/>
    <w:rsid w:val="0022685A"/>
    <w:rsid w:val="002D7E87"/>
    <w:rsid w:val="002E2E20"/>
    <w:rsid w:val="002F0FB6"/>
    <w:rsid w:val="002F5A83"/>
    <w:rsid w:val="003072BE"/>
    <w:rsid w:val="00337C92"/>
    <w:rsid w:val="00363B94"/>
    <w:rsid w:val="003B598C"/>
    <w:rsid w:val="003D7C1A"/>
    <w:rsid w:val="004174FC"/>
    <w:rsid w:val="00434884"/>
    <w:rsid w:val="00460BD6"/>
    <w:rsid w:val="00480A7C"/>
    <w:rsid w:val="004859B3"/>
    <w:rsid w:val="00493F66"/>
    <w:rsid w:val="004C083C"/>
    <w:rsid w:val="004E1650"/>
    <w:rsid w:val="0053367A"/>
    <w:rsid w:val="00544D48"/>
    <w:rsid w:val="005656F0"/>
    <w:rsid w:val="005877C0"/>
    <w:rsid w:val="005A6B14"/>
    <w:rsid w:val="005B40ED"/>
    <w:rsid w:val="005D0B97"/>
    <w:rsid w:val="005F5D6C"/>
    <w:rsid w:val="006132CE"/>
    <w:rsid w:val="00613F2E"/>
    <w:rsid w:val="00617C4E"/>
    <w:rsid w:val="006863DC"/>
    <w:rsid w:val="006A1A75"/>
    <w:rsid w:val="006A2CF5"/>
    <w:rsid w:val="006F1B6F"/>
    <w:rsid w:val="00791637"/>
    <w:rsid w:val="007A017D"/>
    <w:rsid w:val="0080122F"/>
    <w:rsid w:val="00822206"/>
    <w:rsid w:val="00830B82"/>
    <w:rsid w:val="008368CB"/>
    <w:rsid w:val="0085501C"/>
    <w:rsid w:val="0086493B"/>
    <w:rsid w:val="00893FBD"/>
    <w:rsid w:val="008B75A4"/>
    <w:rsid w:val="008D23C6"/>
    <w:rsid w:val="008D3030"/>
    <w:rsid w:val="008E3848"/>
    <w:rsid w:val="00924EE0"/>
    <w:rsid w:val="009612AA"/>
    <w:rsid w:val="009E39A7"/>
    <w:rsid w:val="009F08C7"/>
    <w:rsid w:val="00A0058E"/>
    <w:rsid w:val="00A10EA0"/>
    <w:rsid w:val="00A34FBE"/>
    <w:rsid w:val="00A415B7"/>
    <w:rsid w:val="00A9084C"/>
    <w:rsid w:val="00A93B1D"/>
    <w:rsid w:val="00AD5D0C"/>
    <w:rsid w:val="00B15B7C"/>
    <w:rsid w:val="00B31D18"/>
    <w:rsid w:val="00B42885"/>
    <w:rsid w:val="00B50C20"/>
    <w:rsid w:val="00B6769C"/>
    <w:rsid w:val="00BB22CC"/>
    <w:rsid w:val="00BB41C8"/>
    <w:rsid w:val="00BE5E72"/>
    <w:rsid w:val="00BF0A0F"/>
    <w:rsid w:val="00BF2E15"/>
    <w:rsid w:val="00BF7F55"/>
    <w:rsid w:val="00C033D3"/>
    <w:rsid w:val="00C05DD8"/>
    <w:rsid w:val="00C15447"/>
    <w:rsid w:val="00C35D01"/>
    <w:rsid w:val="00CB5651"/>
    <w:rsid w:val="00CC20CB"/>
    <w:rsid w:val="00CF44DF"/>
    <w:rsid w:val="00D04E0B"/>
    <w:rsid w:val="00D62DA0"/>
    <w:rsid w:val="00D6543C"/>
    <w:rsid w:val="00D804D3"/>
    <w:rsid w:val="00DF594D"/>
    <w:rsid w:val="00DF744E"/>
    <w:rsid w:val="00E14FEE"/>
    <w:rsid w:val="00E565D6"/>
    <w:rsid w:val="00E71368"/>
    <w:rsid w:val="00E90FB8"/>
    <w:rsid w:val="00E93816"/>
    <w:rsid w:val="00EA59ED"/>
    <w:rsid w:val="00ED3987"/>
    <w:rsid w:val="00EE0D2F"/>
    <w:rsid w:val="00EF25A2"/>
    <w:rsid w:val="00EF48F2"/>
    <w:rsid w:val="00F04010"/>
    <w:rsid w:val="00F901A1"/>
    <w:rsid w:val="00FA6FD4"/>
    <w:rsid w:val="00FC699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BCFEDF9-3C62-4CB5-A940-8D2F05A75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FA6FD4"/>
    <w:pPr>
      <w:tabs>
        <w:tab w:val="right" w:pos="454"/>
        <w:tab w:val="left" w:pos="737"/>
      </w:tabs>
      <w:ind w:left="737" w:hanging="737"/>
    </w:pPr>
    <w:rPr>
      <w:snapToGrid w:val="0"/>
      <w:sz w:val="18"/>
      <w:lang w:eastAsia="en-US"/>
    </w:rPr>
  </w:style>
  <w:style w:type="paragraph" w:customStyle="1" w:styleId="Lgendetitre">
    <w:name w:val="Légende titre"/>
    <w:basedOn w:val="Normal"/>
    <w:rsid w:val="00FA6FD4"/>
    <w:pPr>
      <w:spacing w:before="240" w:after="240"/>
    </w:pPr>
    <w:rPr>
      <w:b/>
      <w:i/>
      <w:snapToGrid w:val="0"/>
      <w:lang w:eastAsia="en-US"/>
    </w:rPr>
  </w:style>
  <w:style w:type="paragraph" w:customStyle="1" w:styleId="Lgendestandard">
    <w:name w:val="Légende standard"/>
    <w:basedOn w:val="Normal"/>
    <w:rsid w:val="00FA6FD4"/>
    <w:rPr>
      <w:sz w:val="18"/>
    </w:rPr>
  </w:style>
  <w:style w:type="paragraph" w:styleId="FootnoteText">
    <w:name w:val="footnote text"/>
    <w:basedOn w:val="Normal"/>
    <w:link w:val="FootnoteTextChar"/>
    <w:uiPriority w:val="99"/>
    <w:unhideWhenUsed/>
    <w:rsid w:val="005B40ED"/>
    <w:pPr>
      <w:widowControl/>
      <w:ind w:left="720" w:hanging="720"/>
    </w:pPr>
    <w:rPr>
      <w:rFonts w:eastAsiaTheme="minorHAnsi"/>
      <w:lang w:eastAsia="en-US"/>
    </w:rPr>
  </w:style>
  <w:style w:type="character" w:customStyle="1" w:styleId="FootnoteTextChar">
    <w:name w:val="Footnote Text Char"/>
    <w:basedOn w:val="DefaultParagraphFont"/>
    <w:link w:val="FootnoteText"/>
    <w:uiPriority w:val="99"/>
    <w:rsid w:val="005B40ED"/>
    <w:rPr>
      <w:rFonts w:eastAsiaTheme="minorHAnsi"/>
      <w:sz w:val="24"/>
      <w:lang w:eastAsia="en-US"/>
    </w:rPr>
  </w:style>
  <w:style w:type="character" w:styleId="FootnoteReference">
    <w:name w:val="footnote reference"/>
    <w:basedOn w:val="DefaultParagraphFont"/>
    <w:uiPriority w:val="99"/>
    <w:unhideWhenUsed/>
    <w:rsid w:val="005B40ED"/>
    <w:rPr>
      <w:b/>
      <w:bdr w:val="none" w:sz="0" w:space="0" w:color="auto"/>
      <w:shd w:val="clear" w:color="auto" w:fill="auto"/>
      <w:vertAlign w:val="superscript"/>
    </w:rPr>
  </w:style>
  <w:style w:type="paragraph" w:styleId="Footer">
    <w:name w:val="footer"/>
    <w:basedOn w:val="Normal"/>
    <w:link w:val="FooterChar"/>
    <w:semiHidden/>
    <w:rsid w:val="007A017D"/>
    <w:pPr>
      <w:tabs>
        <w:tab w:val="center" w:pos="4513"/>
        <w:tab w:val="right" w:pos="9026"/>
      </w:tabs>
    </w:pPr>
  </w:style>
  <w:style w:type="character" w:customStyle="1" w:styleId="FooterChar">
    <w:name w:val="Footer Char"/>
    <w:basedOn w:val="DefaultParagraphFont"/>
    <w:link w:val="Footer"/>
    <w:semiHidden/>
    <w:rsid w:val="007A017D"/>
    <w:rPr>
      <w:sz w:val="24"/>
    </w:rPr>
  </w:style>
  <w:style w:type="paragraph" w:styleId="BalloonText">
    <w:name w:val="Balloon Text"/>
    <w:basedOn w:val="Normal"/>
    <w:link w:val="BalloonTextChar"/>
    <w:semiHidden/>
    <w:unhideWhenUsed/>
    <w:rsid w:val="00A9084C"/>
    <w:rPr>
      <w:rFonts w:ascii="Segoe UI" w:hAnsi="Segoe UI" w:cs="Segoe UI"/>
      <w:sz w:val="18"/>
      <w:szCs w:val="18"/>
    </w:rPr>
  </w:style>
  <w:style w:type="character" w:customStyle="1" w:styleId="BalloonTextChar">
    <w:name w:val="Balloon Text Char"/>
    <w:basedOn w:val="DefaultParagraphFont"/>
    <w:link w:val="BalloonText"/>
    <w:semiHidden/>
    <w:rsid w:val="00A9084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C1E53D-45F0-407A-AFAB-7AC30CF6C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731</Words>
  <Characters>5198</Characters>
  <Application>Microsoft Office Word</Application>
  <DocSecurity>0</DocSecurity>
  <Lines>120</Lines>
  <Paragraphs>51</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5878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TOADER Maria</dc:creator>
  <cp:keywords/>
  <cp:lastModifiedBy>WOLSZCZAK Monika</cp:lastModifiedBy>
  <cp:revision>2</cp:revision>
  <cp:lastPrinted>2024-02-06T15:56:00Z</cp:lastPrinted>
  <dcterms:created xsi:type="dcterms:W3CDTF">2024-03-01T10:21:00Z</dcterms:created>
  <dcterms:modified xsi:type="dcterms:W3CDTF">2024-03-01T10:21:00Z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Created with">
    <vt:lpwstr>9.17.1 Build [20240111]</vt:lpwstr>
  </property>
  <property fmtid="{D5CDD505-2E9C-101B-9397-08002B2CF9AE}" pid="4" name="LastEdited with">
    <vt:lpwstr>9.17.2 Build [20240212]</vt:lpwstr>
  </property>
  <property fmtid="{D5CDD505-2E9C-101B-9397-08002B2CF9AE}" pid="5" name="&lt;FdR&gt;">
    <vt:lpwstr>1296233</vt:lpwstr>
  </property>
  <property fmtid="{D5CDD505-2E9C-101B-9397-08002B2CF9AE}" pid="6" name="&lt;Type&gt;">
    <vt:lpwstr>PR</vt:lpwstr>
  </property>
  <property fmtid="{D5CDD505-2E9C-101B-9397-08002B2CF9AE}" pid="7" name="&lt;ModelCod&gt;">
    <vt:lpwstr>\\eiciBRUpr1\pdocep$\DocEP\DOCS\General\PR\PR_Leg\NLE\PR_NLE-AP_Agreement.dotx(17/04/2020 18:28:04)</vt:lpwstr>
  </property>
  <property fmtid="{D5CDD505-2E9C-101B-9397-08002B2CF9AE}" pid="8" name="&lt;ModelTra&gt;">
    <vt:lpwstr>\\eiciBRUpr1\pdocep$\DocEP\TRANSFIL\EN\PR_NLE-AP_Agreement.EN(29/06/2022 09:21:42)</vt:lpwstr>
  </property>
  <property fmtid="{D5CDD505-2E9C-101B-9397-08002B2CF9AE}" pid="9" name="&lt;Model&gt;">
    <vt:lpwstr>PR_NLE-AP_Agreement</vt:lpwstr>
  </property>
  <property fmtid="{D5CDD505-2E9C-101B-9397-08002B2CF9AE}" pid="10" name="FooterPath">
    <vt:lpwstr>PR\1296233PL.docx</vt:lpwstr>
  </property>
  <property fmtid="{D5CDD505-2E9C-101B-9397-08002B2CF9AE}" pid="11" name="PE number">
    <vt:lpwstr>758.912</vt:lpwstr>
  </property>
  <property fmtid="{D5CDD505-2E9C-101B-9397-08002B2CF9AE}" pid="12" name="SendToEpades">
    <vt:lpwstr>OK - 2024/02/16 10:43</vt:lpwstr>
  </property>
  <property fmtid="{D5CDD505-2E9C-101B-9397-08002B2CF9AE}" pid="13" name="SDLStudio">
    <vt:lpwstr/>
  </property>
</Properties>
</file>