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16132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E8056A" w:rsidRDefault="00FC7F76" w:rsidP="00C85D0F">
            <w:pPr>
              <w:pStyle w:val="EPName"/>
            </w:pPr>
            <w:bookmarkStart w:id="0" w:name="_GoBack"/>
            <w:bookmarkEnd w:id="0"/>
            <w:r>
              <w:t>Parlament Ewropew</w:t>
            </w:r>
          </w:p>
          <w:p w:rsidR="00C05DD8" w:rsidRPr="00E8056A" w:rsidRDefault="00FC7F76" w:rsidP="00E8056A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C05DD8" w:rsidRPr="00E8056A" w:rsidRDefault="00FC7F76" w:rsidP="00C85D0F">
            <w:pPr>
              <w:pStyle w:val="EPLogo"/>
            </w:pPr>
            <w:r w:rsidRPr="00E8056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E8056A" w:rsidRDefault="009612AA" w:rsidP="009612AA">
      <w:pPr>
        <w:pStyle w:val="LineTop"/>
      </w:pPr>
    </w:p>
    <w:p w:rsidR="009612AA" w:rsidRPr="00E8056A" w:rsidRDefault="00FC7F76" w:rsidP="009612AA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{LIBE}</w:t>
      </w:r>
      <w:r>
        <w:t>Kumitat għal-Libertajiet Ċivili, il-Ġustizzja u l-Intern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9612AA" w:rsidRPr="00E8056A" w:rsidRDefault="009612AA" w:rsidP="009612AA">
      <w:pPr>
        <w:pStyle w:val="LineBottom"/>
      </w:pPr>
    </w:p>
    <w:p w:rsidR="00363B94" w:rsidRPr="00E8056A" w:rsidRDefault="00FC7F76">
      <w:pPr>
        <w:pStyle w:val="CoverReference"/>
      </w:pPr>
      <w:r>
        <w:rPr>
          <w:rStyle w:val="HideTWBExt"/>
          <w:b w:val="0"/>
        </w:rPr>
        <w:t>&lt;RefProc&gt;</w:t>
      </w:r>
      <w:r>
        <w:t>2023/0229</w:t>
      </w:r>
      <w:r>
        <w:rPr>
          <w:rStyle w:val="HideTWBExt"/>
          <w:b w:val="0"/>
        </w:rPr>
        <w:t>&lt;/RefProc&gt;&lt;RefTypeProc&gt;</w:t>
      </w:r>
      <w:r>
        <w:t>(NLE)</w:t>
      </w:r>
      <w:r>
        <w:rPr>
          <w:rStyle w:val="HideTWBExt"/>
          <w:b w:val="0"/>
        </w:rPr>
        <w:t>&lt;/RefTypeProc&gt;</w:t>
      </w:r>
    </w:p>
    <w:p w:rsidR="00363B94" w:rsidRPr="00E8056A" w:rsidRDefault="00FC7F76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{14/02/2024}</w:t>
      </w:r>
      <w:r>
        <w:t>14.2.2024</w:t>
      </w:r>
      <w:r>
        <w:rPr>
          <w:rStyle w:val="HideTWBExt"/>
        </w:rPr>
        <w:t>&lt;/Date&gt;</w:t>
      </w:r>
    </w:p>
    <w:p w:rsidR="00363B94" w:rsidRPr="00E8056A" w:rsidRDefault="00FC7F76">
      <w:pPr>
        <w:pStyle w:val="CoverDocType"/>
      </w:pPr>
      <w:r>
        <w:rPr>
          <w:rStyle w:val="HideTWBExt"/>
          <w:b w:val="0"/>
        </w:rPr>
        <w:t>&lt;RefProcLect&gt;</w:t>
      </w:r>
      <w:r>
        <w:t>***</w:t>
      </w:r>
      <w:r>
        <w:rPr>
          <w:rStyle w:val="HideTWBExt"/>
          <w:b w:val="0"/>
        </w:rPr>
        <w:t>&lt;/RefProcLect&gt;</w:t>
      </w:r>
    </w:p>
    <w:p w:rsidR="00363B94" w:rsidRPr="00E8056A" w:rsidRDefault="00FC7F76">
      <w:pPr>
        <w:pStyle w:val="CoverDocType24a"/>
      </w:pPr>
      <w:r>
        <w:rPr>
          <w:rStyle w:val="HideTWBExt"/>
          <w:b w:val="0"/>
        </w:rPr>
        <w:t>&lt;TitreType&gt;</w:t>
      </w:r>
      <w:r>
        <w:t>ABBOZZ TA’ RAKKOMANDAZZJONI</w:t>
      </w:r>
      <w:r>
        <w:rPr>
          <w:rStyle w:val="HideTWBExt"/>
          <w:b w:val="0"/>
        </w:rPr>
        <w:t>&lt;/TitreType&gt;</w:t>
      </w:r>
    </w:p>
    <w:p w:rsidR="00E8056A" w:rsidRPr="00E8056A" w:rsidRDefault="00FC7F76" w:rsidP="00E8056A">
      <w:pPr>
        <w:pStyle w:val="CoverNormal"/>
      </w:pPr>
      <w:r>
        <w:rPr>
          <w:rStyle w:val="HideTWBExt"/>
        </w:rPr>
        <w:t>&lt;Titre&gt;</w:t>
      </w:r>
      <w:r>
        <w:t>dwar l-abbozz ta’ deċiżjoni tal-Kunsill dwar il-konklużjoni, f’isem l-Unjoni, tal-Ftehim bejn l-Unjoni Ewropea u l-Konfederazzjoni Żvizzera dwar ir-regoli supplimentari fir-rigward tal-Istrument għa</w:t>
      </w:r>
      <w:r>
        <w:t>ll-Appoġġ Finanzjarju għall-Ġestjoni tal-Fruntieri u l-Politika dwar il-Viżi, bħala parti mill-Fond għall-Ġestjoni Integrata tal-Fruntieri, għall-perjodu 2021-2027</w:t>
      </w:r>
      <w:r>
        <w:rPr>
          <w:rStyle w:val="HideTWBExt"/>
        </w:rPr>
        <w:t>&lt;/Titre&gt;</w:t>
      </w:r>
    </w:p>
    <w:p w:rsidR="00363B94" w:rsidRPr="00E8056A" w:rsidRDefault="00FC7F76" w:rsidP="00E8056A">
      <w:pPr>
        <w:pStyle w:val="CoverNormal24a"/>
      </w:pPr>
      <w:r>
        <w:rPr>
          <w:rStyle w:val="HideTWBExt"/>
        </w:rPr>
        <w:t>&lt;DocRef&gt;</w:t>
      </w:r>
      <w:r>
        <w:t>(12122/2023 – C9</w:t>
      </w:r>
      <w:r>
        <w:noBreakHyphen/>
        <w:t>0461/2023 – 2023/0229(NLE))</w:t>
      </w:r>
      <w:r>
        <w:rPr>
          <w:rStyle w:val="HideTWBExt"/>
        </w:rPr>
        <w:t>&lt;/DocRef&gt;</w:t>
      </w:r>
    </w:p>
    <w:p w:rsidR="00363B94" w:rsidRPr="00E8056A" w:rsidRDefault="00FC7F76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{LIBE}</w:t>
      </w:r>
      <w:r>
        <w:t>Kumitat għal-Libertajiet Ċivili, il-Ġustizzja u l-Intern</w:t>
      </w:r>
      <w:r>
        <w:rPr>
          <w:rStyle w:val="HideTWBExt"/>
        </w:rPr>
        <w:t>&lt;/Commission&gt;</w:t>
      </w:r>
    </w:p>
    <w:p w:rsidR="00363B94" w:rsidRPr="00E8056A" w:rsidRDefault="00FC7F76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Jadwiga Wiśniewska</w:t>
      </w:r>
      <w:r>
        <w:rPr>
          <w:rStyle w:val="HideTWBExt"/>
        </w:rPr>
        <w:t>&lt;/Depute&gt;</w:t>
      </w:r>
    </w:p>
    <w:p w:rsidR="00B42885" w:rsidRPr="00E8056A" w:rsidRDefault="00B42885" w:rsidP="00B42885">
      <w:pPr>
        <w:pStyle w:val="CoverNormal"/>
      </w:pPr>
    </w:p>
    <w:p w:rsidR="00E8056A" w:rsidRPr="00E8056A" w:rsidRDefault="00FC7F76" w:rsidP="00016E55">
      <w:r>
        <w:br w:type="page"/>
      </w:r>
      <w:r w:rsidR="00C94DDB">
        <w:lastRenderedPageBreak/>
        <w:fldChar w:fldCharType="begin"/>
      </w:r>
      <w:r>
        <w:instrText xml:space="preserve"> TITLE  \* MERGEFORMAT </w:instrText>
      </w:r>
      <w:r w:rsidR="00C94DDB">
        <w:fldChar w:fldCharType="separate"/>
      </w:r>
      <w:r>
        <w:t>PR_NLE-AP_Agreement</w:t>
      </w:r>
      <w:r w:rsidR="00C94DDB">
        <w:fldChar w:fldCharType="end"/>
      </w:r>
    </w:p>
    <w:p w:rsidR="00E8056A" w:rsidRPr="00E8056A" w:rsidRDefault="00E8056A" w:rsidP="00016E55"/>
    <w:p w:rsidR="00E8056A" w:rsidRPr="00E8056A" w:rsidRDefault="00E8056A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616132">
        <w:tc>
          <w:tcPr>
            <w:tcW w:w="5811" w:type="dxa"/>
          </w:tcPr>
          <w:p w:rsidR="00E8056A" w:rsidRPr="00E8056A" w:rsidRDefault="00FC7F76" w:rsidP="00016E55">
            <w:pPr>
              <w:pStyle w:val="Lgendetitre"/>
            </w:pPr>
            <w:r>
              <w:t>Tifsira tas-simboli użati</w:t>
            </w:r>
          </w:p>
        </w:tc>
      </w:tr>
      <w:tr w:rsidR="00616132" w:rsidTr="00486FAE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E8056A" w:rsidRPr="00E8056A" w:rsidRDefault="00FC7F76" w:rsidP="00486FAE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Proċedura ta’ konsultazzjoni</w:t>
            </w:r>
          </w:p>
          <w:p w:rsidR="00E8056A" w:rsidRPr="00E8056A" w:rsidRDefault="00FC7F76" w:rsidP="00486FAE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 xml:space="preserve">Proċedura ta’ </w:t>
            </w:r>
            <w:r>
              <w:t>approvazzjoni</w:t>
            </w:r>
          </w:p>
          <w:p w:rsidR="00E8056A" w:rsidRPr="00E8056A" w:rsidRDefault="00FC7F76" w:rsidP="00486FAE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:rsidR="00E8056A" w:rsidRPr="00E8056A" w:rsidRDefault="00FC7F76" w:rsidP="00486FAE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:rsidR="00E8056A" w:rsidRPr="00E8056A" w:rsidRDefault="00FC7F76" w:rsidP="00486FAE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Proċedura leġiżlattiva ordinarja (it-tielet qari)</w:t>
            </w:r>
          </w:p>
          <w:p w:rsidR="00E8056A" w:rsidRPr="00E8056A" w:rsidRDefault="00E8056A" w:rsidP="00486FAE">
            <w:pPr>
              <w:pStyle w:val="Lgendestandard"/>
            </w:pPr>
          </w:p>
          <w:p w:rsidR="00E8056A" w:rsidRPr="00E8056A" w:rsidRDefault="00FC7F76" w:rsidP="00486FAE">
            <w:pPr>
              <w:pStyle w:val="Lgendestandard"/>
            </w:pPr>
            <w:r>
              <w:t xml:space="preserve">(It-tip ta’ proċedura jiddependi mill-bażi ġuridika proposta mill-abbozz </w:t>
            </w:r>
            <w:r>
              <w:t>ta’ att.)</w:t>
            </w:r>
          </w:p>
          <w:p w:rsidR="00E8056A" w:rsidRPr="00E8056A" w:rsidRDefault="00E8056A" w:rsidP="00486FAE">
            <w:pPr>
              <w:pStyle w:val="Lgendestandard"/>
            </w:pPr>
          </w:p>
        </w:tc>
      </w:tr>
    </w:tbl>
    <w:p w:rsidR="00E8056A" w:rsidRPr="00E8056A" w:rsidRDefault="00E8056A" w:rsidP="00016E55"/>
    <w:p w:rsidR="00363B94" w:rsidRPr="00E8056A" w:rsidRDefault="00363B94" w:rsidP="00613F2E">
      <w:pPr>
        <w:widowControl/>
        <w:tabs>
          <w:tab w:val="center" w:pos="4677"/>
        </w:tabs>
      </w:pPr>
    </w:p>
    <w:p w:rsidR="00363B94" w:rsidRPr="00E8056A" w:rsidRDefault="00FC7F76">
      <w:pPr>
        <w:pStyle w:val="TOCHeading"/>
      </w:pPr>
      <w:r>
        <w:br w:type="page"/>
      </w:r>
      <w:r>
        <w:lastRenderedPageBreak/>
        <w:t>WERREJ</w:t>
      </w:r>
    </w:p>
    <w:p w:rsidR="00363B94" w:rsidRPr="00E8056A" w:rsidRDefault="00FC7F76">
      <w:pPr>
        <w:pStyle w:val="TOCPage"/>
      </w:pPr>
      <w:r>
        <w:t>Paġna</w:t>
      </w:r>
    </w:p>
    <w:p w:rsidR="00FC7F76" w:rsidRDefault="00FC7F76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E8056A">
        <w:fldChar w:fldCharType="begin"/>
      </w:r>
      <w:r w:rsidRPr="00E8056A">
        <w:instrText xml:space="preserve"> TOC \t "PageHeading</w:instrText>
      </w:r>
      <w:r w:rsidR="00E8056A" w:rsidRPr="00E8056A">
        <w:instrText>;</w:instrText>
      </w:r>
      <w:r w:rsidRPr="00E8056A">
        <w:instrText xml:space="preserve">1" </w:instrText>
      </w:r>
      <w:r w:rsidRPr="00E8056A"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_Toc159918266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C7F76" w:rsidRDefault="00FC7F76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_Toc159918267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E1650" w:rsidRPr="00E8056A" w:rsidRDefault="00FC7F76" w:rsidP="00F04010">
      <w:r w:rsidRPr="00E8056A">
        <w:fldChar w:fldCharType="end"/>
      </w:r>
    </w:p>
    <w:p w:rsidR="00363B94" w:rsidRPr="00E8056A" w:rsidRDefault="00FC7F76" w:rsidP="0006167F">
      <w:pPr>
        <w:pStyle w:val="PageHeading"/>
      </w:pPr>
      <w:r>
        <w:br w:type="page"/>
      </w:r>
      <w:r>
        <w:lastRenderedPageBreak/>
        <w:br w:type="page"/>
      </w:r>
      <w:bookmarkStart w:id="1" w:name="_Toc159918266"/>
      <w:r>
        <w:lastRenderedPageBreak/>
        <w:t>ABBOZZ TA’ RIŻOLUZZJONI LEĠIŻLATTIVA TAL-PARLAMENT EWROPEW</w:t>
      </w:r>
      <w:bookmarkEnd w:id="1"/>
    </w:p>
    <w:p w:rsidR="00E8056A" w:rsidRPr="00E8056A" w:rsidRDefault="00FC7F76" w:rsidP="00E8056A">
      <w:pPr>
        <w:pStyle w:val="NormalBold"/>
      </w:pPr>
      <w:r>
        <w:t>dwar l-a</w:t>
      </w:r>
      <w:r>
        <w:t>bbozz ta’ deċiżjoni tal-Kunsill dwar il-konklużjoni, f’isem l-Unjoni, tal-Ftehim bejn l-Unjoni Ewropea u l-Konfederazzjoni Żvizzera dwar ir-regoli supplimentari fir-rigward tal-Istrument għall-Appoġġ Finanzjarju għall-Ġestjoni tal-Fruntieri u l-Politika dw</w:t>
      </w:r>
      <w:r>
        <w:t>ar il-Viżi, bħala parti mill-Fond għall-Ġestjoni Integrata tal-Fruntieri, għall-perjodu 2021-2027</w:t>
      </w:r>
    </w:p>
    <w:p w:rsidR="00363B94" w:rsidRPr="00E8056A" w:rsidRDefault="00FC7F76" w:rsidP="00E8056A">
      <w:pPr>
        <w:pStyle w:val="NormalBold12a"/>
      </w:pPr>
      <w:r>
        <w:t>(12122/2023 – C9</w:t>
      </w:r>
      <w:r>
        <w:noBreakHyphen/>
        <w:t>0461/2023 – 2023/0229(NLE))</w:t>
      </w:r>
    </w:p>
    <w:p w:rsidR="00363B94" w:rsidRPr="00E8056A" w:rsidRDefault="00FC7F76" w:rsidP="00893FBD">
      <w:pPr>
        <w:pStyle w:val="NormalBold"/>
      </w:pPr>
      <w:r>
        <w:t>(Approvazzjoni)</w:t>
      </w:r>
    </w:p>
    <w:p w:rsidR="00363B94" w:rsidRPr="00E8056A" w:rsidRDefault="00FC7F76">
      <w:pPr>
        <w:pStyle w:val="EPComma"/>
      </w:pPr>
      <w:r>
        <w:rPr>
          <w:i/>
        </w:rPr>
        <w:t>Il-Parlament Ewropew</w:t>
      </w:r>
      <w:r>
        <w:t>,</w:t>
      </w:r>
    </w:p>
    <w:p w:rsidR="00E8056A" w:rsidRPr="00E8056A" w:rsidRDefault="00FC7F76" w:rsidP="00E8056A">
      <w:pPr>
        <w:pStyle w:val="NormalHanging12a"/>
      </w:pPr>
      <w:r>
        <w:t>–</w:t>
      </w:r>
      <w:r>
        <w:tab/>
        <w:t>wara li kkunsidra l-abbozz ta’ deċiżjoni tal-Kunsill (12122/2023),</w:t>
      </w:r>
    </w:p>
    <w:p w:rsidR="00E8056A" w:rsidRPr="00E8056A" w:rsidRDefault="00FC7F76" w:rsidP="00E8056A">
      <w:pPr>
        <w:pStyle w:val="NormalHanging12a"/>
      </w:pPr>
      <w:r>
        <w:t>–</w:t>
      </w:r>
      <w:r>
        <w:tab/>
        <w:t>wara</w:t>
      </w:r>
      <w:r>
        <w:t xml:space="preserve"> li kkunsidra l-abbozz ta’ Ftehim bejn l-Unjoni Ewropea u l-Konfederazzjoni Żvizzera dwar ir-regoli supplimentari fir-rigward tal-Istrument għall-Appoġġ Finanzjarju għall-Ġestjoni tal-Fruntieri u l-Politika dwar il-Viżi, bħala parti mill-Fond għall-Ġestjon</w:t>
      </w:r>
      <w:r>
        <w:t>i Integrata tal-Fruntieri, għall-perjodu 2021-2027 (12120/2023),</w:t>
      </w:r>
    </w:p>
    <w:p w:rsidR="00E8056A" w:rsidRPr="00E8056A" w:rsidRDefault="00FC7F76" w:rsidP="00E8056A">
      <w:pPr>
        <w:pStyle w:val="NormalHanging12a"/>
      </w:pPr>
      <w:r>
        <w:t>–</w:t>
      </w:r>
      <w:r>
        <w:tab/>
        <w:t>wara li kkunsidra t-talba għal approvazzjoni ppreżentata mill-Kunsill skont l-Artikolu 77(2), l-Artikolu 218(6), it-tieni subparagrafu, punt (a), u l-Artikolu 218(7) tat-Trattat dwar il-Fun</w:t>
      </w:r>
      <w:r>
        <w:t>zjonament tal-Unjoni Ewropea (C9</w:t>
      </w:r>
      <w:r>
        <w:noBreakHyphen/>
        <w:t>0461/2023),</w:t>
      </w:r>
    </w:p>
    <w:p w:rsidR="00E8056A" w:rsidRPr="00E8056A" w:rsidRDefault="00FC7F76" w:rsidP="00E8056A">
      <w:pPr>
        <w:pStyle w:val="NormalHanging12a"/>
      </w:pPr>
      <w:r>
        <w:t>–</w:t>
      </w:r>
      <w:r>
        <w:tab/>
        <w:t>wara li kkunsidra l-Artikolu 105(1) u (4) u l-Artikolu 114(7) tar-Regoli ta’ Proċedura tiegħu,</w:t>
      </w:r>
    </w:p>
    <w:p w:rsidR="00E8056A" w:rsidRPr="00E8056A" w:rsidRDefault="00FC7F76" w:rsidP="00E8056A">
      <w:pPr>
        <w:pStyle w:val="NormalHanging12a"/>
      </w:pPr>
      <w:r>
        <w:t>–</w:t>
      </w:r>
      <w:r>
        <w:tab/>
        <w:t>wara li kkunsidra r-rakkomandazzjoni tal-Kumitat għal-Libertajiet Ċivili, il-Ġustizzja u l-Intern (A9</w:t>
      </w:r>
      <w:r>
        <w:noBreakHyphen/>
        <w:t>0000/2024)</w:t>
      </w:r>
      <w:r>
        <w:t>,</w:t>
      </w:r>
    </w:p>
    <w:p w:rsidR="00E8056A" w:rsidRPr="00E8056A" w:rsidRDefault="00FC7F76" w:rsidP="00E8056A">
      <w:pPr>
        <w:pStyle w:val="NormalHanging12a"/>
      </w:pPr>
      <w:r>
        <w:t>1.</w:t>
      </w:r>
      <w:r>
        <w:tab/>
        <w:t>Jagħti l-approvazzjoni tiegħu għall-konklużjoni tal-ftehim;</w:t>
      </w:r>
    </w:p>
    <w:p w:rsidR="00E8056A" w:rsidRPr="00E8056A" w:rsidRDefault="00FC7F76" w:rsidP="00E8056A">
      <w:pPr>
        <w:pStyle w:val="NormalHanging12a"/>
      </w:pPr>
      <w:r>
        <w:t>2.</w:t>
      </w:r>
      <w:r>
        <w:tab/>
        <w:t>Jagħti istruzzjonijiet lill-President tiegħu biex tgħaddi l-pożizzjoni tal-Parlament lill-Kunsill u lill-Kummissjoni, kif ukoll lill-gvernijiet u lill-parlamenti tal-Istati Membri u tal-Ko</w:t>
      </w:r>
      <w:r>
        <w:t>nfederazzjoni Żvizzera.</w:t>
      </w:r>
    </w:p>
    <w:p w:rsidR="00E8056A" w:rsidRPr="00E8056A" w:rsidRDefault="00E8056A" w:rsidP="00E8056A">
      <w:pPr>
        <w:sectPr w:rsidR="00E8056A" w:rsidRPr="00E8056A" w:rsidSect="00E8056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E8056A" w:rsidRPr="00E8056A" w:rsidRDefault="00FC7F76" w:rsidP="00E8056A">
      <w:pPr>
        <w:pStyle w:val="PageHeading"/>
      </w:pPr>
      <w:bookmarkStart w:id="2" w:name="_Toc158826477"/>
      <w:bookmarkStart w:id="3" w:name="_Toc159918267"/>
      <w:r>
        <w:lastRenderedPageBreak/>
        <w:t>NOTA SPJEGATTIVA</w:t>
      </w:r>
      <w:bookmarkEnd w:id="2"/>
      <w:bookmarkEnd w:id="3"/>
    </w:p>
    <w:p w:rsidR="00E8056A" w:rsidRPr="00E8056A" w:rsidRDefault="00FC7F76" w:rsidP="00E8056A">
      <w:pPr>
        <w:jc w:val="both"/>
        <w:rPr>
          <w:sz w:val="22"/>
          <w:szCs w:val="22"/>
        </w:rPr>
      </w:pPr>
      <w:r>
        <w:rPr>
          <w:b/>
        </w:rPr>
        <w:t>a. Sfond</w:t>
      </w:r>
      <w:r>
        <w:rPr>
          <w:sz w:val="22"/>
        </w:rPr>
        <w:t xml:space="preserve"> </w:t>
      </w:r>
    </w:p>
    <w:p w:rsidR="00E8056A" w:rsidRPr="00E8056A" w:rsidRDefault="00E8056A" w:rsidP="00E8056A">
      <w:pPr>
        <w:jc w:val="both"/>
        <w:rPr>
          <w:sz w:val="22"/>
          <w:szCs w:val="22"/>
        </w:rPr>
      </w:pPr>
    </w:p>
    <w:p w:rsidR="00E8056A" w:rsidRPr="00E8056A" w:rsidRDefault="00E8056A" w:rsidP="00E8056A">
      <w:pPr>
        <w:jc w:val="both"/>
      </w:pPr>
    </w:p>
    <w:p w:rsidR="00E8056A" w:rsidRPr="00E8056A" w:rsidRDefault="00FC7F76" w:rsidP="00E8056A">
      <w:pPr>
        <w:jc w:val="both"/>
        <w:rPr>
          <w:noProof/>
        </w:rPr>
      </w:pPr>
      <w:r>
        <w:t xml:space="preserve">Ir-Regolament (UE) 2021/1148 tal-Parlament Ewropew u tal-Kunsill li jistabbilixxi l-Istrument għall-Appoġġ Finanzjarju għall-Ġestjoni tal-Fruntieri u l-Politika dwar il-Viżi għall-perjodu </w:t>
      </w:r>
      <w:r>
        <w:t>2021-2027 (ir-Regolament BMVI) ġie adottat fis-7 ta’ Lulju 2021.</w:t>
      </w:r>
    </w:p>
    <w:p w:rsidR="00E8056A" w:rsidRPr="00E8056A" w:rsidRDefault="00E8056A" w:rsidP="00E8056A">
      <w:pPr>
        <w:jc w:val="both"/>
        <w:rPr>
          <w:noProof/>
        </w:rPr>
      </w:pPr>
    </w:p>
    <w:p w:rsidR="00E8056A" w:rsidRPr="00E8056A" w:rsidRDefault="00FC7F76" w:rsidP="00E8056A">
      <w:pPr>
        <w:jc w:val="both"/>
        <w:rPr>
          <w:noProof/>
        </w:rPr>
      </w:pPr>
      <w:r>
        <w:t>L-għan tar-Regolament BMVI huwa li jkun hemm solidarjetà permezz tal-assistenza finanzjarja lil dawk l-Istati (Membri) li japplikaw id-dispożizzjonijiet tal-acquis ta’ Schengen fir-rigward t</w:t>
      </w:r>
      <w:r>
        <w:t>al-fruntieri esterni. Dan jikkostitwixxi żvilupp tal-acquis ta’ Schengen li fih jipparteċipaw il-pajjiżi assoċjati mal-implimentazzjoni, l-applikazzjoni u l-iżvilupp ulterjuri tal-acquis ta’ Schengen (il-“pajjiżi assoċjati ma’ Schengen” jew il-“pajjiżi ass</w:t>
      </w:r>
      <w:r>
        <w:t>oċjati”).</w:t>
      </w:r>
    </w:p>
    <w:p w:rsidR="00E8056A" w:rsidRPr="00E8056A" w:rsidRDefault="00E8056A" w:rsidP="00E8056A">
      <w:pPr>
        <w:jc w:val="both"/>
        <w:rPr>
          <w:noProof/>
        </w:rPr>
      </w:pPr>
    </w:p>
    <w:p w:rsidR="00E8056A" w:rsidRPr="00E8056A" w:rsidRDefault="00FC7F76" w:rsidP="00E8056A">
      <w:pPr>
        <w:jc w:val="both"/>
        <w:rPr>
          <w:noProof/>
        </w:rPr>
      </w:pPr>
      <w:r>
        <w:t>Fil-11 ta’ Awwissu 2021, il-Konfederazzjoni Żvizzera nnotifikat id-deċiżjoni tagħha li taċċetta l-kontenut tar-Regolament BMVI u li timplimentah fl-ordni legali intern tagħha. Il-Kummissjoni ppreżentat il-proposta għal deċiżjoni tal-Kunsill dwar</w:t>
      </w:r>
      <w:r>
        <w:t xml:space="preserve"> l-iffirmar ta’ Ftehim bejn l-UE u l-Konfederazzjoni Żvizzera dwar ir-regoli supplimentari fir-rigward tal-istrument għall-appoġġ finanzjarju għall-ġestjoni tal-fruntieri u l-politika dwar il-viżi qabel ma rċeviet in-notifika Żvizzera dwar l-issodisfar tar</w:t>
      </w:r>
      <w:r>
        <w:t>-rekwiżiti kostituzzjonali tagħha biex tevita li tqassar iż-żmien tal-applikazzjoni attwali tar-Regolament BMVI fl-Iżvizzera. F’konformità mal-premessa 75 tar-Regolament BMVI, il-konklużjoni ta’ tali arranġament għandha sseħħ wara li l-pajjiż ikkonċernat i</w:t>
      </w:r>
      <w:r>
        <w:t>kun għarraf bil-miktub li ġew issodisfati r-rekwiżiti interni kollha tiegħu.</w:t>
      </w:r>
    </w:p>
    <w:p w:rsidR="00E8056A" w:rsidRPr="00E8056A" w:rsidRDefault="00E8056A" w:rsidP="00E8056A">
      <w:pPr>
        <w:jc w:val="both"/>
        <w:rPr>
          <w:noProof/>
        </w:rPr>
      </w:pPr>
    </w:p>
    <w:p w:rsidR="00E8056A" w:rsidRPr="00E8056A" w:rsidRDefault="00FC7F76" w:rsidP="00E8056A">
      <w:pPr>
        <w:jc w:val="both"/>
        <w:rPr>
          <w:noProof/>
        </w:rPr>
      </w:pPr>
      <w:r>
        <w:t>Il-paragrafu 6 tal-Artikolu 7 tar-Regolament BMVI jipprevedi li għandhom isiru “arranġamenti” li jispeċifikaw in-natura u l-modi ta’ parteċipazzjoni fil-BMVI tal-pajjiżi assoċjat</w:t>
      </w:r>
      <w:r>
        <w:t>i mal-implimentazzjoni, l-applikazzjoni u l-iżvilupp tal-acquis ta’ Schengen, f’konformità mad-dispożizzjonijiet rilevanti tal-ftehimiet ta’ assoċjazzjoni rispettivi. Dawn l-arranġamenti jieħdu l-forma ta’ ftehimiet konklużi mill-Unjoni mal-pajjiżi assoċja</w:t>
      </w:r>
      <w:r>
        <w:t xml:space="preserve">ti ma’ Schengen f’konformità mal-Artikolu 216 tat-TFUE. </w:t>
      </w:r>
    </w:p>
    <w:p w:rsidR="00E8056A" w:rsidRPr="00E8056A" w:rsidRDefault="00E8056A" w:rsidP="00E8056A">
      <w:pPr>
        <w:jc w:val="both"/>
      </w:pPr>
    </w:p>
    <w:p w:rsidR="00E8056A" w:rsidRPr="00E8056A" w:rsidRDefault="00FC7F76" w:rsidP="00E8056A">
      <w:pPr>
        <w:jc w:val="both"/>
      </w:pPr>
      <w:r>
        <w:t>Fil-21 ta’ Frar 2022, il-Kunsill awtorizza lill-Kummissjoni biex tiftaħ negozjati</w:t>
      </w:r>
      <w:r>
        <w:rPr>
          <w:rStyle w:val="FootnoteReference"/>
          <w:b w:val="0"/>
        </w:rPr>
        <w:footnoteReference w:id="1"/>
      </w:r>
      <w:r>
        <w:t xml:space="preserve"> mal-Iżlanda, mar-Renju tan-Norveġja, mal-Konfederazzjoni Żvizzera u mal-Prinċipat tal-Liechtenstein għall-arranġame</w:t>
      </w:r>
      <w:r>
        <w:t xml:space="preserve">nti dwar </w:t>
      </w:r>
      <w:bookmarkStart w:id="4" w:name="_Hlk132892775"/>
      <w:r>
        <w:t>il-kontribuzzjonijiet finanzjarji ta’ dawk il-pajjiżi u r-regoli supplimentari meħtieġa għall-parteċipazzjoni tagħhom</w:t>
      </w:r>
      <w:bookmarkEnd w:id="4"/>
      <w:r>
        <w:t xml:space="preserve"> fl-Istrument għall-Appoġġ Finanzjarju għall-Ġestjoni tal-Fruntieri u l-Politika dwar il-Viżi għall-perjodu 2021-2027, inklużi dis</w:t>
      </w:r>
      <w:r>
        <w:t xml:space="preserve">pożizzjonijiet li jiżguraw il-protezzjoni tal-interessi finanzjarji tal-Unjoni u s-setgħat ta’ awditjar tal-Qorti tal-Awdituri, li għandhom jiġu konklużi skont ir-Regolament </w:t>
      </w:r>
      <w:r>
        <w:lastRenderedPageBreak/>
        <w:t>(UE) 2021/1148 tal-Parlament Ewropew u tal-Kunsill</w:t>
      </w:r>
      <w:r>
        <w:rPr>
          <w:rStyle w:val="FootnoteReference"/>
          <w:b w:val="0"/>
        </w:rPr>
        <w:footnoteReference w:id="2"/>
      </w:r>
      <w:r>
        <w:t>. In-negozjati mal-Konfederazzj</w:t>
      </w:r>
      <w:r>
        <w:t>oni Żvizzera ġew konklużi b’suċċess bl-inizjalar tal-Ftehim fl-14 ta’ Frar 2023.</w:t>
      </w:r>
    </w:p>
    <w:p w:rsidR="00E8056A" w:rsidRPr="00E8056A" w:rsidRDefault="00E8056A" w:rsidP="00E8056A">
      <w:pPr>
        <w:jc w:val="both"/>
      </w:pPr>
    </w:p>
    <w:p w:rsidR="00E8056A" w:rsidRPr="00E8056A" w:rsidRDefault="00FC7F76" w:rsidP="00E8056A">
      <w:pPr>
        <w:jc w:val="both"/>
      </w:pPr>
      <w:r>
        <w:t>Fl-10 ta’ Lulju 2023, il-Kummissjoni ppreżentat lill-Kunsill proposta għal deċiżjoni tal-Kunsill dwar il-konklużjoni, f’isem l-Unjoni Ewropea, tal-Ftehim bejn l-Unjoni Ewrope</w:t>
      </w:r>
      <w:r>
        <w:t>a u l-Konfederazzjoni Żvizzera dwar ir-regoli supplimentari fir-rigward tal-istrument għall-appoġġ finanzjarju għall-ġestjoni tal-fruntieri u l-politika dwar il-viżi, bħala parti mill-Fond għall-Ġestjoni Integrata tal-Fruntieri.</w:t>
      </w:r>
    </w:p>
    <w:p w:rsidR="00E8056A" w:rsidRPr="00E8056A" w:rsidRDefault="00E8056A" w:rsidP="00E8056A">
      <w:pPr>
        <w:jc w:val="both"/>
      </w:pPr>
    </w:p>
    <w:p w:rsidR="00E8056A" w:rsidRPr="00E8056A" w:rsidRDefault="00FC7F76" w:rsidP="00E8056A">
      <w:pPr>
        <w:jc w:val="both"/>
      </w:pPr>
      <w:r>
        <w:t>Fit-28 ta’ Settembru 2023,</w:t>
      </w:r>
      <w:r>
        <w:t xml:space="preserve"> il-Kunsill adotta Deċiżjoni dwar l-iffirmar, f’isem l-Unjoni, tal-Ftehim bejn l-Unjoni Ewropea u l-Konfederazzjoni Żvizzera dwar ir-regoli supplimentari fir-rigward tal-Istrument għall-Appoġġ Finanzjarju għall-Ġestjoni tal-Fruntieri u l-Politika dwar il-V</w:t>
      </w:r>
      <w:r>
        <w:t>iżi, bħala parti mill-Fond għall-Ġestjoni Integrata tal-Fruntieri, għall-perjodu 2021-2027. Il-Ftehim ġie ffirmat fit-28 ta’ Novembru 2023 fi Brussell.</w:t>
      </w:r>
    </w:p>
    <w:p w:rsidR="00E8056A" w:rsidRPr="00E8056A" w:rsidRDefault="00E8056A" w:rsidP="00E8056A">
      <w:pPr>
        <w:jc w:val="both"/>
      </w:pPr>
    </w:p>
    <w:p w:rsidR="00E8056A" w:rsidRPr="00E8056A" w:rsidRDefault="00FC7F76" w:rsidP="00E8056A">
      <w:pPr>
        <w:jc w:val="both"/>
      </w:pPr>
      <w:r>
        <w:t>Fis-7 ta’ Diċembru 2023, il-Kunsill talab lill-Parlament Ewropew jagħti l-approvazzjoni tiegħu għall-ab</w:t>
      </w:r>
      <w:r>
        <w:t>bozz ta’ Deċiżjoni tal-Kunsill dwar il-konklużjoni tal-ftehim imsemmi hawn fuq.</w:t>
      </w:r>
    </w:p>
    <w:p w:rsidR="00E8056A" w:rsidRPr="00E8056A" w:rsidRDefault="00E8056A" w:rsidP="00E8056A">
      <w:pPr>
        <w:jc w:val="both"/>
        <w:rPr>
          <w:sz w:val="22"/>
          <w:szCs w:val="22"/>
        </w:rPr>
      </w:pPr>
    </w:p>
    <w:p w:rsidR="00E8056A" w:rsidRPr="00E8056A" w:rsidRDefault="00E8056A" w:rsidP="00E8056A">
      <w:pPr>
        <w:jc w:val="both"/>
        <w:rPr>
          <w:sz w:val="22"/>
          <w:szCs w:val="22"/>
        </w:rPr>
      </w:pPr>
    </w:p>
    <w:p w:rsidR="00E8056A" w:rsidRPr="00E8056A" w:rsidRDefault="00FC7F76" w:rsidP="00E8056A">
      <w:pPr>
        <w:jc w:val="both"/>
      </w:pPr>
      <w:r>
        <w:rPr>
          <w:b/>
        </w:rPr>
        <w:t>b. Il-pożizzjoni tar-Rapporteur</w:t>
      </w:r>
    </w:p>
    <w:p w:rsidR="00E8056A" w:rsidRPr="00E8056A" w:rsidRDefault="00E8056A" w:rsidP="00E8056A">
      <w:pPr>
        <w:jc w:val="both"/>
      </w:pPr>
    </w:p>
    <w:p w:rsidR="00E8056A" w:rsidRPr="00E8056A" w:rsidRDefault="00FC7F76" w:rsidP="00E8056A">
      <w:pPr>
        <w:jc w:val="both"/>
      </w:pPr>
      <w:r>
        <w:t>L-Istrument għall-Appoġġ Finanzjarju għall-Ġestjoni tal-Fruntieri u l-Politika dwar il-Viżi, bħala parti mill-Fond għall-Ġestjoni Integrata t</w:t>
      </w:r>
      <w:r>
        <w:t>al-Fruntieri, jikkostitwixxi strument speċifiku fil-kuntest tal-acquis ta’ Schengen imfassal biex jiżgura ġestjoni integrata Ewropea tal-fruntieri b’saħħitha u effettiva fil-fruntieri esterni, filwaqt li jissalvagwardja l-moviment liberu tal-persuni, f’kon</w:t>
      </w:r>
      <w:r>
        <w:t>formità sħiħa mal-impenji tal-Istati Membri u tal-pajjiżi assoċjati dwar id-drittijiet fundamentali, u biex jappoġġja l-implimentazzjoni u l-modernizzazzjoni uniformi tal-politika komuni dwar il-viżi, u b’hekk jikkontribwixxi għall-garanzija ta’ livell għo</w:t>
      </w:r>
      <w:r>
        <w:t>li ta’ sigurtà fl-Istati Membri u fil-pajjiżi assoċjati.</w:t>
      </w:r>
    </w:p>
    <w:p w:rsidR="00E8056A" w:rsidRPr="00E8056A" w:rsidRDefault="00E8056A" w:rsidP="00E8056A">
      <w:pPr>
        <w:jc w:val="both"/>
      </w:pPr>
    </w:p>
    <w:p w:rsidR="00E8056A" w:rsidRPr="00E8056A" w:rsidRDefault="00FC7F76" w:rsidP="00E8056A">
      <w:pPr>
        <w:jc w:val="both"/>
      </w:pPr>
      <w:r>
        <w:t>Ir-Rapporteur taqbel li l-BMVI joffri l-opportunità li jiġu implimentati azzjonijiet b’ġestjoni kondiviża u b’modi ta’ ġestjoni diretta u indiretta, u li l-Ftehim għandu jagħmilha possibbli li l-imp</w:t>
      </w:r>
      <w:r>
        <w:t>limentazzjoni b’xi wieħed minn dawn il-metodi tkun tista’ titwettaq fl-Iżvizzera f’konformità mal-prinċipji u r-regoli tal-UE dwar il-ġestjoni u l-kontroll finanzjarji.</w:t>
      </w:r>
    </w:p>
    <w:p w:rsidR="00E8056A" w:rsidRPr="00E8056A" w:rsidRDefault="00E8056A" w:rsidP="00E8056A">
      <w:pPr>
        <w:jc w:val="both"/>
      </w:pPr>
    </w:p>
    <w:p w:rsidR="00E8056A" w:rsidRPr="00E8056A" w:rsidRDefault="00FC7F76" w:rsidP="00E8056A">
      <w:pPr>
        <w:jc w:val="both"/>
      </w:pPr>
      <w:r>
        <w:t>Ir-Rapporteur tqis ukoll li, minħabba n-natura speċifika tal-acquis ta’ Schengen u l-i</w:t>
      </w:r>
      <w:r>
        <w:t>mportanza tal-applikazzjoni uniformi tiegħu għall-integrità taż-żona Schengen, ir-regoli kollha applikabbli għall-ġestjoni tal-programmi għandhom japplikaw għall-Iżvizzera bl-istess mod kif japplikaw għall-Istati Membri.</w:t>
      </w:r>
    </w:p>
    <w:p w:rsidR="00E8056A" w:rsidRPr="00E8056A" w:rsidRDefault="00E8056A" w:rsidP="00E8056A">
      <w:pPr>
        <w:jc w:val="both"/>
      </w:pPr>
    </w:p>
    <w:p w:rsidR="00E8056A" w:rsidRPr="00E8056A" w:rsidRDefault="00FC7F76" w:rsidP="00E8056A">
      <w:pPr>
        <w:jc w:val="both"/>
      </w:pPr>
      <w:r>
        <w:t xml:space="preserve">Ir-Rapporteur tqis li </w:t>
      </w:r>
      <w:r>
        <w:t>l-konklużjoni ta’ ftehimiet formali u legalment vinkolanti fil-qafas tal-kooperazzjoni mal-pajjiżi assoċjati, għall-kuntrarju ta’ tipi oħra ta’arranġamenti, hija ta’ importanza kruċjali sabiex jiġu żgurati t-trasparenza, l-iskrutinju pubbliku u s-sorveljan</w:t>
      </w:r>
      <w:r>
        <w:t>za demokratika. Dan huwa partikolarment importanti fir-rigward tal-użu tal-baġit tal-UE.</w:t>
      </w:r>
    </w:p>
    <w:p w:rsidR="00E8056A" w:rsidRPr="00E8056A" w:rsidRDefault="00E8056A" w:rsidP="00E8056A"/>
    <w:p w:rsidR="00E8056A" w:rsidRPr="00E8056A" w:rsidRDefault="00FC7F76" w:rsidP="00E8056A">
      <w:pPr>
        <w:jc w:val="both"/>
      </w:pPr>
      <w:r>
        <w:t xml:space="preserve">Għandu jkun hemm aktar konformità ma’ dispożizzjonijiet speċifiċi oħra. </w:t>
      </w:r>
      <w:r>
        <w:rPr>
          <w:shd w:val="clear" w:color="auto" w:fill="FFFFFF"/>
        </w:rPr>
        <w:t>Bis-saħħa tal-ftehimiet ta’ assoċjazzjoni ta’ Schengen,</w:t>
      </w:r>
      <w:r>
        <w:t xml:space="preserve"> </w:t>
      </w:r>
      <w:r>
        <w:rPr>
          <w:shd w:val="clear" w:color="auto" w:fill="FFFFFF"/>
        </w:rPr>
        <w:t>l-Iżvizzera jeħtiġilha taċċetta bis-sħ</w:t>
      </w:r>
      <w:r>
        <w:rPr>
          <w:shd w:val="clear" w:color="auto" w:fill="FFFFFF"/>
        </w:rPr>
        <w:t xml:space="preserve">iħ il-miżuri tal-Unjoni, inkluż </w:t>
      </w:r>
      <w:r>
        <w:t xml:space="preserve">ir-Regolament BMVI, li jiżviluppaw jew jibnu fuq l-acquis ta’ Schengen, u tieħu l-miżuri meħtieġa biex tiżgura l-konformità mad-dispożizzjonijiet rilevanti għall-ġestjoni u l-kontroll finanzjarji li huma stabbiliti fit-TFUE </w:t>
      </w:r>
      <w:r>
        <w:t>u fil-liġi tal-Unjoni li tislet il-bażi legali tagħha mit-TFUE.</w:t>
      </w:r>
      <w:r>
        <w:br/>
        <w:t>Il-ftehimiet jintroduċu wkoll mekkaniżmi speċifiċi għal aġġustamenti rapidi għall-ftehim mal-Iżvizzera, fil-każ ta’ bidliet fil-leġiżlazzjoni ewlenija tal-Unjoni rilevanti għall-implimentazzjo</w:t>
      </w:r>
      <w:r>
        <w:t>ni, bħar-Regolament Finanzjarju u r-Regolament dwar Dispożizzjonijiet Komuni. Il-ftehim jiżgura wkoll li r-rieżami ta’ nofs it-terminu tal-BMVI jqis id-dewmien fil-parteċipazzjoni tal-pajjiżi assoċjati ma’ Schengen.</w:t>
      </w:r>
    </w:p>
    <w:p w:rsidR="00E8056A" w:rsidRPr="00E8056A" w:rsidRDefault="00E8056A" w:rsidP="00E8056A">
      <w:pPr>
        <w:jc w:val="both"/>
      </w:pPr>
    </w:p>
    <w:p w:rsidR="00E8056A" w:rsidRPr="00E8056A" w:rsidRDefault="00FC7F76" w:rsidP="00E8056A">
      <w:pPr>
        <w:jc w:val="both"/>
      </w:pPr>
      <w:r>
        <w:t>Barra min hekk, għall-kontrolli baġitar</w:t>
      </w:r>
      <w:r>
        <w:t>ji u finanzjarji, l-Istati Membri huma soġġetti għal obbligi orizzontali (eż. il-kompetenza tal-Qorti tal-Awdituri, tal-Uffiċċju Ewropew ta’ Kontra l-Frodi (OLAF), tal-UPPE u tal-Kummissjoni), li jiġu direttament mit-Trattat jew minn leġiżlazzjoni sekondar</w:t>
      </w:r>
      <w:r>
        <w:t xml:space="preserve">ja tal-Unjoni, inkluż ir-Regolament dwar Dispożizzjonijiet Komuni kif imsemmi hawn fuq. Dawn l-obbligi japplikaw </w:t>
      </w:r>
      <w:r>
        <w:rPr>
          <w:i/>
          <w:iCs/>
        </w:rPr>
        <w:t>ipso facto</w:t>
      </w:r>
      <w:r>
        <w:t xml:space="preserve"> fl-Istati Membri u għaldaqstant mhumiex stabbiliti fir-Regolament BMVI. Konsegwentement, dawn l-obbligi jeħtieġ li jiġu estiżi għall</w:t>
      </w:r>
      <w:r>
        <w:t>-Iżvizzera permezz tal-Ftehim ikkonċernat minn din il-proposta.</w:t>
      </w:r>
    </w:p>
    <w:p w:rsidR="00E8056A" w:rsidRPr="00E8056A" w:rsidRDefault="00FC7F76" w:rsidP="00E8056A">
      <w:pPr>
        <w:jc w:val="both"/>
      </w:pPr>
      <w:r>
        <w:br/>
        <w:t>Fl-aħħar nett, il-ftehim fih ukoll dispożizzjoni dwar is-Sistema Ewropea ta’ Informazzjoni u ta’ Awtorizzazzjoni għall-Ivvjaġġar (ETIAS). </w:t>
      </w:r>
    </w:p>
    <w:p w:rsidR="00E8056A" w:rsidRPr="00E8056A" w:rsidRDefault="00E8056A" w:rsidP="00E8056A">
      <w:pPr>
        <w:jc w:val="both"/>
        <w:rPr>
          <w:rFonts w:ascii="Arial" w:hAnsi="Arial" w:cs="Arial"/>
          <w:color w:val="222222"/>
          <w:spacing w:val="4"/>
          <w:sz w:val="21"/>
          <w:szCs w:val="21"/>
          <w:shd w:val="clear" w:color="auto" w:fill="FFFFFF"/>
        </w:rPr>
      </w:pPr>
    </w:p>
    <w:p w:rsidR="00E8056A" w:rsidRPr="00E8056A" w:rsidRDefault="00FC7F76" w:rsidP="00E8056A">
      <w:pPr>
        <w:jc w:val="both"/>
      </w:pPr>
      <w:r>
        <w:t>Bħala konklużjoni, ir-Rapporteur tqis li huwa xiera</w:t>
      </w:r>
      <w:r>
        <w:t>q li jiġi stabbilit Ftehim li jistabbilixxi r-regoli supplimentari meħtieġa għall-parteċipazzjoni tal-Konfederazzjoni Żvizzera fl-Istrument għall-Appoġġ Finanzjarju għall-Ġestjoni tal-Fruntieri u l-Politika dwar il-Viżi (il-“BMVI”) bħala parti mill-Fond għ</w:t>
      </w:r>
      <w:r>
        <w:t>all-Ġestjoni Integrata tal-Fruntieri għall-perjodu ta’ programmazzjoni 2021-2027 f’konformità mal-Artikolu 7(6) tar-Regolament (UE) 2021/1148 (ir-“Regolament BMVI”).</w:t>
      </w:r>
    </w:p>
    <w:p w:rsidR="00E8056A" w:rsidRPr="00E8056A" w:rsidRDefault="00E8056A" w:rsidP="00E8056A">
      <w:pPr>
        <w:jc w:val="both"/>
      </w:pPr>
    </w:p>
    <w:p w:rsidR="00EF48F2" w:rsidRPr="00E8056A" w:rsidRDefault="00FC7F76" w:rsidP="00E8056A">
      <w:pPr>
        <w:pStyle w:val="NormalHanging12a"/>
        <w:ind w:left="0" w:firstLine="0"/>
      </w:pPr>
      <w:r>
        <w:t xml:space="preserve">Fid-dawl ta’ hawn fuq, ir-Rapporteur tirrakkomanda li l-Parlament jagħti l-approvazzjoni </w:t>
      </w:r>
      <w:r>
        <w:t>tiegħu għall-abbozz ta’ deċiżjoni</w:t>
      </w:r>
      <w:bookmarkStart w:id="5" w:name="AM0"/>
      <w:bookmarkEnd w:id="5"/>
      <w:r>
        <w:t xml:space="preserve"> tal-Kunsill u jagħti istruzzjonijiet lill-President tiegħu biex tgħaddi l-pożizzjoni tal-Parlament lill-Kunsill u lill-Kummissjoni, kif ukoll lill-gvernijiet u lill-parlamenti tal-Istati Membri.</w:t>
      </w:r>
    </w:p>
    <w:p w:rsidR="00363B94" w:rsidRPr="00E8056A" w:rsidRDefault="00363B94" w:rsidP="00822206"/>
    <w:sectPr w:rsidR="00363B94" w:rsidRPr="00E8056A" w:rsidSect="00E8056A"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C7F76">
      <w:r>
        <w:separator/>
      </w:r>
    </w:p>
  </w:endnote>
  <w:endnote w:type="continuationSeparator" w:id="0">
    <w:p w:rsidR="00000000" w:rsidRDefault="00FC7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56A" w:rsidRPr="00E8056A" w:rsidRDefault="00FC7F76" w:rsidP="00E8056A">
    <w:pPr>
      <w:pStyle w:val="EPFooter"/>
    </w:pPr>
    <w:r w:rsidRPr="00E8056A">
      <w:t>PE</w:t>
    </w:r>
    <w:r w:rsidRPr="00E8056A">
      <w:rPr>
        <w:rStyle w:val="HideTWBExt"/>
      </w:rPr>
      <w:t>&lt;NoPE&gt;</w:t>
    </w:r>
    <w:r w:rsidRPr="00E8056A">
      <w:t>758.913</w:t>
    </w:r>
    <w:r w:rsidRPr="00E8056A">
      <w:rPr>
        <w:rStyle w:val="HideTWBExt"/>
      </w:rPr>
      <w:t>&lt;/NoPE&gt;&lt;Version&gt;</w:t>
    </w:r>
    <w:r w:rsidRPr="00E8056A">
      <w:t>v01-00</w:t>
    </w:r>
    <w:r w:rsidRPr="00E8056A">
      <w:rPr>
        <w:rStyle w:val="HideTWBExt"/>
      </w:rPr>
      <w:t>&lt;/Version&gt;</w:t>
    </w:r>
    <w:r w:rsidRPr="00E8056A">
      <w:tab/>
    </w:r>
    <w:r w:rsidRPr="00E8056A">
      <w:fldChar w:fldCharType="begin"/>
    </w:r>
    <w:r w:rsidRPr="00E8056A">
      <w:instrText xml:space="preserve"> PAGE  \* MERGEFORMAT </w:instrText>
    </w:r>
    <w:r w:rsidRPr="00E8056A">
      <w:fldChar w:fldCharType="separate"/>
    </w:r>
    <w:r>
      <w:rPr>
        <w:noProof/>
      </w:rPr>
      <w:t>2</w:t>
    </w:r>
    <w:r w:rsidRPr="00E8056A">
      <w:fldChar w:fldCharType="end"/>
    </w:r>
    <w:r w:rsidRPr="00E8056A">
      <w:t>/</w:t>
    </w:r>
    <w:r w:rsidR="00C94DDB">
      <w:fldChar w:fldCharType="begin"/>
    </w:r>
    <w:r>
      <w:instrText xml:space="preserve"> NUMPAGES  \* MERGEFORMAT </w:instrText>
    </w:r>
    <w:r w:rsidR="00C94DDB">
      <w:fldChar w:fldCharType="separate"/>
    </w:r>
    <w:r>
      <w:rPr>
        <w:noProof/>
      </w:rPr>
      <w:t>8</w:t>
    </w:r>
    <w:r w:rsidR="00C94DDB">
      <w:rPr>
        <w:noProof/>
      </w:rPr>
      <w:fldChar w:fldCharType="end"/>
    </w:r>
    <w:r w:rsidRPr="00E8056A">
      <w:tab/>
    </w:r>
    <w:r w:rsidRPr="00E8056A">
      <w:rPr>
        <w:rStyle w:val="HideTWBExt"/>
      </w:rPr>
      <w:t>&lt;PathFdR&gt;</w:t>
    </w:r>
    <w:r w:rsidRPr="00E8056A">
      <w:t>PR\1296234MT.docx</w:t>
    </w:r>
    <w:r w:rsidRPr="00E8056A">
      <w:rPr>
        <w:rStyle w:val="HideTWBExt"/>
      </w:rPr>
      <w:t>&lt;/PathFdR&gt;</w:t>
    </w:r>
  </w:p>
  <w:p w:rsidR="00E8056A" w:rsidRPr="00E8056A" w:rsidRDefault="00FC7F76" w:rsidP="00E8056A">
    <w:pPr>
      <w:pStyle w:val="EPFooter2"/>
    </w:pPr>
    <w:r w:rsidRPr="00E8056A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56A" w:rsidRPr="00E8056A" w:rsidRDefault="00FC7F76" w:rsidP="00E8056A">
    <w:pPr>
      <w:pStyle w:val="EPFooter"/>
    </w:pPr>
    <w:r w:rsidRPr="00E8056A">
      <w:rPr>
        <w:rStyle w:val="HideTWBExt"/>
      </w:rPr>
      <w:t>&lt;PathFdR&gt;</w:t>
    </w:r>
    <w:r w:rsidRPr="00E8056A">
      <w:t>PR\1296234MT.docx</w:t>
    </w:r>
    <w:r w:rsidRPr="00E8056A">
      <w:rPr>
        <w:rStyle w:val="HideTWBExt"/>
      </w:rPr>
      <w:t>&lt;/PathFdR&gt;</w:t>
    </w:r>
    <w:r w:rsidRPr="00E8056A">
      <w:tab/>
    </w:r>
    <w:r w:rsidRPr="00E8056A">
      <w:fldChar w:fldCharType="begin"/>
    </w:r>
    <w:r w:rsidRPr="00E8056A">
      <w:instrText xml:space="preserve"> PAGE  \* MERGEFORMAT </w:instrText>
    </w:r>
    <w:r w:rsidRPr="00E8056A">
      <w:fldChar w:fldCharType="separate"/>
    </w:r>
    <w:r>
      <w:rPr>
        <w:noProof/>
      </w:rPr>
      <w:t>3</w:t>
    </w:r>
    <w:r w:rsidRPr="00E8056A">
      <w:fldChar w:fldCharType="end"/>
    </w:r>
    <w:r w:rsidRPr="00E8056A">
      <w:t>/</w:t>
    </w:r>
    <w:r w:rsidR="00C94DDB">
      <w:fldChar w:fldCharType="begin"/>
    </w:r>
    <w:r>
      <w:instrText xml:space="preserve"> NUMPAGES  \* MERGEFORMAT </w:instrText>
    </w:r>
    <w:r w:rsidR="00C94DDB">
      <w:fldChar w:fldCharType="separate"/>
    </w:r>
    <w:r>
      <w:rPr>
        <w:noProof/>
      </w:rPr>
      <w:t>8</w:t>
    </w:r>
    <w:r w:rsidR="00C94DDB">
      <w:rPr>
        <w:noProof/>
      </w:rPr>
      <w:fldChar w:fldCharType="end"/>
    </w:r>
    <w:r w:rsidRPr="00E8056A">
      <w:tab/>
      <w:t>PE</w:t>
    </w:r>
    <w:r w:rsidRPr="00E8056A">
      <w:rPr>
        <w:rStyle w:val="HideTWBExt"/>
      </w:rPr>
      <w:t>&lt;NoPE&gt;</w:t>
    </w:r>
    <w:r w:rsidRPr="00E8056A">
      <w:t>758.913</w:t>
    </w:r>
    <w:r w:rsidRPr="00E8056A">
      <w:rPr>
        <w:rStyle w:val="HideTWBExt"/>
      </w:rPr>
      <w:t>&lt;/NoPE&gt;&lt;Version&gt;</w:t>
    </w:r>
    <w:r w:rsidRPr="00E8056A">
      <w:t>v01-00</w:t>
    </w:r>
    <w:r w:rsidRPr="00E8056A">
      <w:rPr>
        <w:rStyle w:val="HideTWBExt"/>
      </w:rPr>
      <w:t>&lt;/Version&gt;</w:t>
    </w:r>
  </w:p>
  <w:p w:rsidR="00E8056A" w:rsidRPr="00E8056A" w:rsidRDefault="00FC7F76" w:rsidP="00E8056A">
    <w:pPr>
      <w:pStyle w:val="EPFooter2"/>
    </w:pPr>
    <w:r w:rsidRPr="00E8056A">
      <w:tab/>
    </w:r>
    <w:r w:rsidRPr="00E8056A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56A" w:rsidRPr="00E8056A" w:rsidRDefault="00FC7F76" w:rsidP="00E8056A">
    <w:pPr>
      <w:pStyle w:val="EPFooter"/>
    </w:pPr>
    <w:r w:rsidRPr="00E8056A">
      <w:rPr>
        <w:rStyle w:val="HideTWBExt"/>
      </w:rPr>
      <w:t>&lt;PathFdR&gt;</w:t>
    </w:r>
    <w:r w:rsidRPr="00E8056A">
      <w:t>PR\1296234MT.docx</w:t>
    </w:r>
    <w:r w:rsidRPr="00E8056A">
      <w:rPr>
        <w:rStyle w:val="HideTWBExt"/>
      </w:rPr>
      <w:t>&lt;/PathFdR&gt;</w:t>
    </w:r>
    <w:r w:rsidRPr="00E8056A">
      <w:tab/>
    </w:r>
    <w:r w:rsidRPr="00E8056A">
      <w:tab/>
      <w:t>PE</w:t>
    </w:r>
    <w:r w:rsidRPr="00E8056A">
      <w:rPr>
        <w:rStyle w:val="HideTWBExt"/>
      </w:rPr>
      <w:t>&lt;NoPE&gt;</w:t>
    </w:r>
    <w:r w:rsidRPr="00E8056A">
      <w:t>758.913</w:t>
    </w:r>
    <w:r w:rsidRPr="00E8056A">
      <w:rPr>
        <w:rStyle w:val="HideTWBExt"/>
      </w:rPr>
      <w:t>&lt;/NoPE&gt;&lt;Version&gt;</w:t>
    </w:r>
    <w:r w:rsidRPr="00E8056A">
      <w:t>v01-00</w:t>
    </w:r>
    <w:r w:rsidRPr="00E8056A">
      <w:rPr>
        <w:rStyle w:val="HideTWBExt"/>
      </w:rPr>
      <w:t>&lt;/Version&gt;</w:t>
    </w:r>
  </w:p>
  <w:p w:rsidR="00E8056A" w:rsidRPr="00E8056A" w:rsidRDefault="00FC7F76" w:rsidP="00E8056A">
    <w:pPr>
      <w:pStyle w:val="EPFooter2"/>
    </w:pPr>
    <w:r w:rsidRPr="00E8056A">
      <w:t>MT</w:t>
    </w:r>
    <w:r w:rsidRPr="00E8056A">
      <w:tab/>
    </w:r>
    <w:r w:rsidRPr="00E8056A">
      <w:rPr>
        <w:b w:val="0"/>
        <w:i/>
        <w:color w:val="C0C0C0"/>
        <w:sz w:val="22"/>
      </w:rPr>
      <w:t>Magħquda fid-diversità</w:t>
    </w:r>
    <w:r w:rsidRPr="00E8056A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E8056A" w:rsidRDefault="00FC7F76" w:rsidP="00B6769C">
    <w:pPr>
      <w:pStyle w:val="EPFooter"/>
    </w:pPr>
    <w:r w:rsidRPr="00E8056A">
      <w:rPr>
        <w:rStyle w:val="HideTWBExt"/>
      </w:rPr>
      <w:t>&lt;PathFdR&gt;</w:t>
    </w:r>
    <w:r w:rsidR="00E8056A" w:rsidRPr="00E8056A">
      <w:rPr>
        <w:color w:val="auto"/>
      </w:rPr>
      <w:t>PR\1296234MT.docx</w:t>
    </w:r>
    <w:r w:rsidRPr="00E8056A">
      <w:rPr>
        <w:rStyle w:val="HideTWBExt"/>
      </w:rPr>
      <w:t>&lt;/PathFdR&gt;</w:t>
    </w:r>
    <w:r w:rsidRPr="00E8056A">
      <w:tab/>
    </w:r>
    <w:r w:rsidRPr="00E8056A">
      <w:tab/>
      <w:t>PE</w:t>
    </w:r>
    <w:r w:rsidRPr="00E8056A">
      <w:rPr>
        <w:rStyle w:val="HideTWBExt"/>
      </w:rPr>
      <w:t>&lt;NoPE&gt;</w:t>
    </w:r>
    <w:r w:rsidRPr="00FC7F76">
      <w:rPr>
        <w:color w:val="auto"/>
      </w:rPr>
      <w:t>758.913</w:t>
    </w:r>
    <w:r w:rsidRPr="00E8056A">
      <w:rPr>
        <w:rStyle w:val="HideTWBExt"/>
      </w:rPr>
      <w:t>&lt;/NoPE&gt;&lt;Version&gt;</w:t>
    </w:r>
    <w:r w:rsidR="00E37453" w:rsidRPr="00E8056A">
      <w:t>v</w:t>
    </w:r>
    <w:r w:rsidRPr="00FC7F76">
      <w:rPr>
        <w:color w:val="auto"/>
      </w:rPr>
      <w:t>01-00</w:t>
    </w:r>
    <w:r w:rsidRPr="00E8056A">
      <w:rPr>
        <w:rStyle w:val="HideTWBExt"/>
      </w:rPr>
      <w:t>&lt;/Version&gt;</w:t>
    </w:r>
  </w:p>
  <w:p w:rsidR="0085501C" w:rsidRPr="00E8056A" w:rsidRDefault="00FC7F76" w:rsidP="009612AA">
    <w:pPr>
      <w:pStyle w:val="EPFooter2"/>
      <w:tabs>
        <w:tab w:val="clear" w:pos="4535"/>
        <w:tab w:val="center" w:pos="4536"/>
      </w:tabs>
    </w:pPr>
    <w:r w:rsidRPr="00E8056A">
      <w:fldChar w:fldCharType="begin"/>
    </w:r>
    <w:r w:rsidRPr="00E8056A">
      <w:instrText xml:space="preserve"> DOCPROPERTY "&lt;Extension&gt;" </w:instrText>
    </w:r>
    <w:r w:rsidRPr="00E8056A">
      <w:fldChar w:fldCharType="separate"/>
    </w:r>
    <w:r>
      <w:t>MT</w:t>
    </w:r>
    <w:r w:rsidRPr="00E8056A">
      <w:fldChar w:fldCharType="end"/>
    </w:r>
    <w:r w:rsidRPr="00E8056A">
      <w:tab/>
    </w:r>
    <w:r>
      <w:rPr>
        <w:b w:val="0"/>
        <w:i/>
        <w:color w:val="C0C0C0"/>
        <w:sz w:val="22"/>
        <w:szCs w:val="22"/>
      </w:rPr>
      <w:t>Magħquda fid-diversità</w:t>
    </w:r>
    <w:r w:rsidRPr="00E8056A">
      <w:tab/>
    </w:r>
    <w:r w:rsidRPr="00E8056A">
      <w:fldChar w:fldCharType="begin"/>
    </w:r>
    <w:r w:rsidRPr="00E8056A">
      <w:instrText xml:space="preserve"> DOCPROPERTY "&lt;Extension&gt;" </w:instrText>
    </w:r>
    <w:r w:rsidRPr="00E8056A">
      <w:fldChar w:fldCharType="separate"/>
    </w:r>
    <w:r>
      <w:t>MT</w:t>
    </w:r>
    <w:r w:rsidRPr="00E8056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453" w:rsidRPr="00E8056A" w:rsidRDefault="00FC7F76">
      <w:r w:rsidRPr="00E8056A">
        <w:separator/>
      </w:r>
    </w:p>
  </w:footnote>
  <w:footnote w:type="continuationSeparator" w:id="0">
    <w:p w:rsidR="00E37453" w:rsidRPr="00E8056A" w:rsidRDefault="00FC7F76">
      <w:r w:rsidRPr="00E8056A">
        <w:continuationSeparator/>
      </w:r>
    </w:p>
  </w:footnote>
  <w:footnote w:id="1">
    <w:p w:rsidR="00E8056A" w:rsidRPr="00E8056A" w:rsidRDefault="00FC7F76" w:rsidP="00FC7F76">
      <w:pPr>
        <w:pStyle w:val="FootnoteText"/>
        <w:ind w:left="0" w:hanging="11"/>
        <w:jc w:val="both"/>
      </w:pPr>
      <w:r>
        <w:rPr>
          <w:rStyle w:val="FootnoteReference"/>
          <w:b w:val="0"/>
        </w:rPr>
        <w:footnoteRef/>
      </w:r>
      <w:r w:rsidRPr="00FC7F76">
        <w:rPr>
          <w:sz w:val="20"/>
        </w:rPr>
        <w:t xml:space="preserve"> Id-Deċiżjoni tal-Kunsill (UE) 2022/442 tal-21 ta’ Frar 2022 li tawtorizza l-ftuħ ta’ negozjati mal-Iżlanda, ir-Renju tan-Norveġja, il-Konfederazzjoni Żvizzera u l-Prinċipat tal-Liechtenstein bil-ħsieb li jiġu konklużi ftehimiet bejn l-Unjoni Ewropea u daw</w:t>
      </w:r>
      <w:r w:rsidRPr="00FC7F76">
        <w:rPr>
          <w:sz w:val="20"/>
        </w:rPr>
        <w:t>k il-pajjiżi dwar regoli supplementari fir-rigward tal-Istrument għall-Appoġġ Finanzjarju għall-Ġestjoni tal-Fruntieri u l-Politika dwar il-Viżi, bħala parti mill-Fond għall-Ġestjoni Integrata tal-Fruntieri (ĠU L 90, 18.3.2022, p. 116).</w:t>
      </w:r>
    </w:p>
  </w:footnote>
  <w:footnote w:id="2">
    <w:p w:rsidR="00E8056A" w:rsidRPr="00E8056A" w:rsidRDefault="00FC7F76" w:rsidP="00FC7F76">
      <w:pPr>
        <w:pStyle w:val="FootnoteText"/>
        <w:ind w:left="0" w:hanging="11"/>
        <w:jc w:val="both"/>
      </w:pPr>
      <w:r>
        <w:rPr>
          <w:rStyle w:val="FootnoteReference"/>
          <w:b w:val="0"/>
        </w:rPr>
        <w:footnoteRef/>
      </w:r>
      <w:r>
        <w:t xml:space="preserve"> </w:t>
      </w:r>
      <w:r w:rsidRPr="00FC7F76">
        <w:rPr>
          <w:sz w:val="20"/>
        </w:rPr>
        <w:t>Ir-Regolament (UE</w:t>
      </w:r>
      <w:r w:rsidRPr="00FC7F76">
        <w:rPr>
          <w:sz w:val="20"/>
        </w:rPr>
        <w:t>) 2021/1148 tal-Parlament Ewropew u tal-Kunsill tas-7 ta’ Lulju 2021 li jistabbilixxi, bħala parti mill-Fond għall-Ġestjoni Integrata tal-Fruntieri, l-Istrument għall-Appoġġ Finanzjarju għall-Ġestjoni tal-Fruntieri u l-Politika dwar il-Viżi (ĠU L 251, 15.7</w:t>
      </w:r>
      <w:r w:rsidRPr="00FC7F76">
        <w:rPr>
          <w:sz w:val="20"/>
        </w:rPr>
        <w:t>.2021, p. 48).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DDB" w:rsidRDefault="00C94D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DDB" w:rsidRDefault="00C94D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DDB" w:rsidRDefault="00C94D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LIBE"/>
    <w:docVar w:name="LastEditedSection" w:val=" 1"/>
    <w:docVar w:name="strDocTypeID" w:val="PR_NLE-AP_Agreement"/>
    <w:docVar w:name="strSubDir" w:val="1296"/>
    <w:docVar w:name="TXTAUTHOR" w:val="Jadwiga Wiśniewska"/>
    <w:docVar w:name="TXTLANGUE" w:val="MT"/>
    <w:docVar w:name="TXTLANGUEMIN" w:val="mt"/>
    <w:docVar w:name="TXTNRNLE" w:val="2023/0229"/>
    <w:docVar w:name="TXTNRPE" w:val="758.913"/>
    <w:docVar w:name="TXTPEorAP" w:val="PE"/>
    <w:docVar w:name="TXTROUTE" w:val="PR\1296234MT.docx"/>
    <w:docVar w:name="TXTVERSION" w:val="01-00"/>
  </w:docVars>
  <w:rsids>
    <w:rsidRoot w:val="00E37453"/>
    <w:rsid w:val="00001D52"/>
    <w:rsid w:val="0000443F"/>
    <w:rsid w:val="000053E3"/>
    <w:rsid w:val="00016E55"/>
    <w:rsid w:val="0006167F"/>
    <w:rsid w:val="00061EFE"/>
    <w:rsid w:val="00095D8B"/>
    <w:rsid w:val="000A2F73"/>
    <w:rsid w:val="000C123D"/>
    <w:rsid w:val="000D78AF"/>
    <w:rsid w:val="00180664"/>
    <w:rsid w:val="001874D8"/>
    <w:rsid w:val="001D02E3"/>
    <w:rsid w:val="001F7BBE"/>
    <w:rsid w:val="0021049A"/>
    <w:rsid w:val="0022685A"/>
    <w:rsid w:val="002E2E20"/>
    <w:rsid w:val="002F5A83"/>
    <w:rsid w:val="003072BE"/>
    <w:rsid w:val="00337C92"/>
    <w:rsid w:val="00363B94"/>
    <w:rsid w:val="003B598C"/>
    <w:rsid w:val="004174FC"/>
    <w:rsid w:val="00460BD6"/>
    <w:rsid w:val="004859B3"/>
    <w:rsid w:val="00486FAE"/>
    <w:rsid w:val="004C083C"/>
    <w:rsid w:val="004E1650"/>
    <w:rsid w:val="0053367A"/>
    <w:rsid w:val="00544D48"/>
    <w:rsid w:val="005877C0"/>
    <w:rsid w:val="005A6B14"/>
    <w:rsid w:val="005D0B97"/>
    <w:rsid w:val="005F5D6C"/>
    <w:rsid w:val="006132CE"/>
    <w:rsid w:val="00613F2E"/>
    <w:rsid w:val="00616132"/>
    <w:rsid w:val="006A1A75"/>
    <w:rsid w:val="006A2CF5"/>
    <w:rsid w:val="006F1B6F"/>
    <w:rsid w:val="00791637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A415B7"/>
    <w:rsid w:val="00AD5D0C"/>
    <w:rsid w:val="00B31D18"/>
    <w:rsid w:val="00B42885"/>
    <w:rsid w:val="00B50C20"/>
    <w:rsid w:val="00B6769C"/>
    <w:rsid w:val="00BB22CC"/>
    <w:rsid w:val="00BB41C8"/>
    <w:rsid w:val="00BE5E72"/>
    <w:rsid w:val="00BF0A0F"/>
    <w:rsid w:val="00BF2E15"/>
    <w:rsid w:val="00BF7F55"/>
    <w:rsid w:val="00C05DD8"/>
    <w:rsid w:val="00C15447"/>
    <w:rsid w:val="00C35D01"/>
    <w:rsid w:val="00C85D0F"/>
    <w:rsid w:val="00C94DDB"/>
    <w:rsid w:val="00CB5651"/>
    <w:rsid w:val="00CC20CB"/>
    <w:rsid w:val="00CF44DF"/>
    <w:rsid w:val="00D04E0B"/>
    <w:rsid w:val="00D62DA0"/>
    <w:rsid w:val="00D6543C"/>
    <w:rsid w:val="00DF594D"/>
    <w:rsid w:val="00E14FEE"/>
    <w:rsid w:val="00E37453"/>
    <w:rsid w:val="00E71368"/>
    <w:rsid w:val="00E8056A"/>
    <w:rsid w:val="00E93816"/>
    <w:rsid w:val="00EA59ED"/>
    <w:rsid w:val="00EF48F2"/>
    <w:rsid w:val="00F04010"/>
    <w:rsid w:val="00FC699E"/>
    <w:rsid w:val="00FC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E2779E"/>
  <w15:chartTrackingRefBased/>
  <w15:docId w15:val="{AEA92A66-9A0E-468F-BF74-D07B16FC3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semiHidden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E8056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8056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8056A"/>
    <w:rPr>
      <w:sz w:val="18"/>
    </w:rPr>
  </w:style>
  <w:style w:type="paragraph" w:styleId="FootnoteText">
    <w:name w:val="footnote text"/>
    <w:basedOn w:val="Normal"/>
    <w:link w:val="FootnoteTextChar"/>
    <w:uiPriority w:val="99"/>
    <w:unhideWhenUsed/>
    <w:rsid w:val="00E8056A"/>
    <w:pPr>
      <w:widowControl/>
      <w:ind w:left="720" w:hanging="720"/>
    </w:pPr>
    <w:rPr>
      <w:rFonts w:eastAsiaTheme="minorHAnsi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8056A"/>
    <w:rPr>
      <w:rFonts w:eastAsiaTheme="minorHAnsi"/>
      <w:sz w:val="24"/>
      <w:lang w:eastAsia="en-US"/>
    </w:rPr>
  </w:style>
  <w:style w:type="character" w:styleId="FootnoteReference">
    <w:name w:val="footnote reference"/>
    <w:basedOn w:val="DefaultParagraphFont"/>
    <w:uiPriority w:val="99"/>
    <w:unhideWhenUsed/>
    <w:rsid w:val="00E8056A"/>
    <w:rPr>
      <w:b/>
      <w:bdr w:val="none" w:sz="0" w:space="0" w:color="auto"/>
      <w:shd w:val="clear" w:color="auto" w:fill="auto"/>
      <w:vertAlign w:val="superscript"/>
    </w:rPr>
  </w:style>
  <w:style w:type="paragraph" w:styleId="Footer">
    <w:name w:val="footer"/>
    <w:basedOn w:val="Normal"/>
    <w:link w:val="FooterChar"/>
    <w:semiHidden/>
    <w:rsid w:val="00FC7F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C7F7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EC7DC-4A6B-4F42-BF10-A5ED28468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1214</Words>
  <Characters>9985</Characters>
  <Application>Microsoft Office Word</Application>
  <DocSecurity>0</DocSecurity>
  <Lines>195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11136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creator>SCIRTO GAUCI Lindsay</dc:creator>
  <cp:lastModifiedBy>SCIRTO GAUCI Lindsay</cp:lastModifiedBy>
  <cp:revision>2</cp:revision>
  <cp:lastPrinted>2002-12-11T09:25:00Z</cp:lastPrinted>
  <dcterms:created xsi:type="dcterms:W3CDTF">2024-02-27T08:24:00Z</dcterms:created>
  <dcterms:modified xsi:type="dcterms:W3CDTF">2024-02-27T08:24:00Z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1296234</vt:lpwstr>
  </property>
  <property fmtid="{D5CDD505-2E9C-101B-9397-08002B2CF9AE}" pid="4" name="&lt;Model&gt;">
    <vt:lpwstr>PR_NLE-AP_Agreement</vt:lpwstr>
  </property>
  <property fmtid="{D5CDD505-2E9C-101B-9397-08002B2CF9AE}" pid="5" name="&lt;ModelCod&gt;">
    <vt:lpwstr>\\eiciLUXpr1\pdocep$\DocEP\DOCS\General\PR\PR_Leg\NLE\PR_NLE-AP_Agreement.dotx(17/04/2020 18:28:04)</vt:lpwstr>
  </property>
  <property fmtid="{D5CDD505-2E9C-101B-9397-08002B2CF9AE}" pid="6" name="&lt;ModelTra&gt;">
    <vt:lpwstr>\\eiciLUXpr1\pdocep$\DocEP\TRANSFIL\MT\PR_NLE-AP_Agreement.MT(25/05/2023 15:04:13)</vt:lpwstr>
  </property>
  <property fmtid="{D5CDD505-2E9C-101B-9397-08002B2CF9AE}" pid="7" name="&lt;Type&gt;">
    <vt:lpwstr>PR</vt:lpwstr>
  </property>
  <property fmtid="{D5CDD505-2E9C-101B-9397-08002B2CF9AE}" pid="8" name="Created with">
    <vt:lpwstr>9.17.1 Build [20240110]</vt:lpwstr>
  </property>
  <property fmtid="{D5CDD505-2E9C-101B-9397-08002B2CF9AE}" pid="9" name="FooterPath">
    <vt:lpwstr>PR\1296234MT.docx</vt:lpwstr>
  </property>
  <property fmtid="{D5CDD505-2E9C-101B-9397-08002B2CF9AE}" pid="10" name="LastEdited with">
    <vt:lpwstr>9.17.1 Build [20240110]</vt:lpwstr>
  </property>
  <property fmtid="{D5CDD505-2E9C-101B-9397-08002B2CF9AE}" pid="11" name="PE number">
    <vt:lpwstr>758.913</vt:lpwstr>
  </property>
  <property fmtid="{D5CDD505-2E9C-101B-9397-08002B2CF9AE}" pid="12" name="SDLStudio">
    <vt:lpwstr/>
  </property>
  <property fmtid="{D5CDD505-2E9C-101B-9397-08002B2CF9AE}" pid="13" name="Bookout">
    <vt:lpwstr>OK - 2024/02/27 09:24</vt:lpwstr>
  </property>
</Properties>
</file>