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B0F21" w:rsidRPr="00656E7E" w:rsidTr="00C85D0F">
        <w:trPr>
          <w:trHeight w:hRule="exact" w:val="1418"/>
        </w:trPr>
        <w:tc>
          <w:tcPr>
            <w:tcW w:w="6804" w:type="dxa"/>
            <w:shd w:val="clear" w:color="auto" w:fill="auto"/>
            <w:vAlign w:val="center"/>
          </w:tcPr>
          <w:p w:rsidR="00C05DD8" w:rsidRPr="00656E7E" w:rsidRDefault="00656E7E" w:rsidP="00C85D0F">
            <w:pPr>
              <w:pStyle w:val="EPName"/>
            </w:pPr>
            <w:r w:rsidRPr="00656E7E">
              <w:t>Parlament Europejski</w:t>
            </w:r>
          </w:p>
          <w:p w:rsidR="00C05DD8" w:rsidRPr="00656E7E" w:rsidRDefault="00656E7E" w:rsidP="005A7589">
            <w:pPr>
              <w:pStyle w:val="EPTerm"/>
            </w:pPr>
            <w:r w:rsidRPr="00656E7E">
              <w:t>2019-2024</w:t>
            </w:r>
          </w:p>
        </w:tc>
        <w:tc>
          <w:tcPr>
            <w:tcW w:w="2268" w:type="dxa"/>
            <w:shd w:val="clear" w:color="auto" w:fill="auto"/>
          </w:tcPr>
          <w:p w:rsidR="00C05DD8" w:rsidRPr="00656E7E" w:rsidRDefault="00656E7E" w:rsidP="00C85D0F">
            <w:pPr>
              <w:pStyle w:val="EPLogo"/>
            </w:pPr>
            <w:r w:rsidRPr="00656E7E">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656E7E" w:rsidRDefault="009612AA" w:rsidP="009612AA">
      <w:pPr>
        <w:pStyle w:val="LineTop"/>
      </w:pPr>
    </w:p>
    <w:p w:rsidR="009612AA" w:rsidRPr="00656E7E" w:rsidRDefault="00656E7E" w:rsidP="009612AA">
      <w:pPr>
        <w:pStyle w:val="EPBody"/>
      </w:pPr>
      <w:r w:rsidRPr="00656E7E">
        <w:rPr>
          <w:rStyle w:val="HideTWBExt"/>
          <w:lang w:val="en-GB"/>
        </w:rPr>
        <w:t>&lt;</w:t>
      </w:r>
      <w:r w:rsidRPr="00656E7E">
        <w:rPr>
          <w:rStyle w:val="HideTWBExt"/>
          <w:i w:val="0"/>
          <w:lang w:val="en-GB"/>
        </w:rPr>
        <w:t>Commission</w:t>
      </w:r>
      <w:r w:rsidRPr="00656E7E">
        <w:rPr>
          <w:rStyle w:val="HideTWBExt"/>
          <w:lang w:val="en-GB"/>
        </w:rPr>
        <w:t>&gt;</w:t>
      </w:r>
      <w:r w:rsidRPr="00656E7E">
        <w:rPr>
          <w:rStyle w:val="HideTWBInt"/>
          <w:lang w:val="en-GB"/>
        </w:rPr>
        <w:t>{LIBE}</w:t>
      </w:r>
      <w:r w:rsidRPr="00656E7E">
        <w:t>Komisja Wolności Obywatelskich, Sprawiedliwości i Spraw Wewnętrznych</w:t>
      </w:r>
      <w:r w:rsidRPr="00656E7E">
        <w:rPr>
          <w:rStyle w:val="HideTWBExt"/>
          <w:lang w:val="en-GB"/>
        </w:rPr>
        <w:t>&lt;/</w:t>
      </w:r>
      <w:r w:rsidRPr="00656E7E">
        <w:rPr>
          <w:rStyle w:val="HideTWBExt"/>
          <w:i w:val="0"/>
          <w:lang w:val="en-GB"/>
        </w:rPr>
        <w:t>Commission</w:t>
      </w:r>
      <w:r w:rsidRPr="00656E7E">
        <w:rPr>
          <w:rStyle w:val="HideTWBExt"/>
          <w:lang w:val="en-GB"/>
        </w:rPr>
        <w:t>&gt;</w:t>
      </w:r>
    </w:p>
    <w:p w:rsidR="009612AA" w:rsidRPr="00656E7E" w:rsidRDefault="009612AA" w:rsidP="009612AA">
      <w:pPr>
        <w:pStyle w:val="LineBottom"/>
        <w:rPr>
          <w:lang w:val="en-GB"/>
        </w:rPr>
      </w:pPr>
    </w:p>
    <w:p w:rsidR="00363B94" w:rsidRPr="00656E7E" w:rsidRDefault="00656E7E">
      <w:pPr>
        <w:pStyle w:val="CoverReference"/>
      </w:pPr>
      <w:r w:rsidRPr="00656E7E">
        <w:rPr>
          <w:rStyle w:val="HideTWBExt"/>
          <w:b w:val="0"/>
          <w:lang w:val="en-GB"/>
        </w:rPr>
        <w:t>&lt;RefProc&gt;</w:t>
      </w:r>
      <w:r w:rsidRPr="00656E7E">
        <w:t>2023/0229</w:t>
      </w:r>
      <w:r w:rsidRPr="00656E7E">
        <w:rPr>
          <w:rStyle w:val="HideTWBExt"/>
          <w:b w:val="0"/>
          <w:lang w:val="en-GB"/>
        </w:rPr>
        <w:t>&lt;/RefProc&gt;&lt;RefTypeProc&gt;</w:t>
      </w:r>
      <w:r w:rsidRPr="00656E7E">
        <w:t>(NLE)</w:t>
      </w:r>
      <w:r w:rsidRPr="00656E7E">
        <w:rPr>
          <w:rStyle w:val="HideTWBExt"/>
          <w:b w:val="0"/>
          <w:lang w:val="en-GB"/>
        </w:rPr>
        <w:t>&lt;/RefTypeProc&gt;</w:t>
      </w:r>
    </w:p>
    <w:p w:rsidR="00363B94" w:rsidRPr="00656E7E" w:rsidRDefault="00656E7E">
      <w:pPr>
        <w:pStyle w:val="CoverDate"/>
      </w:pPr>
      <w:r w:rsidRPr="00656E7E">
        <w:rPr>
          <w:rStyle w:val="HideTWBExt"/>
          <w:lang w:val="en-GB"/>
        </w:rPr>
        <w:t>&lt;Date&gt;</w:t>
      </w:r>
      <w:r w:rsidRPr="00656E7E">
        <w:rPr>
          <w:rStyle w:val="HideTWBInt"/>
          <w:lang w:val="en-GB"/>
        </w:rPr>
        <w:t>{14/02/2024}</w:t>
      </w:r>
      <w:r w:rsidRPr="00656E7E">
        <w:t>14.2.2024</w:t>
      </w:r>
      <w:r w:rsidRPr="00656E7E">
        <w:rPr>
          <w:rStyle w:val="HideTWBExt"/>
          <w:lang w:val="en-GB"/>
        </w:rPr>
        <w:t>&lt;/Date&gt;</w:t>
      </w:r>
    </w:p>
    <w:p w:rsidR="00363B94" w:rsidRPr="00656E7E" w:rsidRDefault="00656E7E">
      <w:pPr>
        <w:pStyle w:val="CoverDocType"/>
      </w:pPr>
      <w:r w:rsidRPr="00656E7E">
        <w:rPr>
          <w:rStyle w:val="HideTWBExt"/>
          <w:b w:val="0"/>
          <w:lang w:val="en-GB"/>
        </w:rPr>
        <w:t>&lt;RefProcLect&gt;</w:t>
      </w:r>
      <w:r w:rsidRPr="00656E7E">
        <w:t>***</w:t>
      </w:r>
      <w:r w:rsidRPr="00656E7E">
        <w:rPr>
          <w:rStyle w:val="HideTWBExt"/>
          <w:b w:val="0"/>
          <w:lang w:val="en-GB"/>
        </w:rPr>
        <w:t>&lt;/RefProcLect&gt;</w:t>
      </w:r>
    </w:p>
    <w:p w:rsidR="00363B94" w:rsidRPr="00656E7E" w:rsidRDefault="00656E7E">
      <w:pPr>
        <w:pStyle w:val="CoverDocType24a"/>
      </w:pPr>
      <w:r w:rsidRPr="00656E7E">
        <w:rPr>
          <w:rStyle w:val="HideTWBExt"/>
          <w:b w:val="0"/>
          <w:lang w:val="en-GB"/>
        </w:rPr>
        <w:t>&lt;TitreType&gt;</w:t>
      </w:r>
      <w:r w:rsidRPr="00656E7E">
        <w:t>PROJEKT ZALECENIA</w:t>
      </w:r>
      <w:r w:rsidRPr="00656E7E">
        <w:rPr>
          <w:rStyle w:val="HideTWBExt"/>
          <w:b w:val="0"/>
          <w:lang w:val="en-GB"/>
        </w:rPr>
        <w:t>&lt;/TitreType&gt;</w:t>
      </w:r>
    </w:p>
    <w:p w:rsidR="00363B94" w:rsidRPr="00656E7E" w:rsidRDefault="00656E7E">
      <w:pPr>
        <w:pStyle w:val="CoverNormal"/>
      </w:pPr>
      <w:r w:rsidRPr="00656E7E">
        <w:rPr>
          <w:rStyle w:val="HideTWBExt"/>
          <w:lang w:val="en-GB"/>
        </w:rPr>
        <w:t>&lt;Titre&gt;</w:t>
      </w:r>
      <w:r w:rsidRPr="00656E7E">
        <w:t>w sprawie projektu decyzji Rady dotyczącej zawarcia, w imieniu Unii, Umowy między Unią Europejską a Konfederacją Szwajcarską w sprawie przepisów uzupełniających dotyczących Instrumentu Wsparcia</w:t>
      </w:r>
      <w:r w:rsidRPr="00656E7E">
        <w:t xml:space="preserve"> Finansowego na rzecz Zarządzania Granicami i Polityki Wizowej, w ramach Funduszu Zintegrowanego Zarządzania Granicami, na lata 2021–2027</w:t>
      </w:r>
      <w:r w:rsidRPr="00656E7E">
        <w:rPr>
          <w:rStyle w:val="HideTWBExt"/>
          <w:lang w:val="en-GB"/>
        </w:rPr>
        <w:t>&lt;/Titre&gt;</w:t>
      </w:r>
    </w:p>
    <w:p w:rsidR="00363B94" w:rsidRPr="00656E7E" w:rsidRDefault="00656E7E">
      <w:pPr>
        <w:pStyle w:val="CoverNormal24a"/>
      </w:pPr>
      <w:r w:rsidRPr="00656E7E">
        <w:rPr>
          <w:rStyle w:val="HideTWBExt"/>
          <w:lang w:val="en-GB"/>
        </w:rPr>
        <w:t>&lt;DocRef&gt;</w:t>
      </w:r>
      <w:r w:rsidRPr="00656E7E">
        <w:t>(12122/2023 – C9</w:t>
      </w:r>
      <w:r w:rsidRPr="00656E7E">
        <w:noBreakHyphen/>
        <w:t>0461/2023 – 2023/0229(NLE))</w:t>
      </w:r>
      <w:r w:rsidRPr="00656E7E">
        <w:rPr>
          <w:rStyle w:val="HideTWBExt"/>
          <w:lang w:val="en-GB"/>
        </w:rPr>
        <w:t>&lt;/DocRef&gt;</w:t>
      </w:r>
    </w:p>
    <w:p w:rsidR="00363B94" w:rsidRPr="00656E7E" w:rsidRDefault="00656E7E">
      <w:pPr>
        <w:pStyle w:val="CoverNormal24a"/>
      </w:pPr>
      <w:r w:rsidRPr="00656E7E">
        <w:rPr>
          <w:rStyle w:val="HideTWBExt"/>
          <w:lang w:val="en-GB"/>
        </w:rPr>
        <w:t>&lt;Commission&gt;</w:t>
      </w:r>
      <w:r w:rsidRPr="00656E7E">
        <w:rPr>
          <w:rStyle w:val="HideTWBInt"/>
          <w:lang w:val="en-GB"/>
        </w:rPr>
        <w:t>{LIBE}</w:t>
      </w:r>
      <w:r w:rsidRPr="00656E7E">
        <w:t>Komisja Wolności Obywatelskich</w:t>
      </w:r>
      <w:r w:rsidRPr="00656E7E">
        <w:t>, Sprawiedliwości i Spraw Wewnętrznych</w:t>
      </w:r>
      <w:r w:rsidRPr="00656E7E">
        <w:rPr>
          <w:rStyle w:val="HideTWBExt"/>
          <w:lang w:val="en-GB"/>
        </w:rPr>
        <w:t>&lt;/Commission&gt;</w:t>
      </w:r>
    </w:p>
    <w:p w:rsidR="00363B94" w:rsidRPr="00656E7E" w:rsidRDefault="00656E7E">
      <w:pPr>
        <w:pStyle w:val="CoverNormal24a"/>
      </w:pPr>
      <w:r w:rsidRPr="00656E7E">
        <w:t xml:space="preserve">Sprawozdawczyni: </w:t>
      </w:r>
      <w:r w:rsidRPr="00656E7E">
        <w:rPr>
          <w:rStyle w:val="HideTWBExt"/>
          <w:lang w:val="en-GB"/>
        </w:rPr>
        <w:t>&lt;Depute&gt;</w:t>
      </w:r>
      <w:r w:rsidRPr="00656E7E">
        <w:t>Jadwiga Wiśniewska</w:t>
      </w:r>
      <w:r w:rsidRPr="00656E7E">
        <w:rPr>
          <w:rStyle w:val="HideTWBExt"/>
          <w:lang w:val="en-GB"/>
        </w:rPr>
        <w:t>&lt;/Depute&gt;</w:t>
      </w:r>
    </w:p>
    <w:p w:rsidR="00B42885" w:rsidRPr="00656E7E" w:rsidRDefault="00B42885" w:rsidP="00B42885">
      <w:pPr>
        <w:pStyle w:val="CoverNormal"/>
        <w:rPr>
          <w:lang w:val="en-GB"/>
        </w:rPr>
      </w:pPr>
    </w:p>
    <w:p w:rsidR="005A7589" w:rsidRPr="00656E7E" w:rsidRDefault="00656E7E" w:rsidP="00016E55">
      <w:r w:rsidRPr="00656E7E">
        <w:br w:type="page"/>
      </w:r>
      <w:r w:rsidRPr="00656E7E">
        <w:lastRenderedPageBreak/>
        <w:fldChar w:fldCharType="begin"/>
      </w:r>
      <w:r w:rsidRPr="00656E7E">
        <w:instrText xml:space="preserve"> TITLE  \* MERGEFORMAT </w:instrText>
      </w:r>
      <w:r w:rsidRPr="00656E7E">
        <w:fldChar w:fldCharType="separate"/>
      </w:r>
      <w:r w:rsidRPr="00656E7E">
        <w:rPr>
          <w:lang w:val="en-GB"/>
        </w:rPr>
        <w:t>PR_NLE-AP_Agreement</w:t>
      </w:r>
      <w:r w:rsidRPr="00656E7E">
        <w:fldChar w:fldCharType="end"/>
      </w:r>
    </w:p>
    <w:p w:rsidR="005A7589" w:rsidRPr="00656E7E" w:rsidRDefault="005A7589" w:rsidP="00016E55">
      <w:pPr>
        <w:rPr>
          <w:lang w:val="en-GB"/>
        </w:rPr>
      </w:pPr>
    </w:p>
    <w:p w:rsidR="005A7589" w:rsidRPr="00656E7E" w:rsidRDefault="005A7589" w:rsidP="00016E55">
      <w:pPr>
        <w:rPr>
          <w:lang w:val="en-GB"/>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B0F21" w:rsidRPr="00656E7E" w:rsidTr="000D1F01">
        <w:tc>
          <w:tcPr>
            <w:tcW w:w="5811" w:type="dxa"/>
            <w:tcBorders>
              <w:top w:val="single" w:sz="4" w:space="0" w:color="auto"/>
            </w:tcBorders>
          </w:tcPr>
          <w:p w:rsidR="00A404F2" w:rsidRPr="00656E7E" w:rsidRDefault="00656E7E" w:rsidP="000D1F01">
            <w:pPr>
              <w:pStyle w:val="Lgendetitre"/>
              <w:rPr>
                <w:szCs w:val="24"/>
              </w:rPr>
            </w:pPr>
            <w:r w:rsidRPr="00656E7E">
              <w:t>Objaśnienie używanych znaków</w:t>
            </w:r>
          </w:p>
        </w:tc>
      </w:tr>
      <w:tr w:rsidR="00CB0F21" w:rsidRPr="00656E7E" w:rsidTr="000D1F01">
        <w:trPr>
          <w:cantSplit/>
          <w:trHeight w:val="2170"/>
        </w:trPr>
        <w:tc>
          <w:tcPr>
            <w:tcW w:w="5811" w:type="dxa"/>
            <w:tcBorders>
              <w:bottom w:val="single" w:sz="4" w:space="0" w:color="auto"/>
            </w:tcBorders>
          </w:tcPr>
          <w:p w:rsidR="00A404F2" w:rsidRPr="00656E7E" w:rsidRDefault="00656E7E" w:rsidP="000D1F01">
            <w:pPr>
              <w:pStyle w:val="Lgendesigne"/>
              <w:rPr>
                <w:szCs w:val="24"/>
              </w:rPr>
            </w:pPr>
            <w:r w:rsidRPr="00656E7E">
              <w:tab/>
              <w:t>*</w:t>
            </w:r>
            <w:r w:rsidRPr="00656E7E">
              <w:tab/>
              <w:t>Procedura konsultacji</w:t>
            </w:r>
          </w:p>
          <w:p w:rsidR="00A404F2" w:rsidRPr="00656E7E" w:rsidRDefault="00656E7E" w:rsidP="000D1F01">
            <w:pPr>
              <w:pStyle w:val="Lgendesigne"/>
              <w:rPr>
                <w:szCs w:val="24"/>
              </w:rPr>
            </w:pPr>
            <w:r w:rsidRPr="00656E7E">
              <w:tab/>
              <w:t>***</w:t>
            </w:r>
            <w:r w:rsidRPr="00656E7E">
              <w:tab/>
              <w:t>Procedura zgody</w:t>
            </w:r>
          </w:p>
          <w:p w:rsidR="00A404F2" w:rsidRPr="00656E7E" w:rsidRDefault="00656E7E" w:rsidP="000D1F01">
            <w:pPr>
              <w:pStyle w:val="Lgendesigne"/>
              <w:rPr>
                <w:szCs w:val="24"/>
              </w:rPr>
            </w:pPr>
            <w:r w:rsidRPr="00656E7E">
              <w:tab/>
              <w:t>***I</w:t>
            </w:r>
            <w:r w:rsidRPr="00656E7E">
              <w:tab/>
            </w:r>
            <w:r w:rsidRPr="00656E7E">
              <w:t>Zwykła procedura ustawodawcza (pierwsze czytanie)</w:t>
            </w:r>
          </w:p>
          <w:p w:rsidR="00A404F2" w:rsidRPr="00656E7E" w:rsidRDefault="00656E7E" w:rsidP="000D1F01">
            <w:pPr>
              <w:pStyle w:val="Lgendesigne"/>
              <w:rPr>
                <w:szCs w:val="24"/>
              </w:rPr>
            </w:pPr>
            <w:r w:rsidRPr="00656E7E">
              <w:tab/>
              <w:t>***II</w:t>
            </w:r>
            <w:r w:rsidRPr="00656E7E">
              <w:tab/>
              <w:t>Zwykła procedura ustawodawcza (drugie czytanie)</w:t>
            </w:r>
          </w:p>
          <w:p w:rsidR="00A404F2" w:rsidRPr="00656E7E" w:rsidRDefault="00656E7E" w:rsidP="000D1F01">
            <w:pPr>
              <w:pStyle w:val="Lgendesigne"/>
              <w:rPr>
                <w:szCs w:val="24"/>
              </w:rPr>
            </w:pPr>
            <w:r w:rsidRPr="00656E7E">
              <w:tab/>
              <w:t>***III</w:t>
            </w:r>
            <w:r w:rsidRPr="00656E7E">
              <w:tab/>
              <w:t>Zwykła procedura ustawodawcza (trzecie czytanie)</w:t>
            </w:r>
            <w:r w:rsidRPr="00656E7E">
              <w:br/>
            </w:r>
          </w:p>
          <w:p w:rsidR="00A404F2" w:rsidRPr="00656E7E" w:rsidRDefault="00656E7E" w:rsidP="000D1F01">
            <w:pPr>
              <w:pStyle w:val="Lgendestandard"/>
              <w:rPr>
                <w:szCs w:val="24"/>
              </w:rPr>
            </w:pPr>
            <w:r w:rsidRPr="00656E7E">
              <w:t>(Wskazana procedura opiera się na podstawie prawnej zaproponowanej w projekcie aktu)</w:t>
            </w:r>
          </w:p>
          <w:p w:rsidR="00A404F2" w:rsidRPr="00656E7E" w:rsidRDefault="00A404F2" w:rsidP="000D1F01">
            <w:pPr>
              <w:pStyle w:val="Lgendestandard"/>
              <w:rPr>
                <w:szCs w:val="24"/>
              </w:rPr>
            </w:pPr>
          </w:p>
        </w:tc>
      </w:tr>
    </w:tbl>
    <w:p w:rsidR="005A7589" w:rsidRPr="00656E7E" w:rsidRDefault="005A7589" w:rsidP="00016E55">
      <w:pPr>
        <w:rPr>
          <w:lang w:val="en-GB"/>
        </w:rPr>
      </w:pPr>
    </w:p>
    <w:p w:rsidR="00363B94" w:rsidRPr="00656E7E" w:rsidRDefault="00363B94" w:rsidP="00613F2E">
      <w:pPr>
        <w:widowControl/>
        <w:tabs>
          <w:tab w:val="center" w:pos="4677"/>
        </w:tabs>
        <w:rPr>
          <w:lang w:val="en-GB"/>
        </w:rPr>
      </w:pPr>
    </w:p>
    <w:p w:rsidR="00363B94" w:rsidRPr="00656E7E" w:rsidRDefault="00656E7E">
      <w:pPr>
        <w:pStyle w:val="TOCHeading"/>
      </w:pPr>
      <w:r w:rsidRPr="00656E7E">
        <w:br w:type="page"/>
      </w:r>
      <w:r w:rsidRPr="00656E7E">
        <w:lastRenderedPageBreak/>
        <w:t>SPIS TREŚCI</w:t>
      </w:r>
    </w:p>
    <w:p w:rsidR="00363B94" w:rsidRPr="00656E7E" w:rsidRDefault="00656E7E">
      <w:pPr>
        <w:pStyle w:val="TOCPage"/>
      </w:pPr>
      <w:r w:rsidRPr="00656E7E">
        <w:t>Strona</w:t>
      </w:r>
    </w:p>
    <w:p w:rsidR="00656E7E" w:rsidRDefault="00656E7E">
      <w:pPr>
        <w:pStyle w:val="TOC1"/>
        <w:tabs>
          <w:tab w:val="right" w:leader="dot" w:pos="9060"/>
        </w:tabs>
        <w:rPr>
          <w:rFonts w:asciiTheme="minorHAnsi" w:eastAsiaTheme="minorEastAsia" w:hAnsiTheme="minorHAnsi" w:cstheme="minorBidi"/>
          <w:noProof/>
          <w:sz w:val="22"/>
          <w:szCs w:val="22"/>
          <w:lang w:eastAsia="pl-PL"/>
        </w:rPr>
      </w:pPr>
      <w:r w:rsidRPr="00656E7E">
        <w:fldChar w:fldCharType="begin"/>
      </w:r>
      <w:r w:rsidRPr="00656E7E">
        <w:instrText xml:space="preserve"> TOC \t "PageHeading</w:instrText>
      </w:r>
      <w:r w:rsidR="00110414" w:rsidRPr="00656E7E">
        <w:instrText>;</w:instrText>
      </w:r>
      <w:r w:rsidRPr="00656E7E">
        <w:instrText xml:space="preserve">1" </w:instrText>
      </w:r>
      <w:r w:rsidRPr="00656E7E">
        <w:fldChar w:fldCharType="separate"/>
      </w:r>
      <w:r>
        <w:rPr>
          <w:noProof/>
        </w:rPr>
        <w:t>PROJEKT REZOLUCJI USTAWODAWCZEJ PARLAMENTU EUROPEJSKIEGO</w:t>
      </w:r>
      <w:r>
        <w:rPr>
          <w:noProof/>
        </w:rPr>
        <w:tab/>
      </w:r>
      <w:r>
        <w:rPr>
          <w:noProof/>
        </w:rPr>
        <w:fldChar w:fldCharType="begin"/>
      </w:r>
      <w:r>
        <w:rPr>
          <w:noProof/>
        </w:rPr>
        <w:instrText xml:space="preserve"> PAGEREF _Toc160010465 \h </w:instrText>
      </w:r>
      <w:r>
        <w:rPr>
          <w:noProof/>
        </w:rPr>
      </w:r>
      <w:r>
        <w:rPr>
          <w:noProof/>
        </w:rPr>
        <w:fldChar w:fldCharType="separate"/>
      </w:r>
      <w:r>
        <w:rPr>
          <w:noProof/>
        </w:rPr>
        <w:t>5</w:t>
      </w:r>
      <w:r>
        <w:rPr>
          <w:noProof/>
        </w:rPr>
        <w:fldChar w:fldCharType="end"/>
      </w:r>
    </w:p>
    <w:p w:rsidR="00656E7E" w:rsidRDefault="00656E7E">
      <w:pPr>
        <w:pStyle w:val="TOC1"/>
        <w:tabs>
          <w:tab w:val="right" w:leader="dot" w:pos="9060"/>
        </w:tabs>
        <w:rPr>
          <w:rFonts w:asciiTheme="minorHAnsi" w:eastAsiaTheme="minorEastAsia" w:hAnsiTheme="minorHAnsi" w:cstheme="minorBidi"/>
          <w:noProof/>
          <w:sz w:val="22"/>
          <w:szCs w:val="22"/>
          <w:lang w:eastAsia="pl-PL"/>
        </w:rPr>
      </w:pPr>
      <w:r>
        <w:rPr>
          <w:noProof/>
        </w:rPr>
        <w:t>UZASADNIENIE</w:t>
      </w:r>
      <w:r>
        <w:rPr>
          <w:noProof/>
        </w:rPr>
        <w:tab/>
      </w:r>
      <w:r>
        <w:rPr>
          <w:noProof/>
        </w:rPr>
        <w:fldChar w:fldCharType="begin"/>
      </w:r>
      <w:r>
        <w:rPr>
          <w:noProof/>
        </w:rPr>
        <w:instrText xml:space="preserve"> PAGEREF _Toc160010466 \h </w:instrText>
      </w:r>
      <w:r>
        <w:rPr>
          <w:noProof/>
        </w:rPr>
      </w:r>
      <w:r>
        <w:rPr>
          <w:noProof/>
        </w:rPr>
        <w:fldChar w:fldCharType="separate"/>
      </w:r>
      <w:r>
        <w:rPr>
          <w:noProof/>
        </w:rPr>
        <w:t>6</w:t>
      </w:r>
      <w:r>
        <w:rPr>
          <w:noProof/>
        </w:rPr>
        <w:fldChar w:fldCharType="end"/>
      </w:r>
    </w:p>
    <w:p w:rsidR="004E1650" w:rsidRPr="00656E7E" w:rsidRDefault="00656E7E" w:rsidP="00F04010">
      <w:r w:rsidRPr="00656E7E">
        <w:fldChar w:fldCharType="end"/>
      </w:r>
    </w:p>
    <w:p w:rsidR="00363B94" w:rsidRPr="00656E7E" w:rsidRDefault="00656E7E" w:rsidP="0006167F">
      <w:pPr>
        <w:pStyle w:val="PageHeading"/>
      </w:pPr>
      <w:r w:rsidRPr="00656E7E">
        <w:br w:type="page"/>
      </w:r>
      <w:r w:rsidRPr="00656E7E">
        <w:lastRenderedPageBreak/>
        <w:br w:type="page"/>
      </w:r>
      <w:bookmarkStart w:id="0" w:name="_Toc160010465"/>
      <w:r w:rsidRPr="00656E7E">
        <w:lastRenderedPageBreak/>
        <w:t>PROJEKT REZOLUCJI USTAWODAWCZEJ PARLAMENTU EUROPEJSKIEGO</w:t>
      </w:r>
      <w:bookmarkEnd w:id="0"/>
    </w:p>
    <w:p w:rsidR="00363B94" w:rsidRPr="00656E7E" w:rsidRDefault="00656E7E">
      <w:pPr>
        <w:pStyle w:val="NormalBold"/>
      </w:pPr>
      <w:r w:rsidRPr="00656E7E">
        <w:t>w sprawie projektu decyzji Rady dotyczącej zawarcia, w imieniu Unii, Umowy między Unią Europejską a Konfederacją Szwajcarską w sprawie przepisów</w:t>
      </w:r>
      <w:r w:rsidRPr="00656E7E">
        <w:t xml:space="preserve"> uzupełniających dotyczących Instrumentu Wsparcia Finansowego na rzecz Zarządzania Granicami i Polityki Wizowej, w ramach Funduszu Zintegrowanego Zarządzania Granicami, na lata 2021–2027</w:t>
      </w:r>
    </w:p>
    <w:p w:rsidR="00363B94" w:rsidRPr="00656E7E" w:rsidRDefault="00656E7E">
      <w:pPr>
        <w:pStyle w:val="NormalBold12a"/>
      </w:pPr>
      <w:r w:rsidRPr="00656E7E">
        <w:t>(12122/2023 – C9</w:t>
      </w:r>
      <w:r w:rsidRPr="00656E7E">
        <w:noBreakHyphen/>
        <w:t>0461/2023 – 2023/0229(NLE))</w:t>
      </w:r>
    </w:p>
    <w:p w:rsidR="00363B94" w:rsidRPr="00656E7E" w:rsidRDefault="00656E7E" w:rsidP="00893FBD">
      <w:pPr>
        <w:pStyle w:val="NormalBold"/>
      </w:pPr>
      <w:r w:rsidRPr="00656E7E">
        <w:t>(Zgoda)</w:t>
      </w:r>
    </w:p>
    <w:p w:rsidR="00363B94" w:rsidRPr="00656E7E" w:rsidRDefault="00656E7E">
      <w:pPr>
        <w:pStyle w:val="EPComma"/>
      </w:pPr>
      <w:r w:rsidRPr="00656E7E">
        <w:rPr>
          <w:i/>
          <w:iCs/>
        </w:rPr>
        <w:t>Parlament Europejski,</w:t>
      </w:r>
    </w:p>
    <w:p w:rsidR="00BF7F55" w:rsidRPr="00656E7E" w:rsidRDefault="00656E7E" w:rsidP="00BF7F55">
      <w:pPr>
        <w:pStyle w:val="NormalHanging12a"/>
      </w:pPr>
      <w:r w:rsidRPr="00656E7E">
        <w:t>–</w:t>
      </w:r>
      <w:r w:rsidRPr="00656E7E">
        <w:tab/>
        <w:t>uwzględniając projekt decyzji Rady (12122/2023),</w:t>
      </w:r>
    </w:p>
    <w:p w:rsidR="00363B94" w:rsidRPr="00656E7E" w:rsidRDefault="00656E7E">
      <w:pPr>
        <w:pStyle w:val="NormalHanging12a"/>
      </w:pPr>
      <w:r w:rsidRPr="00656E7E">
        <w:t>–</w:t>
      </w:r>
      <w:r w:rsidRPr="00656E7E">
        <w:tab/>
      </w:r>
      <w:r w:rsidRPr="00656E7E">
        <w:t>uwzględniając projekt umowy między Unią Europejską a Konfederacją Szwajcarską w sprawie przepisów dodatkowych dotyczących instrumentu wsparcia finansowego w zakresie granic zewnętrznych i wiz, w ramach Funduszu Bezpieczeństwa Wewnętrznego na lata 2021–2027</w:t>
      </w:r>
      <w:r w:rsidRPr="00656E7E">
        <w:t xml:space="preserve"> (12120/2023),</w:t>
      </w:r>
    </w:p>
    <w:p w:rsidR="00363B94" w:rsidRPr="00656E7E" w:rsidRDefault="00656E7E">
      <w:pPr>
        <w:pStyle w:val="NormalHanging12a"/>
      </w:pPr>
      <w:r w:rsidRPr="00656E7E">
        <w:t>–</w:t>
      </w:r>
      <w:r w:rsidRPr="00656E7E">
        <w:tab/>
        <w:t>uwzględniając wniosek o wyrażenie zgody przedstawiony przez Radę na mocy art. 77 ust. 2, art. 218 ust. 6 akapit drugi lit. a) i art. 218 ust. 7 Traktatu o funkcjonowaniu Unii Europejskiej (C9</w:t>
      </w:r>
      <w:r w:rsidRPr="00656E7E">
        <w:noBreakHyphen/>
        <w:t xml:space="preserve">0461/2023), </w:t>
      </w:r>
    </w:p>
    <w:p w:rsidR="00363B94" w:rsidRPr="00656E7E" w:rsidRDefault="00656E7E">
      <w:pPr>
        <w:pStyle w:val="NormalHanging12a"/>
      </w:pPr>
      <w:r w:rsidRPr="00656E7E">
        <w:t>–</w:t>
      </w:r>
      <w:r w:rsidRPr="00656E7E">
        <w:tab/>
        <w:t xml:space="preserve">uwzględniając art. 105 ust. 1 i </w:t>
      </w:r>
      <w:r w:rsidRPr="00656E7E">
        <w:t>4 oraz art. 114 ust. 7 Regulaminu,</w:t>
      </w:r>
    </w:p>
    <w:p w:rsidR="00363B94" w:rsidRPr="00656E7E" w:rsidRDefault="00656E7E">
      <w:pPr>
        <w:pStyle w:val="NormalHanging12a"/>
      </w:pPr>
      <w:r w:rsidRPr="00656E7E">
        <w:t>–</w:t>
      </w:r>
      <w:r w:rsidRPr="00656E7E">
        <w:tab/>
        <w:t>uwzględniając zalecenie Komisji Wolności Obywatelskich, Sprawiedliwości i Spraw Wewnętrznych (A9</w:t>
      </w:r>
      <w:r w:rsidRPr="00656E7E">
        <w:noBreakHyphen/>
        <w:t>0000/2024),</w:t>
      </w:r>
    </w:p>
    <w:p w:rsidR="00363B94" w:rsidRPr="00656E7E" w:rsidRDefault="00656E7E">
      <w:pPr>
        <w:pStyle w:val="NormalHanging12a"/>
      </w:pPr>
      <w:r w:rsidRPr="00656E7E">
        <w:t>1.</w:t>
      </w:r>
      <w:r w:rsidRPr="00656E7E">
        <w:tab/>
        <w:t>wyraża zgodę na zawarcie umowy;</w:t>
      </w:r>
    </w:p>
    <w:p w:rsidR="001D02E3" w:rsidRPr="00656E7E" w:rsidRDefault="00656E7E">
      <w:pPr>
        <w:pStyle w:val="NormalHanging12a"/>
      </w:pPr>
      <w:r w:rsidRPr="00656E7E">
        <w:t>2.</w:t>
      </w:r>
      <w:r w:rsidRPr="00656E7E">
        <w:tab/>
        <w:t>zobowiązuje swojego przewodniczącego do przekazania stanowiska Parlament</w:t>
      </w:r>
      <w:r w:rsidRPr="00656E7E">
        <w:t>u Radzie i Komisji, jak również rządom i parlamentom państw członkowskich oraz Konfederacji Szwajcarskiej.</w:t>
      </w:r>
    </w:p>
    <w:p w:rsidR="006950BA" w:rsidRPr="00656E7E" w:rsidRDefault="006950BA" w:rsidP="00822206">
      <w:pPr>
        <w:rPr>
          <w:lang w:val="en-GB"/>
        </w:rPr>
        <w:sectPr w:rsidR="006950BA" w:rsidRPr="00656E7E" w:rsidSect="000D7A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656E7E" w:rsidRDefault="00656E7E" w:rsidP="006950BA">
      <w:pPr>
        <w:pStyle w:val="PageHeading"/>
      </w:pPr>
      <w:bookmarkStart w:id="1" w:name="_Toc160010466"/>
      <w:r w:rsidRPr="00656E7E">
        <w:lastRenderedPageBreak/>
        <w:t>UZASADNIENIE</w:t>
      </w:r>
      <w:bookmarkEnd w:id="1"/>
    </w:p>
    <w:p w:rsidR="006950BA" w:rsidRPr="00656E7E" w:rsidRDefault="00656E7E" w:rsidP="00880431">
      <w:pPr>
        <w:jc w:val="both"/>
        <w:rPr>
          <w:sz w:val="22"/>
          <w:szCs w:val="22"/>
        </w:rPr>
      </w:pPr>
      <w:r w:rsidRPr="00656E7E">
        <w:rPr>
          <w:b/>
        </w:rPr>
        <w:t>a) Kontekst</w:t>
      </w:r>
      <w:r w:rsidRPr="00656E7E">
        <w:rPr>
          <w:sz w:val="22"/>
        </w:rPr>
        <w:t xml:space="preserve"> </w:t>
      </w:r>
    </w:p>
    <w:p w:rsidR="006950BA" w:rsidRPr="00656E7E" w:rsidRDefault="006950BA" w:rsidP="00880431">
      <w:pPr>
        <w:jc w:val="both"/>
        <w:rPr>
          <w:sz w:val="22"/>
          <w:szCs w:val="22"/>
          <w:lang w:val="en-GB"/>
        </w:rPr>
      </w:pPr>
    </w:p>
    <w:p w:rsidR="006950BA" w:rsidRPr="00656E7E" w:rsidRDefault="006950BA" w:rsidP="00880431">
      <w:pPr>
        <w:jc w:val="both"/>
        <w:rPr>
          <w:lang w:val="en-GB"/>
        </w:rPr>
      </w:pPr>
    </w:p>
    <w:p w:rsidR="006950BA" w:rsidRPr="00656E7E" w:rsidRDefault="00656E7E" w:rsidP="00880431">
      <w:pPr>
        <w:jc w:val="both"/>
        <w:rPr>
          <w:noProof/>
        </w:rPr>
      </w:pPr>
      <w:r w:rsidRPr="00656E7E">
        <w:t>7 lipca 2021 r. przyjęto rozporządzenie Parlamentu Europejskiego i Rady (UE) 2021/1148 ustanawiające Instrument Wsparcia Finansowego na rzecz Zarządzania Granicami i Polityki Wizowej na lata 2021–2027 (zwane dalej „rozporządzeniem w sprawie IZGW”).</w:t>
      </w:r>
    </w:p>
    <w:p w:rsidR="006950BA" w:rsidRPr="00656E7E" w:rsidRDefault="006950BA" w:rsidP="00880431">
      <w:pPr>
        <w:jc w:val="both"/>
        <w:rPr>
          <w:noProof/>
          <w:lang w:val="en-GB"/>
        </w:rPr>
      </w:pPr>
    </w:p>
    <w:p w:rsidR="006950BA" w:rsidRPr="00656E7E" w:rsidRDefault="00656E7E" w:rsidP="00880431">
      <w:pPr>
        <w:jc w:val="both"/>
        <w:rPr>
          <w:noProof/>
        </w:rPr>
      </w:pPr>
      <w:r w:rsidRPr="00656E7E">
        <w:t xml:space="preserve">Celem </w:t>
      </w:r>
      <w:r w:rsidRPr="00656E7E">
        <w:t xml:space="preserve">rozporządzenia w sprawie IZGW jest wyrażanie solidarności przez udzielanie pomocy finansowej tym państwom (członkowskim), które stosują przepisy dorobku Schengen dotyczące granic zewnętrznych. Stanowi ono rozwinięcie dorobku Schengen, w którym uczestniczą </w:t>
      </w:r>
      <w:r w:rsidRPr="00656E7E">
        <w:t>państwa włączone we wprowadzanie w życie, stosowanie i dalszy rozwój dorobku Schengen („państwa stowarzyszone w ramach Schengen” lub „państwa stowarzyszone”).</w:t>
      </w:r>
    </w:p>
    <w:p w:rsidR="006950BA" w:rsidRPr="00656E7E" w:rsidRDefault="006950BA" w:rsidP="00880431">
      <w:pPr>
        <w:jc w:val="both"/>
        <w:rPr>
          <w:noProof/>
          <w:lang w:val="en-GB"/>
        </w:rPr>
      </w:pPr>
    </w:p>
    <w:p w:rsidR="006950BA" w:rsidRPr="00656E7E" w:rsidRDefault="00656E7E" w:rsidP="00880431">
      <w:pPr>
        <w:jc w:val="both"/>
        <w:rPr>
          <w:noProof/>
        </w:rPr>
      </w:pPr>
      <w:r w:rsidRPr="00656E7E">
        <w:t>11 sierpnia 2021 r. Konfederacja Szwajcarska powiadomiła o swojej decyzji, by przyjąć treść rozp</w:t>
      </w:r>
      <w:r w:rsidRPr="00656E7E">
        <w:t>orządzenia w sprawie IZGW i wprowadzić je do swojego krajowego porządku prawnego. Komisja przedstawiła wniosek dotyczący decyzji Rady w sprawie podpisania umowy między UE a Konfederacją Szwajcarską w sprawie przepisów uzupełniających dotyczących Instrument</w:t>
      </w:r>
      <w:r w:rsidRPr="00656E7E">
        <w:t xml:space="preserve">u Wsparcia Finansowego na rzecz Zarządzania Granicami i Polityki Wizowej przed otrzymaniem od Szwajcarii powiadomienia o spełnieniu wymogów konstytucyjnych tego państwa w celu uniknięcia skrócenia czasu faktycznego stosowania rozporządzenia w sprawie IZGW </w:t>
      </w:r>
      <w:r w:rsidRPr="00656E7E">
        <w:t>w Szwajcarii. Zgodnie z motywem 75 rozporządzenia w sprawie IZGW zawarcie takich ustaleń powinno mieć miejsce po pisemnym poinformowaniu przez dane państwo o spełnieniu wszystkich jego wymogów wewnętrznych.</w:t>
      </w:r>
    </w:p>
    <w:p w:rsidR="006950BA" w:rsidRPr="00656E7E" w:rsidRDefault="006950BA" w:rsidP="00880431">
      <w:pPr>
        <w:jc w:val="both"/>
        <w:rPr>
          <w:noProof/>
          <w:lang w:val="en-GB"/>
        </w:rPr>
      </w:pPr>
    </w:p>
    <w:p w:rsidR="006950BA" w:rsidRPr="00656E7E" w:rsidRDefault="00656E7E" w:rsidP="00880431">
      <w:pPr>
        <w:jc w:val="both"/>
        <w:rPr>
          <w:noProof/>
        </w:rPr>
      </w:pPr>
      <w:r w:rsidRPr="00656E7E">
        <w:t>Art. 7 ust. 6 rozporządzenia w sprawie IZGW stan</w:t>
      </w:r>
      <w:r w:rsidRPr="00656E7E">
        <w:t>owi, że zgodnie z odpowiednimi postanowieniami stosownych układów o stowarzyszeniu dokonuje się „ustaleń” w celu określenia charakteru i zasad udziału w Instrumencie państw stowarzyszonych w zakresie wprowadzania w życie, stosowania i rozwoju dorobku Schen</w:t>
      </w:r>
      <w:r w:rsidRPr="00656E7E">
        <w:t xml:space="preserve">gen. Ustalenia te przyjmują formę umów zawieranych przez Unię z państwami stowarzyszonymi w ramach Schengen zgodnie z art. 216 TFUE. </w:t>
      </w:r>
    </w:p>
    <w:p w:rsidR="006950BA" w:rsidRPr="00656E7E" w:rsidRDefault="006950BA" w:rsidP="00880431">
      <w:pPr>
        <w:jc w:val="both"/>
        <w:rPr>
          <w:lang w:val="en-GB"/>
        </w:rPr>
      </w:pPr>
    </w:p>
    <w:p w:rsidR="006950BA" w:rsidRPr="00656E7E" w:rsidRDefault="00656E7E" w:rsidP="00880431">
      <w:pPr>
        <w:jc w:val="both"/>
      </w:pPr>
      <w:r w:rsidRPr="00656E7E">
        <w:t>21 lutego 2022 r. Rada upoważniła Komisję do podjęcia negocjacji</w:t>
      </w:r>
      <w:r w:rsidRPr="00656E7E">
        <w:rPr>
          <w:rStyle w:val="FootnoteReference"/>
          <w:b w:val="0"/>
        </w:rPr>
        <w:footnoteReference w:id="1"/>
      </w:r>
      <w:r w:rsidRPr="00656E7E">
        <w:t xml:space="preserve"> z Islandią, Królestwem Norwegii, Konfederacją Szwajcars</w:t>
      </w:r>
      <w:r w:rsidRPr="00656E7E">
        <w:t xml:space="preserve">ką i Księstwem Liechtensteinu w sprawie ustaleń dotyczących wkładów </w:t>
      </w:r>
      <w:bookmarkStart w:id="2" w:name="_Hlk132892775"/>
      <w:r w:rsidRPr="00656E7E">
        <w:t>finansowych tych państw oraz przepisów uzupełniających niezbędnych, aby państwa te mogły uczestniczyć</w:t>
      </w:r>
      <w:bookmarkEnd w:id="2"/>
      <w:r w:rsidRPr="00656E7E">
        <w:t xml:space="preserve"> w Instrumencie Wsparcia Finansowego na rzecz Zarządzania Granicami i Polityki Wizowej </w:t>
      </w:r>
      <w:r w:rsidRPr="00656E7E">
        <w:t xml:space="preserve">na lata 2021–2027, w tym przepisów zapewniających ochronę interesów finansowych Unii oraz uprawnień kontrolnych Trybunału Obrachunkowego, które to ustalenia mają zostać dokonane na podstawie rozporządzenia </w:t>
      </w:r>
      <w:r w:rsidRPr="00656E7E">
        <w:lastRenderedPageBreak/>
        <w:t>Parlamentu Europejskiego i Rady (UE) 2021/1148</w:t>
      </w:r>
      <w:r w:rsidRPr="00656E7E">
        <w:rPr>
          <w:rStyle w:val="FootnoteReference"/>
          <w:b w:val="0"/>
        </w:rPr>
        <w:footnoteReference w:id="2"/>
      </w:r>
      <w:r w:rsidRPr="00656E7E">
        <w:t>. N</w:t>
      </w:r>
      <w:r w:rsidRPr="00656E7E">
        <w:t>egocjacje z Konfederacją Szwajcarską zostały pomyślnie zakończone parafowaniem Umowy 14 lutego 2023 r.</w:t>
      </w:r>
    </w:p>
    <w:p w:rsidR="006950BA" w:rsidRPr="00656E7E" w:rsidRDefault="006950BA" w:rsidP="00880431">
      <w:pPr>
        <w:jc w:val="both"/>
        <w:rPr>
          <w:lang w:val="en-GB"/>
        </w:rPr>
      </w:pPr>
    </w:p>
    <w:p w:rsidR="006950BA" w:rsidRPr="00656E7E" w:rsidRDefault="00656E7E" w:rsidP="00880431">
      <w:pPr>
        <w:jc w:val="both"/>
      </w:pPr>
      <w:r w:rsidRPr="00656E7E">
        <w:t>10 lipca 2023 r. Komisja przedstawiła Radzie wniosek dotyczący decyzji Rady dotyczącej zawarcia, w imieniu Unii Europejskiej, umowy między Unią Europejs</w:t>
      </w:r>
      <w:r w:rsidRPr="00656E7E">
        <w:t>ką a Konfederacją Szwajcarską w sprawie przepisów uzupełniających dotyczących Instrumentu Wsparcia Finansowego na rzecz Zarządzania Granicami i Polityki Wizowej, w ramach Funduszu Zintegrowanego Zarządzania Granicami</w:t>
      </w:r>
    </w:p>
    <w:p w:rsidR="006950BA" w:rsidRPr="00656E7E" w:rsidRDefault="006950BA" w:rsidP="00880431">
      <w:pPr>
        <w:jc w:val="both"/>
        <w:rPr>
          <w:lang w:val="en-GB"/>
        </w:rPr>
      </w:pPr>
    </w:p>
    <w:p w:rsidR="006950BA" w:rsidRPr="00656E7E" w:rsidRDefault="00656E7E" w:rsidP="00880431">
      <w:pPr>
        <w:jc w:val="both"/>
      </w:pPr>
      <w:r w:rsidRPr="00656E7E">
        <w:t>28 września 2023 r. Rada przyjęła decy</w:t>
      </w:r>
      <w:r w:rsidRPr="00656E7E">
        <w:t>zję dotyczącą zawarcia, w imieniu Unii, Umowy między Unią Europejską a Konfederacją Szwajcarską w sprawie przepisów uzupełniających dotyczących Instrumentu Wsparcia Finansowego na rzecz Zarządzania Granicami i Polityki Wizowej, w ramach Funduszu Zintegrowa</w:t>
      </w:r>
      <w:r w:rsidRPr="00656E7E">
        <w:t>nego Zarządzania Granicami, na lata 2021–2027. Umowę podpisano w Brukseli 28 listopada 2023 r.</w:t>
      </w:r>
    </w:p>
    <w:p w:rsidR="006950BA" w:rsidRPr="00656E7E" w:rsidRDefault="006950BA" w:rsidP="00880431">
      <w:pPr>
        <w:jc w:val="both"/>
        <w:rPr>
          <w:lang w:val="en-GB"/>
        </w:rPr>
      </w:pPr>
    </w:p>
    <w:p w:rsidR="006950BA" w:rsidRPr="00656E7E" w:rsidRDefault="00656E7E" w:rsidP="00880431">
      <w:pPr>
        <w:jc w:val="both"/>
      </w:pPr>
      <w:r w:rsidRPr="00656E7E">
        <w:t>7 grudnia 2023 r. Rada zwróciła się do Parlamentu Europejskiego o wyrażenie zgody na przyjęcie projektu decyzji Rady w sprawie zawarcia wyżej wspomnianej umowy.</w:t>
      </w:r>
    </w:p>
    <w:p w:rsidR="006950BA" w:rsidRPr="00656E7E" w:rsidRDefault="006950BA" w:rsidP="00880431">
      <w:pPr>
        <w:jc w:val="both"/>
        <w:rPr>
          <w:sz w:val="22"/>
          <w:szCs w:val="22"/>
          <w:lang w:val="en-GB"/>
        </w:rPr>
      </w:pPr>
    </w:p>
    <w:p w:rsidR="006950BA" w:rsidRPr="00656E7E" w:rsidRDefault="006950BA" w:rsidP="00880431">
      <w:pPr>
        <w:jc w:val="both"/>
        <w:rPr>
          <w:sz w:val="22"/>
          <w:szCs w:val="22"/>
          <w:lang w:val="en-GB"/>
        </w:rPr>
      </w:pPr>
    </w:p>
    <w:p w:rsidR="006950BA" w:rsidRPr="00656E7E" w:rsidRDefault="00656E7E" w:rsidP="00880431">
      <w:pPr>
        <w:jc w:val="both"/>
      </w:pPr>
      <w:r w:rsidRPr="00656E7E">
        <w:rPr>
          <w:b/>
        </w:rPr>
        <w:t>b) Stanowisko sprawozdawczyni</w:t>
      </w:r>
    </w:p>
    <w:p w:rsidR="006950BA" w:rsidRPr="00656E7E" w:rsidRDefault="006950BA" w:rsidP="00880431">
      <w:pPr>
        <w:jc w:val="both"/>
        <w:rPr>
          <w:lang w:val="en-GB"/>
        </w:rPr>
      </w:pPr>
    </w:p>
    <w:p w:rsidR="006950BA" w:rsidRPr="00656E7E" w:rsidRDefault="00656E7E" w:rsidP="00880431">
      <w:pPr>
        <w:jc w:val="both"/>
      </w:pPr>
      <w:r w:rsidRPr="00656E7E">
        <w:t>Instrument Wsparcia Finansowego na rzecz Zarządzania Granicami i Polityki Wizowej, w ramach Funduszu Zintegrowanego Zarządzania Granicami, stanowi szczególny instrument w kontekście dorobku Schengen mający zapewnić, aby eu</w:t>
      </w:r>
      <w:r w:rsidRPr="00656E7E">
        <w:t>ropejskie zintegrowane zarządzanie granicami zewnętrznymi było silne i skuteczne, a przy tym gwarantowało swobodny przepływ osób, w pełnej zgodności z zobowiązaniami państw członkowskich i państw stowarzyszonych w zakresie praw podstawowych, a także mający</w:t>
      </w:r>
      <w:r w:rsidRPr="00656E7E">
        <w:t xml:space="preserve"> wspierać jednolite wdrażanie i modernizację wspólnej polityki wizowej, czym przyczyni się do zapewnienia wysokiego poziomu bezpieczeństwa w państwach członkowskich i państwach stowarzyszonych.</w:t>
      </w:r>
    </w:p>
    <w:p w:rsidR="006950BA" w:rsidRPr="00656E7E" w:rsidRDefault="006950BA" w:rsidP="00880431">
      <w:pPr>
        <w:jc w:val="both"/>
        <w:rPr>
          <w:lang w:val="en-GB"/>
        </w:rPr>
      </w:pPr>
    </w:p>
    <w:p w:rsidR="006950BA" w:rsidRPr="00656E7E" w:rsidRDefault="00656E7E" w:rsidP="00880431">
      <w:pPr>
        <w:jc w:val="both"/>
      </w:pPr>
      <w:r w:rsidRPr="00656E7E">
        <w:t>Sprawozdawczyni zgadza się, że IZGW umożliwia realizację dzia</w:t>
      </w:r>
      <w:r w:rsidRPr="00656E7E">
        <w:t>łań w trybach zarządzania dzielonego, bezpośredniego i pośredniego, a niniejsza umowa powinna umożliwić realizację działań w Szwajcarii w którymkolwiek z tych trybów zgodnie z zasadami i przepisami Unii dotyczącymi zarządzania finansami i kontroli finansow</w:t>
      </w:r>
      <w:r w:rsidRPr="00656E7E">
        <w:t>ej.</w:t>
      </w:r>
    </w:p>
    <w:p w:rsidR="006950BA" w:rsidRPr="00656E7E" w:rsidRDefault="006950BA" w:rsidP="00880431">
      <w:pPr>
        <w:jc w:val="both"/>
        <w:rPr>
          <w:lang w:val="en-GB"/>
        </w:rPr>
      </w:pPr>
    </w:p>
    <w:p w:rsidR="006950BA" w:rsidRPr="00656E7E" w:rsidRDefault="00656E7E" w:rsidP="00880431">
      <w:pPr>
        <w:jc w:val="both"/>
      </w:pPr>
      <w:r w:rsidRPr="00656E7E">
        <w:t>Sprawozdawczyni uważa również, że z uwagi na szczególny charakter dorobku Schengen i znaczenie jego jednolitego stosowania dla integralności strefy Schengen wszystkie przepisy mające zastosowanie do zarządzania programami powinny być stosowane w przyp</w:t>
      </w:r>
      <w:r w:rsidRPr="00656E7E">
        <w:t>adku Szwajcarii w taki sam sposób jak w przypadku państw członkowskich.</w:t>
      </w:r>
    </w:p>
    <w:p w:rsidR="006950BA" w:rsidRPr="00656E7E" w:rsidRDefault="006950BA" w:rsidP="00880431">
      <w:pPr>
        <w:jc w:val="both"/>
        <w:rPr>
          <w:lang w:val="en-GB"/>
        </w:rPr>
      </w:pPr>
    </w:p>
    <w:p w:rsidR="006950BA" w:rsidRPr="00656E7E" w:rsidRDefault="00656E7E" w:rsidP="00880431">
      <w:pPr>
        <w:jc w:val="both"/>
      </w:pPr>
      <w:r w:rsidRPr="00656E7E">
        <w:t>Sprawozdawczyni uważa, że zawieranie formalnych, prawnie wiążących porozumień w ramach współpracy z państwami trzecimi, w przeciwieństwie do innego rodzaju uzgodnień, ma zasadnicze znaczenie dla zapewnienia przejrzystości, publicznej kontroli i demokratycz</w:t>
      </w:r>
      <w:r w:rsidRPr="00656E7E">
        <w:t>nego nadzoru. Jest to szczególnie ważne w odniesieniu do wykorzystania budżetu UE.</w:t>
      </w:r>
    </w:p>
    <w:p w:rsidR="006950BA" w:rsidRPr="00656E7E" w:rsidRDefault="006950BA" w:rsidP="006950BA">
      <w:pPr>
        <w:rPr>
          <w:lang w:val="en-GB"/>
        </w:rPr>
      </w:pPr>
    </w:p>
    <w:p w:rsidR="006950BA" w:rsidRPr="00656E7E" w:rsidRDefault="00656E7E" w:rsidP="00880431">
      <w:pPr>
        <w:jc w:val="both"/>
      </w:pPr>
      <w:r w:rsidRPr="00656E7E">
        <w:t>Należy także przestrzegać innych przepisów szczegółowych. Na mocy umów o uczestnictwie w dorobku prawnym Schengen Szwajcaria musi przyjąć w pełni środki unijne, w tym rozpo</w:t>
      </w:r>
      <w:r w:rsidRPr="00656E7E">
        <w:t>rządzenie w sprawie IZGW mające na celu rozwój dorobku Schengen i opierające się na nim. Musi ona również podjąć niezbędne środki, aby zapewnić przestrzeganie przepisów istotnych dla zarządzania finansami i kontroli finansowej, określonych w TFUE i w prawi</w:t>
      </w:r>
      <w:r w:rsidRPr="00656E7E">
        <w:t>e Unii, którego podstawa prawna wywodzi się z TFUE.</w:t>
      </w:r>
      <w:r w:rsidRPr="00656E7E">
        <w:br/>
        <w:t xml:space="preserve">W umowach tych wprowadza się szczególne mechanizmy szybkiego ich dostosowywania do umowy ze Szwajcarią w przypadku zmian kluczowych przepisów Unii mających znaczenie dla wykonania tychże umów, takich jak </w:t>
      </w:r>
      <w:r w:rsidRPr="00656E7E">
        <w:t>przepisy rozporządzenia finansowego i rozporządzenia w sprawie wspólnych przepisów. Umowa zapewnia także uwzględnienie w przeglądzie śródokresowym IZGW opóźnionego udziału w tym instrumencie państw stowarzyszonych w ramach Schengen.</w:t>
      </w:r>
    </w:p>
    <w:p w:rsidR="006950BA" w:rsidRPr="00656E7E" w:rsidRDefault="006950BA" w:rsidP="00880431">
      <w:pPr>
        <w:jc w:val="both"/>
        <w:rPr>
          <w:lang w:val="en-GB"/>
        </w:rPr>
      </w:pPr>
    </w:p>
    <w:p w:rsidR="006950BA" w:rsidRPr="00656E7E" w:rsidRDefault="00656E7E" w:rsidP="00880431">
      <w:pPr>
        <w:jc w:val="both"/>
      </w:pPr>
      <w:r w:rsidRPr="00656E7E">
        <w:t>Ponadto w kwestii nadz</w:t>
      </w:r>
      <w:r w:rsidRPr="00656E7E">
        <w:t>oru budżetowego i kontroli finansowej państwa członkowskie podlegają zobowiązaniom horyzontalnym (np. kompetencje Trybunału Obrachunkowego, Europejskiego Urzędu ds. Zwalczania Nadużyć Finansowych (OLAF) i Prokuratury Europejskiej i Komisji) wynikającym bez</w:t>
      </w:r>
      <w:r w:rsidRPr="00656E7E">
        <w:t>pośrednio z Traktatu lub prawodawstwa wtórnego Unii, w tym z rozporządzenia w sprawie wspólnych przepisów, jak wspomniano powyżej. Zobowiązania te mają zastosowanie do państw członkowskich ipso facto, a zatem nie są one ustanowione w rozporządzeniu IZGW. W</w:t>
      </w:r>
      <w:r w:rsidRPr="00656E7E">
        <w:t> związku z tym zobowiązania te należy rozszerzyć na Szwajcarię w drodze umowy, której dotyczy niniejszy wniosek.</w:t>
      </w:r>
    </w:p>
    <w:p w:rsidR="006950BA" w:rsidRPr="00656E7E" w:rsidRDefault="00656E7E" w:rsidP="00880431">
      <w:pPr>
        <w:jc w:val="both"/>
      </w:pPr>
      <w:r w:rsidRPr="00656E7E">
        <w:br/>
        <w:t>I wreszcie umowa ta zawiera również przepis dotyczący europejskiego systemu informacji o podróży oraz zezwoleń na podróż (ETIAS). </w:t>
      </w:r>
    </w:p>
    <w:p w:rsidR="006950BA" w:rsidRPr="00656E7E" w:rsidRDefault="006950BA" w:rsidP="00880431">
      <w:pPr>
        <w:jc w:val="both"/>
        <w:rPr>
          <w:rFonts w:ascii="Arial" w:hAnsi="Arial" w:cs="Arial"/>
          <w:spacing w:val="4"/>
          <w:sz w:val="21"/>
          <w:szCs w:val="21"/>
          <w:shd w:val="clear" w:color="auto" w:fill="FFFFFF"/>
          <w:lang w:val="en-GB"/>
        </w:rPr>
      </w:pPr>
    </w:p>
    <w:p w:rsidR="006950BA" w:rsidRPr="00656E7E" w:rsidRDefault="00656E7E" w:rsidP="00880431">
      <w:pPr>
        <w:jc w:val="both"/>
      </w:pPr>
      <w:r w:rsidRPr="00656E7E">
        <w:t>Podsumowuj</w:t>
      </w:r>
      <w:r w:rsidRPr="00656E7E">
        <w:t>ąc, sprawozdawczyni uważa, że należy zawrzeć umowę ustanawiającą przepisy dodatkowe niezbędne do udziału Konfederacji Szwajcarskiej w Instrumencie Wsparcia Finansowego na rzecz Zarządzania Granicami i Polityki Wizowej („IZGW”) w ramach Funduszu Zintegrowan</w:t>
      </w:r>
      <w:r w:rsidRPr="00656E7E">
        <w:t>ego Zarządzania Granicami w okresie programowania 2021–2027 zgodnie z art. 7 ust. 6 rozporządzenia (UE) 2021/1148 („rozporządzenie w sprawie IZGW”).</w:t>
      </w:r>
    </w:p>
    <w:p w:rsidR="006950BA" w:rsidRPr="00656E7E" w:rsidRDefault="006950BA" w:rsidP="00880431">
      <w:pPr>
        <w:jc w:val="both"/>
        <w:rPr>
          <w:lang w:val="en-GB"/>
        </w:rPr>
      </w:pPr>
    </w:p>
    <w:p w:rsidR="006950BA" w:rsidRPr="00656E7E" w:rsidRDefault="00656E7E" w:rsidP="00880431">
      <w:pPr>
        <w:jc w:val="both"/>
      </w:pPr>
      <w:r w:rsidRPr="00656E7E">
        <w:t>W związku z powyższym sprawozdawczyni zaleca, by Parlament Europejski wydał zgodę na przyjęcie projektu de</w:t>
      </w:r>
      <w:r w:rsidRPr="00656E7E">
        <w:t>cyzji Rady</w:t>
      </w:r>
      <w:bookmarkStart w:id="4" w:name="AM0"/>
      <w:bookmarkEnd w:id="4"/>
      <w:r w:rsidRPr="00656E7E">
        <w:t xml:space="preserve"> i zobowiązał przewodniczącą Parlamentu do przekazania jego stanowisko Radzie, Komisji oraz rządom i parlamentom państw członkowskich.</w:t>
      </w:r>
    </w:p>
    <w:p w:rsidR="006950BA" w:rsidRPr="00656E7E" w:rsidRDefault="006950BA" w:rsidP="00880431">
      <w:pPr>
        <w:jc w:val="both"/>
        <w:rPr>
          <w:sz w:val="22"/>
          <w:szCs w:val="22"/>
          <w:lang w:val="en-GB"/>
        </w:rPr>
      </w:pPr>
    </w:p>
    <w:p w:rsidR="006950BA" w:rsidRPr="00656E7E" w:rsidRDefault="006950BA" w:rsidP="00880431">
      <w:pPr>
        <w:jc w:val="both"/>
        <w:rPr>
          <w:lang w:val="en-GB"/>
        </w:rPr>
      </w:pPr>
    </w:p>
    <w:p w:rsidR="006950BA" w:rsidRPr="00656E7E" w:rsidRDefault="006950BA" w:rsidP="00880431">
      <w:pPr>
        <w:jc w:val="both"/>
        <w:rPr>
          <w:lang w:val="en-GB"/>
        </w:rPr>
      </w:pPr>
    </w:p>
    <w:sectPr w:rsidR="006950BA" w:rsidRPr="00656E7E" w:rsidSect="006950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56E7E">
      <w:r>
        <w:separator/>
      </w:r>
    </w:p>
  </w:endnote>
  <w:endnote w:type="continuationSeparator" w:id="0">
    <w:p w:rsidR="00000000" w:rsidRDefault="00656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A1C" w:rsidRPr="00E54261" w:rsidRDefault="00656E7E" w:rsidP="000D7A1C">
    <w:pPr>
      <w:pStyle w:val="EPFooter"/>
    </w:pPr>
    <w:r w:rsidRPr="00E54261">
      <w:t>PE</w:t>
    </w:r>
    <w:r w:rsidRPr="00E54261">
      <w:rPr>
        <w:rStyle w:val="HideTWBExt"/>
      </w:rPr>
      <w:t>&lt;NoPE&gt;</w:t>
    </w:r>
    <w:r w:rsidRPr="00E54261">
      <w:t>758.913</w:t>
    </w:r>
    <w:r w:rsidRPr="00E54261">
      <w:rPr>
        <w:rStyle w:val="HideTWBExt"/>
      </w:rPr>
      <w:t>&lt;/NoPE&gt;&lt;Version&gt;</w:t>
    </w:r>
    <w:r w:rsidRPr="00E54261">
      <w:t>v01-00</w:t>
    </w:r>
    <w:r w:rsidRPr="00E54261">
      <w:rPr>
        <w:rStyle w:val="HideTWBExt"/>
      </w:rPr>
      <w:t>&lt;/Version&gt;</w:t>
    </w:r>
    <w:r w:rsidRPr="00E54261">
      <w:tab/>
    </w:r>
    <w:r w:rsidRPr="00E54261">
      <w:fldChar w:fldCharType="begin"/>
    </w:r>
    <w:r w:rsidRPr="00E54261">
      <w:instrText xml:space="preserve"> PAGE  \* MERGEFORMAT </w:instrText>
    </w:r>
    <w:r w:rsidRPr="00E54261">
      <w:fldChar w:fldCharType="separate"/>
    </w:r>
    <w:r>
      <w:rPr>
        <w:noProof/>
      </w:rPr>
      <w:t>8</w:t>
    </w:r>
    <w:r w:rsidRPr="00E54261">
      <w:fldChar w:fldCharType="end"/>
    </w:r>
    <w:r w:rsidRPr="00E54261">
      <w:t>/</w:t>
    </w:r>
    <w:r w:rsidR="00A404F2">
      <w:fldChar w:fldCharType="begin"/>
    </w:r>
    <w:r>
      <w:instrText xml:space="preserve"> N</w:instrText>
    </w:r>
    <w:r>
      <w:instrText xml:space="preserve">UMPAGES  \* MERGEFORMAT </w:instrText>
    </w:r>
    <w:r w:rsidR="00A404F2">
      <w:fldChar w:fldCharType="separate"/>
    </w:r>
    <w:r>
      <w:rPr>
        <w:noProof/>
      </w:rPr>
      <w:t>8</w:t>
    </w:r>
    <w:r w:rsidR="00A404F2">
      <w:rPr>
        <w:noProof/>
      </w:rPr>
      <w:fldChar w:fldCharType="end"/>
    </w:r>
    <w:r w:rsidRPr="00E54261">
      <w:tab/>
    </w:r>
    <w:r w:rsidRPr="00E54261">
      <w:rPr>
        <w:rStyle w:val="HideTWBExt"/>
      </w:rPr>
      <w:t>&lt;PathFdR&gt;</w:t>
    </w:r>
    <w:r w:rsidRPr="00E54261">
      <w:t>PR\1296234PL.docx</w:t>
    </w:r>
    <w:r w:rsidRPr="00E54261">
      <w:rPr>
        <w:rStyle w:val="HideTWBExt"/>
      </w:rPr>
      <w:t>&lt;/PathFdR&gt;</w:t>
    </w:r>
  </w:p>
  <w:p w:rsidR="0085501C" w:rsidRPr="00E54261" w:rsidRDefault="00656E7E" w:rsidP="000D7A1C">
    <w:pPr>
      <w:pStyle w:val="EPFooter2"/>
    </w:pPr>
    <w:r w:rsidRPr="00E54261">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A1C" w:rsidRPr="00E54261" w:rsidRDefault="00656E7E" w:rsidP="000D7A1C">
    <w:pPr>
      <w:pStyle w:val="EPFooter"/>
    </w:pPr>
    <w:r w:rsidRPr="00E54261">
      <w:rPr>
        <w:rStyle w:val="HideTWBExt"/>
      </w:rPr>
      <w:t>&lt;PathFdR&gt;</w:t>
    </w:r>
    <w:r w:rsidRPr="00E54261">
      <w:t>PR\1296234PL.docx</w:t>
    </w:r>
    <w:r w:rsidRPr="00E54261">
      <w:rPr>
        <w:rStyle w:val="HideTWBExt"/>
      </w:rPr>
      <w:t>&lt;/PathFdR&gt;</w:t>
    </w:r>
    <w:r w:rsidRPr="00E54261">
      <w:tab/>
    </w:r>
    <w:r w:rsidRPr="00E54261">
      <w:fldChar w:fldCharType="begin"/>
    </w:r>
    <w:r w:rsidRPr="00E54261">
      <w:instrText xml:space="preserve"> PAGE  \* MERGEFORMAT </w:instrText>
    </w:r>
    <w:r w:rsidRPr="00E54261">
      <w:fldChar w:fldCharType="separate"/>
    </w:r>
    <w:r>
      <w:rPr>
        <w:noProof/>
      </w:rPr>
      <w:t>7</w:t>
    </w:r>
    <w:r w:rsidRPr="00E54261">
      <w:fldChar w:fldCharType="end"/>
    </w:r>
    <w:r w:rsidRPr="00E54261">
      <w:t>/</w:t>
    </w:r>
    <w:r w:rsidR="00A404F2">
      <w:fldChar w:fldCharType="begin"/>
    </w:r>
    <w:r>
      <w:instrText xml:space="preserve"> NUMPAGES  \* MERGEFORMAT </w:instrText>
    </w:r>
    <w:r w:rsidR="00A404F2">
      <w:fldChar w:fldCharType="separate"/>
    </w:r>
    <w:r>
      <w:rPr>
        <w:noProof/>
      </w:rPr>
      <w:t>8</w:t>
    </w:r>
    <w:r w:rsidR="00A404F2">
      <w:rPr>
        <w:noProof/>
      </w:rPr>
      <w:fldChar w:fldCharType="end"/>
    </w:r>
    <w:r w:rsidRPr="00E54261">
      <w:tab/>
      <w:t>PE</w:t>
    </w:r>
    <w:r w:rsidRPr="00E54261">
      <w:rPr>
        <w:rStyle w:val="HideTWBExt"/>
      </w:rPr>
      <w:t>&lt;NoPE&gt;</w:t>
    </w:r>
    <w:r w:rsidRPr="00E54261">
      <w:t>758.913</w:t>
    </w:r>
    <w:r w:rsidRPr="00E54261">
      <w:rPr>
        <w:rStyle w:val="HideTWBExt"/>
      </w:rPr>
      <w:t>&lt;/NoPE&gt;&lt;Version&gt;</w:t>
    </w:r>
    <w:r w:rsidRPr="00E54261">
      <w:t>v01-00</w:t>
    </w:r>
    <w:r w:rsidRPr="00E54261">
      <w:rPr>
        <w:rStyle w:val="HideTWBExt"/>
      </w:rPr>
      <w:t>&lt;/Version&gt;</w:t>
    </w:r>
  </w:p>
  <w:p w:rsidR="0085501C" w:rsidRPr="00E54261" w:rsidRDefault="00656E7E" w:rsidP="000D7A1C">
    <w:pPr>
      <w:pStyle w:val="EPFooter2"/>
    </w:pPr>
    <w:r w:rsidRPr="00E54261">
      <w:tab/>
    </w:r>
    <w:r w:rsidRPr="00E54261">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A1C" w:rsidRPr="00E54261" w:rsidRDefault="00656E7E" w:rsidP="000D7A1C">
    <w:pPr>
      <w:pStyle w:val="EPFooter"/>
    </w:pPr>
    <w:r w:rsidRPr="00E54261">
      <w:rPr>
        <w:rStyle w:val="HideTWBExt"/>
      </w:rPr>
      <w:t>&lt;PathFdR&gt;</w:t>
    </w:r>
    <w:r w:rsidRPr="00E54261">
      <w:t>PR\1296234PL.docx</w:t>
    </w:r>
    <w:r w:rsidRPr="00E54261">
      <w:rPr>
        <w:rStyle w:val="HideTWBExt"/>
      </w:rPr>
      <w:t>&lt;/PathFdR&gt;</w:t>
    </w:r>
    <w:r w:rsidRPr="00E54261">
      <w:tab/>
    </w:r>
    <w:r w:rsidRPr="00E54261">
      <w:tab/>
    </w:r>
    <w:r w:rsidRPr="00E54261">
      <w:t>PE</w:t>
    </w:r>
    <w:r w:rsidRPr="00E54261">
      <w:rPr>
        <w:rStyle w:val="HideTWBExt"/>
      </w:rPr>
      <w:t>&lt;NoPE&gt;</w:t>
    </w:r>
    <w:r w:rsidRPr="00E54261">
      <w:t>758.913</w:t>
    </w:r>
    <w:r w:rsidRPr="00E54261">
      <w:rPr>
        <w:rStyle w:val="HideTWBExt"/>
      </w:rPr>
      <w:t>&lt;/NoPE&gt;&lt;Version&gt;</w:t>
    </w:r>
    <w:r w:rsidRPr="00E54261">
      <w:t>v01-00</w:t>
    </w:r>
    <w:r w:rsidRPr="00E54261">
      <w:rPr>
        <w:rStyle w:val="HideTWBExt"/>
      </w:rPr>
      <w:t>&lt;/Version&gt;</w:t>
    </w:r>
  </w:p>
  <w:p w:rsidR="0085501C" w:rsidRPr="00E54261" w:rsidRDefault="00656E7E" w:rsidP="000D7A1C">
    <w:pPr>
      <w:pStyle w:val="EPFooter2"/>
    </w:pPr>
    <w:r w:rsidRPr="00E54261">
      <w:t>PL</w:t>
    </w:r>
    <w:r w:rsidRPr="00E54261">
      <w:tab/>
    </w:r>
    <w:r w:rsidRPr="00E54261">
      <w:rPr>
        <w:b w:val="0"/>
        <w:i/>
        <w:color w:val="C0C0C0"/>
        <w:sz w:val="22"/>
      </w:rPr>
      <w:t>Zjednoczona w różnorodności</w:t>
    </w:r>
    <w:r w:rsidRPr="00E54261">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DCE" w:rsidRPr="00E54261" w:rsidRDefault="00656E7E">
      <w:r w:rsidRPr="00E54261">
        <w:separator/>
      </w:r>
    </w:p>
  </w:footnote>
  <w:footnote w:type="continuationSeparator" w:id="0">
    <w:p w:rsidR="00763DCE" w:rsidRPr="00E54261" w:rsidRDefault="00656E7E">
      <w:r w:rsidRPr="00E54261">
        <w:continuationSeparator/>
      </w:r>
    </w:p>
  </w:footnote>
  <w:footnote w:id="1">
    <w:p w:rsidR="006950BA" w:rsidRPr="00E54261" w:rsidRDefault="00656E7E" w:rsidP="00880431">
      <w:pPr>
        <w:pStyle w:val="FootnoteText"/>
        <w:jc w:val="both"/>
      </w:pPr>
      <w:r>
        <w:rPr>
          <w:rStyle w:val="FootnoteReference"/>
          <w:b w:val="0"/>
        </w:rPr>
        <w:footnoteRef/>
      </w:r>
      <w:r>
        <w:t xml:space="preserve"> </w:t>
      </w:r>
      <w:r>
        <w:tab/>
      </w:r>
      <w:r>
        <w:t>Decyzja Rady (UE) 2022/442 z dnia 21 lutego 2022 r. w sprawie upoważnienia do podjęcia negocjacji z Is</w:t>
      </w:r>
      <w:r>
        <w:t>landią, Królestwem Norwegii, Konfederacją Szwajcarską i Księstwem Liechtensteinu w celu zawarcia umów między Unią Europejską a tymi państwami w sprawie przepisów uzupełniających dotyczących Instrumentu Wsparcia Finansowego na rzecz Zarządzania Granicami i </w:t>
      </w:r>
      <w:r>
        <w:t>Polityki Wizowej w ramach Funduszu Zintegrowanego Zarządzania Granicami (Dz.U. L 90 z 18.3.2022, s. 116).</w:t>
      </w:r>
    </w:p>
  </w:footnote>
  <w:footnote w:id="2">
    <w:p w:rsidR="006950BA" w:rsidRPr="00E54261" w:rsidRDefault="00656E7E" w:rsidP="00880431">
      <w:pPr>
        <w:pStyle w:val="FootnoteText"/>
        <w:jc w:val="both"/>
      </w:pPr>
      <w:r>
        <w:rPr>
          <w:rStyle w:val="FootnoteReference"/>
          <w:b w:val="0"/>
        </w:rPr>
        <w:footnoteRef/>
      </w:r>
      <w:r>
        <w:t xml:space="preserve"> </w:t>
      </w:r>
      <w:r>
        <w:tab/>
      </w:r>
      <w:bookmarkStart w:id="3" w:name="_GoBack"/>
      <w:bookmarkEnd w:id="3"/>
      <w:r>
        <w:t>Rozporządzenie Parlamentu Europejskiego i Rady (UE) 2021/1148 z dnia 7 lipca 2021 r. ustanawiające, w ramach Funduszu Zintegrowanego Zarządzania Gra</w:t>
      </w:r>
      <w:r>
        <w:t>nicami, Instrument Wsparcia Finansowego na rzecz Zarządzania Granicami i Polityki Wizowej (Dz.U. L 251 z 15.7.2021, s.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58E" w:rsidRDefault="003275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58E" w:rsidRDefault="003275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58E" w:rsidRDefault="003275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SubDir" w:val="1296"/>
    <w:docVar w:name="TITLEMNU" w:val=" 2"/>
    <w:docVar w:name="TXTAUTHOR" w:val="Jadwiga Wiśniewska"/>
    <w:docVar w:name="TXTLANGUE" w:val="PL"/>
    <w:docVar w:name="TXTLANGUEMIN" w:val="pl"/>
    <w:docVar w:name="TXTNRC" w:val="0461/2023"/>
    <w:docVar w:name="TXTNRCOUNC" w:val="12122/2023"/>
    <w:docVar w:name="TXTNRNLE" w:val="2023/0229"/>
    <w:docVar w:name="TXTNRPE" w:val="758.913"/>
    <w:docVar w:name="TXTPEorAP" w:val="PE"/>
    <w:docVar w:name="TXTROUTE" w:val="PR\1296234PL.docx"/>
    <w:docVar w:name="TXTTITLE" w:val="on the conclusion, on behalf of the Union, of the Agreement between the European Union and the Swiss Confederation on supplementary rules in relation to the Instrument for Financial Support for Border Management and Visa Policy, as part of the Integrated Border Management Fund, for the period 2021 to 2027"/>
    <w:docVar w:name="TXTVERSION" w:val="01-00"/>
  </w:docVars>
  <w:rsids>
    <w:rsidRoot w:val="00763DCE"/>
    <w:rsid w:val="00001D52"/>
    <w:rsid w:val="0000443F"/>
    <w:rsid w:val="000053E3"/>
    <w:rsid w:val="00016E55"/>
    <w:rsid w:val="0006167F"/>
    <w:rsid w:val="00061EFE"/>
    <w:rsid w:val="00095D8B"/>
    <w:rsid w:val="000A2F73"/>
    <w:rsid w:val="000B6BBA"/>
    <w:rsid w:val="000C123D"/>
    <w:rsid w:val="000D1F01"/>
    <w:rsid w:val="000D78AF"/>
    <w:rsid w:val="000D7A1C"/>
    <w:rsid w:val="00100F31"/>
    <w:rsid w:val="00110414"/>
    <w:rsid w:val="001336E9"/>
    <w:rsid w:val="00180664"/>
    <w:rsid w:val="001874D8"/>
    <w:rsid w:val="001D02E3"/>
    <w:rsid w:val="001F7BBE"/>
    <w:rsid w:val="0020328E"/>
    <w:rsid w:val="0021049A"/>
    <w:rsid w:val="0022685A"/>
    <w:rsid w:val="002E2E20"/>
    <w:rsid w:val="002F5A83"/>
    <w:rsid w:val="003072BE"/>
    <w:rsid w:val="0032758E"/>
    <w:rsid w:val="00337C92"/>
    <w:rsid w:val="00361CA2"/>
    <w:rsid w:val="00363B94"/>
    <w:rsid w:val="003B598C"/>
    <w:rsid w:val="003F2429"/>
    <w:rsid w:val="004174FC"/>
    <w:rsid w:val="00460BD6"/>
    <w:rsid w:val="004859B3"/>
    <w:rsid w:val="004C083C"/>
    <w:rsid w:val="004E1650"/>
    <w:rsid w:val="004F07CF"/>
    <w:rsid w:val="0051709D"/>
    <w:rsid w:val="005273BE"/>
    <w:rsid w:val="0053367A"/>
    <w:rsid w:val="00544D48"/>
    <w:rsid w:val="0056595F"/>
    <w:rsid w:val="005877C0"/>
    <w:rsid w:val="005A6B14"/>
    <w:rsid w:val="005A7589"/>
    <w:rsid w:val="005C04A5"/>
    <w:rsid w:val="005D0B97"/>
    <w:rsid w:val="005E76CA"/>
    <w:rsid w:val="005F5D6C"/>
    <w:rsid w:val="00610FD9"/>
    <w:rsid w:val="006132CE"/>
    <w:rsid w:val="00613F2E"/>
    <w:rsid w:val="00656E7E"/>
    <w:rsid w:val="006950BA"/>
    <w:rsid w:val="006A1A75"/>
    <w:rsid w:val="006A2CF5"/>
    <w:rsid w:val="006C0747"/>
    <w:rsid w:val="006F1B6F"/>
    <w:rsid w:val="00701D2F"/>
    <w:rsid w:val="00763DCE"/>
    <w:rsid w:val="00791637"/>
    <w:rsid w:val="0080122F"/>
    <w:rsid w:val="00821DF5"/>
    <w:rsid w:val="00822206"/>
    <w:rsid w:val="008368CB"/>
    <w:rsid w:val="0085501C"/>
    <w:rsid w:val="008764A2"/>
    <w:rsid w:val="00880431"/>
    <w:rsid w:val="00893FBD"/>
    <w:rsid w:val="008B75A4"/>
    <w:rsid w:val="008D23C6"/>
    <w:rsid w:val="008D3030"/>
    <w:rsid w:val="008E3848"/>
    <w:rsid w:val="00924EE0"/>
    <w:rsid w:val="00951916"/>
    <w:rsid w:val="009612AA"/>
    <w:rsid w:val="009A15BE"/>
    <w:rsid w:val="009E39A7"/>
    <w:rsid w:val="00A404F2"/>
    <w:rsid w:val="00A415B7"/>
    <w:rsid w:val="00AC25A4"/>
    <w:rsid w:val="00AD5D0C"/>
    <w:rsid w:val="00B31D18"/>
    <w:rsid w:val="00B42885"/>
    <w:rsid w:val="00B50C20"/>
    <w:rsid w:val="00B6769C"/>
    <w:rsid w:val="00BB22CC"/>
    <w:rsid w:val="00BB41C8"/>
    <w:rsid w:val="00BB466B"/>
    <w:rsid w:val="00BE2DB5"/>
    <w:rsid w:val="00BE5E72"/>
    <w:rsid w:val="00BF0A0F"/>
    <w:rsid w:val="00BF2E15"/>
    <w:rsid w:val="00BF7F55"/>
    <w:rsid w:val="00C05DD8"/>
    <w:rsid w:val="00C15447"/>
    <w:rsid w:val="00C35D01"/>
    <w:rsid w:val="00C56DEF"/>
    <w:rsid w:val="00C85D0F"/>
    <w:rsid w:val="00C9085A"/>
    <w:rsid w:val="00CA5A76"/>
    <w:rsid w:val="00CB0F21"/>
    <w:rsid w:val="00CB5651"/>
    <w:rsid w:val="00CC20CB"/>
    <w:rsid w:val="00CF44DF"/>
    <w:rsid w:val="00D04E0B"/>
    <w:rsid w:val="00D62DA0"/>
    <w:rsid w:val="00D6543C"/>
    <w:rsid w:val="00DF594D"/>
    <w:rsid w:val="00E14FEE"/>
    <w:rsid w:val="00E54261"/>
    <w:rsid w:val="00E71368"/>
    <w:rsid w:val="00E93816"/>
    <w:rsid w:val="00EA59ED"/>
    <w:rsid w:val="00EF48F2"/>
    <w:rsid w:val="00F04010"/>
    <w:rsid w:val="00FC46D7"/>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137CC26"/>
  <w15:chartTrackingRefBased/>
  <w15:docId w15:val="{07A7069B-02EF-4E50-B1ED-8BE8AF37B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A7589"/>
    <w:pPr>
      <w:tabs>
        <w:tab w:val="right" w:pos="454"/>
        <w:tab w:val="left" w:pos="737"/>
      </w:tabs>
      <w:ind w:left="737" w:hanging="737"/>
    </w:pPr>
    <w:rPr>
      <w:snapToGrid w:val="0"/>
      <w:sz w:val="18"/>
      <w:lang w:eastAsia="en-US"/>
    </w:rPr>
  </w:style>
  <w:style w:type="paragraph" w:customStyle="1" w:styleId="Lgendetitre">
    <w:name w:val="Légende titre"/>
    <w:basedOn w:val="Normal"/>
    <w:rsid w:val="005A7589"/>
    <w:pPr>
      <w:spacing w:before="240" w:after="240"/>
    </w:pPr>
    <w:rPr>
      <w:b/>
      <w:i/>
      <w:snapToGrid w:val="0"/>
      <w:lang w:eastAsia="en-US"/>
    </w:rPr>
  </w:style>
  <w:style w:type="paragraph" w:customStyle="1" w:styleId="Lgendestandard">
    <w:name w:val="Légende standard"/>
    <w:basedOn w:val="Normal"/>
    <w:rsid w:val="005A7589"/>
    <w:rPr>
      <w:sz w:val="18"/>
    </w:rPr>
  </w:style>
  <w:style w:type="paragraph" w:styleId="FootnoteText">
    <w:name w:val="footnote text"/>
    <w:basedOn w:val="Normal"/>
    <w:link w:val="FootnoteTextChar"/>
    <w:uiPriority w:val="99"/>
    <w:unhideWhenUsed/>
    <w:rsid w:val="006950BA"/>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6950BA"/>
    <w:rPr>
      <w:rFonts w:eastAsiaTheme="minorHAnsi"/>
      <w:sz w:val="24"/>
      <w:lang w:eastAsia="en-US"/>
    </w:rPr>
  </w:style>
  <w:style w:type="character" w:styleId="FootnoteReference">
    <w:name w:val="footnote reference"/>
    <w:basedOn w:val="DefaultParagraphFont"/>
    <w:uiPriority w:val="99"/>
    <w:unhideWhenUsed/>
    <w:rsid w:val="006950BA"/>
    <w:rPr>
      <w:b/>
      <w:bdr w:val="none" w:sz="0" w:space="0" w:color="auto"/>
      <w:shd w:val="clear" w:color="auto" w:fill="auto"/>
      <w:vertAlign w:val="superscript"/>
    </w:rPr>
  </w:style>
  <w:style w:type="paragraph" w:styleId="Footer">
    <w:name w:val="footer"/>
    <w:basedOn w:val="Normal"/>
    <w:link w:val="FooterChar"/>
    <w:semiHidden/>
    <w:rsid w:val="00CA5A76"/>
    <w:pPr>
      <w:tabs>
        <w:tab w:val="center" w:pos="4513"/>
        <w:tab w:val="right" w:pos="9026"/>
      </w:tabs>
    </w:pPr>
  </w:style>
  <w:style w:type="character" w:customStyle="1" w:styleId="FooterChar">
    <w:name w:val="Footer Char"/>
    <w:basedOn w:val="DefaultParagraphFont"/>
    <w:link w:val="Footer"/>
    <w:semiHidden/>
    <w:rsid w:val="00CA5A76"/>
    <w:rPr>
      <w:sz w:val="24"/>
    </w:rPr>
  </w:style>
  <w:style w:type="paragraph" w:styleId="BalloonText">
    <w:name w:val="Balloon Text"/>
    <w:basedOn w:val="Normal"/>
    <w:link w:val="BalloonTextChar"/>
    <w:semiHidden/>
    <w:unhideWhenUsed/>
    <w:rsid w:val="008764A2"/>
    <w:rPr>
      <w:rFonts w:ascii="Segoe UI" w:hAnsi="Segoe UI" w:cs="Segoe UI"/>
      <w:sz w:val="18"/>
      <w:szCs w:val="18"/>
    </w:rPr>
  </w:style>
  <w:style w:type="character" w:customStyle="1" w:styleId="BalloonTextChar">
    <w:name w:val="Balloon Text Char"/>
    <w:basedOn w:val="DefaultParagraphFont"/>
    <w:link w:val="BalloonText"/>
    <w:semiHidden/>
    <w:rsid w:val="008764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77AF6-4CA3-4F98-AF4E-31FE06BBB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1328</Words>
  <Characters>9170</Characters>
  <Application>Microsoft Office Word</Application>
  <DocSecurity>0</DocSecurity>
  <Lines>199</Lines>
  <Paragraphs>65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TOADER Maria</dc:creator>
  <cp:lastModifiedBy>WIERTLEWSKA Maria</cp:lastModifiedBy>
  <cp:revision>2</cp:revision>
  <cp:lastPrinted>2002-12-11T09:25:00Z</cp:lastPrinted>
  <dcterms:created xsi:type="dcterms:W3CDTF">2024-02-28T10:01:00Z</dcterms:created>
  <dcterms:modified xsi:type="dcterms:W3CDTF">2024-02-28T10:01:00Z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1296234</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18:28:04)</vt:lpwstr>
  </property>
  <property fmtid="{D5CDD505-2E9C-101B-9397-08002B2CF9AE}" pid="6" name="&lt;ModelTra&gt;">
    <vt:lpwstr>\\eiciBRUpr1\pdocep$\DocEP\TRANSFIL\EN\PR_NLE-AP_Agreement.EN(29/06/2022 09:21:42)</vt:lpwstr>
  </property>
  <property fmtid="{D5CDD505-2E9C-101B-9397-08002B2CF9AE}" pid="7" name="&lt;Type&gt;">
    <vt:lpwstr>PR</vt:lpwstr>
  </property>
  <property fmtid="{D5CDD505-2E9C-101B-9397-08002B2CF9AE}" pid="8" name="Bookout">
    <vt:lpwstr>OK - 2024/02/28 11:00</vt:lpwstr>
  </property>
  <property fmtid="{D5CDD505-2E9C-101B-9397-08002B2CF9AE}" pid="9" name="Created with">
    <vt:lpwstr>9.17.1 Build [20240111]</vt:lpwstr>
  </property>
  <property fmtid="{D5CDD505-2E9C-101B-9397-08002B2CF9AE}" pid="10" name="FooterPath">
    <vt:lpwstr>PR\1296234PL.docx</vt:lpwstr>
  </property>
  <property fmtid="{D5CDD505-2E9C-101B-9397-08002B2CF9AE}" pid="11" name="LastEdited with">
    <vt:lpwstr>9.17.1 Build [20240110]</vt:lpwstr>
  </property>
  <property fmtid="{D5CDD505-2E9C-101B-9397-08002B2CF9AE}" pid="12" name="PE number">
    <vt:lpwstr>758.913</vt:lpwstr>
  </property>
  <property fmtid="{D5CDD505-2E9C-101B-9397-08002B2CF9AE}" pid="13" name="SendToEpades">
    <vt:lpwstr>OK - 2024/02/14 17:18</vt:lpwstr>
  </property>
  <property fmtid="{D5CDD505-2E9C-101B-9397-08002B2CF9AE}" pid="14" name="SDLStudio">
    <vt:lpwstr/>
  </property>
</Properties>
</file>