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70993" w:rsidRPr="00B2268C" w:rsidTr="00C85D0F">
        <w:trPr>
          <w:trHeight w:hRule="exact" w:val="1418"/>
        </w:trPr>
        <w:tc>
          <w:tcPr>
            <w:tcW w:w="6804" w:type="dxa"/>
            <w:shd w:val="clear" w:color="auto" w:fill="auto"/>
            <w:vAlign w:val="center"/>
          </w:tcPr>
          <w:p w:rsidR="00C05DD8" w:rsidRPr="00B2268C" w:rsidRDefault="00D409A2" w:rsidP="00C85D0F">
            <w:pPr>
              <w:pStyle w:val="EPName"/>
            </w:pPr>
            <w:r w:rsidRPr="00B2268C">
              <w:t>Parlamentul European</w:t>
            </w:r>
          </w:p>
          <w:p w:rsidR="00C05DD8" w:rsidRPr="00B2268C" w:rsidRDefault="00D409A2" w:rsidP="005A7589">
            <w:pPr>
              <w:pStyle w:val="EPTerm"/>
            </w:pPr>
            <w:r w:rsidRPr="00B2268C">
              <w:t>2019-2024</w:t>
            </w:r>
          </w:p>
        </w:tc>
        <w:tc>
          <w:tcPr>
            <w:tcW w:w="2268" w:type="dxa"/>
            <w:shd w:val="clear" w:color="auto" w:fill="auto"/>
          </w:tcPr>
          <w:p w:rsidR="00C05DD8" w:rsidRPr="00B2268C" w:rsidRDefault="00D409A2" w:rsidP="00C85D0F">
            <w:pPr>
              <w:pStyle w:val="EPLogo"/>
            </w:pPr>
            <w:r w:rsidRPr="00B2268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B2268C" w:rsidRDefault="009612AA" w:rsidP="009612AA">
      <w:pPr>
        <w:pStyle w:val="LineTop"/>
      </w:pPr>
    </w:p>
    <w:p w:rsidR="009612AA" w:rsidRPr="00B2268C" w:rsidRDefault="00D409A2" w:rsidP="009612AA">
      <w:pPr>
        <w:pStyle w:val="EPBody"/>
      </w:pPr>
      <w:r w:rsidRPr="00B2268C">
        <w:rPr>
          <w:rStyle w:val="HideTWBExt"/>
        </w:rPr>
        <w:t>&lt;</w:t>
      </w:r>
      <w:r w:rsidRPr="00B2268C">
        <w:rPr>
          <w:rStyle w:val="HideTWBExt"/>
          <w:i w:val="0"/>
        </w:rPr>
        <w:t>Commission</w:t>
      </w:r>
      <w:r w:rsidRPr="00B2268C">
        <w:rPr>
          <w:rStyle w:val="HideTWBExt"/>
        </w:rPr>
        <w:t>&gt;</w:t>
      </w:r>
      <w:r w:rsidRPr="00B2268C">
        <w:rPr>
          <w:rStyle w:val="HideTWBInt"/>
          <w:color w:val="auto"/>
        </w:rPr>
        <w:t>{LIBE}</w:t>
      </w:r>
      <w:r w:rsidRPr="00B2268C">
        <w:t>Comisia pentru libertăți civile, justiție și afaceri interne</w:t>
      </w:r>
      <w:r w:rsidRPr="00B2268C">
        <w:rPr>
          <w:rStyle w:val="HideTWBExt"/>
        </w:rPr>
        <w:t>&lt;/</w:t>
      </w:r>
      <w:r w:rsidRPr="00B2268C">
        <w:rPr>
          <w:rStyle w:val="HideTWBExt"/>
          <w:i w:val="0"/>
        </w:rPr>
        <w:t>Commission</w:t>
      </w:r>
      <w:r w:rsidRPr="00B2268C">
        <w:rPr>
          <w:rStyle w:val="HideTWBExt"/>
        </w:rPr>
        <w:t>&gt;</w:t>
      </w:r>
    </w:p>
    <w:p w:rsidR="009612AA" w:rsidRPr="00B2268C" w:rsidRDefault="009612AA" w:rsidP="009612AA">
      <w:pPr>
        <w:pStyle w:val="LineBottom"/>
      </w:pPr>
    </w:p>
    <w:p w:rsidR="00363B94" w:rsidRPr="00B2268C" w:rsidRDefault="00D409A2">
      <w:pPr>
        <w:pStyle w:val="CoverReference"/>
      </w:pPr>
      <w:r w:rsidRPr="00B2268C">
        <w:rPr>
          <w:rStyle w:val="HideTWBExt"/>
          <w:b w:val="0"/>
        </w:rPr>
        <w:t>&lt;RefProc&gt;</w:t>
      </w:r>
      <w:r w:rsidRPr="00B2268C">
        <w:t>2023/0229</w:t>
      </w:r>
      <w:r w:rsidRPr="00B2268C">
        <w:rPr>
          <w:rStyle w:val="HideTWBExt"/>
          <w:b w:val="0"/>
        </w:rPr>
        <w:t>&lt;/RefProc&gt;&lt;RefTypeProc&gt;</w:t>
      </w:r>
      <w:r w:rsidRPr="00B2268C">
        <w:t>(NLE)</w:t>
      </w:r>
      <w:r w:rsidRPr="00B2268C">
        <w:rPr>
          <w:rStyle w:val="HideTWBExt"/>
          <w:b w:val="0"/>
        </w:rPr>
        <w:t>&lt;/RefTypeProc&gt;</w:t>
      </w:r>
    </w:p>
    <w:p w:rsidR="00363B94" w:rsidRPr="00B2268C" w:rsidRDefault="00D409A2">
      <w:pPr>
        <w:pStyle w:val="CoverDate"/>
      </w:pPr>
      <w:r w:rsidRPr="00B2268C">
        <w:rPr>
          <w:rStyle w:val="HideTWBExt"/>
        </w:rPr>
        <w:t>&lt;Date&gt;</w:t>
      </w:r>
      <w:r w:rsidRPr="00B2268C">
        <w:rPr>
          <w:rStyle w:val="HideTWBInt"/>
          <w:color w:val="auto"/>
        </w:rPr>
        <w:t>{14/02/2024}</w:t>
      </w:r>
      <w:r w:rsidRPr="00B2268C">
        <w:t>14.2.2024</w:t>
      </w:r>
      <w:r w:rsidRPr="00B2268C">
        <w:rPr>
          <w:rStyle w:val="HideTWBExt"/>
        </w:rPr>
        <w:t>&lt;/Date&gt;</w:t>
      </w:r>
    </w:p>
    <w:p w:rsidR="00363B94" w:rsidRPr="00B2268C" w:rsidRDefault="00D409A2">
      <w:pPr>
        <w:pStyle w:val="CoverDocType"/>
      </w:pPr>
      <w:r w:rsidRPr="00B2268C">
        <w:rPr>
          <w:rStyle w:val="HideTWBExt"/>
          <w:b w:val="0"/>
        </w:rPr>
        <w:t>&lt;RefProcLect&gt;</w:t>
      </w:r>
      <w:r w:rsidRPr="00B2268C">
        <w:t>***</w:t>
      </w:r>
      <w:r w:rsidRPr="00B2268C">
        <w:rPr>
          <w:rStyle w:val="HideTWBExt"/>
          <w:b w:val="0"/>
        </w:rPr>
        <w:t>&lt;/RefProcLect&gt;</w:t>
      </w:r>
    </w:p>
    <w:p w:rsidR="00363B94" w:rsidRPr="00B2268C" w:rsidRDefault="00D409A2">
      <w:pPr>
        <w:pStyle w:val="CoverDocType24a"/>
      </w:pPr>
      <w:r w:rsidRPr="00B2268C">
        <w:rPr>
          <w:rStyle w:val="HideTWBExt"/>
          <w:b w:val="0"/>
        </w:rPr>
        <w:t>&lt;TitreType&gt;</w:t>
      </w:r>
      <w:r w:rsidRPr="00B2268C">
        <w:t>PROIECT DE RECOMANDARE</w:t>
      </w:r>
      <w:r w:rsidRPr="00B2268C">
        <w:rPr>
          <w:rStyle w:val="HideTWBExt"/>
          <w:b w:val="0"/>
        </w:rPr>
        <w:t>&lt;/TitreType&gt;</w:t>
      </w:r>
    </w:p>
    <w:p w:rsidR="00363B94" w:rsidRPr="00B2268C" w:rsidRDefault="00D409A2">
      <w:pPr>
        <w:pStyle w:val="CoverNormal"/>
      </w:pPr>
      <w:r w:rsidRPr="00B2268C">
        <w:rPr>
          <w:rStyle w:val="HideTWBExt"/>
        </w:rPr>
        <w:t>&lt;Titre&gt;</w:t>
      </w:r>
      <w:r w:rsidRPr="00B2268C">
        <w:t>referitoare la proiectul de decizie a Consiliului privind încheierea, în numele Uniunii, a Acordului dintre Uniunea Europeană și Confederația Elvețiană privind normele suplimentare referitoare la Instrum</w:t>
      </w:r>
      <w:r w:rsidRPr="00B2268C">
        <w:t>entul de sprijin financiar pentru managementul frontierelor și politica de vize, ca parte a Fondului de management integrat al frontierelor, pentru perioada 2021-2027</w:t>
      </w:r>
      <w:r w:rsidRPr="00B2268C">
        <w:rPr>
          <w:rStyle w:val="HideTWBExt"/>
        </w:rPr>
        <w:t>&lt;/Titre&gt;</w:t>
      </w:r>
    </w:p>
    <w:p w:rsidR="00363B94" w:rsidRPr="00B2268C" w:rsidRDefault="00D409A2">
      <w:pPr>
        <w:pStyle w:val="CoverNormal24a"/>
      </w:pPr>
      <w:r w:rsidRPr="00B2268C">
        <w:rPr>
          <w:rStyle w:val="HideTWBExt"/>
        </w:rPr>
        <w:t>&lt;DocRef&gt;</w:t>
      </w:r>
      <w:r w:rsidRPr="00B2268C">
        <w:t>(12122/2023 – C9</w:t>
      </w:r>
      <w:r w:rsidRPr="00B2268C">
        <w:noBreakHyphen/>
        <w:t>0461/2023 – 2023/0229(NLE))</w:t>
      </w:r>
      <w:r w:rsidRPr="00B2268C">
        <w:rPr>
          <w:rStyle w:val="HideTWBExt"/>
        </w:rPr>
        <w:t>&lt;/DocRef&gt;</w:t>
      </w:r>
    </w:p>
    <w:p w:rsidR="00363B94" w:rsidRPr="00B2268C" w:rsidRDefault="00D409A2">
      <w:pPr>
        <w:pStyle w:val="CoverNormal24a"/>
      </w:pPr>
      <w:r w:rsidRPr="00B2268C">
        <w:rPr>
          <w:rStyle w:val="HideTWBExt"/>
        </w:rPr>
        <w:t>&lt;Commission&gt;</w:t>
      </w:r>
      <w:r w:rsidRPr="00B2268C">
        <w:rPr>
          <w:rStyle w:val="HideTWBInt"/>
          <w:color w:val="auto"/>
        </w:rPr>
        <w:t>{LIBE}</w:t>
      </w:r>
      <w:r w:rsidRPr="00B2268C">
        <w:t>C</w:t>
      </w:r>
      <w:r w:rsidRPr="00B2268C">
        <w:t>omisia pentru libertăți civile, justiție și afaceri interne</w:t>
      </w:r>
      <w:r w:rsidRPr="00B2268C">
        <w:rPr>
          <w:rStyle w:val="HideTWBExt"/>
        </w:rPr>
        <w:t>&lt;/Commission&gt;</w:t>
      </w:r>
    </w:p>
    <w:p w:rsidR="00363B94" w:rsidRPr="00B2268C" w:rsidRDefault="00D409A2">
      <w:pPr>
        <w:pStyle w:val="CoverNormal24a"/>
      </w:pPr>
      <w:r w:rsidRPr="00B2268C">
        <w:t xml:space="preserve">Raportoare: </w:t>
      </w:r>
      <w:r w:rsidRPr="00B2268C">
        <w:rPr>
          <w:rStyle w:val="HideTWBExt"/>
        </w:rPr>
        <w:t>&lt;Depute&gt;</w:t>
      </w:r>
      <w:r w:rsidRPr="00B2268C">
        <w:t>Jadwiga Wiśniewska</w:t>
      </w:r>
      <w:r w:rsidRPr="00B2268C">
        <w:rPr>
          <w:rStyle w:val="HideTWBExt"/>
        </w:rPr>
        <w:t>&lt;/Depute&gt;</w:t>
      </w:r>
    </w:p>
    <w:p w:rsidR="00B42885" w:rsidRPr="00B2268C" w:rsidRDefault="00B42885" w:rsidP="00B42885">
      <w:pPr>
        <w:pStyle w:val="CoverNormal"/>
      </w:pPr>
    </w:p>
    <w:p w:rsidR="005A7589" w:rsidRPr="00B2268C" w:rsidRDefault="00D409A2" w:rsidP="00016E55">
      <w:r w:rsidRPr="00B2268C">
        <w:br w:type="page"/>
      </w:r>
      <w:r w:rsidRPr="00B2268C">
        <w:lastRenderedPageBreak/>
        <w:fldChar w:fldCharType="begin"/>
      </w:r>
      <w:r w:rsidRPr="00B2268C">
        <w:instrText xml:space="preserve"> TITLE  \* MERGEFORMAT </w:instrText>
      </w:r>
      <w:r w:rsidRPr="00B2268C">
        <w:fldChar w:fldCharType="separate"/>
      </w:r>
      <w:r>
        <w:t>PR_NLE-AP_Agreement</w:t>
      </w:r>
      <w:r w:rsidRPr="00B2268C">
        <w:fldChar w:fldCharType="end"/>
      </w:r>
    </w:p>
    <w:p w:rsidR="005A7589" w:rsidRPr="00B2268C" w:rsidRDefault="005A7589" w:rsidP="00016E55"/>
    <w:p w:rsidR="005A7589" w:rsidRPr="00B2268C" w:rsidRDefault="005A7589"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70993" w:rsidRPr="00B2268C">
        <w:tc>
          <w:tcPr>
            <w:tcW w:w="5811" w:type="dxa"/>
          </w:tcPr>
          <w:p w:rsidR="005A7589" w:rsidRPr="00B2268C" w:rsidRDefault="00D409A2" w:rsidP="00016E55">
            <w:pPr>
              <w:pStyle w:val="Lgendetitre"/>
            </w:pPr>
            <w:r w:rsidRPr="00B2268C">
              <w:t>Legenda simbolurilor utilizate</w:t>
            </w:r>
          </w:p>
        </w:tc>
      </w:tr>
      <w:tr w:rsidR="00D70993" w:rsidRPr="00B2268C" w:rsidTr="004247A2">
        <w:trPr>
          <w:cantSplit/>
          <w:trHeight w:val="1807"/>
        </w:trPr>
        <w:tc>
          <w:tcPr>
            <w:tcW w:w="5811" w:type="dxa"/>
            <w:tcBorders>
              <w:bottom w:val="single" w:sz="4" w:space="0" w:color="auto"/>
            </w:tcBorders>
          </w:tcPr>
          <w:p w:rsidR="005A7589" w:rsidRPr="00B2268C" w:rsidRDefault="00D409A2" w:rsidP="00717061">
            <w:pPr>
              <w:pStyle w:val="Lgendesigne"/>
            </w:pPr>
            <w:r w:rsidRPr="00B2268C">
              <w:tab/>
              <w:t>*</w:t>
            </w:r>
            <w:r w:rsidRPr="00B2268C">
              <w:tab/>
              <w:t>Procedura de consultare</w:t>
            </w:r>
          </w:p>
          <w:p w:rsidR="005A7589" w:rsidRPr="00B2268C" w:rsidRDefault="00D409A2" w:rsidP="00717061">
            <w:pPr>
              <w:pStyle w:val="Lgendesigne"/>
            </w:pPr>
            <w:r w:rsidRPr="00B2268C">
              <w:tab/>
              <w:t>***</w:t>
            </w:r>
            <w:r w:rsidRPr="00B2268C">
              <w:tab/>
              <w:t>Procedura de aprobare</w:t>
            </w:r>
          </w:p>
          <w:p w:rsidR="005A7589" w:rsidRPr="00B2268C" w:rsidRDefault="00D409A2" w:rsidP="00717061">
            <w:pPr>
              <w:pStyle w:val="Lgendesigne"/>
            </w:pPr>
            <w:r w:rsidRPr="00B2268C">
              <w:tab/>
              <w:t>***I</w:t>
            </w:r>
            <w:r w:rsidRPr="00B2268C">
              <w:tab/>
              <w:t>Procedura legislativă ordinară (prima lectură)</w:t>
            </w:r>
          </w:p>
          <w:p w:rsidR="005A7589" w:rsidRPr="00B2268C" w:rsidRDefault="00D409A2" w:rsidP="00717061">
            <w:pPr>
              <w:pStyle w:val="Lgendesigne"/>
            </w:pPr>
            <w:r w:rsidRPr="00B2268C">
              <w:tab/>
              <w:t>***II</w:t>
            </w:r>
            <w:r w:rsidRPr="00B2268C">
              <w:tab/>
              <w:t>Procedura legislativă ordinară (a doua lectură)</w:t>
            </w:r>
          </w:p>
          <w:p w:rsidR="005A7589" w:rsidRPr="00B2268C" w:rsidRDefault="00D409A2" w:rsidP="00717061">
            <w:pPr>
              <w:pStyle w:val="Lgendesigne"/>
            </w:pPr>
            <w:r w:rsidRPr="00B2268C">
              <w:tab/>
              <w:t>***III</w:t>
            </w:r>
            <w:r w:rsidRPr="00B2268C">
              <w:tab/>
              <w:t>Procedura legislativă ordinară (a treia lectură)</w:t>
            </w:r>
          </w:p>
          <w:p w:rsidR="005A7589" w:rsidRPr="00B2268C" w:rsidRDefault="005A7589" w:rsidP="00717061">
            <w:pPr>
              <w:pStyle w:val="Lgendestandard"/>
            </w:pPr>
          </w:p>
          <w:p w:rsidR="005A7589" w:rsidRPr="00B2268C" w:rsidRDefault="00D409A2" w:rsidP="00717061">
            <w:pPr>
              <w:pStyle w:val="Lgendestandard"/>
            </w:pPr>
            <w:r w:rsidRPr="00B2268C">
              <w:t>(Procedura indicată se bazează pe temeiul juridic propus în proiectul de act.)</w:t>
            </w:r>
          </w:p>
          <w:p w:rsidR="005A7589" w:rsidRPr="00B2268C" w:rsidRDefault="005A7589" w:rsidP="00B837B7">
            <w:pPr>
              <w:pStyle w:val="Lgendestandard"/>
            </w:pPr>
          </w:p>
        </w:tc>
      </w:tr>
    </w:tbl>
    <w:p w:rsidR="005A7589" w:rsidRPr="00B2268C" w:rsidRDefault="005A7589" w:rsidP="00016E55"/>
    <w:p w:rsidR="00363B94" w:rsidRPr="00B2268C" w:rsidRDefault="00363B94" w:rsidP="00613F2E">
      <w:pPr>
        <w:widowControl/>
        <w:tabs>
          <w:tab w:val="center" w:pos="4677"/>
        </w:tabs>
      </w:pPr>
    </w:p>
    <w:p w:rsidR="00363B94" w:rsidRPr="00B2268C" w:rsidRDefault="00D409A2">
      <w:pPr>
        <w:pStyle w:val="TOCHeading"/>
      </w:pPr>
      <w:r w:rsidRPr="00B2268C">
        <w:br w:type="page"/>
      </w:r>
      <w:r w:rsidRPr="00B2268C">
        <w:lastRenderedPageBreak/>
        <w:t>CUPRINS</w:t>
      </w:r>
    </w:p>
    <w:p w:rsidR="00363B94" w:rsidRPr="00B2268C" w:rsidRDefault="00D409A2">
      <w:pPr>
        <w:pStyle w:val="TOCPage"/>
      </w:pPr>
      <w:r w:rsidRPr="00B2268C">
        <w:t>Pagina</w:t>
      </w:r>
    </w:p>
    <w:p w:rsidR="00D409A2" w:rsidRDefault="00D409A2">
      <w:pPr>
        <w:pStyle w:val="TOC1"/>
        <w:tabs>
          <w:tab w:val="right" w:leader="dot" w:pos="9060"/>
        </w:tabs>
        <w:rPr>
          <w:rFonts w:asciiTheme="minorHAnsi" w:eastAsiaTheme="minorEastAsia" w:hAnsiTheme="minorHAnsi" w:cstheme="minorBidi"/>
          <w:noProof/>
          <w:sz w:val="22"/>
          <w:szCs w:val="22"/>
          <w:lang w:val="en-GB"/>
        </w:rPr>
      </w:pPr>
      <w:r w:rsidRPr="00B2268C">
        <w:fldChar w:fldCharType="begin"/>
      </w:r>
      <w:r w:rsidRPr="00B2268C">
        <w:instrText xml:space="preserve"> TOC \t "PageHeading</w:instrText>
      </w:r>
      <w:r w:rsidR="00110414" w:rsidRPr="00B2268C">
        <w:instrText>;</w:instrText>
      </w:r>
      <w:r w:rsidRPr="00B2268C">
        <w:instrText xml:space="preserve">1" </w:instrText>
      </w:r>
      <w:r w:rsidRPr="00B2268C">
        <w:fldChar w:fldCharType="separate"/>
      </w:r>
      <w:r>
        <w:rPr>
          <w:noProof/>
        </w:rPr>
        <w:t>PROIECT DE REZOLUȚIE LEGISLATIVĂ A PARLAMENTULUI EUROPEAN</w:t>
      </w:r>
      <w:r>
        <w:rPr>
          <w:noProof/>
        </w:rPr>
        <w:tab/>
      </w:r>
      <w:r>
        <w:rPr>
          <w:noProof/>
        </w:rPr>
        <w:fldChar w:fldCharType="begin"/>
      </w:r>
      <w:r>
        <w:rPr>
          <w:noProof/>
        </w:rPr>
        <w:instrText xml:space="preserve"> PAGEREF _Toc159947192 \h </w:instrText>
      </w:r>
      <w:r>
        <w:rPr>
          <w:noProof/>
        </w:rPr>
      </w:r>
      <w:r>
        <w:rPr>
          <w:noProof/>
        </w:rPr>
        <w:fldChar w:fldCharType="separate"/>
      </w:r>
      <w:r>
        <w:rPr>
          <w:noProof/>
        </w:rPr>
        <w:t>5</w:t>
      </w:r>
      <w:r>
        <w:rPr>
          <w:noProof/>
        </w:rPr>
        <w:fldChar w:fldCharType="end"/>
      </w:r>
    </w:p>
    <w:p w:rsidR="00D409A2" w:rsidRDefault="00D409A2">
      <w:pPr>
        <w:pStyle w:val="TOC1"/>
        <w:tabs>
          <w:tab w:val="right" w:leader="dot" w:pos="9060"/>
        </w:tabs>
        <w:rPr>
          <w:rFonts w:asciiTheme="minorHAnsi" w:eastAsiaTheme="minorEastAsia" w:hAnsiTheme="minorHAnsi" w:cstheme="minorBidi"/>
          <w:noProof/>
          <w:sz w:val="22"/>
          <w:szCs w:val="22"/>
          <w:lang w:val="en-GB"/>
        </w:rPr>
      </w:pPr>
      <w:r>
        <w:rPr>
          <w:noProof/>
        </w:rPr>
        <w:t>EXPUNERE DE MOTIVE</w:t>
      </w:r>
      <w:r>
        <w:rPr>
          <w:noProof/>
        </w:rPr>
        <w:tab/>
      </w:r>
      <w:r>
        <w:rPr>
          <w:noProof/>
        </w:rPr>
        <w:fldChar w:fldCharType="begin"/>
      </w:r>
      <w:r>
        <w:rPr>
          <w:noProof/>
        </w:rPr>
        <w:instrText xml:space="preserve"> PAGEREF _Toc159947193 \h </w:instrText>
      </w:r>
      <w:r>
        <w:rPr>
          <w:noProof/>
        </w:rPr>
      </w:r>
      <w:r>
        <w:rPr>
          <w:noProof/>
        </w:rPr>
        <w:fldChar w:fldCharType="separate"/>
      </w:r>
      <w:r>
        <w:rPr>
          <w:noProof/>
        </w:rPr>
        <w:t>6</w:t>
      </w:r>
      <w:r>
        <w:rPr>
          <w:noProof/>
        </w:rPr>
        <w:fldChar w:fldCharType="end"/>
      </w:r>
    </w:p>
    <w:p w:rsidR="004E1650" w:rsidRPr="00B2268C" w:rsidRDefault="00D409A2" w:rsidP="00F04010">
      <w:r w:rsidRPr="00B2268C">
        <w:fldChar w:fldCharType="end"/>
      </w:r>
    </w:p>
    <w:p w:rsidR="00363B94" w:rsidRPr="00B2268C" w:rsidRDefault="00D409A2" w:rsidP="0006167F">
      <w:pPr>
        <w:pStyle w:val="PageHeading"/>
      </w:pPr>
      <w:r w:rsidRPr="00B2268C">
        <w:br w:type="page"/>
      </w:r>
      <w:r w:rsidRPr="00B2268C">
        <w:lastRenderedPageBreak/>
        <w:br w:type="page"/>
      </w:r>
      <w:bookmarkStart w:id="0" w:name="_Toc159947192"/>
      <w:r w:rsidRPr="00B2268C">
        <w:lastRenderedPageBreak/>
        <w:t>PROIECT DE REZOLUȚIE LEGISLATIVĂ A PARLAMENTULUI EUROPEAN</w:t>
      </w:r>
      <w:bookmarkEnd w:id="0"/>
    </w:p>
    <w:p w:rsidR="00363B94" w:rsidRPr="00B2268C" w:rsidRDefault="00D409A2">
      <w:pPr>
        <w:pStyle w:val="NormalBold"/>
      </w:pPr>
      <w:r w:rsidRPr="00B2268C">
        <w:t>referitoare la proiectul de decizie a Consiliului privind încheierea, în numele Uniunii, a Acordului dintre Uniunea Europeană și Confederația Elveț</w:t>
      </w:r>
      <w:r w:rsidRPr="00B2268C">
        <w:t>iană privind normele suplimentare referitoare la Instrumentul de sprijin financiar pentru managementul frontierelor și politica de vize, ca parte a Fondului de management integrat al frontierelor, pentru perioada 2021-2027</w:t>
      </w:r>
    </w:p>
    <w:p w:rsidR="00363B94" w:rsidRPr="00B2268C" w:rsidRDefault="00D409A2">
      <w:pPr>
        <w:pStyle w:val="NormalBold12a"/>
      </w:pPr>
      <w:r w:rsidRPr="00B2268C">
        <w:t>(12122/2023 – C9</w:t>
      </w:r>
      <w:r w:rsidRPr="00B2268C">
        <w:noBreakHyphen/>
        <w:t xml:space="preserve">0461/2023 – </w:t>
      </w:r>
      <w:r w:rsidRPr="00B2268C">
        <w:t>2023/0229(NLE))</w:t>
      </w:r>
    </w:p>
    <w:p w:rsidR="00363B94" w:rsidRPr="00B2268C" w:rsidRDefault="00D409A2" w:rsidP="00893FBD">
      <w:pPr>
        <w:pStyle w:val="NormalBold"/>
      </w:pPr>
      <w:r w:rsidRPr="00B2268C">
        <w:t>(Procedura de aprobare)</w:t>
      </w:r>
    </w:p>
    <w:p w:rsidR="00363B94" w:rsidRPr="00B2268C" w:rsidRDefault="00D409A2">
      <w:pPr>
        <w:pStyle w:val="EPComma"/>
      </w:pPr>
      <w:r w:rsidRPr="00B2268C">
        <w:rPr>
          <w:i/>
        </w:rPr>
        <w:t>Parlamentul European</w:t>
      </w:r>
      <w:r w:rsidRPr="00B2268C">
        <w:t>,</w:t>
      </w:r>
    </w:p>
    <w:p w:rsidR="00BF7F55" w:rsidRPr="00B2268C" w:rsidRDefault="00D409A2" w:rsidP="00BF7F55">
      <w:pPr>
        <w:pStyle w:val="NormalHanging12a"/>
      </w:pPr>
      <w:r w:rsidRPr="00B2268C">
        <w:t>–</w:t>
      </w:r>
      <w:r w:rsidRPr="00B2268C">
        <w:tab/>
        <w:t>având în vedere proiectul de decizie a Consiliului (12122/2023),</w:t>
      </w:r>
    </w:p>
    <w:p w:rsidR="00363B94" w:rsidRPr="00B2268C" w:rsidRDefault="00D409A2">
      <w:pPr>
        <w:pStyle w:val="NormalHanging12a"/>
      </w:pPr>
      <w:r w:rsidRPr="00B2268C">
        <w:t>–</w:t>
      </w:r>
      <w:r w:rsidRPr="00B2268C">
        <w:tab/>
        <w:t xml:space="preserve">având în vedere proiectul de acord dintre Uniunea Europeană și Confederația Elvețiană privind normele suplimentare </w:t>
      </w:r>
      <w:r w:rsidRPr="00B2268C">
        <w:t>referitoare la Instrumentul de sprijin financiar pentru managementul frontierelor și politica de vize, ca parte a Fondului de management integrat al frontierelor, pentru perioada 2021-2027 (12120/2023),</w:t>
      </w:r>
    </w:p>
    <w:p w:rsidR="00363B94" w:rsidRPr="00B2268C" w:rsidRDefault="00D409A2">
      <w:pPr>
        <w:pStyle w:val="NormalHanging12a"/>
      </w:pPr>
      <w:r w:rsidRPr="00B2268C">
        <w:t>–</w:t>
      </w:r>
      <w:r w:rsidRPr="00B2268C">
        <w:tab/>
        <w:t>având în vedere cererea de aprobare prezentată de C</w:t>
      </w:r>
      <w:r w:rsidRPr="00B2268C">
        <w:t>onsiliu în conformitate cu articolul 77 alineatul (2), articolul 218 alineatul (6) al doilea paragraf litera (a) și articolul 218 alineatul (7) din Tratatul privind funcționarea Uniunii Europene (C9</w:t>
      </w:r>
      <w:r w:rsidRPr="00B2268C">
        <w:noBreakHyphen/>
        <w:t>0461/2023),</w:t>
      </w:r>
    </w:p>
    <w:p w:rsidR="00363B94" w:rsidRPr="00B2268C" w:rsidRDefault="00D409A2">
      <w:pPr>
        <w:pStyle w:val="NormalHanging12a"/>
      </w:pPr>
      <w:r w:rsidRPr="00B2268C">
        <w:t>–</w:t>
      </w:r>
      <w:r w:rsidRPr="00B2268C">
        <w:tab/>
        <w:t>având în vedere articolul 105 alineatele (1</w:t>
      </w:r>
      <w:r w:rsidRPr="00B2268C">
        <w:t>) și (4) și articolul 114 alineatul (7) din Regulamentul său de procedură,</w:t>
      </w:r>
    </w:p>
    <w:p w:rsidR="00363B94" w:rsidRPr="00B2268C" w:rsidRDefault="00D409A2">
      <w:pPr>
        <w:pStyle w:val="NormalHanging12a"/>
      </w:pPr>
      <w:r w:rsidRPr="00B2268C">
        <w:t>–</w:t>
      </w:r>
      <w:r w:rsidRPr="00B2268C">
        <w:tab/>
        <w:t>având în vedere recomandarea Comisiei pentru libertăți civile, justiție și afaceri interne (A9</w:t>
      </w:r>
      <w:r w:rsidRPr="00B2268C">
        <w:noBreakHyphen/>
        <w:t>0000/2024),</w:t>
      </w:r>
    </w:p>
    <w:p w:rsidR="00363B94" w:rsidRPr="00B2268C" w:rsidRDefault="00D409A2">
      <w:pPr>
        <w:pStyle w:val="NormalHanging12a"/>
      </w:pPr>
      <w:r w:rsidRPr="00B2268C">
        <w:t>1.</w:t>
      </w:r>
      <w:r w:rsidRPr="00B2268C">
        <w:tab/>
        <w:t>aprobă încheierea acordului;</w:t>
      </w:r>
    </w:p>
    <w:p w:rsidR="001D02E3" w:rsidRPr="00B2268C" w:rsidRDefault="00D409A2">
      <w:pPr>
        <w:pStyle w:val="NormalHanging12a"/>
      </w:pPr>
      <w:r w:rsidRPr="00B2268C">
        <w:t>2.</w:t>
      </w:r>
      <w:r w:rsidRPr="00B2268C">
        <w:tab/>
        <w:t xml:space="preserve">încredințează Președintei sarcina de </w:t>
      </w:r>
      <w:r w:rsidRPr="00B2268C">
        <w:t>a transmite poziția Parlamentului Consiliului și Comisiei, precum și guvernelor și parlamentelor statelor membre și ale Confederației Elvețiene.</w:t>
      </w:r>
    </w:p>
    <w:p w:rsidR="006950BA" w:rsidRPr="00B2268C" w:rsidRDefault="006950BA" w:rsidP="00822206">
      <w:pPr>
        <w:sectPr w:rsidR="006950BA" w:rsidRPr="00B2268C" w:rsidSect="00B226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B2268C" w:rsidRDefault="00D409A2" w:rsidP="006950BA">
      <w:pPr>
        <w:pStyle w:val="PageHeading"/>
      </w:pPr>
      <w:bookmarkStart w:id="1" w:name="_Toc159947193"/>
      <w:r w:rsidRPr="00B2268C">
        <w:lastRenderedPageBreak/>
        <w:t>EXPUNERE DE MOTIVE</w:t>
      </w:r>
      <w:bookmarkEnd w:id="1"/>
    </w:p>
    <w:p w:rsidR="006950BA" w:rsidRPr="00B2268C" w:rsidRDefault="00D409A2" w:rsidP="00880431">
      <w:pPr>
        <w:jc w:val="both"/>
        <w:rPr>
          <w:sz w:val="22"/>
          <w:szCs w:val="22"/>
        </w:rPr>
      </w:pPr>
      <w:r w:rsidRPr="00B2268C">
        <w:rPr>
          <w:b/>
        </w:rPr>
        <w:t>a. Context</w:t>
      </w:r>
      <w:r w:rsidRPr="00B2268C">
        <w:rPr>
          <w:sz w:val="22"/>
        </w:rPr>
        <w:t xml:space="preserve"> </w:t>
      </w:r>
    </w:p>
    <w:p w:rsidR="006950BA" w:rsidRPr="00B2268C" w:rsidRDefault="006950BA" w:rsidP="00880431">
      <w:pPr>
        <w:jc w:val="both"/>
        <w:rPr>
          <w:sz w:val="22"/>
          <w:szCs w:val="22"/>
        </w:rPr>
      </w:pPr>
    </w:p>
    <w:p w:rsidR="006950BA" w:rsidRPr="00B2268C" w:rsidRDefault="006950BA" w:rsidP="00880431">
      <w:pPr>
        <w:jc w:val="both"/>
      </w:pPr>
    </w:p>
    <w:p w:rsidR="006950BA" w:rsidRPr="00B2268C" w:rsidRDefault="00D409A2" w:rsidP="00880431">
      <w:pPr>
        <w:jc w:val="both"/>
        <w:rPr>
          <w:noProof/>
        </w:rPr>
      </w:pPr>
      <w:r w:rsidRPr="00B2268C">
        <w:t xml:space="preserve">Regulamentul (UE) 2021/1148 al Parlamentului European și al Consiliului de </w:t>
      </w:r>
      <w:r w:rsidRPr="00B2268C">
        <w:t>instituire, ca parte a Fondului de management integrat al frontierelor, a Instrumentului de sprijin financiar pentru managementul frontierelor și politica de vize pentru perioada 2021-2027 (Regulamentul IMFV) a fost adoptat la 7 iulie 2021.</w:t>
      </w:r>
    </w:p>
    <w:p w:rsidR="006950BA" w:rsidRPr="00B2268C" w:rsidRDefault="006950BA" w:rsidP="00880431">
      <w:pPr>
        <w:jc w:val="both"/>
        <w:rPr>
          <w:noProof/>
        </w:rPr>
      </w:pPr>
    </w:p>
    <w:p w:rsidR="006950BA" w:rsidRPr="00B2268C" w:rsidRDefault="00D409A2" w:rsidP="00880431">
      <w:pPr>
        <w:jc w:val="both"/>
        <w:rPr>
          <w:noProof/>
        </w:rPr>
      </w:pPr>
      <w:r w:rsidRPr="00B2268C">
        <w:t>Scopul Regulam</w:t>
      </w:r>
      <w:r w:rsidRPr="00B2268C">
        <w:t>entului IMFV este de a exprima solidaritatea prin finanțarea asistenței acordarea statelor (membre) care aplică dispozițiile acquis-ului Schengen privind frontierele externe. Regulamentul constituie o dezvoltare a acquis-ului Schengen la care participă țăr</w:t>
      </w:r>
      <w:r w:rsidRPr="00B2268C">
        <w:t>ile asociate la punerea în aplicare, asigurarea respectării și dezvoltarea în continuare a acquis-ului Schengen (denumite în continuare „țări asociate spațiului Schengen” sau „țări asociate”).</w:t>
      </w:r>
    </w:p>
    <w:p w:rsidR="006950BA" w:rsidRPr="00B2268C" w:rsidRDefault="006950BA" w:rsidP="00880431">
      <w:pPr>
        <w:jc w:val="both"/>
        <w:rPr>
          <w:noProof/>
        </w:rPr>
      </w:pPr>
    </w:p>
    <w:p w:rsidR="006950BA" w:rsidRPr="00B2268C" w:rsidRDefault="00D409A2" w:rsidP="00880431">
      <w:pPr>
        <w:jc w:val="both"/>
        <w:rPr>
          <w:noProof/>
        </w:rPr>
      </w:pPr>
      <w:r w:rsidRPr="00B2268C">
        <w:t xml:space="preserve">La 11 august 2021, Confederația Elvețiană a notificat decizia </w:t>
      </w:r>
      <w:r w:rsidRPr="00B2268C">
        <w:t>sa de a accepta conținutul Regulamentului IMFV și de a-l pune în aplicare în ordinea sa juridică internă. Comisia a prezentat propunerea de decizie a Consiliului privind semnarea unui acord între UE și Confederația Elvețiană privind normele suplimentare re</w:t>
      </w:r>
      <w:r w:rsidRPr="00B2268C">
        <w:t>feritoare la Instrumentul de sprijin financiar pentru managementul frontierelor și politica de vize înainte de a primi notificarea din partea Elveției cu privire la îndeplinirea cerințelor sale constituționale, pentru a evita scurtarea perioadei de aplicar</w:t>
      </w:r>
      <w:r w:rsidRPr="00B2268C">
        <w:t xml:space="preserve">e efectivă a Regulamentului IMFV în Elveția. În conformitate cu considerentul 75 din Regulamentul IMFV, încheierea unui astfel de aranjament ar trebui să aibă loc după ce țara în cauză informează în scris cu privire la îndeplinirea tuturor cerințelor sale </w:t>
      </w:r>
      <w:r w:rsidRPr="00B2268C">
        <w:t>interne.</w:t>
      </w:r>
    </w:p>
    <w:p w:rsidR="006950BA" w:rsidRPr="00B2268C" w:rsidRDefault="006950BA" w:rsidP="00880431">
      <w:pPr>
        <w:jc w:val="both"/>
        <w:rPr>
          <w:noProof/>
        </w:rPr>
      </w:pPr>
    </w:p>
    <w:p w:rsidR="006950BA" w:rsidRPr="00B2268C" w:rsidRDefault="00D409A2" w:rsidP="00880431">
      <w:pPr>
        <w:jc w:val="both"/>
        <w:rPr>
          <w:noProof/>
        </w:rPr>
      </w:pPr>
      <w:r w:rsidRPr="00B2268C">
        <w:t>Articolul 7 alineatul (6) din Regulamentul IMFV prevede că ar trebui să se încheie „aranjamente” pentru a se preciza natura și modalitățile de participare în cadrul IMFV a țărilor asociate la punerea în aplicare, asigurarea respectării și dezvolt</w:t>
      </w:r>
      <w:r w:rsidRPr="00B2268C">
        <w:t>area acquis-ului Schengen, în conformitate cu dispozițiile relevante ale acordurilor lor de asociere respective. Aceste aranjamente iau forma unor acorduri încheiate de Uniune cu țările asociate spațiului Schengen în conformitate cu articolul 216 din TFUE.</w:t>
      </w:r>
      <w:r w:rsidRPr="00B2268C">
        <w:t xml:space="preserve"> </w:t>
      </w:r>
    </w:p>
    <w:p w:rsidR="006950BA" w:rsidRPr="00B2268C" w:rsidRDefault="006950BA" w:rsidP="00880431">
      <w:pPr>
        <w:jc w:val="both"/>
      </w:pPr>
    </w:p>
    <w:p w:rsidR="006950BA" w:rsidRPr="00B2268C" w:rsidRDefault="00D409A2" w:rsidP="00880431">
      <w:pPr>
        <w:jc w:val="both"/>
      </w:pPr>
      <w:r w:rsidRPr="00B2268C">
        <w:t>La 21 februarie 2022, Consiliul a autorizat Comisia să înceapă negocieri</w:t>
      </w:r>
      <w:r w:rsidRPr="00B2268C">
        <w:rPr>
          <w:rStyle w:val="FootnoteReference"/>
          <w:b w:val="0"/>
        </w:rPr>
        <w:footnoteReference w:id="1"/>
      </w:r>
      <w:r w:rsidRPr="00B2268C">
        <w:t xml:space="preserve"> cu Islanda, cu Regatul Norvegiei, cu Confederația Elvețiană și cu Principatul Liechtenstein în vederea încheierii, în temeiul Regulamentului (UE) 2021/1148 al Parlamentului Europe</w:t>
      </w:r>
      <w:r w:rsidRPr="00B2268C">
        <w:t>an și al Consiliului</w:t>
      </w:r>
      <w:r w:rsidRPr="00B2268C">
        <w:rPr>
          <w:rStyle w:val="FootnoteReference"/>
          <w:b w:val="0"/>
        </w:rPr>
        <w:footnoteReference w:id="2"/>
      </w:r>
      <w:r w:rsidRPr="00B2268C">
        <w:t xml:space="preserve">, a unor aranjamente privind </w:t>
      </w:r>
      <w:bookmarkStart w:id="3" w:name="_Hlk132892775"/>
      <w:r w:rsidRPr="00B2268C">
        <w:t xml:space="preserve">contribuțiile financiare ale țărilor respective și privind normele </w:t>
      </w:r>
      <w:r w:rsidRPr="00B2268C">
        <w:lastRenderedPageBreak/>
        <w:t>suplimentare necesare participării acestora</w:t>
      </w:r>
      <w:bookmarkEnd w:id="3"/>
      <w:r w:rsidRPr="00B2268C">
        <w:t xml:space="preserve"> la Instrumentul de sprijin financiar pentru managementul frontierelor și politica de vize pentr</w:t>
      </w:r>
      <w:r w:rsidRPr="00B2268C">
        <w:t>u perioada 2021-2027, inclusiv dispozițiile care asigură protecția intereselor financiare ale Uniunii și competențele de audit ale Curții de Conturi. Negocierile cu Confederația Elvețiană s-au finalizat cu succes prin parafarea acordului la 14 februarie 20</w:t>
      </w:r>
      <w:r w:rsidRPr="00B2268C">
        <w:t>23.</w:t>
      </w:r>
    </w:p>
    <w:p w:rsidR="006950BA" w:rsidRPr="00B2268C" w:rsidRDefault="006950BA" w:rsidP="00880431">
      <w:pPr>
        <w:jc w:val="both"/>
      </w:pPr>
    </w:p>
    <w:p w:rsidR="006950BA" w:rsidRPr="00B2268C" w:rsidRDefault="00D409A2" w:rsidP="00880431">
      <w:pPr>
        <w:jc w:val="both"/>
      </w:pPr>
      <w:r w:rsidRPr="00B2268C">
        <w:t>La 10 iulie 2023, Comisia a prezentat Consiliului o propunere de decizie a Consiliului privind încheierea, în numele Uniunii Europene, a Acordului dintre Uniunea Europeană și Confederația Elvețiană privind normele suplimentare referitoare la Instrumen</w:t>
      </w:r>
      <w:r w:rsidRPr="00B2268C">
        <w:t>tul de sprijin financiar pentru managementul frontierelor și politica de vize, ca parte a Fondului de management integrat al frontierelor.</w:t>
      </w:r>
    </w:p>
    <w:p w:rsidR="006950BA" w:rsidRPr="00B2268C" w:rsidRDefault="006950BA" w:rsidP="00880431">
      <w:pPr>
        <w:jc w:val="both"/>
      </w:pPr>
    </w:p>
    <w:p w:rsidR="006950BA" w:rsidRPr="00B2268C" w:rsidRDefault="00D409A2" w:rsidP="00880431">
      <w:pPr>
        <w:jc w:val="both"/>
      </w:pPr>
      <w:r w:rsidRPr="00B2268C">
        <w:t>La 28 septembrie 2023, Consiliul a adoptat o decizie privind semnarea, în numele Uniunii, a Acordului dintre Uniunea</w:t>
      </w:r>
      <w:r w:rsidRPr="00B2268C">
        <w:t xml:space="preserve"> Europeană și Confederația Elvețiană privind normele suplimentare referitoare la Instrumentul de sprijin financiar pentru managementul frontierelor și politica de vize, ca parte a Fondului de management integrat al frontierelor, pentru perioada 2021-2027. </w:t>
      </w:r>
      <w:r w:rsidRPr="00B2268C">
        <w:t>Acordul a fost semnat la 28 noiembrie 2023, la Bruxelles.</w:t>
      </w:r>
    </w:p>
    <w:p w:rsidR="006950BA" w:rsidRPr="00B2268C" w:rsidRDefault="006950BA" w:rsidP="00880431">
      <w:pPr>
        <w:jc w:val="both"/>
      </w:pPr>
    </w:p>
    <w:p w:rsidR="006950BA" w:rsidRPr="00B2268C" w:rsidRDefault="00D409A2" w:rsidP="00880431">
      <w:pPr>
        <w:jc w:val="both"/>
      </w:pPr>
      <w:r w:rsidRPr="00B2268C">
        <w:t>La 7 decembrie 2023, Consiliul a solicitat Parlamentului European să aprobe proiectul de decizie a Consiliului privind încheierea acordului menționat mai sus.</w:t>
      </w:r>
    </w:p>
    <w:p w:rsidR="006950BA" w:rsidRPr="00B2268C" w:rsidRDefault="006950BA" w:rsidP="00880431">
      <w:pPr>
        <w:jc w:val="both"/>
        <w:rPr>
          <w:sz w:val="22"/>
          <w:szCs w:val="22"/>
        </w:rPr>
      </w:pPr>
    </w:p>
    <w:p w:rsidR="006950BA" w:rsidRPr="00B2268C" w:rsidRDefault="006950BA" w:rsidP="00880431">
      <w:pPr>
        <w:jc w:val="both"/>
        <w:rPr>
          <w:sz w:val="22"/>
          <w:szCs w:val="22"/>
        </w:rPr>
      </w:pPr>
    </w:p>
    <w:p w:rsidR="006950BA" w:rsidRPr="00B2268C" w:rsidRDefault="00D409A2" w:rsidP="00880431">
      <w:pPr>
        <w:jc w:val="both"/>
      </w:pPr>
      <w:r w:rsidRPr="00B2268C">
        <w:rPr>
          <w:b/>
        </w:rPr>
        <w:t>b. Poziția raportoarei</w:t>
      </w:r>
    </w:p>
    <w:p w:rsidR="006950BA" w:rsidRPr="00B2268C" w:rsidRDefault="006950BA" w:rsidP="00880431">
      <w:pPr>
        <w:jc w:val="both"/>
      </w:pPr>
    </w:p>
    <w:p w:rsidR="006950BA" w:rsidRPr="00B2268C" w:rsidRDefault="00D409A2" w:rsidP="00880431">
      <w:pPr>
        <w:jc w:val="both"/>
      </w:pPr>
      <w:r w:rsidRPr="00B2268C">
        <w:t>Instrumentul</w:t>
      </w:r>
      <w:r w:rsidRPr="00B2268C">
        <w:t xml:space="preserve"> de sprijin financiar pentru managementul frontierelor și politica de vize, ca parte a Fondului de management integrat al frontierelor, constituie un instrument specific în contextul acquis-ului Schengen, menit să asigure un management european integrat so</w:t>
      </w:r>
      <w:r w:rsidRPr="00B2268C">
        <w:t xml:space="preserve">lid și eficace al frontierelor externe, garantând totodată libera circulație a persoanelor, cu respectarea deplină a angajamentelor statelor membre și ale țărilor asociate privind drepturile fundamentale, precum și să sprijine punerea în aplicare uniformă </w:t>
      </w:r>
      <w:r w:rsidRPr="00B2268C">
        <w:t>și modernizarea politicii comune a vizelor, contribuind astfel la garantarea unui nivel ridicat de securitate în statele membre și în țările asociate.</w:t>
      </w:r>
    </w:p>
    <w:p w:rsidR="006950BA" w:rsidRPr="00B2268C" w:rsidRDefault="006950BA" w:rsidP="00880431">
      <w:pPr>
        <w:jc w:val="both"/>
      </w:pPr>
    </w:p>
    <w:p w:rsidR="006950BA" w:rsidRPr="00B2268C" w:rsidRDefault="00D409A2" w:rsidP="00880431">
      <w:pPr>
        <w:jc w:val="both"/>
      </w:pPr>
      <w:r w:rsidRPr="00B2268C">
        <w:t xml:space="preserve">Raportoarea este de acord că IMFV oferă posibilitatea de a pune în aplicare acțiuni în cadrul gestiunii </w:t>
      </w:r>
      <w:r w:rsidRPr="00B2268C">
        <w:t>partajate și al modalităților de gestiune directă și indirectă, iar acordul ar trebui să permită ca punerea în aplicare prin oricare dintre aceste metode să poată fi realizată în Elveția în conformitate cu principiile și normele Uniunii privind gestiunea f</w:t>
      </w:r>
      <w:r w:rsidRPr="00B2268C">
        <w:t>inanciară și controlul.</w:t>
      </w:r>
    </w:p>
    <w:p w:rsidR="006950BA" w:rsidRPr="00B2268C" w:rsidRDefault="006950BA" w:rsidP="00880431">
      <w:pPr>
        <w:jc w:val="both"/>
      </w:pPr>
    </w:p>
    <w:p w:rsidR="006950BA" w:rsidRPr="00B2268C" w:rsidRDefault="00D409A2" w:rsidP="00880431">
      <w:pPr>
        <w:jc w:val="both"/>
      </w:pPr>
      <w:r w:rsidRPr="00B2268C">
        <w:t>Raportoarea consideră, de asemenea, că având în vedere natura specifică a acquis-ului Schengen și importanța aplicării sale uniforme pentru integritatea spațiului Schengen, toate normele aplicabile pentru gestionarea programelor ar</w:t>
      </w:r>
      <w:r w:rsidRPr="00B2268C">
        <w:t xml:space="preserve"> trebui să se aplice în cazul Elveției în același mod ca și în cazul statelor membre.</w:t>
      </w:r>
    </w:p>
    <w:p w:rsidR="006950BA" w:rsidRPr="00B2268C" w:rsidRDefault="006950BA" w:rsidP="00880431">
      <w:pPr>
        <w:jc w:val="both"/>
      </w:pPr>
    </w:p>
    <w:p w:rsidR="006950BA" w:rsidRPr="00B2268C" w:rsidRDefault="00D409A2" w:rsidP="00880431">
      <w:pPr>
        <w:jc w:val="both"/>
      </w:pPr>
      <w:r w:rsidRPr="00B2268C">
        <w:t xml:space="preserve">Raportoarea consideră că încheierea de acorduri oficiale și obligatorii din punct de vedere juridic în cadrul cooperării cu țările asociate, spre deosebire de alte </w:t>
      </w:r>
      <w:r w:rsidRPr="00B2268C">
        <w:t>tipuri de aranjamente, are o importanță crucială pentru a asigura transparența, controlul public și supravegherea democratică. Acest lucru este deosebit de important atunci când este vorba despre utilizarea bugetului UE.</w:t>
      </w:r>
    </w:p>
    <w:p w:rsidR="006950BA" w:rsidRPr="00B2268C" w:rsidRDefault="006950BA" w:rsidP="006950BA"/>
    <w:p w:rsidR="006950BA" w:rsidRPr="00B2268C" w:rsidRDefault="00D409A2" w:rsidP="00880431">
      <w:pPr>
        <w:jc w:val="both"/>
      </w:pPr>
      <w:r w:rsidRPr="00B2268C">
        <w:t>Ar trebui respectate în continuare</w:t>
      </w:r>
      <w:r w:rsidRPr="00B2268C">
        <w:t xml:space="preserve"> și alte dispoziții specifice. </w:t>
      </w:r>
      <w:r w:rsidRPr="00B2268C">
        <w:rPr>
          <w:shd w:val="clear" w:color="auto" w:fill="FFFFFF"/>
        </w:rPr>
        <w:t xml:space="preserve">În temeiul acordurilor de asociere </w:t>
      </w:r>
      <w:r w:rsidRPr="00B2268C">
        <w:rPr>
          <w:shd w:val="clear" w:color="auto" w:fill="FFFFFF"/>
        </w:rPr>
        <w:lastRenderedPageBreak/>
        <w:t xml:space="preserve">la spațiul Shengen, </w:t>
      </w:r>
      <w:r w:rsidRPr="00B2268C">
        <w:t>Elveția</w:t>
      </w:r>
      <w:r w:rsidRPr="00B2268C">
        <w:rPr>
          <w:shd w:val="clear" w:color="auto" w:fill="FFFFFF"/>
        </w:rPr>
        <w:t xml:space="preserve"> trebuie să accepte integral măsurile Uniunii, inclusiv </w:t>
      </w:r>
      <w:r w:rsidRPr="00B2268C">
        <w:t>Regulamentul IMFV, care dezvoltă sau sunt elaborate pe baza acquis-ului Schengen și să ia măsurile necesare</w:t>
      </w:r>
      <w:r w:rsidRPr="00B2268C">
        <w:t xml:space="preserve"> pentru a asigura respectarea dispozițiilor relevante pentru gestiunea financiară și control prevăzute în TFUE și în legislația Uniunii care își are temeiul juridic în TFUE.</w:t>
      </w:r>
      <w:r w:rsidRPr="00B2268C">
        <w:br/>
        <w:t xml:space="preserve">Acordurile introduc, de asemenea, mecanisme specifice care permit adaptări rapide </w:t>
      </w:r>
      <w:r w:rsidRPr="00B2268C">
        <w:t xml:space="preserve">ale acordului cu Elveția în cazul unor modificări ale principalelor acte legislative ale Uniunii relevante pentru punerea în aplicare, cum ar fi Regulamentul financiar și Regulamentul privind dispozițiile comune. Acordul asigură, de asemenea, faptul că în </w:t>
      </w:r>
      <w:r w:rsidRPr="00B2268C">
        <w:t>cadrul evaluării la jumătatea perioadei a IMFV, se ține seama de participarea întârziată a țărilor asociate spațiului Schengen.</w:t>
      </w:r>
    </w:p>
    <w:p w:rsidR="006950BA" w:rsidRPr="00B2268C" w:rsidRDefault="006950BA" w:rsidP="00880431">
      <w:pPr>
        <w:jc w:val="both"/>
      </w:pPr>
    </w:p>
    <w:p w:rsidR="006950BA" w:rsidRPr="00B2268C" w:rsidRDefault="00D409A2" w:rsidP="00880431">
      <w:pPr>
        <w:jc w:val="both"/>
      </w:pPr>
      <w:r w:rsidRPr="00B2268C">
        <w:t>În plus, în ceea ce privește controalele bugetare și financiare, statele membre se supun unor obligații orizontale [de exemplu,</w:t>
      </w:r>
      <w:r w:rsidRPr="00B2268C">
        <w:t xml:space="preserve"> competența Curții de Conturi, a Oficiului European de Luptă Antifraudă (OLAF), a EPPO și a Comisiei], care decurg fie direct din tratat, fie din legislația secundară a Uniunii, inclusiv din Regulamentul privind dispozițiile comune, astfel cum se menționea</w:t>
      </w:r>
      <w:r w:rsidRPr="00B2268C">
        <w:t>ză mai sus. Aceste obligații se aplică ipso facto statelor membre și, prin urmare, nu sunt prevăzute în Regulamentul IMFV. În consecință, aceste obligații trebuie extinse la Elveția prin intermediul acordului care face obiectul prezentei propuneri.</w:t>
      </w:r>
    </w:p>
    <w:p w:rsidR="006950BA" w:rsidRPr="00B2268C" w:rsidRDefault="00D409A2" w:rsidP="00880431">
      <w:pPr>
        <w:jc w:val="both"/>
      </w:pPr>
      <w:r w:rsidRPr="00B2268C">
        <w:br/>
        <w:t>În cel</w:t>
      </w:r>
      <w:r w:rsidRPr="00B2268C">
        <w:t>e din urmă, acordul conține și o dispoziție privind Sistemul european de informații și de autorizare privind călătoriile (ETIAS). </w:t>
      </w:r>
    </w:p>
    <w:p w:rsidR="006950BA" w:rsidRPr="00B2268C" w:rsidRDefault="006950BA" w:rsidP="00880431">
      <w:pPr>
        <w:jc w:val="both"/>
        <w:rPr>
          <w:rFonts w:ascii="Arial" w:hAnsi="Arial" w:cs="Arial"/>
          <w:color w:val="222222"/>
          <w:spacing w:val="4"/>
          <w:sz w:val="21"/>
          <w:szCs w:val="21"/>
          <w:shd w:val="clear" w:color="auto" w:fill="FFFFFF"/>
        </w:rPr>
      </w:pPr>
    </w:p>
    <w:p w:rsidR="006950BA" w:rsidRPr="00B2268C" w:rsidRDefault="00D409A2" w:rsidP="00880431">
      <w:pPr>
        <w:jc w:val="both"/>
      </w:pPr>
      <w:r w:rsidRPr="00B2268C">
        <w:t xml:space="preserve">În concluzie, raportoarea consideră că este potrivit să se introducă un acord care să stabilească normele suplimentare </w:t>
      </w:r>
      <w:r w:rsidRPr="00B2268C">
        <w:t xml:space="preserve">necesare pentru participarea Confederației Elvețiene la Instrumentul de sprijin financiar pentru managementul frontierelor și politica de vize („IMFV”), ca parte a Fondului de management integrat al frontierelor pentru perioada de programare 2021-2027, în </w:t>
      </w:r>
      <w:r w:rsidRPr="00B2268C">
        <w:t>conformitate cu articolul 7 alineatul (6) din Regulamentul (UE) 2021/1148 („Regulamentul IMFV”).</w:t>
      </w:r>
    </w:p>
    <w:p w:rsidR="006950BA" w:rsidRPr="00B2268C" w:rsidRDefault="006950BA" w:rsidP="00880431">
      <w:pPr>
        <w:jc w:val="both"/>
      </w:pPr>
    </w:p>
    <w:p w:rsidR="006950BA" w:rsidRPr="00B2268C" w:rsidRDefault="00D409A2" w:rsidP="00880431">
      <w:pPr>
        <w:jc w:val="both"/>
      </w:pPr>
      <w:r w:rsidRPr="00B2268C">
        <w:t>Având în vedere cele de mai sus, raportoarea recomandă ca Parlamentul să aprobe proiectul de decizie a Consiliului</w:t>
      </w:r>
      <w:bookmarkStart w:id="4" w:name="AM0"/>
      <w:bookmarkEnd w:id="4"/>
      <w:r w:rsidRPr="00B2268C">
        <w:t xml:space="preserve"> și îi încredințează Președintei sarcina să </w:t>
      </w:r>
      <w:r w:rsidRPr="00B2268C">
        <w:t>transmită poziția sa Consiliului, Comisiei și guvernelor și parlamentelor statelor membre.</w:t>
      </w:r>
    </w:p>
    <w:p w:rsidR="006950BA" w:rsidRPr="00B2268C" w:rsidRDefault="006950BA" w:rsidP="00880431">
      <w:pPr>
        <w:jc w:val="both"/>
        <w:rPr>
          <w:sz w:val="22"/>
          <w:szCs w:val="22"/>
        </w:rPr>
      </w:pPr>
    </w:p>
    <w:p w:rsidR="006950BA" w:rsidRPr="00B2268C" w:rsidRDefault="006950BA" w:rsidP="00880431">
      <w:pPr>
        <w:jc w:val="both"/>
      </w:pPr>
    </w:p>
    <w:p w:rsidR="006950BA" w:rsidRPr="00B2268C" w:rsidRDefault="006950BA" w:rsidP="00880431">
      <w:pPr>
        <w:jc w:val="both"/>
      </w:pPr>
    </w:p>
    <w:sectPr w:rsidR="006950BA" w:rsidRPr="00B2268C" w:rsidSect="006950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2268C" w:rsidRDefault="00D409A2">
      <w:r w:rsidRPr="00B2268C">
        <w:separator/>
      </w:r>
    </w:p>
  </w:endnote>
  <w:endnote w:type="continuationSeparator" w:id="0">
    <w:p w:rsidR="00000000" w:rsidRPr="00B2268C" w:rsidRDefault="00D409A2">
      <w:r w:rsidRPr="00B226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68C" w:rsidRPr="00B2268C" w:rsidRDefault="00B2268C" w:rsidP="00B2268C">
    <w:pPr>
      <w:pStyle w:val="EPFooter"/>
    </w:pPr>
    <w:r w:rsidRPr="00B2268C">
      <w:t>PE</w:t>
    </w:r>
    <w:r w:rsidRPr="00B2268C">
      <w:rPr>
        <w:rStyle w:val="HideTWBExt"/>
      </w:rPr>
      <w:t>&lt;NoPE&gt;</w:t>
    </w:r>
    <w:r w:rsidRPr="00B2268C">
      <w:t>758.913</w:t>
    </w:r>
    <w:r w:rsidRPr="00B2268C">
      <w:rPr>
        <w:rStyle w:val="HideTWBExt"/>
      </w:rPr>
      <w:t>&lt;/NoPE&gt;&lt;Version&gt;</w:t>
    </w:r>
    <w:r w:rsidRPr="00B2268C">
      <w:t>v01-00</w:t>
    </w:r>
    <w:r w:rsidRPr="00B2268C">
      <w:rPr>
        <w:rStyle w:val="HideTWBExt"/>
      </w:rPr>
      <w:t>&lt;/Version&gt;</w:t>
    </w:r>
    <w:r w:rsidRPr="00B2268C">
      <w:tab/>
    </w:r>
    <w:r w:rsidRPr="00B2268C">
      <w:fldChar w:fldCharType="begin"/>
    </w:r>
    <w:r w:rsidRPr="00B2268C">
      <w:instrText xml:space="preserve"> PAGE  \* MERGEFORMAT </w:instrText>
    </w:r>
    <w:r w:rsidRPr="00B2268C">
      <w:fldChar w:fldCharType="separate"/>
    </w:r>
    <w:r w:rsidR="00D409A2">
      <w:rPr>
        <w:noProof/>
      </w:rPr>
      <w:t>6</w:t>
    </w:r>
    <w:r w:rsidRPr="00B2268C">
      <w:fldChar w:fldCharType="end"/>
    </w:r>
    <w:r w:rsidRPr="00B2268C">
      <w:t>/</w:t>
    </w:r>
    <w:fldSimple w:instr=" NUMPAGES  \* MERGEFORMAT ">
      <w:r w:rsidR="00D409A2">
        <w:rPr>
          <w:noProof/>
        </w:rPr>
        <w:t>8</w:t>
      </w:r>
    </w:fldSimple>
    <w:r w:rsidRPr="00B2268C">
      <w:tab/>
    </w:r>
    <w:r w:rsidRPr="00B2268C">
      <w:rPr>
        <w:rStyle w:val="HideTWBExt"/>
      </w:rPr>
      <w:t>&lt;PathFdR&gt;</w:t>
    </w:r>
    <w:r w:rsidRPr="00B2268C">
      <w:t>PR\1296234RO.docx</w:t>
    </w:r>
    <w:r w:rsidRPr="00B2268C">
      <w:rPr>
        <w:rStyle w:val="HideTWBExt"/>
      </w:rPr>
      <w:t>&lt;/PathFdR&gt;</w:t>
    </w:r>
  </w:p>
  <w:p w:rsidR="0085501C" w:rsidRPr="00B2268C" w:rsidRDefault="00B2268C" w:rsidP="00B2268C">
    <w:pPr>
      <w:pStyle w:val="EPFooter2"/>
    </w:pPr>
    <w:r w:rsidRPr="00B2268C">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68C" w:rsidRPr="00B2268C" w:rsidRDefault="00B2268C" w:rsidP="00B2268C">
    <w:pPr>
      <w:pStyle w:val="EPFooter"/>
    </w:pPr>
    <w:r w:rsidRPr="00B2268C">
      <w:rPr>
        <w:rStyle w:val="HideTWBExt"/>
      </w:rPr>
      <w:t>&lt;PathFdR&gt;</w:t>
    </w:r>
    <w:r w:rsidRPr="00B2268C">
      <w:t>PR\1296234RO.docx</w:t>
    </w:r>
    <w:r w:rsidRPr="00B2268C">
      <w:rPr>
        <w:rStyle w:val="HideTWBExt"/>
      </w:rPr>
      <w:t>&lt;/PathFdR&gt;</w:t>
    </w:r>
    <w:r w:rsidRPr="00B2268C">
      <w:tab/>
    </w:r>
    <w:r w:rsidRPr="00B2268C">
      <w:fldChar w:fldCharType="begin"/>
    </w:r>
    <w:r w:rsidRPr="00B2268C">
      <w:instrText xml:space="preserve"> PAGE  \* MERGEFORMAT </w:instrText>
    </w:r>
    <w:r w:rsidRPr="00B2268C">
      <w:fldChar w:fldCharType="separate"/>
    </w:r>
    <w:r w:rsidR="00D409A2">
      <w:rPr>
        <w:noProof/>
      </w:rPr>
      <w:t>7</w:t>
    </w:r>
    <w:r w:rsidRPr="00B2268C">
      <w:fldChar w:fldCharType="end"/>
    </w:r>
    <w:r w:rsidRPr="00B2268C">
      <w:t>/</w:t>
    </w:r>
    <w:fldSimple w:instr=" NUMPAGES  \* MERGEFORMAT ">
      <w:r w:rsidR="00D409A2">
        <w:rPr>
          <w:noProof/>
        </w:rPr>
        <w:t>8</w:t>
      </w:r>
    </w:fldSimple>
    <w:r w:rsidRPr="00B2268C">
      <w:tab/>
      <w:t>PE</w:t>
    </w:r>
    <w:r w:rsidRPr="00B2268C">
      <w:rPr>
        <w:rStyle w:val="HideTWBExt"/>
      </w:rPr>
      <w:t>&lt;NoPE&gt;</w:t>
    </w:r>
    <w:r w:rsidRPr="00B2268C">
      <w:t>758.913</w:t>
    </w:r>
    <w:r w:rsidRPr="00B2268C">
      <w:rPr>
        <w:rStyle w:val="HideTWBExt"/>
      </w:rPr>
      <w:t>&lt;/NoPE&gt;&lt;Version&gt;</w:t>
    </w:r>
    <w:r w:rsidRPr="00B2268C">
      <w:t>v01-00</w:t>
    </w:r>
    <w:r w:rsidRPr="00B2268C">
      <w:rPr>
        <w:rStyle w:val="HideTWBExt"/>
      </w:rPr>
      <w:t>&lt;/Version&gt;</w:t>
    </w:r>
  </w:p>
  <w:p w:rsidR="0085501C" w:rsidRPr="00B2268C" w:rsidRDefault="00B2268C" w:rsidP="00B2268C">
    <w:pPr>
      <w:pStyle w:val="EPFooter2"/>
    </w:pPr>
    <w:r w:rsidRPr="00B2268C">
      <w:tab/>
    </w:r>
    <w:r w:rsidRPr="00B2268C">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68C" w:rsidRPr="00B2268C" w:rsidRDefault="00B2268C" w:rsidP="00B2268C">
    <w:pPr>
      <w:pStyle w:val="EPFooter"/>
    </w:pPr>
    <w:r w:rsidRPr="00B2268C">
      <w:rPr>
        <w:rStyle w:val="HideTWBExt"/>
      </w:rPr>
      <w:t>&lt;PathFdR&gt;</w:t>
    </w:r>
    <w:r w:rsidRPr="00B2268C">
      <w:t>PR\1296234RO.docx</w:t>
    </w:r>
    <w:r w:rsidRPr="00B2268C">
      <w:rPr>
        <w:rStyle w:val="HideTWBExt"/>
      </w:rPr>
      <w:t>&lt;/PathFdR&gt;</w:t>
    </w:r>
    <w:r w:rsidRPr="00B2268C">
      <w:tab/>
    </w:r>
    <w:r w:rsidRPr="00B2268C">
      <w:tab/>
      <w:t>PE</w:t>
    </w:r>
    <w:r w:rsidRPr="00B2268C">
      <w:rPr>
        <w:rStyle w:val="HideTWBExt"/>
      </w:rPr>
      <w:t>&lt;NoPE&gt;</w:t>
    </w:r>
    <w:r w:rsidRPr="00B2268C">
      <w:t>758.913</w:t>
    </w:r>
    <w:r w:rsidRPr="00B2268C">
      <w:rPr>
        <w:rStyle w:val="HideTWBExt"/>
      </w:rPr>
      <w:t>&lt;/NoPE&gt;&lt;Version&gt;</w:t>
    </w:r>
    <w:r w:rsidRPr="00B2268C">
      <w:t>v01-00</w:t>
    </w:r>
    <w:r w:rsidRPr="00B2268C">
      <w:rPr>
        <w:rStyle w:val="HideTWBExt"/>
      </w:rPr>
      <w:t>&lt;/Version&gt;</w:t>
    </w:r>
  </w:p>
  <w:p w:rsidR="0085501C" w:rsidRPr="00B2268C" w:rsidRDefault="00B2268C" w:rsidP="00B2268C">
    <w:pPr>
      <w:pStyle w:val="EPFooter2"/>
    </w:pPr>
    <w:r w:rsidRPr="00B2268C">
      <w:t>RO</w:t>
    </w:r>
    <w:r w:rsidRPr="00B2268C">
      <w:tab/>
    </w:r>
    <w:r w:rsidRPr="00B2268C">
      <w:rPr>
        <w:b w:val="0"/>
        <w:i/>
        <w:color w:val="C0C0C0"/>
        <w:sz w:val="22"/>
      </w:rPr>
      <w:t>Unită în diversitate</w:t>
    </w:r>
    <w:r w:rsidRPr="00B2268C">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DCE" w:rsidRPr="00B2268C" w:rsidRDefault="00D409A2">
      <w:r w:rsidRPr="00B2268C">
        <w:separator/>
      </w:r>
    </w:p>
  </w:footnote>
  <w:footnote w:type="continuationSeparator" w:id="0">
    <w:p w:rsidR="00763DCE" w:rsidRPr="00B2268C" w:rsidRDefault="00D409A2">
      <w:r w:rsidRPr="00B2268C">
        <w:continuationSeparator/>
      </w:r>
    </w:p>
  </w:footnote>
  <w:footnote w:id="1">
    <w:p w:rsidR="006950BA" w:rsidRPr="00B2268C" w:rsidRDefault="00D409A2" w:rsidP="00880431">
      <w:pPr>
        <w:pStyle w:val="FootnoteText"/>
        <w:jc w:val="both"/>
      </w:pPr>
      <w:r w:rsidRPr="00B2268C">
        <w:rPr>
          <w:rStyle w:val="FootnoteReference"/>
          <w:b w:val="0"/>
        </w:rPr>
        <w:footnoteRef/>
      </w:r>
      <w:r w:rsidRPr="00B2268C">
        <w:t xml:space="preserve"> </w:t>
      </w:r>
      <w:r w:rsidRPr="00B2268C">
        <w:tab/>
      </w:r>
      <w:r w:rsidRPr="00D409A2">
        <w:rPr>
          <w:sz w:val="20"/>
        </w:rPr>
        <w:t>Decizia (UE) 2022/442 a Consiliului din 21 februarie 2022 de autorizare a începerii negocierilor cu Islanda, Regatul Norvegiei, Confederația Elvețiană și P</w:t>
      </w:r>
      <w:r w:rsidRPr="00D409A2">
        <w:rPr>
          <w:sz w:val="20"/>
        </w:rPr>
        <w:t>rincipatul Liechtenstein în vederea încheierii unor acorduri între Uniunea Europeană și respectivele țări privind normele suplimentare referitoare la Instrumentul de sprijin financiar pentru managementul frontierelor și politica de vize, ca parte a Fondulu</w:t>
      </w:r>
      <w:r w:rsidRPr="00D409A2">
        <w:rPr>
          <w:sz w:val="20"/>
        </w:rPr>
        <w:t>i de management integrat al frontierelor (JO L 90, 18.3.2022, p. 116)</w:t>
      </w:r>
      <w:r w:rsidRPr="00B2268C">
        <w:t>.</w:t>
      </w:r>
    </w:p>
  </w:footnote>
  <w:footnote w:id="2">
    <w:p w:rsidR="006950BA" w:rsidRPr="00B2268C" w:rsidRDefault="00D409A2" w:rsidP="00880431">
      <w:pPr>
        <w:pStyle w:val="FootnoteText"/>
        <w:jc w:val="both"/>
      </w:pPr>
      <w:r w:rsidRPr="00B2268C">
        <w:rPr>
          <w:rStyle w:val="FootnoteReference"/>
          <w:b w:val="0"/>
        </w:rPr>
        <w:footnoteRef/>
      </w:r>
      <w:r w:rsidRPr="00B2268C">
        <w:t xml:space="preserve"> </w:t>
      </w:r>
      <w:r w:rsidRPr="00B2268C">
        <w:tab/>
      </w:r>
      <w:r w:rsidRPr="00D409A2">
        <w:rPr>
          <w:sz w:val="20"/>
        </w:rPr>
        <w:t>Regulamentul (UE) 2021/1148 al Parlamentului European și al Consiliului din 7 iulie 2021 de instituire, ca parte a Fondului de management integrat al frontierelor, a Instrumentului d</w:t>
      </w:r>
      <w:r w:rsidRPr="00D409A2">
        <w:rPr>
          <w:sz w:val="20"/>
        </w:rPr>
        <w:t>e sprijin financiar pentru managementul frontie</w:t>
      </w:r>
      <w:bookmarkStart w:id="2" w:name="_GoBack"/>
      <w:bookmarkEnd w:id="2"/>
      <w:r w:rsidRPr="00D409A2">
        <w:rPr>
          <w:sz w:val="20"/>
        </w:rPr>
        <w:t>relor și politica de vize (JO L 251, 15.7.2021, p.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9A2" w:rsidRDefault="00D409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9A2" w:rsidRDefault="00D409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9A2" w:rsidRDefault="00D409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Jadwiga Wiśniewska"/>
    <w:docVar w:name="TXTLANGUE" w:val="EN"/>
    <w:docVar w:name="TXTLANGUEMIN" w:val="en"/>
    <w:docVar w:name="TXTNRC" w:val="0461/2023"/>
    <w:docVar w:name="TXTNRCOUNC" w:val="12122/2023"/>
    <w:docVar w:name="TXTNRNLE" w:val="2023/0229"/>
    <w:docVar w:name="TXTNRPE" w:val="758.913"/>
    <w:docVar w:name="TXTPEorAP" w:val="PE"/>
    <w:docVar w:name="TXTROUTE" w:val="PR\1296234EN.docx"/>
    <w:docVar w:name="TXTTITLE" w:val="on the conclusion, on behalf of the Union, of the Agreement between the European Union and the Swiss Confederation on supplementary rules in relation to the Instrument for Financial Support for Border Management and Visa Policy, as part of the Integrated Border Management Fund, for the period 2021 to 2027"/>
    <w:docVar w:name="TXTVERSION" w:val="01-00"/>
  </w:docVars>
  <w:rsids>
    <w:rsidRoot w:val="00763DCE"/>
    <w:rsid w:val="00001D52"/>
    <w:rsid w:val="0000443F"/>
    <w:rsid w:val="000053E3"/>
    <w:rsid w:val="00016E55"/>
    <w:rsid w:val="0006167F"/>
    <w:rsid w:val="00061EFE"/>
    <w:rsid w:val="00095D8B"/>
    <w:rsid w:val="000A2F73"/>
    <w:rsid w:val="000B6BBA"/>
    <w:rsid w:val="000C123D"/>
    <w:rsid w:val="000D78AF"/>
    <w:rsid w:val="00110414"/>
    <w:rsid w:val="001336E9"/>
    <w:rsid w:val="00180664"/>
    <w:rsid w:val="001874D8"/>
    <w:rsid w:val="001D02E3"/>
    <w:rsid w:val="001F7BBE"/>
    <w:rsid w:val="0020328E"/>
    <w:rsid w:val="0021049A"/>
    <w:rsid w:val="0022685A"/>
    <w:rsid w:val="002E2E20"/>
    <w:rsid w:val="002F5A83"/>
    <w:rsid w:val="003072BE"/>
    <w:rsid w:val="00337C92"/>
    <w:rsid w:val="00361CA2"/>
    <w:rsid w:val="00363B94"/>
    <w:rsid w:val="003B598C"/>
    <w:rsid w:val="003F2429"/>
    <w:rsid w:val="004174FC"/>
    <w:rsid w:val="00460BD6"/>
    <w:rsid w:val="004859B3"/>
    <w:rsid w:val="004C083C"/>
    <w:rsid w:val="004E1650"/>
    <w:rsid w:val="004F07CF"/>
    <w:rsid w:val="0051709D"/>
    <w:rsid w:val="005273BE"/>
    <w:rsid w:val="0053367A"/>
    <w:rsid w:val="00544D48"/>
    <w:rsid w:val="005877C0"/>
    <w:rsid w:val="005A6B14"/>
    <w:rsid w:val="005A7589"/>
    <w:rsid w:val="005C04A5"/>
    <w:rsid w:val="005D0B97"/>
    <w:rsid w:val="005E76CA"/>
    <w:rsid w:val="005F5D6C"/>
    <w:rsid w:val="00610FD9"/>
    <w:rsid w:val="006132CE"/>
    <w:rsid w:val="00613F2E"/>
    <w:rsid w:val="006950BA"/>
    <w:rsid w:val="006A1A75"/>
    <w:rsid w:val="006A2CF5"/>
    <w:rsid w:val="006C0747"/>
    <w:rsid w:val="006F1B6F"/>
    <w:rsid w:val="00701D2F"/>
    <w:rsid w:val="00717061"/>
    <w:rsid w:val="00763DCE"/>
    <w:rsid w:val="00791637"/>
    <w:rsid w:val="0080122F"/>
    <w:rsid w:val="00821DF5"/>
    <w:rsid w:val="00822206"/>
    <w:rsid w:val="008368CB"/>
    <w:rsid w:val="0085501C"/>
    <w:rsid w:val="008764A2"/>
    <w:rsid w:val="00880431"/>
    <w:rsid w:val="00893FBD"/>
    <w:rsid w:val="008B75A4"/>
    <w:rsid w:val="008D23C6"/>
    <w:rsid w:val="008D3030"/>
    <w:rsid w:val="008E3848"/>
    <w:rsid w:val="00924EE0"/>
    <w:rsid w:val="00951916"/>
    <w:rsid w:val="009612AA"/>
    <w:rsid w:val="009A15BE"/>
    <w:rsid w:val="009E39A7"/>
    <w:rsid w:val="00A415B7"/>
    <w:rsid w:val="00AC25A4"/>
    <w:rsid w:val="00AD5D0C"/>
    <w:rsid w:val="00B2268C"/>
    <w:rsid w:val="00B31D18"/>
    <w:rsid w:val="00B42885"/>
    <w:rsid w:val="00B50C20"/>
    <w:rsid w:val="00B6769C"/>
    <w:rsid w:val="00B837B7"/>
    <w:rsid w:val="00BB22CC"/>
    <w:rsid w:val="00BB41C8"/>
    <w:rsid w:val="00BB466B"/>
    <w:rsid w:val="00BE2DB5"/>
    <w:rsid w:val="00BE5E72"/>
    <w:rsid w:val="00BF0A0F"/>
    <w:rsid w:val="00BF2E15"/>
    <w:rsid w:val="00BF7F55"/>
    <w:rsid w:val="00C05DD8"/>
    <w:rsid w:val="00C15447"/>
    <w:rsid w:val="00C35D01"/>
    <w:rsid w:val="00C56DEF"/>
    <w:rsid w:val="00C85D0F"/>
    <w:rsid w:val="00C9085A"/>
    <w:rsid w:val="00CA5A76"/>
    <w:rsid w:val="00CB5651"/>
    <w:rsid w:val="00CC20CB"/>
    <w:rsid w:val="00CF44DF"/>
    <w:rsid w:val="00D04E0B"/>
    <w:rsid w:val="00D409A2"/>
    <w:rsid w:val="00D62DA0"/>
    <w:rsid w:val="00D6543C"/>
    <w:rsid w:val="00D70993"/>
    <w:rsid w:val="00DF594D"/>
    <w:rsid w:val="00E14FEE"/>
    <w:rsid w:val="00E71368"/>
    <w:rsid w:val="00E93816"/>
    <w:rsid w:val="00EA59ED"/>
    <w:rsid w:val="00EF48F2"/>
    <w:rsid w:val="00F04010"/>
    <w:rsid w:val="00FC46D7"/>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A7069B-02EF-4E50-B1ED-8BE8AF37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A7589"/>
    <w:pPr>
      <w:tabs>
        <w:tab w:val="right" w:pos="454"/>
        <w:tab w:val="left" w:pos="737"/>
      </w:tabs>
      <w:ind w:left="737" w:hanging="737"/>
    </w:pPr>
    <w:rPr>
      <w:snapToGrid w:val="0"/>
      <w:sz w:val="18"/>
      <w:lang w:eastAsia="en-US"/>
    </w:rPr>
  </w:style>
  <w:style w:type="paragraph" w:customStyle="1" w:styleId="Lgendetitre">
    <w:name w:val="Légende titre"/>
    <w:basedOn w:val="Normal"/>
    <w:rsid w:val="005A7589"/>
    <w:pPr>
      <w:spacing w:before="240" w:after="240"/>
    </w:pPr>
    <w:rPr>
      <w:b/>
      <w:i/>
      <w:snapToGrid w:val="0"/>
      <w:lang w:eastAsia="en-US"/>
    </w:rPr>
  </w:style>
  <w:style w:type="paragraph" w:customStyle="1" w:styleId="Lgendestandard">
    <w:name w:val="Légende standard"/>
    <w:basedOn w:val="Normal"/>
    <w:rsid w:val="005A7589"/>
    <w:rPr>
      <w:sz w:val="18"/>
    </w:rPr>
  </w:style>
  <w:style w:type="paragraph" w:styleId="FootnoteText">
    <w:name w:val="footnote text"/>
    <w:basedOn w:val="Normal"/>
    <w:link w:val="FootnoteTextChar"/>
    <w:uiPriority w:val="99"/>
    <w:unhideWhenUsed/>
    <w:rsid w:val="006950BA"/>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6950BA"/>
    <w:rPr>
      <w:rFonts w:eastAsiaTheme="minorHAnsi"/>
      <w:sz w:val="24"/>
      <w:lang w:eastAsia="en-US"/>
    </w:rPr>
  </w:style>
  <w:style w:type="character" w:styleId="FootnoteReference">
    <w:name w:val="footnote reference"/>
    <w:basedOn w:val="DefaultParagraphFont"/>
    <w:uiPriority w:val="99"/>
    <w:unhideWhenUsed/>
    <w:rsid w:val="006950BA"/>
    <w:rPr>
      <w:b/>
      <w:bdr w:val="none" w:sz="0" w:space="0" w:color="auto"/>
      <w:shd w:val="clear" w:color="auto" w:fill="auto"/>
      <w:vertAlign w:val="superscript"/>
    </w:rPr>
  </w:style>
  <w:style w:type="paragraph" w:styleId="Footer">
    <w:name w:val="footer"/>
    <w:basedOn w:val="Normal"/>
    <w:link w:val="FooterChar"/>
    <w:semiHidden/>
    <w:rsid w:val="00CA5A76"/>
    <w:pPr>
      <w:tabs>
        <w:tab w:val="center" w:pos="4513"/>
        <w:tab w:val="right" w:pos="9026"/>
      </w:tabs>
    </w:pPr>
  </w:style>
  <w:style w:type="character" w:customStyle="1" w:styleId="FooterChar">
    <w:name w:val="Footer Char"/>
    <w:basedOn w:val="DefaultParagraphFont"/>
    <w:link w:val="Footer"/>
    <w:semiHidden/>
    <w:rsid w:val="00CA5A76"/>
    <w:rPr>
      <w:sz w:val="24"/>
    </w:rPr>
  </w:style>
  <w:style w:type="paragraph" w:styleId="BalloonText">
    <w:name w:val="Balloon Text"/>
    <w:basedOn w:val="Normal"/>
    <w:link w:val="BalloonTextChar"/>
    <w:semiHidden/>
    <w:unhideWhenUsed/>
    <w:rsid w:val="008764A2"/>
    <w:rPr>
      <w:rFonts w:ascii="Segoe UI" w:hAnsi="Segoe UI" w:cs="Segoe UI"/>
      <w:sz w:val="18"/>
      <w:szCs w:val="18"/>
    </w:rPr>
  </w:style>
  <w:style w:type="character" w:customStyle="1" w:styleId="BalloonTextChar">
    <w:name w:val="Balloon Text Char"/>
    <w:basedOn w:val="DefaultParagraphFont"/>
    <w:link w:val="BalloonText"/>
    <w:semiHidden/>
    <w:rsid w:val="008764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89A81-6001-429C-96DB-49AB52D7B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1528</Words>
  <Characters>9677</Characters>
  <Application>Microsoft Office Word</Application>
  <DocSecurity>0</DocSecurity>
  <Lines>197</Lines>
  <Paragraphs>65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TOADER Maria</dc:creator>
  <cp:lastModifiedBy>ATANASIU Stefania Cristina</cp:lastModifiedBy>
  <cp:revision>2</cp:revision>
  <cp:lastPrinted>2002-12-11T09:25:00Z</cp:lastPrinted>
  <dcterms:created xsi:type="dcterms:W3CDTF">2024-02-27T16:28:00Z</dcterms:created>
  <dcterms:modified xsi:type="dcterms:W3CDTF">2024-02-27T16:28:00Z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1296234</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PR\1296234RO.docx</vt:lpwstr>
  </property>
  <property fmtid="{D5CDD505-2E9C-101B-9397-08002B2CF9AE}" pid="10" name="LastEdited with">
    <vt:lpwstr>9.17.1 Build [20240120]</vt:lpwstr>
  </property>
  <property fmtid="{D5CDD505-2E9C-101B-9397-08002B2CF9AE}" pid="11" name="PE number">
    <vt:lpwstr>758.913</vt:lpwstr>
  </property>
  <property fmtid="{D5CDD505-2E9C-101B-9397-08002B2CF9AE}" pid="12" name="SDLStudio">
    <vt:lpwstr/>
  </property>
  <property fmtid="{D5CDD505-2E9C-101B-9397-08002B2CF9AE}" pid="13" name="SendToEpades">
    <vt:lpwstr>OK - 2024/02/14 17:18</vt:lpwstr>
  </property>
  <property fmtid="{D5CDD505-2E9C-101B-9397-08002B2CF9AE}" pid="14" name="Bookout">
    <vt:lpwstr>OK - 2024/02/27 17:26</vt:lpwstr>
  </property>
</Properties>
</file>