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E0EB7" w:rsidRPr="009F08C3" w:rsidTr="00C85D0F">
        <w:trPr>
          <w:trHeight w:hRule="exact" w:val="1418"/>
        </w:trPr>
        <w:tc>
          <w:tcPr>
            <w:tcW w:w="6804" w:type="dxa"/>
            <w:shd w:val="clear" w:color="auto" w:fill="auto"/>
            <w:vAlign w:val="center"/>
          </w:tcPr>
          <w:p w:rsidR="00C05DD8" w:rsidRPr="009F08C3" w:rsidRDefault="004D6F73" w:rsidP="00C85D0F">
            <w:pPr>
              <w:pStyle w:val="EPName"/>
            </w:pPr>
            <w:bookmarkStart w:id="0" w:name="_GoBack"/>
            <w:bookmarkEnd w:id="0"/>
            <w:r w:rsidRPr="009F08C3">
              <w:t>Európsky parlament</w:t>
            </w:r>
          </w:p>
          <w:p w:rsidR="00C05DD8" w:rsidRPr="009F08C3" w:rsidRDefault="004D6F73" w:rsidP="005A7589">
            <w:pPr>
              <w:pStyle w:val="EPTerm"/>
            </w:pPr>
            <w:r>
              <w:t>2019</w:t>
            </w:r>
            <w:r w:rsidRPr="003F2429">
              <w:t>-</w:t>
            </w:r>
            <w:r w:rsidRPr="009F08C3">
              <w:t>2024</w:t>
            </w:r>
          </w:p>
        </w:tc>
        <w:tc>
          <w:tcPr>
            <w:tcW w:w="2268" w:type="dxa"/>
            <w:shd w:val="clear" w:color="auto" w:fill="auto"/>
          </w:tcPr>
          <w:p w:rsidR="00C05DD8" w:rsidRPr="009F08C3" w:rsidRDefault="004D6F73" w:rsidP="00C85D0F">
            <w:pPr>
              <w:pStyle w:val="EPLogo"/>
            </w:pPr>
            <w:r w:rsidRPr="009F08C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9F08C3" w:rsidRDefault="009612AA" w:rsidP="009612AA">
      <w:pPr>
        <w:pStyle w:val="LineTop"/>
      </w:pPr>
    </w:p>
    <w:p w:rsidR="009612AA" w:rsidRPr="009F08C3" w:rsidRDefault="004D6F73" w:rsidP="009612AA">
      <w:pPr>
        <w:pStyle w:val="EPBody"/>
      </w:pPr>
      <w:r w:rsidRPr="009F08C3">
        <w:rPr>
          <w:rStyle w:val="HideTWBExt"/>
        </w:rPr>
        <w:t>&lt;</w:t>
      </w:r>
      <w:r w:rsidRPr="009F08C3">
        <w:rPr>
          <w:rStyle w:val="HideTWBExt"/>
          <w:i w:val="0"/>
        </w:rPr>
        <w:t>Commission</w:t>
      </w:r>
      <w:r w:rsidRPr="009F08C3">
        <w:rPr>
          <w:rStyle w:val="HideTWBExt"/>
        </w:rPr>
        <w:t>&gt;</w:t>
      </w:r>
      <w:r w:rsidRPr="009F08C3">
        <w:rPr>
          <w:rStyle w:val="HideTWBInt"/>
          <w:color w:val="auto"/>
        </w:rPr>
        <w:t>{LIBE}</w:t>
      </w:r>
      <w:r w:rsidRPr="009F08C3">
        <w:t>Výbor pre občianske slobody, spravodlivosť a vnútorné veci</w:t>
      </w:r>
      <w:r w:rsidRPr="009F08C3">
        <w:rPr>
          <w:rStyle w:val="HideTWBExt"/>
        </w:rPr>
        <w:t>&lt;/</w:t>
      </w:r>
      <w:r w:rsidRPr="009F08C3">
        <w:rPr>
          <w:rStyle w:val="HideTWBExt"/>
          <w:i w:val="0"/>
        </w:rPr>
        <w:t>Commission</w:t>
      </w:r>
      <w:r w:rsidRPr="009F08C3">
        <w:rPr>
          <w:rStyle w:val="HideTWBExt"/>
        </w:rPr>
        <w:t>&gt;</w:t>
      </w:r>
    </w:p>
    <w:p w:rsidR="009612AA" w:rsidRPr="009F08C3" w:rsidRDefault="009612AA" w:rsidP="009612AA">
      <w:pPr>
        <w:pStyle w:val="LineBottom"/>
      </w:pPr>
    </w:p>
    <w:p w:rsidR="00363B94" w:rsidRPr="009F08C3" w:rsidRDefault="004D6F73">
      <w:pPr>
        <w:pStyle w:val="CoverReference"/>
      </w:pPr>
      <w:r w:rsidRPr="009F08C3">
        <w:rPr>
          <w:rStyle w:val="HideTWBExt"/>
          <w:b w:val="0"/>
        </w:rPr>
        <w:t>&lt;RefProc&gt;</w:t>
      </w:r>
      <w:r w:rsidRPr="009F08C3">
        <w:t>2023/0229</w:t>
      </w:r>
      <w:r w:rsidRPr="009F08C3">
        <w:rPr>
          <w:rStyle w:val="HideTWBExt"/>
          <w:b w:val="0"/>
        </w:rPr>
        <w:t>&lt;/RefProc&gt;&lt;RefTypeProc&gt;</w:t>
      </w:r>
      <w:r w:rsidRPr="009F08C3">
        <w:t>(NLE)</w:t>
      </w:r>
      <w:r w:rsidRPr="009F08C3">
        <w:rPr>
          <w:rStyle w:val="HideTWBExt"/>
          <w:b w:val="0"/>
        </w:rPr>
        <w:t>&lt;/RefTypeProc&gt;</w:t>
      </w:r>
    </w:p>
    <w:p w:rsidR="00363B94" w:rsidRPr="009F08C3" w:rsidRDefault="004D6F73">
      <w:pPr>
        <w:pStyle w:val="CoverDate"/>
      </w:pPr>
      <w:r w:rsidRPr="009F08C3">
        <w:rPr>
          <w:rStyle w:val="HideTWBExt"/>
        </w:rPr>
        <w:t>&lt;Date&gt;</w:t>
      </w:r>
      <w:r w:rsidRPr="009F08C3">
        <w:rPr>
          <w:rStyle w:val="HideTWBInt"/>
          <w:color w:val="auto"/>
        </w:rPr>
        <w:t>{14/02/2024}</w:t>
      </w:r>
      <w:r>
        <w:t>14.2.</w:t>
      </w:r>
      <w:r w:rsidRPr="009F08C3">
        <w:t>2024</w:t>
      </w:r>
      <w:r w:rsidRPr="009F08C3">
        <w:rPr>
          <w:rStyle w:val="HideTWBExt"/>
        </w:rPr>
        <w:t>&lt;/Date&gt;</w:t>
      </w:r>
    </w:p>
    <w:p w:rsidR="00363B94" w:rsidRPr="009F08C3" w:rsidRDefault="004D6F73">
      <w:pPr>
        <w:pStyle w:val="CoverDocType"/>
      </w:pPr>
      <w:r w:rsidRPr="009F08C3">
        <w:rPr>
          <w:rStyle w:val="HideTWBExt"/>
          <w:b w:val="0"/>
        </w:rPr>
        <w:t>&lt;RefProcLect&gt;</w:t>
      </w:r>
      <w:r w:rsidRPr="009F08C3">
        <w:t>***</w:t>
      </w:r>
      <w:r w:rsidRPr="009F08C3">
        <w:rPr>
          <w:rStyle w:val="HideTWBExt"/>
          <w:b w:val="0"/>
        </w:rPr>
        <w:t>&lt;/RefProcLect&gt;</w:t>
      </w:r>
    </w:p>
    <w:p w:rsidR="00363B94" w:rsidRPr="009F08C3" w:rsidRDefault="004D6F73">
      <w:pPr>
        <w:pStyle w:val="CoverDocType24a"/>
      </w:pPr>
      <w:r w:rsidRPr="009F08C3">
        <w:rPr>
          <w:rStyle w:val="HideTWBExt"/>
          <w:b w:val="0"/>
        </w:rPr>
        <w:t>&lt;TitreType&gt;</w:t>
      </w:r>
      <w:r w:rsidRPr="009F08C3">
        <w:t>NÁVRH ODPORÚČANIA</w:t>
      </w:r>
      <w:r w:rsidRPr="009F08C3">
        <w:rPr>
          <w:rStyle w:val="HideTWBExt"/>
          <w:b w:val="0"/>
        </w:rPr>
        <w:t>&lt;/TitreType&gt;</w:t>
      </w:r>
    </w:p>
    <w:p w:rsidR="00363B94" w:rsidRPr="009F08C3" w:rsidRDefault="004D6F73">
      <w:pPr>
        <w:pStyle w:val="CoverNormal"/>
      </w:pPr>
      <w:r w:rsidRPr="009F08C3">
        <w:rPr>
          <w:rStyle w:val="HideTWBExt"/>
        </w:rPr>
        <w:t>&lt;Titre&gt;</w:t>
      </w:r>
      <w:r w:rsidRPr="009F08C3">
        <w:t>k návrhu rozhodnutia Rady o uzavretí Dohody medzi Európskou úniou a</w:t>
      </w:r>
      <w:r>
        <w:t> </w:t>
      </w:r>
      <w:r w:rsidRPr="009F08C3">
        <w:t>Švajčiarskou konfederáciou v mene Únie o dodatočných pravidlách v</w:t>
      </w:r>
      <w:r>
        <w:t> </w:t>
      </w:r>
      <w:r w:rsidRPr="009F08C3">
        <w:t>súvislosti s Nástrojom finančnej podpory na riadenie hraníc a vízovú polit</w:t>
      </w:r>
      <w:r w:rsidRPr="009F08C3">
        <w:t>iku ako súčasťou Fondu pre integrované riadenie hraníc na obdobie 2021 až 2027</w:t>
      </w:r>
      <w:r w:rsidRPr="009F08C3">
        <w:rPr>
          <w:rStyle w:val="HideTWBExt"/>
        </w:rPr>
        <w:t>&lt;/Titre&gt;</w:t>
      </w:r>
    </w:p>
    <w:p w:rsidR="00363B94" w:rsidRPr="009F08C3" w:rsidRDefault="004D6F73">
      <w:pPr>
        <w:pStyle w:val="CoverNormal24a"/>
      </w:pPr>
      <w:r w:rsidRPr="009F08C3">
        <w:rPr>
          <w:rStyle w:val="HideTWBExt"/>
        </w:rPr>
        <w:t>&lt;DocRef&gt;</w:t>
      </w:r>
      <w:r w:rsidRPr="009F08C3">
        <w:t>(12122/2023 – C9</w:t>
      </w:r>
      <w:r w:rsidRPr="009F08C3">
        <w:noBreakHyphen/>
        <w:t>0461/2023 – 2023/0229(NLE))</w:t>
      </w:r>
      <w:r w:rsidRPr="009F08C3">
        <w:rPr>
          <w:rStyle w:val="HideTWBExt"/>
        </w:rPr>
        <w:t>&lt;/DocRef&gt;</w:t>
      </w:r>
    </w:p>
    <w:p w:rsidR="00363B94" w:rsidRPr="009F08C3" w:rsidRDefault="004D6F73">
      <w:pPr>
        <w:pStyle w:val="CoverNormal24a"/>
      </w:pPr>
      <w:r w:rsidRPr="009F08C3">
        <w:rPr>
          <w:rStyle w:val="HideTWBExt"/>
        </w:rPr>
        <w:t>&lt;Commission&gt;</w:t>
      </w:r>
      <w:r w:rsidRPr="009F08C3">
        <w:rPr>
          <w:rStyle w:val="HideTWBInt"/>
          <w:color w:val="auto"/>
        </w:rPr>
        <w:t>{LIBE}</w:t>
      </w:r>
      <w:r w:rsidRPr="009F08C3">
        <w:t>Výbor pre občianske slobody, spravodlivosť a vnútorné veci</w:t>
      </w:r>
      <w:r w:rsidRPr="009F08C3">
        <w:rPr>
          <w:rStyle w:val="HideTWBExt"/>
        </w:rPr>
        <w:t>&lt;/Commission&gt;</w:t>
      </w:r>
    </w:p>
    <w:p w:rsidR="00363B94" w:rsidRPr="009F08C3" w:rsidRDefault="004D6F73">
      <w:pPr>
        <w:pStyle w:val="CoverNormal24a"/>
      </w:pPr>
      <w:r w:rsidRPr="009F08C3">
        <w:t xml:space="preserve">Spravodajkyňa: </w:t>
      </w:r>
      <w:r w:rsidRPr="009F08C3">
        <w:rPr>
          <w:rStyle w:val="HideTWBExt"/>
        </w:rPr>
        <w:t>&lt;Depute&gt;</w:t>
      </w:r>
      <w:r w:rsidRPr="009F08C3">
        <w:t>Jadwiga Wiśniewska</w:t>
      </w:r>
      <w:r w:rsidRPr="009F08C3">
        <w:rPr>
          <w:rStyle w:val="HideTWBExt"/>
        </w:rPr>
        <w:t>&lt;/Depute&gt;</w:t>
      </w:r>
    </w:p>
    <w:p w:rsidR="00B42885" w:rsidRPr="009F08C3" w:rsidRDefault="00B42885" w:rsidP="00B42885">
      <w:pPr>
        <w:pStyle w:val="CoverNormal"/>
      </w:pPr>
    </w:p>
    <w:p w:rsidR="005A7589" w:rsidRPr="009F08C3" w:rsidRDefault="004D6F73" w:rsidP="00016E55">
      <w:r w:rsidRPr="009F08C3">
        <w:br w:type="page"/>
      </w:r>
      <w:r w:rsidRPr="009F08C3">
        <w:lastRenderedPageBreak/>
        <w:fldChar w:fldCharType="begin"/>
      </w:r>
      <w:r w:rsidRPr="009F08C3">
        <w:instrText xml:space="preserve"> TITLE  \* MERGEFORMAT </w:instrText>
      </w:r>
      <w:r w:rsidRPr="009F08C3">
        <w:fldChar w:fldCharType="separate"/>
      </w:r>
      <w:r>
        <w:t>PR_NLE-AP_Agreement</w:t>
      </w:r>
      <w:r w:rsidRPr="009F08C3">
        <w:fldChar w:fldCharType="end"/>
      </w:r>
    </w:p>
    <w:p w:rsidR="005A7589" w:rsidRPr="009F08C3" w:rsidRDefault="005A7589" w:rsidP="00016E55"/>
    <w:p w:rsidR="005A7589" w:rsidRPr="009F08C3" w:rsidRDefault="005A7589"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E0EB7" w:rsidRPr="009F08C3">
        <w:tc>
          <w:tcPr>
            <w:tcW w:w="5811" w:type="dxa"/>
          </w:tcPr>
          <w:p w:rsidR="005A7589" w:rsidRPr="009F08C3" w:rsidRDefault="004D6F73" w:rsidP="00016E55">
            <w:pPr>
              <w:pStyle w:val="Lgendetitre"/>
            </w:pPr>
            <w:r w:rsidRPr="009F08C3">
              <w:t>Označenie postupov</w:t>
            </w:r>
          </w:p>
        </w:tc>
      </w:tr>
      <w:tr w:rsidR="00DE0EB7" w:rsidRPr="009F08C3" w:rsidTr="004247A2">
        <w:trPr>
          <w:cantSplit/>
          <w:trHeight w:val="1807"/>
        </w:trPr>
        <w:tc>
          <w:tcPr>
            <w:tcW w:w="5811" w:type="dxa"/>
            <w:tcBorders>
              <w:bottom w:val="single" w:sz="4" w:space="0" w:color="auto"/>
            </w:tcBorders>
          </w:tcPr>
          <w:p w:rsidR="005A7589" w:rsidRPr="009F08C3" w:rsidRDefault="004D6F73" w:rsidP="00717061">
            <w:pPr>
              <w:pStyle w:val="Lgendesigne"/>
            </w:pPr>
            <w:r w:rsidRPr="009F08C3">
              <w:tab/>
              <w:t>*</w:t>
            </w:r>
            <w:r w:rsidRPr="009F08C3">
              <w:tab/>
              <w:t>Konzultácia</w:t>
            </w:r>
          </w:p>
          <w:p w:rsidR="005A7589" w:rsidRPr="009F08C3" w:rsidRDefault="004D6F73" w:rsidP="00717061">
            <w:pPr>
              <w:pStyle w:val="Lgendesigne"/>
            </w:pPr>
            <w:r w:rsidRPr="009F08C3">
              <w:tab/>
              <w:t>***</w:t>
            </w:r>
            <w:r w:rsidRPr="009F08C3">
              <w:tab/>
              <w:t>Súhlas</w:t>
            </w:r>
          </w:p>
          <w:p w:rsidR="005A7589" w:rsidRPr="009F08C3" w:rsidRDefault="004D6F73" w:rsidP="00717061">
            <w:pPr>
              <w:pStyle w:val="Lgendesigne"/>
            </w:pPr>
            <w:r w:rsidRPr="009F08C3">
              <w:tab/>
              <w:t>***I</w:t>
            </w:r>
            <w:r w:rsidRPr="009F08C3">
              <w:tab/>
              <w:t>Riadny legislatívny postup (prvé čítanie)</w:t>
            </w:r>
          </w:p>
          <w:p w:rsidR="005A7589" w:rsidRPr="009F08C3" w:rsidRDefault="004D6F73" w:rsidP="00717061">
            <w:pPr>
              <w:pStyle w:val="Lgendesigne"/>
            </w:pPr>
            <w:r w:rsidRPr="009F08C3">
              <w:tab/>
              <w:t>***II</w:t>
            </w:r>
            <w:r w:rsidRPr="009F08C3">
              <w:tab/>
              <w:t>Riadny legislatívny postup (druhé čítanie)</w:t>
            </w:r>
          </w:p>
          <w:p w:rsidR="005A7589" w:rsidRPr="009F08C3" w:rsidRDefault="004D6F73" w:rsidP="00717061">
            <w:pPr>
              <w:pStyle w:val="Lgendesigne"/>
            </w:pPr>
            <w:r w:rsidRPr="009F08C3">
              <w:tab/>
              <w:t>***III</w:t>
            </w:r>
            <w:r w:rsidRPr="009F08C3">
              <w:tab/>
              <w:t xml:space="preserve">Riadny </w:t>
            </w:r>
            <w:r w:rsidRPr="009F08C3">
              <w:t>legislatívny postup (tretie čítanie)</w:t>
            </w:r>
          </w:p>
          <w:p w:rsidR="005A7589" w:rsidRPr="009F08C3" w:rsidRDefault="005A7589" w:rsidP="00717061">
            <w:pPr>
              <w:pStyle w:val="Lgendestandard"/>
            </w:pPr>
          </w:p>
          <w:p w:rsidR="005A7589" w:rsidRPr="009F08C3" w:rsidRDefault="004D6F73" w:rsidP="00717061">
            <w:pPr>
              <w:pStyle w:val="Lgendestandard"/>
            </w:pPr>
            <w:r w:rsidRPr="009F08C3">
              <w:t>(Typ postupu závisí od právneho základu navrhnutého v návrhu aktu.)</w:t>
            </w:r>
          </w:p>
          <w:p w:rsidR="005A7589" w:rsidRPr="009F08C3" w:rsidRDefault="005A7589" w:rsidP="00B837B7">
            <w:pPr>
              <w:pStyle w:val="Lgendestandard"/>
            </w:pPr>
          </w:p>
        </w:tc>
      </w:tr>
    </w:tbl>
    <w:p w:rsidR="005A7589" w:rsidRPr="009F08C3" w:rsidRDefault="005A7589" w:rsidP="00016E55"/>
    <w:p w:rsidR="00363B94" w:rsidRPr="009F08C3" w:rsidRDefault="00363B94" w:rsidP="00613F2E">
      <w:pPr>
        <w:widowControl/>
        <w:tabs>
          <w:tab w:val="center" w:pos="4677"/>
        </w:tabs>
      </w:pPr>
    </w:p>
    <w:p w:rsidR="00363B94" w:rsidRPr="009F08C3" w:rsidRDefault="004D6F73">
      <w:pPr>
        <w:pStyle w:val="TOCHeading"/>
      </w:pPr>
      <w:r w:rsidRPr="009F08C3">
        <w:br w:type="page"/>
      </w:r>
      <w:r w:rsidRPr="009F08C3">
        <w:lastRenderedPageBreak/>
        <w:t>OBSAH</w:t>
      </w:r>
    </w:p>
    <w:p w:rsidR="00363B94" w:rsidRPr="009F08C3" w:rsidRDefault="004D6F73">
      <w:pPr>
        <w:pStyle w:val="TOCPage"/>
      </w:pPr>
      <w:r w:rsidRPr="009F08C3">
        <w:t>strana</w:t>
      </w:r>
    </w:p>
    <w:p w:rsidR="004D6F73" w:rsidRDefault="004D6F73">
      <w:pPr>
        <w:pStyle w:val="TOC1"/>
        <w:tabs>
          <w:tab w:val="right" w:leader="dot" w:pos="9060"/>
        </w:tabs>
        <w:rPr>
          <w:rFonts w:asciiTheme="minorHAnsi" w:eastAsiaTheme="minorEastAsia" w:hAnsiTheme="minorHAnsi" w:cstheme="minorBidi"/>
          <w:noProof/>
          <w:sz w:val="22"/>
          <w:szCs w:val="22"/>
          <w:lang w:val="en-GB"/>
        </w:rPr>
      </w:pPr>
      <w:r w:rsidRPr="009F08C3">
        <w:fldChar w:fldCharType="begin"/>
      </w:r>
      <w:r w:rsidRPr="009F08C3">
        <w:instrText xml:space="preserve"> TOC \t "PageHeading</w:instrText>
      </w:r>
      <w:r w:rsidR="00110414" w:rsidRPr="009F08C3">
        <w:instrText>;</w:instrText>
      </w:r>
      <w:r w:rsidRPr="009F08C3">
        <w:instrText xml:space="preserve">1" </w:instrText>
      </w:r>
      <w:r w:rsidRPr="009F08C3">
        <w:fldChar w:fldCharType="separate"/>
      </w:r>
      <w:r>
        <w:rPr>
          <w:noProof/>
        </w:rPr>
        <w:t>NÁVRH LEGISLATÍVNEHO UZNESENIA EURÓPSKEHO PARLAMENTU</w:t>
      </w:r>
      <w:r>
        <w:rPr>
          <w:noProof/>
        </w:rPr>
        <w:tab/>
      </w:r>
      <w:r>
        <w:rPr>
          <w:noProof/>
        </w:rPr>
        <w:fldChar w:fldCharType="begin"/>
      </w:r>
      <w:r>
        <w:rPr>
          <w:noProof/>
        </w:rPr>
        <w:instrText xml:space="preserve"> PAGEREF _Toc160026902 \h </w:instrText>
      </w:r>
      <w:r>
        <w:rPr>
          <w:noProof/>
        </w:rPr>
      </w:r>
      <w:r>
        <w:rPr>
          <w:noProof/>
        </w:rPr>
        <w:fldChar w:fldCharType="separate"/>
      </w:r>
      <w:r>
        <w:rPr>
          <w:noProof/>
        </w:rPr>
        <w:t>5</w:t>
      </w:r>
      <w:r>
        <w:rPr>
          <w:noProof/>
        </w:rPr>
        <w:fldChar w:fldCharType="end"/>
      </w:r>
    </w:p>
    <w:p w:rsidR="004D6F73" w:rsidRDefault="004D6F73">
      <w:pPr>
        <w:pStyle w:val="TOC1"/>
        <w:tabs>
          <w:tab w:val="right" w:leader="dot" w:pos="9060"/>
        </w:tabs>
        <w:rPr>
          <w:rFonts w:asciiTheme="minorHAnsi" w:eastAsiaTheme="minorEastAsia" w:hAnsiTheme="minorHAnsi" w:cstheme="minorBidi"/>
          <w:noProof/>
          <w:sz w:val="22"/>
          <w:szCs w:val="22"/>
          <w:lang w:val="en-GB"/>
        </w:rPr>
      </w:pPr>
      <w:r>
        <w:rPr>
          <w:noProof/>
        </w:rPr>
        <w:t>DÔVODOVÁ SPRÁVA</w:t>
      </w:r>
      <w:r>
        <w:rPr>
          <w:noProof/>
        </w:rPr>
        <w:tab/>
      </w:r>
      <w:r>
        <w:rPr>
          <w:noProof/>
        </w:rPr>
        <w:fldChar w:fldCharType="begin"/>
      </w:r>
      <w:r>
        <w:rPr>
          <w:noProof/>
        </w:rPr>
        <w:instrText xml:space="preserve"> PAGEREF _Toc160026903 \h </w:instrText>
      </w:r>
      <w:r>
        <w:rPr>
          <w:noProof/>
        </w:rPr>
      </w:r>
      <w:r>
        <w:rPr>
          <w:noProof/>
        </w:rPr>
        <w:fldChar w:fldCharType="separate"/>
      </w:r>
      <w:r>
        <w:rPr>
          <w:noProof/>
        </w:rPr>
        <w:t>6</w:t>
      </w:r>
      <w:r>
        <w:rPr>
          <w:noProof/>
        </w:rPr>
        <w:fldChar w:fldCharType="end"/>
      </w:r>
    </w:p>
    <w:p w:rsidR="004E1650" w:rsidRPr="009F08C3" w:rsidRDefault="004D6F73" w:rsidP="00F04010">
      <w:r w:rsidRPr="009F08C3">
        <w:fldChar w:fldCharType="end"/>
      </w:r>
    </w:p>
    <w:p w:rsidR="00363B94" w:rsidRPr="009F08C3" w:rsidRDefault="004D6F73" w:rsidP="0006167F">
      <w:pPr>
        <w:pStyle w:val="PageHeading"/>
      </w:pPr>
      <w:r w:rsidRPr="009F08C3">
        <w:br w:type="page"/>
      </w:r>
      <w:r w:rsidRPr="009F08C3">
        <w:lastRenderedPageBreak/>
        <w:br w:type="page"/>
      </w:r>
      <w:bookmarkStart w:id="1" w:name="_Toc160026902"/>
      <w:r w:rsidRPr="009F08C3">
        <w:lastRenderedPageBreak/>
        <w:t>NÁVRH LEGISLATÍVNEHO UZNESENIA EURÓPSKEHO PARLAMENTU</w:t>
      </w:r>
      <w:bookmarkEnd w:id="1"/>
    </w:p>
    <w:p w:rsidR="00363B94" w:rsidRPr="009F08C3" w:rsidRDefault="004D6F73">
      <w:pPr>
        <w:pStyle w:val="NormalBold"/>
      </w:pPr>
      <w:r w:rsidRPr="009F08C3">
        <w:t>k návrhu rozho</w:t>
      </w:r>
      <w:r w:rsidRPr="009F08C3">
        <w:t>dnutia Rady o uzavretí Dohody medzi Európskou úniou a Švajčiarskou konfederáciou v mene Únie o dodatočných pravidlách v súvislosti s Nástrojom finančnej podpory na riadenie hraníc a vízovú politiku ako súčasťou Fondu pre integrované riadenie hraníc na obdo</w:t>
      </w:r>
      <w:r w:rsidRPr="009F08C3">
        <w:t>bie 2021 až 2027</w:t>
      </w:r>
    </w:p>
    <w:p w:rsidR="00363B94" w:rsidRPr="009F08C3" w:rsidRDefault="004D6F73">
      <w:pPr>
        <w:pStyle w:val="NormalBold12a"/>
      </w:pPr>
      <w:r w:rsidRPr="009F08C3">
        <w:t>(12122/2023 – C9</w:t>
      </w:r>
      <w:r w:rsidRPr="009F08C3">
        <w:noBreakHyphen/>
        <w:t>0461/2023 – 2023/0229(NLE))</w:t>
      </w:r>
    </w:p>
    <w:p w:rsidR="00363B94" w:rsidRPr="009F08C3" w:rsidRDefault="004D6F73" w:rsidP="00893FBD">
      <w:pPr>
        <w:pStyle w:val="NormalBold"/>
      </w:pPr>
      <w:r w:rsidRPr="009F08C3">
        <w:t>(Súhlas)</w:t>
      </w:r>
    </w:p>
    <w:p w:rsidR="00363B94" w:rsidRPr="009F08C3" w:rsidRDefault="004D6F73">
      <w:pPr>
        <w:pStyle w:val="EPComma"/>
      </w:pPr>
      <w:r w:rsidRPr="009F08C3">
        <w:rPr>
          <w:i/>
        </w:rPr>
        <w:t>Európsky parlament</w:t>
      </w:r>
      <w:r w:rsidRPr="009F08C3">
        <w:t>,</w:t>
      </w:r>
    </w:p>
    <w:p w:rsidR="00BF7F55" w:rsidRPr="009F08C3" w:rsidRDefault="004D6F73" w:rsidP="00BF7F55">
      <w:pPr>
        <w:pStyle w:val="NormalHanging12a"/>
      </w:pPr>
      <w:r w:rsidRPr="009F08C3">
        <w:t>–</w:t>
      </w:r>
      <w:r w:rsidRPr="009F08C3">
        <w:tab/>
        <w:t>so zreteľom na návrh rozhodnutia Rady (12122/2023),</w:t>
      </w:r>
    </w:p>
    <w:p w:rsidR="00363B94" w:rsidRPr="009F08C3" w:rsidRDefault="004D6F73">
      <w:pPr>
        <w:pStyle w:val="NormalHanging12a"/>
      </w:pPr>
      <w:r w:rsidRPr="009F08C3">
        <w:t>–</w:t>
      </w:r>
      <w:r w:rsidRPr="009F08C3">
        <w:tab/>
        <w:t xml:space="preserve">so zreteľom na návrh Dohody medzi Európskou úniou a Švajčiarskou konfederáciou o dodatočných pravidlách </w:t>
      </w:r>
      <w:r w:rsidRPr="009F08C3">
        <w:t>v súvislosti s Nástrojom finančnej podpory na riadenie hraníc a vízovú politiku ako súčasti Fondu pre integrované riadenie hraníc na obdobie 2021 až 2027 (12120/2023),</w:t>
      </w:r>
    </w:p>
    <w:p w:rsidR="00363B94" w:rsidRPr="009F08C3" w:rsidRDefault="004D6F73">
      <w:pPr>
        <w:pStyle w:val="NormalHanging12a"/>
      </w:pPr>
      <w:r w:rsidRPr="009F08C3">
        <w:t>–</w:t>
      </w:r>
      <w:r w:rsidRPr="009F08C3">
        <w:tab/>
        <w:t>so zreteľom na žiadosť o udelenie súhlasu, ktorú Rada predložila v súlade s článkom 77</w:t>
      </w:r>
      <w:r w:rsidRPr="009F08C3">
        <w:t xml:space="preserve"> ods. 2, článkom 218 ods. 6 druhým pododsekom písm. a) a článkom 218 ods. 7 Zmluvy o fungovaní Európskej únie (C9</w:t>
      </w:r>
      <w:r w:rsidRPr="009F08C3">
        <w:noBreakHyphen/>
        <w:t>0461/2023),</w:t>
      </w:r>
    </w:p>
    <w:p w:rsidR="00363B94" w:rsidRPr="009F08C3" w:rsidRDefault="004D6F73">
      <w:pPr>
        <w:pStyle w:val="NormalHanging12a"/>
      </w:pPr>
      <w:r w:rsidRPr="009F08C3">
        <w:t>–</w:t>
      </w:r>
      <w:r w:rsidRPr="009F08C3">
        <w:tab/>
        <w:t>so zreteľom na článok 105 ods. 1 a 4 a článok 114 ods. 7 rokovacieho poriadku,</w:t>
      </w:r>
    </w:p>
    <w:p w:rsidR="00363B94" w:rsidRPr="009F08C3" w:rsidRDefault="004D6F73">
      <w:pPr>
        <w:pStyle w:val="NormalHanging12a"/>
      </w:pPr>
      <w:r w:rsidRPr="009F08C3">
        <w:t>–</w:t>
      </w:r>
      <w:r w:rsidRPr="009F08C3">
        <w:tab/>
        <w:t>so zreteľom na odporúčanie Výboru pre občianske</w:t>
      </w:r>
      <w:r w:rsidRPr="009F08C3">
        <w:t xml:space="preserve"> slobody, spravodlivosť a vnútorné veci (A9</w:t>
      </w:r>
      <w:r w:rsidRPr="009F08C3">
        <w:noBreakHyphen/>
        <w:t>0000/2024),</w:t>
      </w:r>
    </w:p>
    <w:p w:rsidR="00363B94" w:rsidRPr="009F08C3" w:rsidRDefault="004D6F73">
      <w:pPr>
        <w:pStyle w:val="NormalHanging12a"/>
      </w:pPr>
      <w:r w:rsidRPr="009F08C3">
        <w:t>1.</w:t>
      </w:r>
      <w:r w:rsidRPr="009F08C3">
        <w:tab/>
        <w:t>udeľuje súhlas s uzatvorením dohody;</w:t>
      </w:r>
    </w:p>
    <w:p w:rsidR="001D02E3" w:rsidRPr="009F08C3" w:rsidRDefault="004D6F73">
      <w:pPr>
        <w:pStyle w:val="NormalHanging12a"/>
      </w:pPr>
      <w:r w:rsidRPr="009F08C3">
        <w:t>2.</w:t>
      </w:r>
      <w:r w:rsidRPr="009F08C3">
        <w:tab/>
        <w:t>poveruje svoju predsedníčku, aby postúpila túto pozíciu Rade, Komisii a vládam a parlamentom členských štátov a Švajčiarskej konfederácie.</w:t>
      </w:r>
    </w:p>
    <w:p w:rsidR="006950BA" w:rsidRPr="009F08C3" w:rsidRDefault="006950BA" w:rsidP="00822206">
      <w:pPr>
        <w:sectPr w:rsidR="006950BA" w:rsidRPr="009F08C3" w:rsidSect="009F08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9F08C3" w:rsidRDefault="004D6F73" w:rsidP="006950BA">
      <w:pPr>
        <w:pStyle w:val="PageHeading"/>
      </w:pPr>
      <w:bookmarkStart w:id="2" w:name="_Toc160026903"/>
      <w:r w:rsidRPr="009F08C3">
        <w:lastRenderedPageBreak/>
        <w:t>DÔVODOVÁ SPRÁVA</w:t>
      </w:r>
      <w:bookmarkEnd w:id="2"/>
    </w:p>
    <w:p w:rsidR="006950BA" w:rsidRPr="009F08C3" w:rsidRDefault="004D6F73" w:rsidP="00880431">
      <w:pPr>
        <w:jc w:val="both"/>
        <w:rPr>
          <w:sz w:val="22"/>
          <w:szCs w:val="22"/>
        </w:rPr>
      </w:pPr>
      <w:r w:rsidRPr="009F08C3">
        <w:rPr>
          <w:b/>
        </w:rPr>
        <w:t xml:space="preserve">a. </w:t>
      </w:r>
      <w:r w:rsidRPr="009F08C3">
        <w:rPr>
          <w:b/>
        </w:rPr>
        <w:t>Súvislosti</w:t>
      </w:r>
      <w:r w:rsidRPr="009F08C3">
        <w:rPr>
          <w:sz w:val="22"/>
        </w:rPr>
        <w:t xml:space="preserve"> </w:t>
      </w:r>
    </w:p>
    <w:p w:rsidR="006950BA" w:rsidRPr="009F08C3" w:rsidRDefault="006950BA" w:rsidP="00880431">
      <w:pPr>
        <w:jc w:val="both"/>
        <w:rPr>
          <w:sz w:val="22"/>
          <w:szCs w:val="22"/>
        </w:rPr>
      </w:pPr>
    </w:p>
    <w:p w:rsidR="006950BA" w:rsidRPr="009F08C3" w:rsidRDefault="006950BA" w:rsidP="00880431">
      <w:pPr>
        <w:jc w:val="both"/>
      </w:pPr>
    </w:p>
    <w:p w:rsidR="006950BA" w:rsidRPr="009F08C3" w:rsidRDefault="004D6F73" w:rsidP="00880431">
      <w:pPr>
        <w:jc w:val="both"/>
        <w:rPr>
          <w:noProof/>
        </w:rPr>
      </w:pPr>
      <w:r w:rsidRPr="009F08C3">
        <w:t>7. júla 2021 bolo prijaté nariadenie Európskeho parlamentu a Rady (EÚ) 2021/1148, ktorým sa zriaďuje Nástroj finančnej podpory na riadenie hraníc a vízovú politiku na obdobie 2021 – 2027 (ďalej len „nariadenie o BMVI“).</w:t>
      </w:r>
    </w:p>
    <w:p w:rsidR="006950BA" w:rsidRPr="009F08C3" w:rsidRDefault="006950BA" w:rsidP="00880431">
      <w:pPr>
        <w:jc w:val="both"/>
        <w:rPr>
          <w:noProof/>
        </w:rPr>
      </w:pPr>
    </w:p>
    <w:p w:rsidR="006950BA" w:rsidRPr="009F08C3" w:rsidRDefault="004D6F73" w:rsidP="00880431">
      <w:pPr>
        <w:jc w:val="both"/>
        <w:rPr>
          <w:noProof/>
        </w:rPr>
      </w:pPr>
      <w:r w:rsidRPr="009F08C3">
        <w:t>Účelom nariadenia o B</w:t>
      </w:r>
      <w:r w:rsidRPr="009F08C3">
        <w:t>MVI je vyjadriť solidaritu (členským) štátom, ktoré uplatňujú ustanovenia schengenského acquis o vonkajších hraniciach, prostredníctvom finančnej pomoci. Toto nariadenie predstavuje vývoj schengenského acquis, ktorého účastníkmi sú krajiny pridružené k vyk</w:t>
      </w:r>
      <w:r w:rsidRPr="009F08C3">
        <w:t>onávaniu, uplatňovaniu a ďalšiemu vývoju schengenského acquis (ďalej len „krajiny pridružené k schengenskému priestoru“ alebo „pridružené krajiny“).</w:t>
      </w:r>
    </w:p>
    <w:p w:rsidR="006950BA" w:rsidRPr="009F08C3" w:rsidRDefault="006950BA" w:rsidP="00880431">
      <w:pPr>
        <w:jc w:val="both"/>
        <w:rPr>
          <w:noProof/>
        </w:rPr>
      </w:pPr>
    </w:p>
    <w:p w:rsidR="006950BA" w:rsidRPr="009F08C3" w:rsidRDefault="004D6F73" w:rsidP="00880431">
      <w:pPr>
        <w:jc w:val="both"/>
        <w:rPr>
          <w:noProof/>
        </w:rPr>
      </w:pPr>
      <w:r w:rsidRPr="009F08C3">
        <w:t>11. augusta 2021 oznámila Švajčiarska konfederácia svoje rozhodnutie prijať obsah nariadenia o BMVI a zavi</w:t>
      </w:r>
      <w:r w:rsidRPr="009F08C3">
        <w:t>esť ho do svojho vnútroštátneho právneho poriadku. Aby sa zabránilo skráteniu času skutočného uplatňovania nariadenia o BMVI vo Švajčiarsku, predložila Komisia návrh rozhodnutia Rady o podpise Dohody medzi EÚ a Švajčiarskou konfederáciou o dodatočných prav</w:t>
      </w:r>
      <w:r w:rsidRPr="009F08C3">
        <w:t>idlách v súvislosti s nástrojom finančnej podpory na riadenie hraníc a vízovú politiku skôr, ako jej bolo doručené oznámenie Švajčiarska o splnení jeho ústavných požiadaviek. V súlade s odôvodnením 75 nariadenia o BMVI by sa uzavretie takýchto dojednaní ma</w:t>
      </w:r>
      <w:r w:rsidRPr="009F08C3">
        <w:t>lo uskutočniť po tom, ako príslušná krajina písomne informovala o splnení všetkých svojich vnútorných požiadaviek.</w:t>
      </w:r>
    </w:p>
    <w:p w:rsidR="006950BA" w:rsidRPr="009F08C3" w:rsidRDefault="006950BA" w:rsidP="00880431">
      <w:pPr>
        <w:jc w:val="both"/>
        <w:rPr>
          <w:noProof/>
        </w:rPr>
      </w:pPr>
    </w:p>
    <w:p w:rsidR="006950BA" w:rsidRPr="009F08C3" w:rsidRDefault="004D6F73" w:rsidP="00880431">
      <w:pPr>
        <w:jc w:val="both"/>
        <w:rPr>
          <w:noProof/>
        </w:rPr>
      </w:pPr>
      <w:r w:rsidRPr="009F08C3">
        <w:t>V článku 7 ods. 6 nariadenia o BMVI sa stanovuje, že v súlade s príslušnými ustanoveniami jednotlivých dohôd o pridružení by sa mala „dojedn</w:t>
      </w:r>
      <w:r w:rsidRPr="009F08C3">
        <w:t xml:space="preserve">ať“ povaha a spôsoby účasti na BMVI pre krajiny pridružené k vykonávaniu, uplatňovaniu a vývoju schengenského acquis. Tieto dojednania majú formu dohôd, ktoré Únia uzavrie s krajinami pridruženými k schengenskému priestoru v súlade s článkom 216 ZFEÚ. </w:t>
      </w:r>
    </w:p>
    <w:p w:rsidR="006950BA" w:rsidRPr="009F08C3" w:rsidRDefault="006950BA" w:rsidP="00880431">
      <w:pPr>
        <w:jc w:val="both"/>
      </w:pPr>
    </w:p>
    <w:p w:rsidR="006950BA" w:rsidRPr="009F08C3" w:rsidRDefault="004D6F73" w:rsidP="00880431">
      <w:pPr>
        <w:jc w:val="both"/>
      </w:pPr>
      <w:r w:rsidRPr="009F08C3">
        <w:t>21</w:t>
      </w:r>
      <w:r w:rsidRPr="009F08C3">
        <w:t>. februára 2022 Rada poverila Komisiu začatím rokovaní</w:t>
      </w:r>
      <w:r w:rsidRPr="009F08C3">
        <w:rPr>
          <w:rStyle w:val="FootnoteReference"/>
          <w:b w:val="0"/>
        </w:rPr>
        <w:footnoteReference w:id="1"/>
      </w:r>
      <w:r w:rsidRPr="009F08C3">
        <w:t xml:space="preserve"> s Islandom, Nórskym kráľovstvom, Švajčiarskou konfederáciou a Lichtenštajnským kniežatstvom o dojednaniach, ktoré sa majú uzavrieť podľa nariadenia Európskeho parlamentu a Rady (EÚ) 2021/1148</w:t>
      </w:r>
      <w:r w:rsidRPr="009F08C3">
        <w:rPr>
          <w:rStyle w:val="FootnoteReference"/>
          <w:b w:val="0"/>
        </w:rPr>
        <w:footnoteReference w:id="2"/>
      </w:r>
      <w:r w:rsidRPr="009F08C3">
        <w:t>, pokiaľ</w:t>
      </w:r>
      <w:r w:rsidRPr="009F08C3">
        <w:t xml:space="preserve"> ide o </w:t>
      </w:r>
      <w:bookmarkStart w:id="3" w:name="_Hlk132892775"/>
      <w:r w:rsidRPr="009F08C3">
        <w:t>finančné príspevky týchto krajín a dodatočné pravidlá, ktoré sú nevyhnutné pre ich účasť</w:t>
      </w:r>
      <w:bookmarkEnd w:id="3"/>
      <w:r w:rsidRPr="009F08C3">
        <w:t xml:space="preserve"> na Nástroji finančnej podpory na riadenie hraníc a vízovú politiku na obdobie 2021 až 2027, vrátane ustanovení na zabezpečenie ochrany finančných záujmov Únie a</w:t>
      </w:r>
      <w:r w:rsidRPr="009F08C3">
        <w:t> právomocí Dvora audítorov vykonávať audit. Rokovania so Švajčiarskou konfederáciou boli úspešne ukončené parafovaním dohody 14. februára 2023.</w:t>
      </w:r>
    </w:p>
    <w:p w:rsidR="006950BA" w:rsidRPr="009F08C3" w:rsidRDefault="006950BA" w:rsidP="00880431">
      <w:pPr>
        <w:jc w:val="both"/>
      </w:pPr>
    </w:p>
    <w:p w:rsidR="006950BA" w:rsidRPr="009F08C3" w:rsidRDefault="004D6F73" w:rsidP="00880431">
      <w:pPr>
        <w:jc w:val="both"/>
      </w:pPr>
      <w:r w:rsidRPr="009F08C3">
        <w:t>10. júla 2023 Komisia predložila Rade návrh rozhodnutia Rady o uzavretí v mene Európskej únie Dohody medzi Euró</w:t>
      </w:r>
      <w:r w:rsidRPr="009F08C3">
        <w:t>pskou úniou a Švajčiarskou konfederáciou o dodatočných pravidlách v súvislosti s Nástrojom finančnej podpory na riadenie hraníc a vízovú politiku ako súčasťou Fondu pre integrované riadenie hraníc.</w:t>
      </w:r>
    </w:p>
    <w:p w:rsidR="006950BA" w:rsidRPr="009F08C3" w:rsidRDefault="006950BA" w:rsidP="00880431">
      <w:pPr>
        <w:jc w:val="both"/>
      </w:pPr>
    </w:p>
    <w:p w:rsidR="006950BA" w:rsidRPr="009F08C3" w:rsidRDefault="004D6F73" w:rsidP="00880431">
      <w:pPr>
        <w:jc w:val="both"/>
      </w:pPr>
      <w:r w:rsidRPr="009F08C3">
        <w:t xml:space="preserve">28. septembra 2023 Rada prijala rozhodnutie o uzavretí v </w:t>
      </w:r>
      <w:r w:rsidRPr="009F08C3">
        <w:t>mene Únie Dohody medzi Európskou úniou a Švajčiarskou konfederáciou o dodatočných pravidlách v súvislosti s Nástrojom finančnej podpory na riadenie hraníc a vízovú politiku ako súčasťou Fondu pre integrované riadenie hraníc na obdobie 2021 až 2027. 28. nov</w:t>
      </w:r>
      <w:r w:rsidRPr="009F08C3">
        <w:t>embra 2023 bola dohoda podpísaná v Bruseli.</w:t>
      </w:r>
    </w:p>
    <w:p w:rsidR="006950BA" w:rsidRPr="009F08C3" w:rsidRDefault="006950BA" w:rsidP="00880431">
      <w:pPr>
        <w:jc w:val="both"/>
      </w:pPr>
    </w:p>
    <w:p w:rsidR="006950BA" w:rsidRPr="009F08C3" w:rsidRDefault="004D6F73" w:rsidP="00880431">
      <w:pPr>
        <w:jc w:val="both"/>
      </w:pPr>
      <w:r w:rsidRPr="009F08C3">
        <w:t>7. decembra 2023 Rada požiadala Európsky parlament o súhlas s návrhom rozhodnutia Rady o</w:t>
      </w:r>
      <w:r>
        <w:t> </w:t>
      </w:r>
      <w:r w:rsidRPr="009F08C3">
        <w:t>uzavretí uvedenej dohody.</w:t>
      </w:r>
    </w:p>
    <w:p w:rsidR="006950BA" w:rsidRPr="009F08C3" w:rsidRDefault="006950BA" w:rsidP="00880431">
      <w:pPr>
        <w:jc w:val="both"/>
        <w:rPr>
          <w:sz w:val="22"/>
          <w:szCs w:val="22"/>
        </w:rPr>
      </w:pPr>
    </w:p>
    <w:p w:rsidR="006950BA" w:rsidRPr="009F08C3" w:rsidRDefault="006950BA" w:rsidP="00880431">
      <w:pPr>
        <w:jc w:val="both"/>
        <w:rPr>
          <w:sz w:val="22"/>
          <w:szCs w:val="22"/>
        </w:rPr>
      </w:pPr>
    </w:p>
    <w:p w:rsidR="006950BA" w:rsidRPr="009F08C3" w:rsidRDefault="004D6F73" w:rsidP="00880431">
      <w:pPr>
        <w:jc w:val="both"/>
      </w:pPr>
      <w:r w:rsidRPr="009F08C3">
        <w:rPr>
          <w:b/>
        </w:rPr>
        <w:t>b. Stanovisko spravodajkyne</w:t>
      </w:r>
    </w:p>
    <w:p w:rsidR="006950BA" w:rsidRPr="009F08C3" w:rsidRDefault="006950BA" w:rsidP="00880431">
      <w:pPr>
        <w:jc w:val="both"/>
      </w:pPr>
    </w:p>
    <w:p w:rsidR="006950BA" w:rsidRPr="009F08C3" w:rsidRDefault="004D6F73" w:rsidP="00880431">
      <w:pPr>
        <w:jc w:val="both"/>
      </w:pPr>
      <w:r w:rsidRPr="009F08C3">
        <w:t>Nástroj finančnej podpory na riadenie hraníc a vízovú politiku ak</w:t>
      </w:r>
      <w:r w:rsidRPr="009F08C3">
        <w:t>o súčasť Fondu pre</w:t>
      </w:r>
      <w:r>
        <w:t> </w:t>
      </w:r>
      <w:r w:rsidRPr="009F08C3">
        <w:t xml:space="preserve">integrované riadenie hraníc v kontexte schengenského </w:t>
      </w:r>
      <w:r w:rsidRPr="009F08C3">
        <w:rPr>
          <w:i/>
          <w:iCs/>
        </w:rPr>
        <w:t>acquis</w:t>
      </w:r>
      <w:r w:rsidRPr="009F08C3">
        <w:t xml:space="preserve"> je osobitným nástrojom určeným na zabezpečenie silného a účinného európskeho integrovaného riadenia hraníc na</w:t>
      </w:r>
      <w:r>
        <w:t> </w:t>
      </w:r>
      <w:r w:rsidRPr="009F08C3">
        <w:t xml:space="preserve">vonkajších hraniciach pri súčasnom zabezpečení voľného pohybu osôb </w:t>
      </w:r>
      <w:r w:rsidRPr="009F08C3">
        <w:t>v plnom súlade so</w:t>
      </w:r>
      <w:r>
        <w:t> </w:t>
      </w:r>
      <w:r w:rsidRPr="009F08C3">
        <w:t>záväzkami členských štátov a pridružených krajín v oblasti základných práv, pričom zároveň slúži na</w:t>
      </w:r>
      <w:r>
        <w:t> </w:t>
      </w:r>
      <w:r w:rsidRPr="009F08C3">
        <w:t>podporu jednotného vykonávania a modernizácie spoločnej vízovej politiky, čím prispieva k zaisteniu vysokej úrovne bezpečnosti v členských</w:t>
      </w:r>
      <w:r w:rsidRPr="009F08C3">
        <w:t xml:space="preserve"> štátoch a pridružených krajinách.</w:t>
      </w:r>
    </w:p>
    <w:p w:rsidR="006950BA" w:rsidRPr="009F08C3" w:rsidRDefault="006950BA" w:rsidP="00880431">
      <w:pPr>
        <w:jc w:val="both"/>
      </w:pPr>
    </w:p>
    <w:p w:rsidR="006950BA" w:rsidRPr="009F08C3" w:rsidRDefault="004D6F73" w:rsidP="00880431">
      <w:pPr>
        <w:jc w:val="both"/>
      </w:pPr>
      <w:r w:rsidRPr="009F08C3">
        <w:t>Spravodajkyňa súhlasí s tým, že BMVI ponúka príležitosť vykonávať opatrenia v rámci zdieľaného priameho a nepriameho riadenia a dohoda by mala umožňovať, aby sa vo</w:t>
      </w:r>
      <w:r>
        <w:t> </w:t>
      </w:r>
      <w:r w:rsidRPr="009F08C3">
        <w:t>Švajčiarsku v súlade so zásadami a pravidlami EÚ v oblas</w:t>
      </w:r>
      <w:r w:rsidRPr="009F08C3">
        <w:t>ti finančného riadenia a kontroly mohol používať ktorýkoľvek z týchto spôsobov riadenia.</w:t>
      </w:r>
    </w:p>
    <w:p w:rsidR="006950BA" w:rsidRPr="009F08C3" w:rsidRDefault="006950BA" w:rsidP="00880431">
      <w:pPr>
        <w:jc w:val="both"/>
      </w:pPr>
    </w:p>
    <w:p w:rsidR="006950BA" w:rsidRPr="009F08C3" w:rsidRDefault="004D6F73" w:rsidP="00880431">
      <w:pPr>
        <w:jc w:val="both"/>
      </w:pPr>
      <w:r w:rsidRPr="009F08C3">
        <w:t>Spravodajkyňa sa tiež domnieva, že vzhľadom na osobitnú povahu schengenského acquis a</w:t>
      </w:r>
      <w:r>
        <w:t> </w:t>
      </w:r>
      <w:r w:rsidRPr="009F08C3">
        <w:t xml:space="preserve">význam jeho jednotného uplatňovania pre integritu schengenského priestoru by sa </w:t>
      </w:r>
      <w:r w:rsidRPr="009F08C3">
        <w:t>všetky pravidlá riadenia programov mali uplatňovať na Švajčiarsko rovnako ako na členské štáty.</w:t>
      </w:r>
    </w:p>
    <w:p w:rsidR="006950BA" w:rsidRPr="009F08C3" w:rsidRDefault="006950BA" w:rsidP="00880431">
      <w:pPr>
        <w:jc w:val="both"/>
      </w:pPr>
    </w:p>
    <w:p w:rsidR="006950BA" w:rsidRPr="009F08C3" w:rsidRDefault="004D6F73" w:rsidP="00880431">
      <w:pPr>
        <w:jc w:val="both"/>
      </w:pPr>
      <w:r w:rsidRPr="009F08C3">
        <w:t xml:space="preserve">Spravodajkyňa sa domnieva, že uzavretie formálnych a právne záväzných dohôd v rámci spolupráce s pridruženými krajinami má na rozdiel od iných typov dohovorov </w:t>
      </w:r>
      <w:r w:rsidRPr="009F08C3">
        <w:t>kľúčový význam pre zabezpečenie transparentnosti, verejnej kontroly a demokratického dohľadu. To je obzvlášť dôležité v prípade využívania rozpočtu EÚ.</w:t>
      </w:r>
    </w:p>
    <w:p w:rsidR="006950BA" w:rsidRPr="009F08C3" w:rsidRDefault="006950BA" w:rsidP="006950BA"/>
    <w:p w:rsidR="006950BA" w:rsidRPr="009F08C3" w:rsidRDefault="004D6F73" w:rsidP="00880431">
      <w:pPr>
        <w:jc w:val="both"/>
      </w:pPr>
      <w:r w:rsidRPr="009F08C3">
        <w:t xml:space="preserve">Treba tiež ďalej dodržiavať ďalšie osobitné ustanovenia. </w:t>
      </w:r>
      <w:r w:rsidRPr="009F08C3">
        <w:rPr>
          <w:shd w:val="clear" w:color="auto" w:fill="FFFFFF"/>
        </w:rPr>
        <w:t>Na základe dohôd o pridružení k</w:t>
      </w:r>
      <w:r>
        <w:rPr>
          <w:shd w:val="clear" w:color="auto" w:fill="FFFFFF"/>
        </w:rPr>
        <w:t> </w:t>
      </w:r>
      <w:r w:rsidRPr="009F08C3">
        <w:rPr>
          <w:shd w:val="clear" w:color="auto" w:fill="FFFFFF"/>
        </w:rPr>
        <w:t xml:space="preserve">schengenskému </w:t>
      </w:r>
      <w:r w:rsidRPr="009F08C3">
        <w:rPr>
          <w:shd w:val="clear" w:color="auto" w:fill="FFFFFF"/>
        </w:rPr>
        <w:t>priestoru</w:t>
      </w:r>
      <w:r w:rsidRPr="009F08C3">
        <w:t xml:space="preserve"> je Švajčiarsko </w:t>
      </w:r>
      <w:r w:rsidRPr="009F08C3">
        <w:rPr>
          <w:shd w:val="clear" w:color="auto" w:fill="FFFFFF"/>
        </w:rPr>
        <w:t>povinné v plnej miere prijať opatrenia Únie</w:t>
      </w:r>
      <w:r w:rsidRPr="009F08C3">
        <w:t>, ktoré predstavujú vývoj schengenského acquis alebo sú na ňom založené, vrátane nariadenia o</w:t>
      </w:r>
      <w:r>
        <w:t> </w:t>
      </w:r>
      <w:r w:rsidRPr="009F08C3">
        <w:t>BMVI, a prijať opatrenia potrebné na zabezpečenie súladu s ustanoveniami o finančnom riadení a</w:t>
      </w:r>
      <w:r w:rsidRPr="009F08C3">
        <w:t> kontrole ustanovenými v ZFEÚ a v právnych predpisoch Únie, ktorých právny základ vychádza zo ZFEÚ.</w:t>
      </w:r>
      <w:r w:rsidRPr="009F08C3">
        <w:br/>
        <w:t>Dohodami sa zavádzajú aj osobitné mechanizmy rýchlych úprav dohody so Švajčiarskom v</w:t>
      </w:r>
      <w:r>
        <w:t> </w:t>
      </w:r>
      <w:r w:rsidRPr="009F08C3">
        <w:t>prípade zmien dôležitých právnych predpisov Únie týkajúcich sa vykonáva</w:t>
      </w:r>
      <w:r w:rsidRPr="009F08C3">
        <w:t>nia, ako je nariadenie o rozpočtových pravidlách a nariadenie o spoločných ustanoveniach. Dohodou sa tiež zabezpečuje, aby sa pri preskúmaní nástroja BMVI v polovici trvania zohľadnila neskoršia účasť krajín pridružených k schengenskému priestoru.</w:t>
      </w:r>
    </w:p>
    <w:p w:rsidR="006950BA" w:rsidRPr="009F08C3" w:rsidRDefault="006950BA" w:rsidP="00880431">
      <w:pPr>
        <w:jc w:val="both"/>
      </w:pPr>
    </w:p>
    <w:p w:rsidR="006950BA" w:rsidRPr="009F08C3" w:rsidRDefault="004D6F73" w:rsidP="00880431">
      <w:pPr>
        <w:jc w:val="both"/>
      </w:pPr>
      <w:r w:rsidRPr="009F08C3">
        <w:t xml:space="preserve">Pokiaľ </w:t>
      </w:r>
      <w:r w:rsidRPr="009F08C3">
        <w:t xml:space="preserve">ide o rozpočtové a finančné kontroly, členské štáty navyše podliehajú horizontálnym povinnostiam [napr. právomoci Dvora audítorov, Európskeho úradu pre boj proti podvodom (OLAF), Európskej prokuratúry a Komisie], ktoré vyplývajú buď priamo zo zmluvy alebo </w:t>
      </w:r>
      <w:r w:rsidRPr="009F08C3">
        <w:t>zo</w:t>
      </w:r>
      <w:r>
        <w:t> </w:t>
      </w:r>
      <w:r w:rsidRPr="009F08C3">
        <w:t>sekundárnych právnych predpisov Únie vrátane uvedeného nariadenia o spoločných ustanoveniach. Tieto povinnosti sa vzťahujú na členské štáty ipso facto, a preto nie sú stanovené v nariadení o BMVI. Preto je potrebné tieto povinnosti rozšíriť dohodou, kto</w:t>
      </w:r>
      <w:r w:rsidRPr="009F08C3">
        <w:t>rá je predmetom tohto návrhu, aj na Švajčiarsko.</w:t>
      </w:r>
    </w:p>
    <w:p w:rsidR="006950BA" w:rsidRPr="009F08C3" w:rsidRDefault="004D6F73" w:rsidP="00880431">
      <w:pPr>
        <w:jc w:val="both"/>
      </w:pPr>
      <w:r w:rsidRPr="009F08C3">
        <w:br/>
        <w:t>Dohoda napokon obsahuje aj ustanovenie o Európskom systéme pre cestovné informácie a povolenia (ETIAS). </w:t>
      </w:r>
    </w:p>
    <w:p w:rsidR="006950BA" w:rsidRPr="009F08C3" w:rsidRDefault="006950BA" w:rsidP="00880431">
      <w:pPr>
        <w:jc w:val="both"/>
        <w:rPr>
          <w:rFonts w:ascii="Arial" w:hAnsi="Arial" w:cs="Arial"/>
          <w:color w:val="222222"/>
          <w:spacing w:val="4"/>
          <w:sz w:val="21"/>
          <w:szCs w:val="21"/>
          <w:shd w:val="clear" w:color="auto" w:fill="FFFFFF"/>
        </w:rPr>
      </w:pPr>
    </w:p>
    <w:p w:rsidR="006950BA" w:rsidRPr="009F08C3" w:rsidRDefault="004D6F73" w:rsidP="00880431">
      <w:pPr>
        <w:jc w:val="both"/>
      </w:pPr>
      <w:r w:rsidRPr="009F08C3">
        <w:t>Spravodajkyňa na záver konštatuje, že je vhodné uzavrieť dohodu stanovujúcu dodatočné pravidlá potre</w:t>
      </w:r>
      <w:r w:rsidRPr="009F08C3">
        <w:t>bné pre účasť Švajčiarskej konfederácie na Nástroji finančnej podpory na riadenie hraníc a vízovú politiku (BMVI) ako súčasti Fondu pre integrované riadenie hraníc na programové obdobie 2021 až 2027 v súlade s článkom 7 ods. 6 nariadenia (EÚ) 2021/1148 (na</w:t>
      </w:r>
      <w:r w:rsidRPr="009F08C3">
        <w:t>riadenie o BMVI).</w:t>
      </w:r>
    </w:p>
    <w:p w:rsidR="006950BA" w:rsidRPr="009F08C3" w:rsidRDefault="006950BA" w:rsidP="00880431">
      <w:pPr>
        <w:jc w:val="both"/>
      </w:pPr>
    </w:p>
    <w:p w:rsidR="006950BA" w:rsidRPr="009F08C3" w:rsidRDefault="004D6F73" w:rsidP="00880431">
      <w:pPr>
        <w:jc w:val="both"/>
      </w:pPr>
      <w:r w:rsidRPr="009F08C3">
        <w:t>Vzhľadom na uvedené skutočnosti spravodajkyňa odporúča, aby Európsky parlament udelil súhlas s návrhom rozhodnutia Rady</w:t>
      </w:r>
      <w:bookmarkStart w:id="4" w:name="AM0"/>
      <w:bookmarkEnd w:id="4"/>
      <w:r w:rsidRPr="009F08C3">
        <w:t>, a poveruje svoju predsedníčku, aby postúpila túto pozíciu Rade, Komisii a vládam a parlamentom členských štátov.</w:t>
      </w:r>
    </w:p>
    <w:p w:rsidR="006950BA" w:rsidRPr="009F08C3" w:rsidRDefault="006950BA" w:rsidP="00880431">
      <w:pPr>
        <w:jc w:val="both"/>
        <w:rPr>
          <w:sz w:val="22"/>
          <w:szCs w:val="22"/>
        </w:rPr>
      </w:pPr>
    </w:p>
    <w:p w:rsidR="006950BA" w:rsidRPr="009F08C3" w:rsidRDefault="006950BA" w:rsidP="00880431">
      <w:pPr>
        <w:jc w:val="both"/>
      </w:pPr>
    </w:p>
    <w:p w:rsidR="006950BA" w:rsidRPr="009F08C3" w:rsidRDefault="006950BA" w:rsidP="00880431">
      <w:pPr>
        <w:jc w:val="both"/>
      </w:pPr>
    </w:p>
    <w:sectPr w:rsidR="006950BA" w:rsidRPr="009F08C3" w:rsidSect="006950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F08C3" w:rsidRDefault="004D6F73">
      <w:r w:rsidRPr="009F08C3">
        <w:separator/>
      </w:r>
    </w:p>
  </w:endnote>
  <w:endnote w:type="continuationSeparator" w:id="0">
    <w:p w:rsidR="00000000" w:rsidRPr="009F08C3" w:rsidRDefault="004D6F73">
      <w:r w:rsidRPr="009F08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8C3" w:rsidRPr="009F08C3" w:rsidRDefault="009F08C3" w:rsidP="009F08C3">
    <w:pPr>
      <w:pStyle w:val="EPFooter"/>
    </w:pPr>
    <w:r w:rsidRPr="009F08C3">
      <w:t>PE</w:t>
    </w:r>
    <w:r w:rsidRPr="009F08C3">
      <w:rPr>
        <w:rStyle w:val="HideTWBExt"/>
      </w:rPr>
      <w:t>&lt;NoPE&gt;</w:t>
    </w:r>
    <w:r w:rsidRPr="009F08C3">
      <w:t>758.913</w:t>
    </w:r>
    <w:r w:rsidRPr="009F08C3">
      <w:rPr>
        <w:rStyle w:val="HideTWBExt"/>
      </w:rPr>
      <w:t>&lt;/NoPE&gt;&lt;Version&gt;</w:t>
    </w:r>
    <w:r w:rsidRPr="009F08C3">
      <w:t>v01-00</w:t>
    </w:r>
    <w:r w:rsidRPr="009F08C3">
      <w:rPr>
        <w:rStyle w:val="HideTWBExt"/>
      </w:rPr>
      <w:t>&lt;/Version&gt;</w:t>
    </w:r>
    <w:r w:rsidRPr="009F08C3">
      <w:tab/>
    </w:r>
    <w:r w:rsidRPr="009F08C3">
      <w:fldChar w:fldCharType="begin"/>
    </w:r>
    <w:r w:rsidRPr="009F08C3">
      <w:instrText xml:space="preserve"> PAGE  \* MERGEFORMAT </w:instrText>
    </w:r>
    <w:r w:rsidRPr="009F08C3">
      <w:fldChar w:fldCharType="separate"/>
    </w:r>
    <w:r w:rsidR="004D6F73">
      <w:rPr>
        <w:noProof/>
      </w:rPr>
      <w:t>8</w:t>
    </w:r>
    <w:r w:rsidRPr="009F08C3">
      <w:fldChar w:fldCharType="end"/>
    </w:r>
    <w:r w:rsidRPr="009F08C3">
      <w:t>/</w:t>
    </w:r>
    <w:fldSimple w:instr=" NUMPAGES  \* MERGEFORMAT ">
      <w:r w:rsidR="004D6F73">
        <w:rPr>
          <w:noProof/>
        </w:rPr>
        <w:t>8</w:t>
      </w:r>
    </w:fldSimple>
    <w:r w:rsidRPr="009F08C3">
      <w:tab/>
    </w:r>
    <w:r w:rsidRPr="009F08C3">
      <w:rPr>
        <w:rStyle w:val="HideTWBExt"/>
      </w:rPr>
      <w:t>&lt;PathFdR&gt;</w:t>
    </w:r>
    <w:r w:rsidRPr="009F08C3">
      <w:t>PR\1296234SK.docx</w:t>
    </w:r>
    <w:r w:rsidRPr="009F08C3">
      <w:rPr>
        <w:rStyle w:val="HideTWBExt"/>
      </w:rPr>
      <w:t>&lt;/PathFdR&gt;</w:t>
    </w:r>
  </w:p>
  <w:p w:rsidR="0085501C" w:rsidRPr="009F08C3" w:rsidRDefault="009F08C3" w:rsidP="009F08C3">
    <w:pPr>
      <w:pStyle w:val="EPFooter2"/>
    </w:pPr>
    <w:r w:rsidRPr="009F08C3">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8C3" w:rsidRPr="009F08C3" w:rsidRDefault="009F08C3" w:rsidP="009F08C3">
    <w:pPr>
      <w:pStyle w:val="EPFooter"/>
    </w:pPr>
    <w:r w:rsidRPr="009F08C3">
      <w:rPr>
        <w:rStyle w:val="HideTWBExt"/>
      </w:rPr>
      <w:t>&lt;PathFdR&gt;</w:t>
    </w:r>
    <w:r w:rsidRPr="009F08C3">
      <w:t>PR\1296234SK.docx</w:t>
    </w:r>
    <w:r w:rsidRPr="009F08C3">
      <w:rPr>
        <w:rStyle w:val="HideTWBExt"/>
      </w:rPr>
      <w:t>&lt;/PathFdR&gt;</w:t>
    </w:r>
    <w:r w:rsidRPr="009F08C3">
      <w:tab/>
    </w:r>
    <w:r w:rsidRPr="009F08C3">
      <w:fldChar w:fldCharType="begin"/>
    </w:r>
    <w:r w:rsidRPr="009F08C3">
      <w:instrText xml:space="preserve"> PAGE  \* MERGEFORMAT </w:instrText>
    </w:r>
    <w:r w:rsidRPr="009F08C3">
      <w:fldChar w:fldCharType="separate"/>
    </w:r>
    <w:r w:rsidR="004D6F73">
      <w:rPr>
        <w:noProof/>
      </w:rPr>
      <w:t>8</w:t>
    </w:r>
    <w:r w:rsidRPr="009F08C3">
      <w:fldChar w:fldCharType="end"/>
    </w:r>
    <w:r w:rsidRPr="009F08C3">
      <w:t>/</w:t>
    </w:r>
    <w:fldSimple w:instr=" NUMPAGES  \* MERGEFORMAT ">
      <w:r w:rsidR="004D6F73">
        <w:rPr>
          <w:noProof/>
        </w:rPr>
        <w:t>8</w:t>
      </w:r>
    </w:fldSimple>
    <w:r w:rsidRPr="009F08C3">
      <w:tab/>
      <w:t>PE</w:t>
    </w:r>
    <w:r w:rsidRPr="009F08C3">
      <w:rPr>
        <w:rStyle w:val="HideTWBExt"/>
      </w:rPr>
      <w:t>&lt;NoPE&gt;</w:t>
    </w:r>
    <w:r w:rsidRPr="009F08C3">
      <w:t>758.913</w:t>
    </w:r>
    <w:r w:rsidRPr="009F08C3">
      <w:rPr>
        <w:rStyle w:val="HideTWBExt"/>
      </w:rPr>
      <w:t>&lt;/NoPE&gt;&lt;Version&gt;</w:t>
    </w:r>
    <w:r w:rsidRPr="009F08C3">
      <w:t>v01-00</w:t>
    </w:r>
    <w:r w:rsidRPr="009F08C3">
      <w:rPr>
        <w:rStyle w:val="HideTWBExt"/>
      </w:rPr>
      <w:t>&lt;/Version&gt;</w:t>
    </w:r>
  </w:p>
  <w:p w:rsidR="0085501C" w:rsidRPr="009F08C3" w:rsidRDefault="009F08C3" w:rsidP="009F08C3">
    <w:pPr>
      <w:pStyle w:val="EPFooter2"/>
    </w:pPr>
    <w:r w:rsidRPr="009F08C3">
      <w:tab/>
    </w:r>
    <w:r w:rsidRPr="009F08C3">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8C3" w:rsidRPr="009F08C3" w:rsidRDefault="009F08C3" w:rsidP="009F08C3">
    <w:pPr>
      <w:pStyle w:val="EPFooter"/>
    </w:pPr>
    <w:r w:rsidRPr="009F08C3">
      <w:rPr>
        <w:rStyle w:val="HideTWBExt"/>
      </w:rPr>
      <w:t>&lt;PathFdR&gt;</w:t>
    </w:r>
    <w:r w:rsidRPr="009F08C3">
      <w:t>PR\1296234SK.docx</w:t>
    </w:r>
    <w:r w:rsidRPr="009F08C3">
      <w:rPr>
        <w:rStyle w:val="HideTWBExt"/>
      </w:rPr>
      <w:t>&lt;/PathFdR&gt;</w:t>
    </w:r>
    <w:r w:rsidRPr="009F08C3">
      <w:tab/>
    </w:r>
    <w:r w:rsidRPr="009F08C3">
      <w:tab/>
      <w:t>PE</w:t>
    </w:r>
    <w:r w:rsidRPr="009F08C3">
      <w:rPr>
        <w:rStyle w:val="HideTWBExt"/>
      </w:rPr>
      <w:t>&lt;NoPE&gt;</w:t>
    </w:r>
    <w:r w:rsidRPr="009F08C3">
      <w:t>758.913</w:t>
    </w:r>
    <w:r w:rsidRPr="009F08C3">
      <w:rPr>
        <w:rStyle w:val="HideTWBExt"/>
      </w:rPr>
      <w:t>&lt;/NoPE&gt;&lt;Version&gt;</w:t>
    </w:r>
    <w:r w:rsidRPr="009F08C3">
      <w:t>v01-00</w:t>
    </w:r>
    <w:r w:rsidRPr="009F08C3">
      <w:rPr>
        <w:rStyle w:val="HideTWBExt"/>
      </w:rPr>
      <w:t>&lt;/Version&gt;</w:t>
    </w:r>
  </w:p>
  <w:p w:rsidR="0085501C" w:rsidRPr="009F08C3" w:rsidRDefault="009F08C3" w:rsidP="009F08C3">
    <w:pPr>
      <w:pStyle w:val="EPFooter2"/>
    </w:pPr>
    <w:r w:rsidRPr="009F08C3">
      <w:t>SK</w:t>
    </w:r>
    <w:r w:rsidRPr="009F08C3">
      <w:tab/>
    </w:r>
    <w:r w:rsidRPr="009F08C3">
      <w:rPr>
        <w:b w:val="0"/>
        <w:i/>
        <w:color w:val="C0C0C0"/>
        <w:sz w:val="22"/>
      </w:rPr>
      <w:t>Zjednotení v rozmanitosti</w:t>
    </w:r>
    <w:r w:rsidRPr="009F08C3">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DCE" w:rsidRPr="009F08C3" w:rsidRDefault="004D6F73">
      <w:r w:rsidRPr="009F08C3">
        <w:separator/>
      </w:r>
    </w:p>
  </w:footnote>
  <w:footnote w:type="continuationSeparator" w:id="0">
    <w:p w:rsidR="00763DCE" w:rsidRPr="009F08C3" w:rsidRDefault="004D6F73">
      <w:r w:rsidRPr="009F08C3">
        <w:continuationSeparator/>
      </w:r>
    </w:p>
  </w:footnote>
  <w:footnote w:id="1">
    <w:p w:rsidR="006950BA" w:rsidRPr="009F08C3" w:rsidRDefault="004D6F73" w:rsidP="00880431">
      <w:pPr>
        <w:pStyle w:val="FootnoteText"/>
        <w:jc w:val="both"/>
      </w:pPr>
      <w:r w:rsidRPr="009F08C3">
        <w:rPr>
          <w:rStyle w:val="FootnoteReference"/>
          <w:b w:val="0"/>
        </w:rPr>
        <w:footnoteRef/>
      </w:r>
      <w:r w:rsidRPr="009F08C3">
        <w:t xml:space="preserve"> </w:t>
      </w:r>
      <w:r>
        <w:tab/>
      </w:r>
      <w:r w:rsidRPr="009F08C3">
        <w:t xml:space="preserve">Rozhodnutie Rady (EÚ) 2022/442 z 21. februára 2022 o poverení začať rokovania s Islandom, Nórskym kráľovstvom, Švajčiarskou konfederáciou a Lichtenštajnským kniežatstvom s cieľom uzavrieť medzi Európskou úniou a týmito krajinami dohody o dodatočných </w:t>
      </w:r>
      <w:r w:rsidRPr="009F08C3">
        <w:t>pravidlách v súvislosti s Nástrojom finančnej podpory na riadenie hraníc a vízovú politiku ako súčasťou Fondu pre integrované riadenie hraníc (Ú. v. EÚ L 90, 18.3.2022, s. 116).</w:t>
      </w:r>
    </w:p>
  </w:footnote>
  <w:footnote w:id="2">
    <w:p w:rsidR="006950BA" w:rsidRPr="009F08C3" w:rsidRDefault="004D6F73" w:rsidP="00880431">
      <w:pPr>
        <w:pStyle w:val="FootnoteText"/>
        <w:jc w:val="both"/>
      </w:pPr>
      <w:r w:rsidRPr="009F08C3">
        <w:rPr>
          <w:rStyle w:val="FootnoteReference"/>
          <w:b w:val="0"/>
        </w:rPr>
        <w:footnoteRef/>
      </w:r>
      <w:r w:rsidRPr="009F08C3">
        <w:t xml:space="preserve"> </w:t>
      </w:r>
      <w:r>
        <w:tab/>
      </w:r>
      <w:r w:rsidRPr="009F08C3">
        <w:t>Nariadenie Európskeho parlamentu a Rady (EÚ) 2021/1148 zo 7. júla 2021, ktor</w:t>
      </w:r>
      <w:r w:rsidRPr="009F08C3">
        <w:t>ým sa ako súčasť Fondu pre integrované riadenie hraníc zriaďuje Nástroj finančnej podpory na riadenie hraníc a vízovú politiku (Ú. v. EÚ L 251, 15.7.2021, s.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F73" w:rsidRDefault="004D6F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F73" w:rsidRDefault="004D6F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F73" w:rsidRDefault="004D6F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Jadwiga Wiśniewska"/>
    <w:docVar w:name="TXTLANGUE" w:val="EN"/>
    <w:docVar w:name="TXTLANGUEMIN" w:val="en"/>
    <w:docVar w:name="TXTNRC" w:val="0461/2023"/>
    <w:docVar w:name="TXTNRCOUNC" w:val="12122/2023"/>
    <w:docVar w:name="TXTNRNLE" w:val="2023/0229"/>
    <w:docVar w:name="TXTNRPE" w:val="758.913"/>
    <w:docVar w:name="TXTPEorAP" w:val="PE"/>
    <w:docVar w:name="TXTROUTE" w:val="PR\1296234EN.docx"/>
    <w:docVar w:name="TXTTITLE" w:val="on the conclusion, on behalf of the Union, of the Agreement between the European Union and the Swiss Confederation on supplementary rules in relation to the Instrument for Financial Support for Border Management and Visa Policy, as part of the Integrated Border Management Fund, for the period 2021 to 2027"/>
    <w:docVar w:name="TXTVERSION" w:val="01-00"/>
  </w:docVars>
  <w:rsids>
    <w:rsidRoot w:val="00763DCE"/>
    <w:rsid w:val="00001D52"/>
    <w:rsid w:val="0000443F"/>
    <w:rsid w:val="000053E3"/>
    <w:rsid w:val="00016E55"/>
    <w:rsid w:val="0006167F"/>
    <w:rsid w:val="00061EFE"/>
    <w:rsid w:val="00095D8B"/>
    <w:rsid w:val="000A2F73"/>
    <w:rsid w:val="000B6BBA"/>
    <w:rsid w:val="000C123D"/>
    <w:rsid w:val="000D78AF"/>
    <w:rsid w:val="00110414"/>
    <w:rsid w:val="001336E9"/>
    <w:rsid w:val="00180664"/>
    <w:rsid w:val="001874D8"/>
    <w:rsid w:val="001D02E3"/>
    <w:rsid w:val="001F7BBE"/>
    <w:rsid w:val="0020328E"/>
    <w:rsid w:val="0021049A"/>
    <w:rsid w:val="0022685A"/>
    <w:rsid w:val="002E2E20"/>
    <w:rsid w:val="002F5A83"/>
    <w:rsid w:val="003072BE"/>
    <w:rsid w:val="00337C92"/>
    <w:rsid w:val="00361CA2"/>
    <w:rsid w:val="00363B94"/>
    <w:rsid w:val="003B598C"/>
    <w:rsid w:val="003F2429"/>
    <w:rsid w:val="004174FC"/>
    <w:rsid w:val="00460BD6"/>
    <w:rsid w:val="004859B3"/>
    <w:rsid w:val="004C083C"/>
    <w:rsid w:val="004D6F73"/>
    <w:rsid w:val="004E1650"/>
    <w:rsid w:val="004F07CF"/>
    <w:rsid w:val="0051709D"/>
    <w:rsid w:val="005273BE"/>
    <w:rsid w:val="0053367A"/>
    <w:rsid w:val="00544D48"/>
    <w:rsid w:val="005877C0"/>
    <w:rsid w:val="005A6B14"/>
    <w:rsid w:val="005A7589"/>
    <w:rsid w:val="005C04A5"/>
    <w:rsid w:val="005D0B97"/>
    <w:rsid w:val="005E76CA"/>
    <w:rsid w:val="005F5D6C"/>
    <w:rsid w:val="00610FD9"/>
    <w:rsid w:val="006132CE"/>
    <w:rsid w:val="00613F2E"/>
    <w:rsid w:val="006950BA"/>
    <w:rsid w:val="006A1A75"/>
    <w:rsid w:val="006A2CF5"/>
    <w:rsid w:val="006C0747"/>
    <w:rsid w:val="006F1B6F"/>
    <w:rsid w:val="00701D2F"/>
    <w:rsid w:val="00717061"/>
    <w:rsid w:val="00763DCE"/>
    <w:rsid w:val="00791637"/>
    <w:rsid w:val="0080122F"/>
    <w:rsid w:val="00821DF5"/>
    <w:rsid w:val="00822206"/>
    <w:rsid w:val="008368CB"/>
    <w:rsid w:val="0085501C"/>
    <w:rsid w:val="008764A2"/>
    <w:rsid w:val="00880431"/>
    <w:rsid w:val="00893FBD"/>
    <w:rsid w:val="008B75A4"/>
    <w:rsid w:val="008D23C6"/>
    <w:rsid w:val="008D3030"/>
    <w:rsid w:val="008E3848"/>
    <w:rsid w:val="00924EE0"/>
    <w:rsid w:val="00951916"/>
    <w:rsid w:val="009612AA"/>
    <w:rsid w:val="009A15BE"/>
    <w:rsid w:val="009E39A7"/>
    <w:rsid w:val="009F08C3"/>
    <w:rsid w:val="00A415B7"/>
    <w:rsid w:val="00AC25A4"/>
    <w:rsid w:val="00AD5D0C"/>
    <w:rsid w:val="00B31D18"/>
    <w:rsid w:val="00B42885"/>
    <w:rsid w:val="00B50C20"/>
    <w:rsid w:val="00B6769C"/>
    <w:rsid w:val="00B837B7"/>
    <w:rsid w:val="00BB22CC"/>
    <w:rsid w:val="00BB41C8"/>
    <w:rsid w:val="00BB466B"/>
    <w:rsid w:val="00BE2DB5"/>
    <w:rsid w:val="00BE5E72"/>
    <w:rsid w:val="00BF0A0F"/>
    <w:rsid w:val="00BF2E15"/>
    <w:rsid w:val="00BF7F55"/>
    <w:rsid w:val="00C05DD8"/>
    <w:rsid w:val="00C15447"/>
    <w:rsid w:val="00C35D01"/>
    <w:rsid w:val="00C56DEF"/>
    <w:rsid w:val="00C85D0F"/>
    <w:rsid w:val="00C9085A"/>
    <w:rsid w:val="00CA5A76"/>
    <w:rsid w:val="00CB5651"/>
    <w:rsid w:val="00CC20CB"/>
    <w:rsid w:val="00CF44DF"/>
    <w:rsid w:val="00D04E0B"/>
    <w:rsid w:val="00D62DA0"/>
    <w:rsid w:val="00D6543C"/>
    <w:rsid w:val="00DE0EB7"/>
    <w:rsid w:val="00DF594D"/>
    <w:rsid w:val="00E14FEE"/>
    <w:rsid w:val="00E71368"/>
    <w:rsid w:val="00E93816"/>
    <w:rsid w:val="00EA59ED"/>
    <w:rsid w:val="00EF48F2"/>
    <w:rsid w:val="00F04010"/>
    <w:rsid w:val="00FC46D7"/>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3632A6"/>
  <w15:chartTrackingRefBased/>
  <w15:docId w15:val="{07A7069B-02EF-4E50-B1ED-8BE8AF37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A7589"/>
    <w:pPr>
      <w:tabs>
        <w:tab w:val="right" w:pos="454"/>
        <w:tab w:val="left" w:pos="737"/>
      </w:tabs>
      <w:ind w:left="737" w:hanging="737"/>
    </w:pPr>
    <w:rPr>
      <w:snapToGrid w:val="0"/>
      <w:sz w:val="18"/>
      <w:lang w:eastAsia="en-US"/>
    </w:rPr>
  </w:style>
  <w:style w:type="paragraph" w:customStyle="1" w:styleId="Lgendetitre">
    <w:name w:val="Légende titre"/>
    <w:basedOn w:val="Normal"/>
    <w:rsid w:val="005A7589"/>
    <w:pPr>
      <w:spacing w:before="240" w:after="240"/>
    </w:pPr>
    <w:rPr>
      <w:b/>
      <w:i/>
      <w:snapToGrid w:val="0"/>
      <w:lang w:eastAsia="en-US"/>
    </w:rPr>
  </w:style>
  <w:style w:type="paragraph" w:customStyle="1" w:styleId="Lgendestandard">
    <w:name w:val="Légende standard"/>
    <w:basedOn w:val="Normal"/>
    <w:rsid w:val="005A7589"/>
    <w:rPr>
      <w:sz w:val="18"/>
    </w:rPr>
  </w:style>
  <w:style w:type="paragraph" w:styleId="FootnoteText">
    <w:name w:val="footnote text"/>
    <w:basedOn w:val="Normal"/>
    <w:link w:val="FootnoteTextChar"/>
    <w:uiPriority w:val="99"/>
    <w:unhideWhenUsed/>
    <w:rsid w:val="006950BA"/>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6950BA"/>
    <w:rPr>
      <w:rFonts w:eastAsiaTheme="minorHAnsi"/>
      <w:sz w:val="24"/>
      <w:lang w:eastAsia="en-US"/>
    </w:rPr>
  </w:style>
  <w:style w:type="character" w:styleId="FootnoteReference">
    <w:name w:val="footnote reference"/>
    <w:basedOn w:val="DefaultParagraphFont"/>
    <w:uiPriority w:val="99"/>
    <w:unhideWhenUsed/>
    <w:rsid w:val="006950BA"/>
    <w:rPr>
      <w:b/>
      <w:bdr w:val="none" w:sz="0" w:space="0" w:color="auto"/>
      <w:shd w:val="clear" w:color="auto" w:fill="auto"/>
      <w:vertAlign w:val="superscript"/>
    </w:rPr>
  </w:style>
  <w:style w:type="paragraph" w:styleId="Footer">
    <w:name w:val="footer"/>
    <w:basedOn w:val="Normal"/>
    <w:link w:val="FooterChar"/>
    <w:semiHidden/>
    <w:rsid w:val="00CA5A76"/>
    <w:pPr>
      <w:tabs>
        <w:tab w:val="center" w:pos="4513"/>
        <w:tab w:val="right" w:pos="9026"/>
      </w:tabs>
    </w:pPr>
  </w:style>
  <w:style w:type="character" w:customStyle="1" w:styleId="FooterChar">
    <w:name w:val="Footer Char"/>
    <w:basedOn w:val="DefaultParagraphFont"/>
    <w:link w:val="Footer"/>
    <w:semiHidden/>
    <w:rsid w:val="00CA5A76"/>
    <w:rPr>
      <w:sz w:val="24"/>
    </w:rPr>
  </w:style>
  <w:style w:type="paragraph" w:styleId="BalloonText">
    <w:name w:val="Balloon Text"/>
    <w:basedOn w:val="Normal"/>
    <w:link w:val="BalloonTextChar"/>
    <w:semiHidden/>
    <w:unhideWhenUsed/>
    <w:rsid w:val="008764A2"/>
    <w:rPr>
      <w:rFonts w:ascii="Segoe UI" w:hAnsi="Segoe UI" w:cs="Segoe UI"/>
      <w:sz w:val="18"/>
      <w:szCs w:val="18"/>
    </w:rPr>
  </w:style>
  <w:style w:type="character" w:customStyle="1" w:styleId="BalloonTextChar">
    <w:name w:val="Balloon Text Char"/>
    <w:basedOn w:val="DefaultParagraphFont"/>
    <w:link w:val="BalloonText"/>
    <w:semiHidden/>
    <w:rsid w:val="008764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74266-0B1F-42A6-BD4C-85E489A37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1319</Words>
  <Characters>8231</Characters>
  <Application>Microsoft Office Word</Application>
  <DocSecurity>0</DocSecurity>
  <Lines>182</Lines>
  <Paragraphs>66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KNOLLOVA Maria</cp:lastModifiedBy>
  <cp:revision>2</cp:revision>
  <cp:lastPrinted>2002-12-11T09:25:00Z</cp:lastPrinted>
  <dcterms:created xsi:type="dcterms:W3CDTF">2024-02-28T14:34:00Z</dcterms:created>
  <dcterms:modified xsi:type="dcterms:W3CDTF">2024-02-28T14:34:00Z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1296234</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PR\1296234SK.docx</vt:lpwstr>
  </property>
  <property fmtid="{D5CDD505-2E9C-101B-9397-08002B2CF9AE}" pid="10" name="LastEdited with">
    <vt:lpwstr>9.17.1 Build [20240120]</vt:lpwstr>
  </property>
  <property fmtid="{D5CDD505-2E9C-101B-9397-08002B2CF9AE}" pid="11" name="PE number">
    <vt:lpwstr>758.913</vt:lpwstr>
  </property>
  <property fmtid="{D5CDD505-2E9C-101B-9397-08002B2CF9AE}" pid="12" name="SDLStudio">
    <vt:lpwstr/>
  </property>
  <property fmtid="{D5CDD505-2E9C-101B-9397-08002B2CF9AE}" pid="13" name="SendToEpades">
    <vt:lpwstr>OK - 2024/02/14 17:18</vt:lpwstr>
  </property>
  <property fmtid="{D5CDD505-2E9C-101B-9397-08002B2CF9AE}" pid="14" name="Bookout">
    <vt:lpwstr>OK - 2024/02/28 15:34</vt:lpwstr>
  </property>
</Properties>
</file>